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673D625" wp14:editId="14EB22F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BE6196" w:rsidP="008F07A3">
          <w:pPr>
            <w:pStyle w:val="ReportSubtitle"/>
          </w:pPr>
          <w:r>
            <w:t>ActewAGL Distribution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7259C">
            <w:t>5</w:t>
          </w:r>
          <w:r w:rsidR="00DA4752">
            <w:t xml:space="preserve"> </w:t>
          </w:r>
          <w:r w:rsidR="00415F31">
            <w:rPr>
              <w:rFonts w:cs="Arial"/>
            </w:rPr>
            <w:t>–</w:t>
          </w:r>
          <w:r w:rsidR="00DA4752">
            <w:t xml:space="preserve"> </w:t>
          </w:r>
          <w:r w:rsidR="00A7259C">
            <w:t>Regulatory depreciation</w:t>
          </w:r>
        </w:p>
        <w:p w:rsidR="000A6C7B" w:rsidRPr="00327A1E" w:rsidRDefault="0087282A" w:rsidP="00327A1E">
          <w:pPr>
            <w:pStyle w:val="ReportDate"/>
          </w:pPr>
          <w:r>
            <w:t xml:space="preserve">May </w:t>
          </w:r>
          <w:r w:rsidR="00A2303E">
            <w:t>2016</w:t>
          </w:r>
        </w:p>
      </w:sdtContent>
    </w:sdt>
    <w:p w:rsidR="00327A1E" w:rsidRPr="00290C63" w:rsidRDefault="00327A1E" w:rsidP="00290C63">
      <w:r>
        <w:br w:type="page"/>
      </w:r>
    </w:p>
    <w:p w:rsidR="000A6C7B" w:rsidRDefault="00BE7F57"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759251"/>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BE6196">
        <w:t xml:space="preserve">ActewAGL 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759252"/>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1605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759251" w:history="1">
            <w:r w:rsidR="00416053" w:rsidRPr="00243E70">
              <w:rPr>
                <w:rStyle w:val="Hyperlink"/>
              </w:rPr>
              <w:t>Note</w:t>
            </w:r>
            <w:r w:rsidR="00416053">
              <w:rPr>
                <w:webHidden/>
              </w:rPr>
              <w:tab/>
            </w:r>
            <w:r w:rsidR="00416053">
              <w:rPr>
                <w:webHidden/>
              </w:rPr>
              <w:fldChar w:fldCharType="begin"/>
            </w:r>
            <w:r w:rsidR="00416053">
              <w:rPr>
                <w:webHidden/>
              </w:rPr>
              <w:instrText xml:space="preserve"> PAGEREF _Toc451759251 \h </w:instrText>
            </w:r>
            <w:r w:rsidR="00416053">
              <w:rPr>
                <w:webHidden/>
              </w:rPr>
            </w:r>
            <w:r w:rsidR="00416053">
              <w:rPr>
                <w:webHidden/>
              </w:rPr>
              <w:fldChar w:fldCharType="separate"/>
            </w:r>
            <w:r w:rsidR="00416053">
              <w:rPr>
                <w:webHidden/>
              </w:rPr>
              <w:t>5-2</w:t>
            </w:r>
            <w:r w:rsidR="00416053">
              <w:rPr>
                <w:webHidden/>
              </w:rPr>
              <w:fldChar w:fldCharType="end"/>
            </w:r>
          </w:hyperlink>
        </w:p>
        <w:p w:rsidR="00416053" w:rsidRDefault="00416053">
          <w:pPr>
            <w:pStyle w:val="TOC1"/>
            <w:rPr>
              <w:rFonts w:asciiTheme="minorHAnsi" w:eastAsiaTheme="minorEastAsia" w:hAnsiTheme="minorHAnsi"/>
              <w:b w:val="0"/>
              <w:color w:val="auto"/>
              <w:sz w:val="22"/>
              <w:lang w:val="en-AU" w:eastAsia="en-AU"/>
            </w:rPr>
          </w:pPr>
          <w:hyperlink w:anchor="_Toc451759252" w:history="1">
            <w:r w:rsidRPr="00243E70">
              <w:rPr>
                <w:rStyle w:val="Hyperlink"/>
              </w:rPr>
              <w:t>Contents</w:t>
            </w:r>
            <w:r>
              <w:rPr>
                <w:webHidden/>
              </w:rPr>
              <w:tab/>
            </w:r>
            <w:r>
              <w:rPr>
                <w:webHidden/>
              </w:rPr>
              <w:fldChar w:fldCharType="begin"/>
            </w:r>
            <w:r>
              <w:rPr>
                <w:webHidden/>
              </w:rPr>
              <w:instrText xml:space="preserve"> PAGEREF _Toc451759252 \h </w:instrText>
            </w:r>
            <w:r>
              <w:rPr>
                <w:webHidden/>
              </w:rPr>
            </w:r>
            <w:r>
              <w:rPr>
                <w:webHidden/>
              </w:rPr>
              <w:fldChar w:fldCharType="separate"/>
            </w:r>
            <w:r>
              <w:rPr>
                <w:webHidden/>
              </w:rPr>
              <w:t>5-3</w:t>
            </w:r>
            <w:r>
              <w:rPr>
                <w:webHidden/>
              </w:rPr>
              <w:fldChar w:fldCharType="end"/>
            </w:r>
          </w:hyperlink>
        </w:p>
        <w:p w:rsidR="00416053" w:rsidRDefault="00416053">
          <w:pPr>
            <w:pStyle w:val="TOC1"/>
            <w:rPr>
              <w:rFonts w:asciiTheme="minorHAnsi" w:eastAsiaTheme="minorEastAsia" w:hAnsiTheme="minorHAnsi"/>
              <w:b w:val="0"/>
              <w:color w:val="auto"/>
              <w:sz w:val="22"/>
              <w:lang w:val="en-AU" w:eastAsia="en-AU"/>
            </w:rPr>
          </w:pPr>
          <w:hyperlink w:anchor="_Toc451759253" w:history="1">
            <w:r w:rsidRPr="00243E70">
              <w:rPr>
                <w:rStyle w:val="Hyperlink"/>
              </w:rPr>
              <w:t>Shortened forms</w:t>
            </w:r>
            <w:r>
              <w:rPr>
                <w:webHidden/>
              </w:rPr>
              <w:tab/>
            </w:r>
            <w:r>
              <w:rPr>
                <w:webHidden/>
              </w:rPr>
              <w:fldChar w:fldCharType="begin"/>
            </w:r>
            <w:r>
              <w:rPr>
                <w:webHidden/>
              </w:rPr>
              <w:instrText xml:space="preserve"> PAGEREF _Toc451759253 \h </w:instrText>
            </w:r>
            <w:r>
              <w:rPr>
                <w:webHidden/>
              </w:rPr>
            </w:r>
            <w:r>
              <w:rPr>
                <w:webHidden/>
              </w:rPr>
              <w:fldChar w:fldCharType="separate"/>
            </w:r>
            <w:r>
              <w:rPr>
                <w:webHidden/>
              </w:rPr>
              <w:t>5-4</w:t>
            </w:r>
            <w:r>
              <w:rPr>
                <w:webHidden/>
              </w:rPr>
              <w:fldChar w:fldCharType="end"/>
            </w:r>
          </w:hyperlink>
        </w:p>
        <w:p w:rsidR="00416053" w:rsidRDefault="00416053">
          <w:pPr>
            <w:pStyle w:val="TOC1"/>
            <w:rPr>
              <w:rFonts w:asciiTheme="minorHAnsi" w:eastAsiaTheme="minorEastAsia" w:hAnsiTheme="minorHAnsi"/>
              <w:b w:val="0"/>
              <w:color w:val="auto"/>
              <w:sz w:val="22"/>
              <w:lang w:val="en-AU" w:eastAsia="en-AU"/>
            </w:rPr>
          </w:pPr>
          <w:hyperlink w:anchor="_Toc451759254" w:history="1">
            <w:r w:rsidRPr="00243E70">
              <w:rPr>
                <w:rStyle w:val="Hyperlink"/>
              </w:rPr>
              <w:t>5</w:t>
            </w:r>
            <w:r>
              <w:rPr>
                <w:rFonts w:asciiTheme="minorHAnsi" w:eastAsiaTheme="minorEastAsia" w:hAnsiTheme="minorHAnsi"/>
                <w:b w:val="0"/>
                <w:color w:val="auto"/>
                <w:sz w:val="22"/>
                <w:lang w:val="en-AU" w:eastAsia="en-AU"/>
              </w:rPr>
              <w:tab/>
            </w:r>
            <w:r w:rsidRPr="00243E70">
              <w:rPr>
                <w:rStyle w:val="Hyperlink"/>
              </w:rPr>
              <w:t>Regulatory depreciation</w:t>
            </w:r>
            <w:r>
              <w:rPr>
                <w:webHidden/>
              </w:rPr>
              <w:tab/>
            </w:r>
            <w:r>
              <w:rPr>
                <w:webHidden/>
              </w:rPr>
              <w:fldChar w:fldCharType="begin"/>
            </w:r>
            <w:r>
              <w:rPr>
                <w:webHidden/>
              </w:rPr>
              <w:instrText xml:space="preserve"> PAGEREF _Toc451759254 \h </w:instrText>
            </w:r>
            <w:r>
              <w:rPr>
                <w:webHidden/>
              </w:rPr>
            </w:r>
            <w:r>
              <w:rPr>
                <w:webHidden/>
              </w:rPr>
              <w:fldChar w:fldCharType="separate"/>
            </w:r>
            <w:r>
              <w:rPr>
                <w:webHidden/>
              </w:rPr>
              <w:t>5-6</w:t>
            </w:r>
            <w:r>
              <w:rPr>
                <w:webHidden/>
              </w:rPr>
              <w:fldChar w:fldCharType="end"/>
            </w:r>
          </w:hyperlink>
        </w:p>
        <w:p w:rsidR="00416053" w:rsidRDefault="00416053">
          <w:pPr>
            <w:pStyle w:val="TOC2"/>
            <w:rPr>
              <w:rFonts w:asciiTheme="minorHAnsi" w:eastAsiaTheme="minorEastAsia" w:hAnsiTheme="minorHAnsi"/>
              <w:b w:val="0"/>
              <w:color w:val="auto"/>
              <w:sz w:val="22"/>
              <w:lang w:eastAsia="en-AU"/>
            </w:rPr>
          </w:pPr>
          <w:hyperlink w:anchor="_Toc451759255" w:history="1">
            <w:r w:rsidRPr="00243E70">
              <w:rPr>
                <w:rStyle w:val="Hyperlink"/>
              </w:rPr>
              <w:t>5.1</w:t>
            </w:r>
            <w:r>
              <w:rPr>
                <w:rFonts w:asciiTheme="minorHAnsi" w:eastAsiaTheme="minorEastAsia" w:hAnsiTheme="minorHAnsi"/>
                <w:b w:val="0"/>
                <w:color w:val="auto"/>
                <w:sz w:val="22"/>
                <w:lang w:eastAsia="en-AU"/>
              </w:rPr>
              <w:tab/>
            </w:r>
            <w:r w:rsidRPr="00243E70">
              <w:rPr>
                <w:rStyle w:val="Hyperlink"/>
              </w:rPr>
              <w:t>Final decision</w:t>
            </w:r>
            <w:r>
              <w:rPr>
                <w:webHidden/>
              </w:rPr>
              <w:tab/>
            </w:r>
            <w:r>
              <w:rPr>
                <w:webHidden/>
              </w:rPr>
              <w:fldChar w:fldCharType="begin"/>
            </w:r>
            <w:r>
              <w:rPr>
                <w:webHidden/>
              </w:rPr>
              <w:instrText xml:space="preserve"> PAGEREF _Toc451759255 \h </w:instrText>
            </w:r>
            <w:r>
              <w:rPr>
                <w:webHidden/>
              </w:rPr>
            </w:r>
            <w:r>
              <w:rPr>
                <w:webHidden/>
              </w:rPr>
              <w:fldChar w:fldCharType="separate"/>
            </w:r>
            <w:r>
              <w:rPr>
                <w:webHidden/>
              </w:rPr>
              <w:t>5-6</w:t>
            </w:r>
            <w:r>
              <w:rPr>
                <w:webHidden/>
              </w:rPr>
              <w:fldChar w:fldCharType="end"/>
            </w:r>
          </w:hyperlink>
        </w:p>
        <w:p w:rsidR="00416053" w:rsidRDefault="00416053">
          <w:pPr>
            <w:pStyle w:val="TOC2"/>
            <w:rPr>
              <w:rFonts w:asciiTheme="minorHAnsi" w:eastAsiaTheme="minorEastAsia" w:hAnsiTheme="minorHAnsi"/>
              <w:b w:val="0"/>
              <w:color w:val="auto"/>
              <w:sz w:val="22"/>
              <w:lang w:eastAsia="en-AU"/>
            </w:rPr>
          </w:pPr>
          <w:hyperlink w:anchor="_Toc451759256" w:history="1">
            <w:r w:rsidRPr="00243E70">
              <w:rPr>
                <w:rStyle w:val="Hyperlink"/>
              </w:rPr>
              <w:t>5.2</w:t>
            </w:r>
            <w:r>
              <w:rPr>
                <w:rFonts w:asciiTheme="minorHAnsi" w:eastAsiaTheme="minorEastAsia" w:hAnsiTheme="minorHAnsi"/>
                <w:b w:val="0"/>
                <w:color w:val="auto"/>
                <w:sz w:val="22"/>
                <w:lang w:eastAsia="en-AU"/>
              </w:rPr>
              <w:tab/>
            </w:r>
            <w:r w:rsidRPr="00243E70">
              <w:rPr>
                <w:rStyle w:val="Hyperlink"/>
              </w:rPr>
              <w:t>ActewAGL’s revised proposal</w:t>
            </w:r>
            <w:r>
              <w:rPr>
                <w:webHidden/>
              </w:rPr>
              <w:tab/>
            </w:r>
            <w:r>
              <w:rPr>
                <w:webHidden/>
              </w:rPr>
              <w:fldChar w:fldCharType="begin"/>
            </w:r>
            <w:r>
              <w:rPr>
                <w:webHidden/>
              </w:rPr>
              <w:instrText xml:space="preserve"> PAGEREF _Toc451759256 \h </w:instrText>
            </w:r>
            <w:r>
              <w:rPr>
                <w:webHidden/>
              </w:rPr>
            </w:r>
            <w:r>
              <w:rPr>
                <w:webHidden/>
              </w:rPr>
              <w:fldChar w:fldCharType="separate"/>
            </w:r>
            <w:r>
              <w:rPr>
                <w:webHidden/>
              </w:rPr>
              <w:t>5-7</w:t>
            </w:r>
            <w:r>
              <w:rPr>
                <w:webHidden/>
              </w:rPr>
              <w:fldChar w:fldCharType="end"/>
            </w:r>
          </w:hyperlink>
        </w:p>
        <w:p w:rsidR="00416053" w:rsidRDefault="00416053">
          <w:pPr>
            <w:pStyle w:val="TOC2"/>
            <w:rPr>
              <w:rFonts w:asciiTheme="minorHAnsi" w:eastAsiaTheme="minorEastAsia" w:hAnsiTheme="minorHAnsi"/>
              <w:b w:val="0"/>
              <w:color w:val="auto"/>
              <w:sz w:val="22"/>
              <w:lang w:eastAsia="en-AU"/>
            </w:rPr>
          </w:pPr>
          <w:hyperlink w:anchor="_Toc451759257" w:history="1">
            <w:r w:rsidRPr="00243E70">
              <w:rPr>
                <w:rStyle w:val="Hyperlink"/>
              </w:rPr>
              <w:t>5.3</w:t>
            </w:r>
            <w:r>
              <w:rPr>
                <w:rFonts w:asciiTheme="minorHAnsi" w:eastAsiaTheme="minorEastAsia" w:hAnsiTheme="minorHAnsi"/>
                <w:b w:val="0"/>
                <w:color w:val="auto"/>
                <w:sz w:val="22"/>
                <w:lang w:eastAsia="en-AU"/>
              </w:rPr>
              <w:tab/>
            </w:r>
            <w:r w:rsidRPr="00243E70">
              <w:rPr>
                <w:rStyle w:val="Hyperlink"/>
              </w:rPr>
              <w:t>AER’s assessment approach</w:t>
            </w:r>
            <w:r>
              <w:rPr>
                <w:webHidden/>
              </w:rPr>
              <w:tab/>
            </w:r>
            <w:r>
              <w:rPr>
                <w:webHidden/>
              </w:rPr>
              <w:fldChar w:fldCharType="begin"/>
            </w:r>
            <w:r>
              <w:rPr>
                <w:webHidden/>
              </w:rPr>
              <w:instrText xml:space="preserve"> PAGEREF _Toc451759257 \h </w:instrText>
            </w:r>
            <w:r>
              <w:rPr>
                <w:webHidden/>
              </w:rPr>
            </w:r>
            <w:r>
              <w:rPr>
                <w:webHidden/>
              </w:rPr>
              <w:fldChar w:fldCharType="separate"/>
            </w:r>
            <w:r>
              <w:rPr>
                <w:webHidden/>
              </w:rPr>
              <w:t>5-8</w:t>
            </w:r>
            <w:r>
              <w:rPr>
                <w:webHidden/>
              </w:rPr>
              <w:fldChar w:fldCharType="end"/>
            </w:r>
          </w:hyperlink>
        </w:p>
        <w:p w:rsidR="00416053" w:rsidRDefault="00416053">
          <w:pPr>
            <w:pStyle w:val="TOC2"/>
            <w:rPr>
              <w:rFonts w:asciiTheme="minorHAnsi" w:eastAsiaTheme="minorEastAsia" w:hAnsiTheme="minorHAnsi"/>
              <w:b w:val="0"/>
              <w:color w:val="auto"/>
              <w:sz w:val="22"/>
              <w:lang w:eastAsia="en-AU"/>
            </w:rPr>
          </w:pPr>
          <w:hyperlink w:anchor="_Toc451759258" w:history="1">
            <w:r w:rsidRPr="00243E70">
              <w:rPr>
                <w:rStyle w:val="Hyperlink"/>
              </w:rPr>
              <w:t>5.4</w:t>
            </w:r>
            <w:r>
              <w:rPr>
                <w:rFonts w:asciiTheme="minorHAnsi" w:eastAsiaTheme="minorEastAsia" w:hAnsiTheme="minorHAnsi"/>
                <w:b w:val="0"/>
                <w:color w:val="auto"/>
                <w:sz w:val="22"/>
                <w:lang w:eastAsia="en-AU"/>
              </w:rPr>
              <w:tab/>
            </w:r>
            <w:r w:rsidRPr="00243E70">
              <w:rPr>
                <w:rStyle w:val="Hyperlink"/>
              </w:rPr>
              <w:t>Reasons for final decision</w:t>
            </w:r>
            <w:r>
              <w:rPr>
                <w:webHidden/>
              </w:rPr>
              <w:tab/>
            </w:r>
            <w:r>
              <w:rPr>
                <w:webHidden/>
              </w:rPr>
              <w:fldChar w:fldCharType="begin"/>
            </w:r>
            <w:r>
              <w:rPr>
                <w:webHidden/>
              </w:rPr>
              <w:instrText xml:space="preserve"> PAGEREF _Toc451759258 \h </w:instrText>
            </w:r>
            <w:r>
              <w:rPr>
                <w:webHidden/>
              </w:rPr>
            </w:r>
            <w:r>
              <w:rPr>
                <w:webHidden/>
              </w:rPr>
              <w:fldChar w:fldCharType="separate"/>
            </w:r>
            <w:r>
              <w:rPr>
                <w:webHidden/>
              </w:rPr>
              <w:t>5-8</w:t>
            </w:r>
            <w:r>
              <w:rPr>
                <w:webHidden/>
              </w:rPr>
              <w:fldChar w:fldCharType="end"/>
            </w:r>
          </w:hyperlink>
        </w:p>
        <w:p w:rsidR="00416053" w:rsidRDefault="00416053">
          <w:pPr>
            <w:pStyle w:val="TOC3"/>
            <w:rPr>
              <w:rFonts w:asciiTheme="minorHAnsi" w:eastAsiaTheme="minorEastAsia" w:hAnsiTheme="minorHAnsi"/>
              <w:lang w:eastAsia="en-AU"/>
            </w:rPr>
          </w:pPr>
          <w:hyperlink w:anchor="_Toc451759259" w:history="1">
            <w:r w:rsidRPr="00243E70">
              <w:rPr>
                <w:rStyle w:val="Hyperlink"/>
              </w:rPr>
              <w:t>5.4.1</w:t>
            </w:r>
            <w:r>
              <w:rPr>
                <w:rFonts w:asciiTheme="minorHAnsi" w:eastAsiaTheme="minorEastAsia" w:hAnsiTheme="minorHAnsi"/>
                <w:lang w:eastAsia="en-AU"/>
              </w:rPr>
              <w:tab/>
            </w:r>
            <w:r w:rsidRPr="00243E70">
              <w:rPr>
                <w:rStyle w:val="Hyperlink"/>
              </w:rPr>
              <w:t>Standard asset life</w:t>
            </w:r>
            <w:r>
              <w:rPr>
                <w:webHidden/>
              </w:rPr>
              <w:tab/>
            </w:r>
            <w:r>
              <w:rPr>
                <w:webHidden/>
              </w:rPr>
              <w:fldChar w:fldCharType="begin"/>
            </w:r>
            <w:r>
              <w:rPr>
                <w:webHidden/>
              </w:rPr>
              <w:instrText xml:space="preserve"> PAGEREF _Toc451759259 \h </w:instrText>
            </w:r>
            <w:r>
              <w:rPr>
                <w:webHidden/>
              </w:rPr>
            </w:r>
            <w:r>
              <w:rPr>
                <w:webHidden/>
              </w:rPr>
              <w:fldChar w:fldCharType="separate"/>
            </w:r>
            <w:r>
              <w:rPr>
                <w:webHidden/>
              </w:rPr>
              <w:t>5-9</w:t>
            </w:r>
            <w:r>
              <w:rPr>
                <w:webHidden/>
              </w:rPr>
              <w:fldChar w:fldCharType="end"/>
            </w:r>
          </w:hyperlink>
        </w:p>
        <w:p w:rsidR="00416053" w:rsidRDefault="00416053">
          <w:pPr>
            <w:pStyle w:val="TOC3"/>
            <w:rPr>
              <w:rFonts w:asciiTheme="minorHAnsi" w:eastAsiaTheme="minorEastAsia" w:hAnsiTheme="minorHAnsi"/>
              <w:lang w:eastAsia="en-AU"/>
            </w:rPr>
          </w:pPr>
          <w:hyperlink w:anchor="_Toc451759260" w:history="1">
            <w:r w:rsidRPr="00243E70">
              <w:rPr>
                <w:rStyle w:val="Hyperlink"/>
              </w:rPr>
              <w:t>5.4.2</w:t>
            </w:r>
            <w:r>
              <w:rPr>
                <w:rFonts w:asciiTheme="minorHAnsi" w:eastAsiaTheme="minorEastAsia" w:hAnsiTheme="minorHAnsi"/>
                <w:lang w:eastAsia="en-AU"/>
              </w:rPr>
              <w:tab/>
            </w:r>
            <w:r w:rsidRPr="00243E70">
              <w:rPr>
                <w:rStyle w:val="Hyperlink"/>
              </w:rPr>
              <w:t>Remaining asset lives</w:t>
            </w:r>
            <w:r>
              <w:rPr>
                <w:webHidden/>
              </w:rPr>
              <w:tab/>
            </w:r>
            <w:r>
              <w:rPr>
                <w:webHidden/>
              </w:rPr>
              <w:fldChar w:fldCharType="begin"/>
            </w:r>
            <w:r>
              <w:rPr>
                <w:webHidden/>
              </w:rPr>
              <w:instrText xml:space="preserve"> PAGEREF _Toc451759260 \h </w:instrText>
            </w:r>
            <w:r>
              <w:rPr>
                <w:webHidden/>
              </w:rPr>
            </w:r>
            <w:r>
              <w:rPr>
                <w:webHidden/>
              </w:rPr>
              <w:fldChar w:fldCharType="separate"/>
            </w:r>
            <w:r>
              <w:rPr>
                <w:webHidden/>
              </w:rPr>
              <w:t>5-10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759253"/>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2E4078" w:rsidTr="002E40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Shortened form</w:t>
            </w:r>
          </w:p>
        </w:tc>
        <w:tc>
          <w:tcPr>
            <w:tcW w:w="5041" w:type="dxa"/>
            <w:tcBorders>
              <w:top w:val="nil"/>
              <w:left w:val="nil"/>
              <w:bottom w:val="nil"/>
              <w:right w:val="nil"/>
            </w:tcBorders>
            <w:hideMark/>
          </w:tcPr>
          <w:p w:rsidR="002E4078" w:rsidRPr="002E4078" w:rsidRDefault="002E4078" w:rsidP="002E4078">
            <w:pPr>
              <w:numPr>
                <w:ilvl w:val="0"/>
                <w:numId w:val="29"/>
              </w:numPr>
              <w:cnfStyle w:val="100000000000" w:firstRow="1" w:lastRow="0" w:firstColumn="0" w:lastColumn="0" w:oddVBand="0" w:evenVBand="0" w:oddHBand="0" w:evenHBand="0" w:firstRowFirstColumn="0" w:firstRowLastColumn="0" w:lastRowFirstColumn="0" w:lastRowLastColumn="0"/>
            </w:pPr>
            <w:r w:rsidRPr="002E4078">
              <w:t>Extended form</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AA</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Access Arrangement</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AAI</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Access Arrangement Information</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AER</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Australian Energy Regulator</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ASA</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Asset Services Agreement</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ATO</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Australian Tax Office</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capex</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capital expenditure</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CAPM</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capital asset pricing model</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CCP</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Consumer Challenge Panel</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CMF</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construction management fee</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CPI</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consumer price index</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DAMS</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Distribution Asset Management Services</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DRP</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debt risk premium</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EBSS</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Efficiency Benefit Sharing Scheme</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ECM</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Efficiency Carryover Mechanism</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EIL</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Energy Industry Levy</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ERP</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equity risk premium</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Expenditure Guideline</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Expenditure Forecast Assessment Guideline</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gamma</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value of imputation credits</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GSL</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Guaranteed Service Level</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GTA</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Gas Transport Services Agreement</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ICRC</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Independent Competition and Regulatory Commission</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MRP</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market risk premium</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NECF</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National Energy Customer Framework</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NERL</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National Energy Retail Law</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NERR</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National Energy Retail Rules</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NGL</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National Gas Law</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NGO</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National Gas Objective</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NGR</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National Gas Rules</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NPV</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net present value</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opex</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operating expenditure</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PFP</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partial factor productivity</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PPI</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partial performance indicators</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PTRM</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post-tax revenue model</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RBA</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Reserve Bank of Australia</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RFM</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roll forward model</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RIN</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regulatory information notice</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proofErr w:type="spellStart"/>
            <w:r w:rsidRPr="002E4078">
              <w:t>RoLR</w:t>
            </w:r>
            <w:proofErr w:type="spellEnd"/>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retailer of last resort</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RSA</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Reference Service Agreement</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RPP</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revenue and pricing principles</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SLCAPM</w:t>
            </w:r>
          </w:p>
        </w:tc>
        <w:tc>
          <w:tcPr>
            <w:tcW w:w="5041" w:type="dxa"/>
            <w:tcBorders>
              <w:top w:val="nil"/>
              <w:left w:val="nil"/>
              <w:bottom w:val="nil"/>
              <w:right w:val="nil"/>
            </w:tcBorders>
            <w:hideMark/>
          </w:tcPr>
          <w:p w:rsidR="002E4078" w:rsidRPr="002E4078" w:rsidRDefault="002E4078" w:rsidP="002E4078">
            <w:pPr>
              <w:numPr>
                <w:ilvl w:val="0"/>
                <w:numId w:val="29"/>
              </w:numPr>
              <w:cnfStyle w:val="000000010000" w:firstRow="0" w:lastRow="0" w:firstColumn="0" w:lastColumn="0" w:oddVBand="0" w:evenVBand="0" w:oddHBand="0" w:evenHBand="1" w:firstRowFirstColumn="0" w:firstRowLastColumn="0" w:lastRowFirstColumn="0" w:lastRowLastColumn="0"/>
            </w:pPr>
            <w:r w:rsidRPr="002E4078">
              <w:t>Sharpe-</w:t>
            </w:r>
            <w:proofErr w:type="spellStart"/>
            <w:r w:rsidRPr="002E4078">
              <w:t>Lintner</w:t>
            </w:r>
            <w:proofErr w:type="spellEnd"/>
            <w:r w:rsidRPr="002E4078">
              <w:t xml:space="preserve"> capital asset pricing model</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STTM</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Short Term Trading Market</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TAB</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tax asset base</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UAFG</w:t>
            </w:r>
          </w:p>
        </w:tc>
        <w:tc>
          <w:tcPr>
            <w:tcW w:w="5041" w:type="dxa"/>
            <w:tcBorders>
              <w:top w:val="nil"/>
              <w:left w:val="nil"/>
              <w:bottom w:val="nil"/>
              <w:right w:val="nil"/>
            </w:tcBorders>
            <w:hideMark/>
          </w:tcPr>
          <w:p w:rsidR="002E4078" w:rsidRPr="002E4078" w:rsidRDefault="002E4078" w:rsidP="002E4078">
            <w:pPr>
              <w:cnfStyle w:val="000000000000" w:firstRow="0" w:lastRow="0" w:firstColumn="0" w:lastColumn="0" w:oddVBand="0" w:evenVBand="0" w:oddHBand="0" w:evenHBand="0" w:firstRowFirstColumn="0" w:firstRowLastColumn="0" w:lastRowFirstColumn="0" w:lastRowLastColumn="0"/>
            </w:pPr>
            <w:r w:rsidRPr="002E4078">
              <w:t>unaccounted for gas</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UNFT</w:t>
            </w:r>
          </w:p>
        </w:tc>
        <w:tc>
          <w:tcPr>
            <w:tcW w:w="5041" w:type="dxa"/>
            <w:tcBorders>
              <w:top w:val="nil"/>
              <w:left w:val="nil"/>
              <w:bottom w:val="nil"/>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Utilities Network Facilities Tax</w:t>
            </w:r>
          </w:p>
        </w:tc>
      </w:tr>
      <w:tr w:rsidR="002E4078" w:rsidTr="002E407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E4078" w:rsidRPr="002E4078" w:rsidRDefault="002E4078" w:rsidP="002E4078">
            <w:pPr>
              <w:numPr>
                <w:ilvl w:val="0"/>
                <w:numId w:val="29"/>
              </w:numPr>
            </w:pPr>
            <w:r w:rsidRPr="002E4078">
              <w:t>WACC</w:t>
            </w:r>
          </w:p>
        </w:tc>
        <w:tc>
          <w:tcPr>
            <w:tcW w:w="5041" w:type="dxa"/>
            <w:tcBorders>
              <w:top w:val="nil"/>
              <w:left w:val="nil"/>
              <w:bottom w:val="nil"/>
              <w:right w:val="nil"/>
            </w:tcBorders>
            <w:hideMark/>
          </w:tcPr>
          <w:p w:rsidR="002E4078" w:rsidRPr="002E4078" w:rsidRDefault="002E4078" w:rsidP="002E4078">
            <w:pPr>
              <w:numPr>
                <w:ilvl w:val="0"/>
                <w:numId w:val="29"/>
              </w:numPr>
              <w:cnfStyle w:val="000000000000" w:firstRow="0" w:lastRow="0" w:firstColumn="0" w:lastColumn="0" w:oddVBand="0" w:evenVBand="0" w:oddHBand="0" w:evenHBand="0" w:firstRowFirstColumn="0" w:firstRowLastColumn="0" w:lastRowFirstColumn="0" w:lastRowLastColumn="0"/>
            </w:pPr>
            <w:r w:rsidRPr="002E4078">
              <w:t>weighted average cost of capital</w:t>
            </w:r>
          </w:p>
        </w:tc>
      </w:tr>
      <w:tr w:rsidR="002E4078" w:rsidTr="002E4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2E4078" w:rsidRPr="002E4078" w:rsidRDefault="002E4078" w:rsidP="002E4078">
            <w:pPr>
              <w:numPr>
                <w:ilvl w:val="0"/>
                <w:numId w:val="29"/>
              </w:numPr>
            </w:pPr>
            <w:r w:rsidRPr="002E4078">
              <w:t>WPI</w:t>
            </w:r>
          </w:p>
        </w:tc>
        <w:tc>
          <w:tcPr>
            <w:tcW w:w="5041" w:type="dxa"/>
            <w:tcBorders>
              <w:top w:val="nil"/>
              <w:left w:val="nil"/>
              <w:bottom w:val="single" w:sz="4" w:space="0" w:color="365F91"/>
              <w:right w:val="nil"/>
            </w:tcBorders>
            <w:hideMark/>
          </w:tcPr>
          <w:p w:rsidR="002E4078" w:rsidRPr="002E4078" w:rsidRDefault="002E4078" w:rsidP="002E4078">
            <w:pPr>
              <w:cnfStyle w:val="000000010000" w:firstRow="0" w:lastRow="0" w:firstColumn="0" w:lastColumn="0" w:oddVBand="0" w:evenVBand="0" w:oddHBand="0" w:evenHBand="1" w:firstRowFirstColumn="0" w:firstRowLastColumn="0" w:lastRowFirstColumn="0" w:lastRowLastColumn="0"/>
            </w:pPr>
            <w:r w:rsidRPr="002E4078">
              <w:t>Wage Price Index</w:t>
            </w:r>
          </w:p>
        </w:tc>
      </w:tr>
    </w:tbl>
    <w:p w:rsidR="002E4078" w:rsidRPr="002E4078" w:rsidRDefault="002E4078" w:rsidP="002E4078"/>
    <w:p w:rsidR="004F51BC" w:rsidRDefault="004F51BC" w:rsidP="004F51BC">
      <w:pPr>
        <w:pStyle w:val="Heading1"/>
      </w:pPr>
      <w:bookmarkStart w:id="9" w:name="_Toc436041914"/>
      <w:bookmarkStart w:id="10" w:name="_Toc451759254"/>
      <w:r>
        <w:t>Regulatory depreciation</w:t>
      </w:r>
      <w:bookmarkEnd w:id="9"/>
      <w:bookmarkEnd w:id="10"/>
    </w:p>
    <w:p w:rsidR="004F51BC" w:rsidRPr="00A575B0" w:rsidRDefault="004F51BC" w:rsidP="004F51BC">
      <w:r w:rsidRPr="00CA36EA">
        <w:t xml:space="preserve">When determining the total revenue for </w:t>
      </w:r>
      <w:r>
        <w:t>ActewAGL</w:t>
      </w:r>
      <w:r w:rsidRPr="00CA36EA">
        <w:t xml:space="preserve">, </w:t>
      </w:r>
      <w:r>
        <w:t>we</w:t>
      </w:r>
      <w:r w:rsidRPr="00CA36EA">
        <w:t xml:space="preserve"> must decide on the</w:t>
      </w:r>
      <w:r w:rsidR="00984A8C">
        <w:t xml:space="preserve"> </w:t>
      </w:r>
      <w:r w:rsidRPr="00CA36EA">
        <w:t>depreciation for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t>2016–21</w:t>
      </w:r>
      <w:r w:rsidRPr="00CA36EA">
        <w:t xml:space="preserve"> access arrangement </w:t>
      </w:r>
      <w:proofErr w:type="gramStart"/>
      <w:r w:rsidRPr="00CA36EA">
        <w:t>period</w:t>
      </w:r>
      <w:proofErr w:type="gramEnd"/>
      <w:r w:rsidRPr="00CA36EA">
        <w:t xml:space="preserve"> and the depreciation allowance in the total revenue requirement.</w:t>
      </w:r>
      <w:r>
        <w:rPr>
          <w:rStyle w:val="FootnoteReference"/>
        </w:rPr>
        <w:footnoteReference w:id="2"/>
      </w:r>
      <w:r>
        <w:t xml:space="preserve"> As discussed in the overview, </w:t>
      </w:r>
      <w:r w:rsidR="00C42DF7">
        <w:t>this final decision includes</w:t>
      </w:r>
      <w:r>
        <w:t xml:space="preserve"> a reconciliation (or ‘true-up’) of ActewAGL’s revenue for the 2015–16 interval of delay. Consequently, we must also determine a regulatory depreciation allowance for 2015–16. </w:t>
      </w:r>
    </w:p>
    <w:p w:rsidR="004F51BC" w:rsidRPr="00CA36EA" w:rsidRDefault="004F51BC" w:rsidP="004F51BC">
      <w:r>
        <w:t>This attachment outlines our</w:t>
      </w:r>
      <w:r w:rsidRPr="00CA36EA">
        <w:t xml:space="preserve"> </w:t>
      </w:r>
      <w:r>
        <w:t>final</w:t>
      </w:r>
      <w:r w:rsidRPr="00CA36EA">
        <w:t xml:space="preserve"> decision on </w:t>
      </w:r>
      <w:r>
        <w:t xml:space="preserve">ActewAGL’s </w:t>
      </w:r>
      <w:r w:rsidRPr="00CA36EA">
        <w:t xml:space="preserve">annual regulatory depreciation allowance </w:t>
      </w:r>
      <w:r>
        <w:t>for 2015–16 and the</w:t>
      </w:r>
      <w:r w:rsidRPr="00B41164">
        <w:t xml:space="preserve"> </w:t>
      </w:r>
      <w:r>
        <w:t>2016–21</w:t>
      </w:r>
      <w:r w:rsidRPr="00CA36EA">
        <w:t xml:space="preserve"> access arrangement </w:t>
      </w:r>
      <w:proofErr w:type="gramStart"/>
      <w:r w:rsidRPr="00CA36EA">
        <w:t>period</w:t>
      </w:r>
      <w:proofErr w:type="gramEnd"/>
      <w:r w:rsidRPr="00CA36EA">
        <w:t xml:space="preserve">. </w:t>
      </w:r>
      <w:r>
        <w:t>Our</w:t>
      </w:r>
      <w:r w:rsidRPr="00CA36EA">
        <w:t xml:space="preserve"> consideration of specific matters that affect the estimate of regulatory depreciation is also outlined in this attachment. These include:</w:t>
      </w:r>
    </w:p>
    <w:p w:rsidR="004F51BC" w:rsidRPr="00A575B0" w:rsidRDefault="004F51BC" w:rsidP="004F51BC">
      <w:pPr>
        <w:pStyle w:val="AERbulletlistfirststyle"/>
      </w:pPr>
      <w:r w:rsidRPr="00A575B0">
        <w:t>the standard asset lives for depreciating new assets associated with forecast capex</w:t>
      </w:r>
      <w:r w:rsidRPr="004F51BC">
        <w:rPr>
          <w:rStyle w:val="AERsuperscript"/>
        </w:rPr>
        <w:footnoteReference w:id="3"/>
      </w:r>
    </w:p>
    <w:p w:rsidR="004F51BC" w:rsidRDefault="004F51BC" w:rsidP="004F51BC">
      <w:pPr>
        <w:pStyle w:val="AERbulletlistfirststyle"/>
      </w:pPr>
      <w:proofErr w:type="gramStart"/>
      <w:r w:rsidRPr="00A575B0">
        <w:t>the</w:t>
      </w:r>
      <w:proofErr w:type="gramEnd"/>
      <w:r w:rsidRPr="00A575B0">
        <w:t xml:space="preserve"> remaining asset lives for depreciating existing assets in the opening capital base.</w:t>
      </w:r>
      <w:r w:rsidRPr="004F51BC">
        <w:rPr>
          <w:rStyle w:val="AERsuperscript"/>
        </w:rPr>
        <w:footnoteReference w:id="4"/>
      </w:r>
    </w:p>
    <w:p w:rsidR="004F51BC" w:rsidRDefault="004F51BC" w:rsidP="004F51BC">
      <w:pPr>
        <w:pStyle w:val="Heading2"/>
      </w:pPr>
      <w:bookmarkStart w:id="11" w:name="_Toc408404320"/>
      <w:bookmarkStart w:id="12" w:name="_Toc436041915"/>
      <w:bookmarkStart w:id="13" w:name="_Toc451759255"/>
      <w:r>
        <w:t>Final</w:t>
      </w:r>
      <w:r w:rsidRPr="0074565D">
        <w:t xml:space="preserve"> decision</w:t>
      </w:r>
      <w:bookmarkEnd w:id="11"/>
      <w:bookmarkEnd w:id="12"/>
      <w:bookmarkEnd w:id="13"/>
    </w:p>
    <w:p w:rsidR="004F51BC" w:rsidRDefault="00477BD3" w:rsidP="004F51BC">
      <w:r>
        <w:t>Consistent with our draft decision, w</w:t>
      </w:r>
      <w:r w:rsidR="004F51BC">
        <w:t>e</w:t>
      </w:r>
      <w:r w:rsidR="004F51BC" w:rsidRPr="00CA36EA">
        <w:t xml:space="preserve"> approve</w:t>
      </w:r>
      <w:r w:rsidR="004F51BC">
        <w:t xml:space="preserve"> ActewAGL’s</w:t>
      </w:r>
      <w:r w:rsidR="00657E79">
        <w:t xml:space="preserve"> revised</w:t>
      </w:r>
      <w:r w:rsidR="004F51BC" w:rsidRPr="00CA36EA">
        <w:t xml:space="preserve"> proposal to use the straight-line</w:t>
      </w:r>
      <w:r w:rsidR="004F51BC">
        <w:t xml:space="preserve"> </w:t>
      </w:r>
      <w:r w:rsidR="004F51BC" w:rsidRPr="00CA36EA">
        <w:t>method to calculate the re</w:t>
      </w:r>
      <w:r w:rsidR="004F51BC">
        <w:t xml:space="preserve">gulatory depreciation allowance. However, we do not approve ActewAGL’s </w:t>
      </w:r>
      <w:r w:rsidR="00797667">
        <w:t xml:space="preserve">revised </w:t>
      </w:r>
      <w:r w:rsidR="004F51BC">
        <w:t>proposed regulatory depreciation allowance of $3</w:t>
      </w:r>
      <w:r w:rsidR="00CB21B6">
        <w:t>9.6</w:t>
      </w:r>
      <w:r w:rsidR="004F51BC">
        <w:t xml:space="preserve"> million ($nominal) for 2015–16 and the 2016–21 access arrangement period.</w:t>
      </w:r>
      <w:r w:rsidR="004F51BC">
        <w:rPr>
          <w:rStyle w:val="FootnoteReference"/>
        </w:rPr>
        <w:footnoteReference w:id="5"/>
      </w:r>
      <w:r w:rsidR="004F51BC">
        <w:t xml:space="preserve"> This is mainly because of our amendments to other components of ActewAGL’s</w:t>
      </w:r>
      <w:r w:rsidR="00B8784F">
        <w:t xml:space="preserve"> revised</w:t>
      </w:r>
      <w:r w:rsidR="004F51BC" w:rsidRPr="001C0783">
        <w:t xml:space="preserve"> </w:t>
      </w:r>
      <w:r w:rsidR="004F51BC">
        <w:t>proposal.</w:t>
      </w:r>
      <w:r w:rsidR="004F51BC" w:rsidRPr="00FA7F90">
        <w:t xml:space="preserve"> </w:t>
      </w:r>
      <w:r w:rsidR="004F51BC">
        <w:t xml:space="preserve">Discussed in other attachments, these determinations include </w:t>
      </w:r>
      <w:r w:rsidR="00F31B42">
        <w:t>the</w:t>
      </w:r>
      <w:r w:rsidR="00F31B42" w:rsidRPr="001C0783">
        <w:t xml:space="preserve"> </w:t>
      </w:r>
      <w:r w:rsidR="00F31B42">
        <w:t xml:space="preserve">forecast inflation (attachment 3) and </w:t>
      </w:r>
      <w:r w:rsidR="004F51BC">
        <w:t xml:space="preserve">the </w:t>
      </w:r>
      <w:r w:rsidR="004F51BC" w:rsidRPr="001C0783">
        <w:t xml:space="preserve">forecast </w:t>
      </w:r>
      <w:r w:rsidR="004F51BC">
        <w:t>cap</w:t>
      </w:r>
      <w:r w:rsidR="004F51BC" w:rsidRPr="001C0783">
        <w:t>ex</w:t>
      </w:r>
      <w:r w:rsidR="004F51BC">
        <w:t xml:space="preserve"> (attachment 6).</w:t>
      </w:r>
      <w:r w:rsidR="001458D4">
        <w:t xml:space="preserve"> We determine a regulatory depreciation allowance of $</w:t>
      </w:r>
      <w:r w:rsidR="00F31B42">
        <w:t>3</w:t>
      </w:r>
      <w:r w:rsidR="00797667">
        <w:t>9</w:t>
      </w:r>
      <w:r w:rsidR="00F31B42">
        <w:t>.</w:t>
      </w:r>
      <w:r w:rsidR="00797667">
        <w:t>4</w:t>
      </w:r>
      <w:r w:rsidR="00F31B42">
        <w:t xml:space="preserve"> </w:t>
      </w:r>
      <w:r w:rsidR="001458D4">
        <w:t>million ($nominal) for 2015–16 and the 2016–21 access arrangement period. This is $</w:t>
      </w:r>
      <w:r w:rsidR="00797667">
        <w:t>0.3</w:t>
      </w:r>
      <w:r w:rsidR="00F31B42">
        <w:t xml:space="preserve"> </w:t>
      </w:r>
      <w:r w:rsidR="001458D4">
        <w:t xml:space="preserve">million (or </w:t>
      </w:r>
      <w:r w:rsidR="00797667">
        <w:t>0.6</w:t>
      </w:r>
      <w:r w:rsidR="00F31B42">
        <w:t xml:space="preserve"> </w:t>
      </w:r>
      <w:r w:rsidR="001458D4">
        <w:t xml:space="preserve">per cent) lower than ActewAGL's revised proposed amount. </w:t>
      </w:r>
    </w:p>
    <w:p w:rsidR="004B0C20" w:rsidRDefault="00C10EC3" w:rsidP="004F51BC">
      <w:r>
        <w:t xml:space="preserve">Consistent with our draft decision, we accept ActewAGL's weighted average method to calculate the remaining asset lives as at 1 July 2015. In accepting </w:t>
      </w:r>
      <w:r w:rsidRPr="00C10EC3">
        <w:t>the weighted average method, we have updated A</w:t>
      </w:r>
      <w:r>
        <w:t>ctewAGL</w:t>
      </w:r>
      <w:r w:rsidRPr="00C10EC3">
        <w:t>’s revised proposed remaining asset lives as at 1 July 201</w:t>
      </w:r>
      <w:r>
        <w:t>5</w:t>
      </w:r>
      <w:r w:rsidRPr="00C10EC3">
        <w:t xml:space="preserve"> to reflect the amended capital base roll forward for the 201</w:t>
      </w:r>
      <w:r>
        <w:t>0</w:t>
      </w:r>
      <w:r w:rsidRPr="00C10EC3">
        <w:t>–1</w:t>
      </w:r>
      <w:r>
        <w:t>5</w:t>
      </w:r>
      <w:r w:rsidRPr="00C10EC3">
        <w:t xml:space="preserve"> access arrangement </w:t>
      </w:r>
      <w:proofErr w:type="gramStart"/>
      <w:r w:rsidRPr="00C10EC3">
        <w:t>period</w:t>
      </w:r>
      <w:proofErr w:type="gramEnd"/>
      <w:r w:rsidRPr="00C10EC3">
        <w:t xml:space="preserve"> (attachment 2). </w:t>
      </w:r>
      <w:r>
        <w:t xml:space="preserve">Also, </w:t>
      </w:r>
      <w:r w:rsidR="004B0C20">
        <w:t xml:space="preserve">we accept ActewAGL’s standard asset lives </w:t>
      </w:r>
      <w:r>
        <w:t>assigned to each of its</w:t>
      </w:r>
      <w:r w:rsidR="004B0C20">
        <w:t xml:space="preserve"> asset classes</w:t>
      </w:r>
      <w:r>
        <w:t xml:space="preserve"> for 2015–16 and </w:t>
      </w:r>
      <w:r w:rsidR="00691073">
        <w:t xml:space="preserve">the </w:t>
      </w:r>
      <w:r>
        <w:t>2016–21 access arrangement period, which are consistent with the draft decision</w:t>
      </w:r>
      <w:r w:rsidR="004B0C20">
        <w:t>.</w:t>
      </w:r>
    </w:p>
    <w:p w:rsidR="00211A09" w:rsidRPr="002748BB" w:rsidRDefault="00211A09" w:rsidP="00211A09">
      <w:r>
        <w:fldChar w:fldCharType="begin"/>
      </w:r>
      <w:r>
        <w:instrText xml:space="preserve"> REF _Ref398282397 \h </w:instrText>
      </w:r>
      <w:r>
        <w:fldChar w:fldCharType="separate"/>
      </w:r>
      <w:r w:rsidR="00416053">
        <w:t xml:space="preserve">Table </w:t>
      </w:r>
      <w:r w:rsidR="00416053">
        <w:rPr>
          <w:noProof/>
        </w:rPr>
        <w:t>5</w:t>
      </w:r>
      <w:r w:rsidR="00416053">
        <w:t>.</w:t>
      </w:r>
      <w:r w:rsidR="00416053">
        <w:rPr>
          <w:noProof/>
        </w:rPr>
        <w:t>1</w:t>
      </w:r>
      <w:r>
        <w:fldChar w:fldCharType="end"/>
      </w:r>
      <w:r>
        <w:t xml:space="preserve"> sets out our final decision on ActewAGL's regulatory depreciation allowance for 2015–16 and the 2016–21 access arrangement </w:t>
      </w:r>
      <w:proofErr w:type="gramStart"/>
      <w:r>
        <w:t>period</w:t>
      </w:r>
      <w:proofErr w:type="gramEnd"/>
      <w:r>
        <w:t>.</w:t>
      </w:r>
    </w:p>
    <w:p w:rsidR="002748BB" w:rsidRDefault="002748BB" w:rsidP="002748BB">
      <w:r w:rsidRPr="002748BB">
        <w:t xml:space="preserve">We have revised the access arrangement having regard to our reasons for refusing to approve ActewAGL's proposal and the further matters identified in the NGR section 64(2). Our revisions are reflected in the </w:t>
      </w:r>
      <w:r w:rsidRPr="00B75CF9">
        <w:rPr>
          <w:rStyle w:val="AERbody"/>
        </w:rPr>
        <w:t xml:space="preserve">Approved </w:t>
      </w:r>
      <w:r w:rsidRPr="00256518">
        <w:rPr>
          <w:rStyle w:val="AERtextitalic"/>
        </w:rPr>
        <w:t>Access Arrangement for ACT, Queanbeyan and Palerang gas distribution network 2016–2021</w:t>
      </w:r>
      <w:r w:rsidRPr="00256518">
        <w:rPr>
          <w:rStyle w:val="AERbody"/>
        </w:rPr>
        <w:t xml:space="preserve">, </w:t>
      </w:r>
      <w:r w:rsidRPr="002748BB">
        <w:t xml:space="preserve">which gives effect to this decision. </w:t>
      </w:r>
    </w:p>
    <w:p w:rsidR="004F51BC" w:rsidRDefault="004F51BC" w:rsidP="004F51BC">
      <w:pPr>
        <w:pStyle w:val="Caption"/>
      </w:pPr>
      <w:bookmarkStart w:id="14" w:name="_Ref398282397"/>
      <w:proofErr w:type="gramStart"/>
      <w:r>
        <w:t xml:space="preserve">Table </w:t>
      </w:r>
      <w:proofErr w:type="gramEnd"/>
      <w:r w:rsidR="003C4A25">
        <w:fldChar w:fldCharType="begin"/>
      </w:r>
      <w:r w:rsidR="003C4A25">
        <w:instrText xml:space="preserve"> STYLEREF 1 \s </w:instrText>
      </w:r>
      <w:r w:rsidR="003C4A25">
        <w:fldChar w:fldCharType="separate"/>
      </w:r>
      <w:r w:rsidR="00416053">
        <w:rPr>
          <w:noProof/>
        </w:rPr>
        <w:t>5</w:t>
      </w:r>
      <w:r w:rsidR="003C4A25">
        <w:rPr>
          <w:noProof/>
        </w:rPr>
        <w:fldChar w:fldCharType="end"/>
      </w:r>
      <w:proofErr w:type="gramStart"/>
      <w:r w:rsidR="00E04C80">
        <w:t>.</w:t>
      </w:r>
      <w:proofErr w:type="gramEnd"/>
      <w:r w:rsidR="00735B94">
        <w:fldChar w:fldCharType="begin"/>
      </w:r>
      <w:r w:rsidR="00735B94">
        <w:instrText xml:space="preserve"> SEQ Table \* ARABIC \s 1 </w:instrText>
      </w:r>
      <w:r w:rsidR="00735B94">
        <w:fldChar w:fldCharType="separate"/>
      </w:r>
      <w:r w:rsidR="00416053">
        <w:rPr>
          <w:noProof/>
        </w:rPr>
        <w:t>1</w:t>
      </w:r>
      <w:r w:rsidR="00735B94">
        <w:rPr>
          <w:noProof/>
        </w:rPr>
        <w:fldChar w:fldCharType="end"/>
      </w:r>
      <w:bookmarkEnd w:id="14"/>
      <w:r>
        <w:tab/>
        <w:t xml:space="preserve">AER’s </w:t>
      </w:r>
      <w:r w:rsidR="00610111">
        <w:t>final</w:t>
      </w:r>
      <w:r>
        <w:t xml:space="preserve"> decision on ActewAGL’s regulatory depreciation allowance for 2015–16 and the 2016–21 access arrangement period ($million, nominal)</w:t>
      </w:r>
    </w:p>
    <w:tbl>
      <w:tblPr>
        <w:tblStyle w:val="AERtable-numbers"/>
        <w:tblW w:w="8725" w:type="dxa"/>
        <w:tblLayout w:type="fixed"/>
        <w:tblLook w:val="04A0" w:firstRow="1" w:lastRow="0" w:firstColumn="1" w:lastColumn="0" w:noHBand="0" w:noVBand="1"/>
      </w:tblPr>
      <w:tblGrid>
        <w:gridCol w:w="2569"/>
        <w:gridCol w:w="879"/>
        <w:gridCol w:w="879"/>
        <w:gridCol w:w="880"/>
        <w:gridCol w:w="879"/>
        <w:gridCol w:w="880"/>
        <w:gridCol w:w="879"/>
        <w:gridCol w:w="880"/>
      </w:tblGrid>
      <w:tr w:rsidR="004F51BC" w:rsidRPr="00A575B0" w:rsidTr="00657E79">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4F51BC" w:rsidRPr="00A575B0" w:rsidRDefault="004F51BC" w:rsidP="004F51BC"/>
        </w:tc>
        <w:tc>
          <w:tcPr>
            <w:tcW w:w="879" w:type="dxa"/>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t>2015–16</w:t>
            </w:r>
          </w:p>
        </w:tc>
        <w:tc>
          <w:tcPr>
            <w:tcW w:w="879"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A575B0">
              <w:t>2016–17</w:t>
            </w:r>
          </w:p>
        </w:tc>
        <w:tc>
          <w:tcPr>
            <w:tcW w:w="880"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A575B0">
              <w:t>2017–18</w:t>
            </w:r>
          </w:p>
        </w:tc>
        <w:tc>
          <w:tcPr>
            <w:tcW w:w="879"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5B4094">
              <w:t>2018–19</w:t>
            </w:r>
          </w:p>
        </w:tc>
        <w:tc>
          <w:tcPr>
            <w:tcW w:w="880"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5B4094">
              <w:t>2019–20</w:t>
            </w:r>
          </w:p>
        </w:tc>
        <w:tc>
          <w:tcPr>
            <w:tcW w:w="879"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F77C82">
              <w:t>2020–21</w:t>
            </w:r>
          </w:p>
        </w:tc>
        <w:tc>
          <w:tcPr>
            <w:tcW w:w="880" w:type="dxa"/>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F77C82">
              <w:t>Total</w:t>
            </w:r>
          </w:p>
        </w:tc>
      </w:tr>
      <w:tr w:rsidR="00637D88" w:rsidRPr="009603F9" w:rsidTr="00657E79">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637D88" w:rsidRPr="00637D88" w:rsidRDefault="00637D88" w:rsidP="00637D88">
            <w:r w:rsidRPr="00637D88">
              <w:t>Straight-line depreciation</w:t>
            </w:r>
          </w:p>
        </w:tc>
        <w:tc>
          <w:tcPr>
            <w:tcW w:w="879" w:type="dxa"/>
          </w:tcPr>
          <w:p w:rsidR="00637D88" w:rsidRPr="00637D88" w:rsidRDefault="00637D88" w:rsidP="00637D88">
            <w:pPr>
              <w:cnfStyle w:val="000000000000" w:firstRow="0" w:lastRow="0" w:firstColumn="0" w:lastColumn="0" w:oddVBand="0" w:evenVBand="0" w:oddHBand="0" w:evenHBand="0" w:firstRowFirstColumn="0" w:firstRowLastColumn="0" w:lastRowFirstColumn="0" w:lastRowLastColumn="0"/>
            </w:pPr>
            <w:r w:rsidRPr="00637D88">
              <w:t>11.8</w:t>
            </w:r>
          </w:p>
        </w:tc>
        <w:tc>
          <w:tcPr>
            <w:tcW w:w="879" w:type="dxa"/>
            <w:noWrap/>
          </w:tcPr>
          <w:p w:rsidR="00637D88" w:rsidRPr="00637D88" w:rsidRDefault="00637D88" w:rsidP="00637D88">
            <w:pPr>
              <w:cnfStyle w:val="000000000000" w:firstRow="0" w:lastRow="0" w:firstColumn="0" w:lastColumn="0" w:oddVBand="0" w:evenVBand="0" w:oddHBand="0" w:evenHBand="0" w:firstRowFirstColumn="0" w:firstRowLastColumn="0" w:lastRowFirstColumn="0" w:lastRowLastColumn="0"/>
            </w:pPr>
            <w:r w:rsidRPr="00637D88">
              <w:t>13.4</w:t>
            </w:r>
          </w:p>
        </w:tc>
        <w:tc>
          <w:tcPr>
            <w:tcW w:w="880" w:type="dxa"/>
            <w:noWrap/>
          </w:tcPr>
          <w:p w:rsidR="00637D88" w:rsidRPr="00637D88" w:rsidRDefault="00637D88" w:rsidP="00637D88">
            <w:pPr>
              <w:cnfStyle w:val="000000000000" w:firstRow="0" w:lastRow="0" w:firstColumn="0" w:lastColumn="0" w:oddVBand="0" w:evenVBand="0" w:oddHBand="0" w:evenHBand="0" w:firstRowFirstColumn="0" w:firstRowLastColumn="0" w:lastRowFirstColumn="0" w:lastRowLastColumn="0"/>
            </w:pPr>
            <w:r w:rsidRPr="00637D88">
              <w:t>14.4</w:t>
            </w:r>
          </w:p>
        </w:tc>
        <w:tc>
          <w:tcPr>
            <w:tcW w:w="879" w:type="dxa"/>
            <w:noWrap/>
          </w:tcPr>
          <w:p w:rsidR="00637D88" w:rsidRPr="00637D88" w:rsidRDefault="00637D88" w:rsidP="00637D88">
            <w:pPr>
              <w:cnfStyle w:val="000000000000" w:firstRow="0" w:lastRow="0" w:firstColumn="0" w:lastColumn="0" w:oddVBand="0" w:evenVBand="0" w:oddHBand="0" w:evenHBand="0" w:firstRowFirstColumn="0" w:firstRowLastColumn="0" w:lastRowFirstColumn="0" w:lastRowLastColumn="0"/>
            </w:pPr>
            <w:r w:rsidRPr="00637D88">
              <w:t>15.5</w:t>
            </w:r>
          </w:p>
        </w:tc>
        <w:tc>
          <w:tcPr>
            <w:tcW w:w="880" w:type="dxa"/>
            <w:noWrap/>
          </w:tcPr>
          <w:p w:rsidR="00637D88" w:rsidRPr="00637D88" w:rsidRDefault="00637D88" w:rsidP="00637D88">
            <w:pPr>
              <w:cnfStyle w:val="000000000000" w:firstRow="0" w:lastRow="0" w:firstColumn="0" w:lastColumn="0" w:oddVBand="0" w:evenVBand="0" w:oddHBand="0" w:evenHBand="0" w:firstRowFirstColumn="0" w:firstRowLastColumn="0" w:lastRowFirstColumn="0" w:lastRowLastColumn="0"/>
            </w:pPr>
            <w:r w:rsidRPr="00637D88">
              <w:t>16.6</w:t>
            </w:r>
          </w:p>
        </w:tc>
        <w:tc>
          <w:tcPr>
            <w:tcW w:w="879" w:type="dxa"/>
            <w:noWrap/>
          </w:tcPr>
          <w:p w:rsidR="00637D88" w:rsidRPr="00637D88" w:rsidRDefault="00637D88" w:rsidP="00637D88">
            <w:pPr>
              <w:cnfStyle w:val="000000000000" w:firstRow="0" w:lastRow="0" w:firstColumn="0" w:lastColumn="0" w:oddVBand="0" w:evenVBand="0" w:oddHBand="0" w:evenHBand="0" w:firstRowFirstColumn="0" w:firstRowLastColumn="0" w:lastRowFirstColumn="0" w:lastRowLastColumn="0"/>
            </w:pPr>
            <w:r w:rsidRPr="00637D88">
              <w:t>17.6</w:t>
            </w:r>
          </w:p>
        </w:tc>
        <w:tc>
          <w:tcPr>
            <w:tcW w:w="880" w:type="dxa"/>
          </w:tcPr>
          <w:p w:rsidR="00637D88" w:rsidRPr="00637D88" w:rsidRDefault="00637D88" w:rsidP="00637D88">
            <w:pPr>
              <w:cnfStyle w:val="000000000000" w:firstRow="0" w:lastRow="0" w:firstColumn="0" w:lastColumn="0" w:oddVBand="0" w:evenVBand="0" w:oddHBand="0" w:evenHBand="0" w:firstRowFirstColumn="0" w:firstRowLastColumn="0" w:lastRowFirstColumn="0" w:lastRowLastColumn="0"/>
            </w:pPr>
            <w:r w:rsidRPr="00637D88">
              <w:t>89.2</w:t>
            </w:r>
          </w:p>
        </w:tc>
      </w:tr>
      <w:tr w:rsidR="00637D88" w:rsidRPr="009603F9" w:rsidTr="00657E79">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37D88" w:rsidRPr="00637D88" w:rsidRDefault="00637D88" w:rsidP="00637D88">
            <w:r w:rsidRPr="00637D88">
              <w:rPr>
                <w:rStyle w:val="AERtextitalic"/>
              </w:rPr>
              <w:t>Less:</w:t>
            </w:r>
            <w:r w:rsidRPr="00637D88">
              <w:t xml:space="preserve"> indexation on capital base </w:t>
            </w:r>
          </w:p>
        </w:tc>
        <w:tc>
          <w:tcPr>
            <w:tcW w:w="879" w:type="dxa"/>
          </w:tcPr>
          <w:p w:rsidR="00637D88" w:rsidRPr="00637D88" w:rsidRDefault="00637D88" w:rsidP="00637D88">
            <w:pPr>
              <w:cnfStyle w:val="000000010000" w:firstRow="0" w:lastRow="0" w:firstColumn="0" w:lastColumn="0" w:oddVBand="0" w:evenVBand="0" w:oddHBand="0" w:evenHBand="1" w:firstRowFirstColumn="0" w:firstRowLastColumn="0" w:lastRowFirstColumn="0" w:lastRowLastColumn="0"/>
            </w:pPr>
            <w:r w:rsidRPr="00637D88">
              <w:t>7.4</w:t>
            </w:r>
          </w:p>
        </w:tc>
        <w:tc>
          <w:tcPr>
            <w:tcW w:w="879" w:type="dxa"/>
            <w:noWrap/>
          </w:tcPr>
          <w:p w:rsidR="00637D88" w:rsidRPr="00637D88" w:rsidRDefault="00637D88" w:rsidP="00637D88">
            <w:pPr>
              <w:cnfStyle w:val="000000010000" w:firstRow="0" w:lastRow="0" w:firstColumn="0" w:lastColumn="0" w:oddVBand="0" w:evenVBand="0" w:oddHBand="0" w:evenHBand="1" w:firstRowFirstColumn="0" w:firstRowLastColumn="0" w:lastRowFirstColumn="0" w:lastRowLastColumn="0"/>
            </w:pPr>
            <w:r w:rsidRPr="00637D88">
              <w:t>8.0</w:t>
            </w:r>
          </w:p>
        </w:tc>
        <w:tc>
          <w:tcPr>
            <w:tcW w:w="880" w:type="dxa"/>
            <w:noWrap/>
          </w:tcPr>
          <w:p w:rsidR="00637D88" w:rsidRPr="00637D88" w:rsidRDefault="00637D88" w:rsidP="00637D88">
            <w:pPr>
              <w:cnfStyle w:val="000000010000" w:firstRow="0" w:lastRow="0" w:firstColumn="0" w:lastColumn="0" w:oddVBand="0" w:evenVBand="0" w:oddHBand="0" w:evenHBand="1" w:firstRowFirstColumn="0" w:firstRowLastColumn="0" w:lastRowFirstColumn="0" w:lastRowLastColumn="0"/>
            </w:pPr>
            <w:r w:rsidRPr="00637D88">
              <w:t>8.3</w:t>
            </w:r>
          </w:p>
        </w:tc>
        <w:tc>
          <w:tcPr>
            <w:tcW w:w="879" w:type="dxa"/>
            <w:noWrap/>
          </w:tcPr>
          <w:p w:rsidR="00637D88" w:rsidRPr="00637D88" w:rsidRDefault="00637D88" w:rsidP="00637D88">
            <w:pPr>
              <w:cnfStyle w:val="000000010000" w:firstRow="0" w:lastRow="0" w:firstColumn="0" w:lastColumn="0" w:oddVBand="0" w:evenVBand="0" w:oddHBand="0" w:evenHBand="1" w:firstRowFirstColumn="0" w:firstRowLastColumn="0" w:lastRowFirstColumn="0" w:lastRowLastColumn="0"/>
            </w:pPr>
            <w:r w:rsidRPr="00637D88">
              <w:t>8.5</w:t>
            </w:r>
          </w:p>
        </w:tc>
        <w:tc>
          <w:tcPr>
            <w:tcW w:w="880" w:type="dxa"/>
            <w:noWrap/>
          </w:tcPr>
          <w:p w:rsidR="00637D88" w:rsidRPr="00637D88" w:rsidRDefault="00637D88" w:rsidP="00637D88">
            <w:pPr>
              <w:cnfStyle w:val="000000010000" w:firstRow="0" w:lastRow="0" w:firstColumn="0" w:lastColumn="0" w:oddVBand="0" w:evenVBand="0" w:oddHBand="0" w:evenHBand="1" w:firstRowFirstColumn="0" w:firstRowLastColumn="0" w:lastRowFirstColumn="0" w:lastRowLastColumn="0"/>
            </w:pPr>
            <w:r w:rsidRPr="00637D88">
              <w:t>8.8</w:t>
            </w:r>
          </w:p>
        </w:tc>
        <w:tc>
          <w:tcPr>
            <w:tcW w:w="879" w:type="dxa"/>
            <w:noWrap/>
          </w:tcPr>
          <w:p w:rsidR="00637D88" w:rsidRPr="00637D88" w:rsidRDefault="00637D88" w:rsidP="00637D88">
            <w:pPr>
              <w:cnfStyle w:val="000000010000" w:firstRow="0" w:lastRow="0" w:firstColumn="0" w:lastColumn="0" w:oddVBand="0" w:evenVBand="0" w:oddHBand="0" w:evenHBand="1" w:firstRowFirstColumn="0" w:firstRowLastColumn="0" w:lastRowFirstColumn="0" w:lastRowLastColumn="0"/>
            </w:pPr>
            <w:r w:rsidRPr="00637D88">
              <w:t>8.9</w:t>
            </w:r>
          </w:p>
        </w:tc>
        <w:tc>
          <w:tcPr>
            <w:tcW w:w="880" w:type="dxa"/>
          </w:tcPr>
          <w:p w:rsidR="00637D88" w:rsidRPr="00637D88" w:rsidRDefault="00637D88" w:rsidP="00637D88">
            <w:pPr>
              <w:cnfStyle w:val="000000010000" w:firstRow="0" w:lastRow="0" w:firstColumn="0" w:lastColumn="0" w:oddVBand="0" w:evenVBand="0" w:oddHBand="0" w:evenHBand="1" w:firstRowFirstColumn="0" w:firstRowLastColumn="0" w:lastRowFirstColumn="0" w:lastRowLastColumn="0"/>
            </w:pPr>
            <w:r w:rsidRPr="00637D88">
              <w:t>49.9</w:t>
            </w:r>
          </w:p>
        </w:tc>
      </w:tr>
      <w:tr w:rsidR="00637D88" w:rsidRPr="00A575B0" w:rsidTr="00657E79">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37D88" w:rsidRPr="00637D88" w:rsidRDefault="00637D88" w:rsidP="00637D88">
            <w:pPr>
              <w:rPr>
                <w:rStyle w:val="Strong"/>
              </w:rPr>
            </w:pPr>
            <w:r w:rsidRPr="00637D88">
              <w:rPr>
                <w:rStyle w:val="Strong"/>
              </w:rPr>
              <w:t>Regulatory depreciation</w:t>
            </w:r>
          </w:p>
        </w:tc>
        <w:tc>
          <w:tcPr>
            <w:tcW w:w="879" w:type="dxa"/>
          </w:tcPr>
          <w:p w:rsidR="00637D88" w:rsidRPr="00B75CF9" w:rsidRDefault="00637D88" w:rsidP="00637D88">
            <w:pPr>
              <w:cnfStyle w:val="000000000000" w:firstRow="0" w:lastRow="0" w:firstColumn="0" w:lastColumn="0" w:oddVBand="0" w:evenVBand="0" w:oddHBand="0" w:evenHBand="0" w:firstRowFirstColumn="0" w:firstRowLastColumn="0" w:lastRowFirstColumn="0" w:lastRowLastColumn="0"/>
              <w:rPr>
                <w:rStyle w:val="Strong"/>
              </w:rPr>
            </w:pPr>
            <w:r w:rsidRPr="00B75CF9">
              <w:rPr>
                <w:rStyle w:val="Strong"/>
              </w:rPr>
              <w:t>4.4</w:t>
            </w:r>
          </w:p>
        </w:tc>
        <w:tc>
          <w:tcPr>
            <w:tcW w:w="879" w:type="dxa"/>
            <w:noWrap/>
          </w:tcPr>
          <w:p w:rsidR="00637D88" w:rsidRPr="00B75CF9" w:rsidRDefault="00637D88" w:rsidP="00637D88">
            <w:pPr>
              <w:cnfStyle w:val="000000000000" w:firstRow="0" w:lastRow="0" w:firstColumn="0" w:lastColumn="0" w:oddVBand="0" w:evenVBand="0" w:oddHBand="0" w:evenHBand="0" w:firstRowFirstColumn="0" w:firstRowLastColumn="0" w:lastRowFirstColumn="0" w:lastRowLastColumn="0"/>
              <w:rPr>
                <w:rStyle w:val="Strong"/>
              </w:rPr>
            </w:pPr>
            <w:r w:rsidRPr="00B75CF9">
              <w:rPr>
                <w:rStyle w:val="Strong"/>
              </w:rPr>
              <w:t>5.4</w:t>
            </w:r>
          </w:p>
        </w:tc>
        <w:tc>
          <w:tcPr>
            <w:tcW w:w="880" w:type="dxa"/>
            <w:noWrap/>
          </w:tcPr>
          <w:p w:rsidR="00637D88" w:rsidRPr="00B75CF9" w:rsidRDefault="00637D88" w:rsidP="00637D88">
            <w:pPr>
              <w:cnfStyle w:val="000000000000" w:firstRow="0" w:lastRow="0" w:firstColumn="0" w:lastColumn="0" w:oddVBand="0" w:evenVBand="0" w:oddHBand="0" w:evenHBand="0" w:firstRowFirstColumn="0" w:firstRowLastColumn="0" w:lastRowFirstColumn="0" w:lastRowLastColumn="0"/>
              <w:rPr>
                <w:rStyle w:val="Strong"/>
              </w:rPr>
            </w:pPr>
            <w:r w:rsidRPr="00B75CF9">
              <w:rPr>
                <w:rStyle w:val="Strong"/>
              </w:rPr>
              <w:t>6.2</w:t>
            </w:r>
          </w:p>
        </w:tc>
        <w:tc>
          <w:tcPr>
            <w:tcW w:w="879" w:type="dxa"/>
            <w:noWrap/>
          </w:tcPr>
          <w:p w:rsidR="00637D88" w:rsidRPr="00B75CF9" w:rsidRDefault="00637D88" w:rsidP="00637D88">
            <w:pPr>
              <w:cnfStyle w:val="000000000000" w:firstRow="0" w:lastRow="0" w:firstColumn="0" w:lastColumn="0" w:oddVBand="0" w:evenVBand="0" w:oddHBand="0" w:evenHBand="0" w:firstRowFirstColumn="0" w:firstRowLastColumn="0" w:lastRowFirstColumn="0" w:lastRowLastColumn="0"/>
              <w:rPr>
                <w:rStyle w:val="Strong"/>
              </w:rPr>
            </w:pPr>
            <w:r w:rsidRPr="00B75CF9">
              <w:rPr>
                <w:rStyle w:val="Strong"/>
              </w:rPr>
              <w:t>6.9</w:t>
            </w:r>
          </w:p>
        </w:tc>
        <w:tc>
          <w:tcPr>
            <w:tcW w:w="880" w:type="dxa"/>
            <w:noWrap/>
          </w:tcPr>
          <w:p w:rsidR="00637D88" w:rsidRPr="00B75CF9" w:rsidRDefault="00637D88" w:rsidP="00637D88">
            <w:pPr>
              <w:cnfStyle w:val="000000000000" w:firstRow="0" w:lastRow="0" w:firstColumn="0" w:lastColumn="0" w:oddVBand="0" w:evenVBand="0" w:oddHBand="0" w:evenHBand="0" w:firstRowFirstColumn="0" w:firstRowLastColumn="0" w:lastRowFirstColumn="0" w:lastRowLastColumn="0"/>
              <w:rPr>
                <w:rStyle w:val="Strong"/>
              </w:rPr>
            </w:pPr>
            <w:r w:rsidRPr="00B75CF9">
              <w:rPr>
                <w:rStyle w:val="Strong"/>
              </w:rPr>
              <w:t>7.8</w:t>
            </w:r>
          </w:p>
        </w:tc>
        <w:tc>
          <w:tcPr>
            <w:tcW w:w="879" w:type="dxa"/>
            <w:noWrap/>
          </w:tcPr>
          <w:p w:rsidR="00637D88" w:rsidRPr="00B75CF9" w:rsidRDefault="00637D88" w:rsidP="00637D88">
            <w:pPr>
              <w:cnfStyle w:val="000000000000" w:firstRow="0" w:lastRow="0" w:firstColumn="0" w:lastColumn="0" w:oddVBand="0" w:evenVBand="0" w:oddHBand="0" w:evenHBand="0" w:firstRowFirstColumn="0" w:firstRowLastColumn="0" w:lastRowFirstColumn="0" w:lastRowLastColumn="0"/>
              <w:rPr>
                <w:rStyle w:val="Strong"/>
              </w:rPr>
            </w:pPr>
            <w:r w:rsidRPr="00B75CF9">
              <w:rPr>
                <w:rStyle w:val="Strong"/>
              </w:rPr>
              <w:t>8.7</w:t>
            </w:r>
          </w:p>
        </w:tc>
        <w:tc>
          <w:tcPr>
            <w:tcW w:w="880" w:type="dxa"/>
          </w:tcPr>
          <w:p w:rsidR="00637D88" w:rsidRPr="00B75CF9" w:rsidRDefault="00637D88" w:rsidP="00637D88">
            <w:pPr>
              <w:cnfStyle w:val="000000000000" w:firstRow="0" w:lastRow="0" w:firstColumn="0" w:lastColumn="0" w:oddVBand="0" w:evenVBand="0" w:oddHBand="0" w:evenHBand="0" w:firstRowFirstColumn="0" w:firstRowLastColumn="0" w:lastRowFirstColumn="0" w:lastRowLastColumn="0"/>
              <w:rPr>
                <w:rStyle w:val="Strong"/>
              </w:rPr>
            </w:pPr>
            <w:r w:rsidRPr="00B75CF9">
              <w:rPr>
                <w:rStyle w:val="Strong"/>
              </w:rPr>
              <w:t>39.4</w:t>
            </w:r>
          </w:p>
        </w:tc>
      </w:tr>
    </w:tbl>
    <w:p w:rsidR="004F51BC" w:rsidRPr="004F51BC" w:rsidRDefault="004F51BC" w:rsidP="004F51BC">
      <w:pPr>
        <w:pStyle w:val="AERtablesource"/>
      </w:pPr>
      <w:r>
        <w:t xml:space="preserve">Source: </w:t>
      </w:r>
      <w:r>
        <w:tab/>
        <w:t xml:space="preserve">AER analysis. </w:t>
      </w:r>
    </w:p>
    <w:p w:rsidR="004F51BC" w:rsidRDefault="004F51BC" w:rsidP="004F51BC">
      <w:pPr>
        <w:pStyle w:val="Heading2"/>
      </w:pPr>
      <w:bookmarkStart w:id="15" w:name="_Toc436041916"/>
      <w:bookmarkStart w:id="16" w:name="_Toc451759256"/>
      <w:r>
        <w:t xml:space="preserve">ActewAGL’s </w:t>
      </w:r>
      <w:r w:rsidR="00671096">
        <w:t xml:space="preserve">revised </w:t>
      </w:r>
      <w:r>
        <w:t>proposal</w:t>
      </w:r>
      <w:bookmarkEnd w:id="15"/>
      <w:bookmarkEnd w:id="16"/>
    </w:p>
    <w:p w:rsidR="00477BD3" w:rsidRDefault="00477BD3" w:rsidP="004F51BC">
      <w:r>
        <w:t xml:space="preserve">ActewAGL's revised proposal used the </w:t>
      </w:r>
      <w:r w:rsidR="00B75CF9">
        <w:t xml:space="preserve">real </w:t>
      </w:r>
      <w:r>
        <w:t>straight-line approach approved in the draft decision to calculate the amount of annual regulatory depreciation for each asset class.</w:t>
      </w:r>
    </w:p>
    <w:p w:rsidR="00477BD3" w:rsidRDefault="00477BD3" w:rsidP="004F51BC">
      <w:r>
        <w:t>The inputs for the calculation are based on ActewAGL's:</w:t>
      </w:r>
      <w:r w:rsidR="00B75CF9">
        <w:rPr>
          <w:rStyle w:val="FootnoteReference"/>
        </w:rPr>
        <w:footnoteReference w:id="6"/>
      </w:r>
    </w:p>
    <w:p w:rsidR="00477BD3" w:rsidRDefault="00691073" w:rsidP="006D1687">
      <w:pPr>
        <w:pStyle w:val="AERbulletlistfirststyle"/>
      </w:pPr>
      <w:r>
        <w:t>r</w:t>
      </w:r>
      <w:r w:rsidR="00477BD3">
        <w:t xml:space="preserve">evised </w:t>
      </w:r>
      <w:r w:rsidR="000C0245">
        <w:t xml:space="preserve">proposed </w:t>
      </w:r>
      <w:r w:rsidR="00477BD3">
        <w:t>opening capital base as at 1 July 2015</w:t>
      </w:r>
    </w:p>
    <w:p w:rsidR="00477BD3" w:rsidRDefault="00691073" w:rsidP="006D1687">
      <w:pPr>
        <w:pStyle w:val="AERbulletlistfirststyle"/>
      </w:pPr>
      <w:r>
        <w:t>r</w:t>
      </w:r>
      <w:r w:rsidR="006D1687">
        <w:t xml:space="preserve">evised </w:t>
      </w:r>
      <w:r w:rsidR="000C0245">
        <w:t xml:space="preserve">proposed </w:t>
      </w:r>
      <w:r w:rsidR="006D1687">
        <w:t>remaining asset lives for depreciating existing assets in the opening capital base</w:t>
      </w:r>
      <w:r w:rsidR="001458D4">
        <w:t xml:space="preserve"> mainly</w:t>
      </w:r>
      <w:r w:rsidR="006D1687">
        <w:t xml:space="preserve"> due to updates made for 2014</w:t>
      </w:r>
      <w:r w:rsidR="00EA7453">
        <w:t>–</w:t>
      </w:r>
      <w:r w:rsidR="006D1687">
        <w:t>15 conforming capex</w:t>
      </w:r>
    </w:p>
    <w:p w:rsidR="006D1687" w:rsidRDefault="00691073" w:rsidP="006D1687">
      <w:pPr>
        <w:pStyle w:val="AERbulletlistfirststyle"/>
      </w:pPr>
      <w:r>
        <w:t>r</w:t>
      </w:r>
      <w:r w:rsidR="006D1687">
        <w:t>evised</w:t>
      </w:r>
      <w:r w:rsidR="000C0245">
        <w:t xml:space="preserve"> proposed</w:t>
      </w:r>
      <w:r w:rsidR="006D1687">
        <w:t xml:space="preserve"> capex forecasts for 2015–16 and the 2016–21 access arrangement period</w:t>
      </w:r>
    </w:p>
    <w:p w:rsidR="006D1687" w:rsidRDefault="00691073" w:rsidP="006D1687">
      <w:pPr>
        <w:pStyle w:val="AERbulletlistfirststyle"/>
      </w:pPr>
      <w:proofErr w:type="gramStart"/>
      <w:r>
        <w:t>s</w:t>
      </w:r>
      <w:r w:rsidR="006D1687">
        <w:t>tandard</w:t>
      </w:r>
      <w:proofErr w:type="gramEnd"/>
      <w:r w:rsidR="006D1687">
        <w:t xml:space="preserve"> asset lives, consistent with those approved in the draft decision for depreciating new assets associated with forecast capex. ActewAGL's revised proposal adopted our</w:t>
      </w:r>
      <w:r w:rsidR="001458D4">
        <w:t xml:space="preserve"> draft decision</w:t>
      </w:r>
      <w:r w:rsidR="006D1687">
        <w:t xml:space="preserve"> standard asset lives.</w:t>
      </w:r>
    </w:p>
    <w:p w:rsidR="004F51BC" w:rsidRPr="00CA36EA" w:rsidRDefault="004F51BC" w:rsidP="004F51BC">
      <w:r>
        <w:t>ActewAGL’</w:t>
      </w:r>
      <w:r w:rsidRPr="00CA36EA">
        <w:t xml:space="preserve">s </w:t>
      </w:r>
      <w:r w:rsidR="00CF0CFC">
        <w:t xml:space="preserve">revised </w:t>
      </w:r>
      <w:r w:rsidRPr="00CA36EA">
        <w:t xml:space="preserve">proposed </w:t>
      </w:r>
      <w:r>
        <w:t xml:space="preserve">regulatory </w:t>
      </w:r>
      <w:r w:rsidRPr="00CA36EA">
        <w:t xml:space="preserve">depreciation for </w:t>
      </w:r>
      <w:r>
        <w:t>2015–16 and the</w:t>
      </w:r>
      <w:r w:rsidRPr="00CA36EA">
        <w:t xml:space="preserve"> </w:t>
      </w:r>
      <w:r>
        <w:t>2016–21</w:t>
      </w:r>
      <w:r w:rsidRPr="00CA36EA">
        <w:t xml:space="preserve"> access arrangement </w:t>
      </w:r>
      <w:proofErr w:type="gramStart"/>
      <w:r w:rsidRPr="00CA36EA">
        <w:t>period</w:t>
      </w:r>
      <w:proofErr w:type="gramEnd"/>
      <w:r w:rsidRPr="00CA36EA">
        <w:t xml:space="preserve"> is set out in</w:t>
      </w:r>
      <w:r>
        <w:t xml:space="preserve"> </w:t>
      </w:r>
      <w:r>
        <w:fldChar w:fldCharType="begin"/>
      </w:r>
      <w:r>
        <w:instrText xml:space="preserve"> REF  _Ref398892142 \* Lower \h  \* MERGEFORMAT </w:instrText>
      </w:r>
      <w:r>
        <w:fldChar w:fldCharType="separate"/>
      </w:r>
      <w:r w:rsidR="00416053">
        <w:t>table 5.2</w:t>
      </w:r>
      <w:r>
        <w:fldChar w:fldCharType="end"/>
      </w:r>
      <w:r>
        <w:t>.</w:t>
      </w:r>
      <w:r w:rsidRPr="00964F02">
        <w:t xml:space="preserve"> </w:t>
      </w:r>
    </w:p>
    <w:p w:rsidR="004F51BC" w:rsidRPr="00F56E79" w:rsidRDefault="004F51BC" w:rsidP="004F51BC">
      <w:pPr>
        <w:pStyle w:val="Caption"/>
      </w:pPr>
      <w:bookmarkStart w:id="17" w:name="_Ref398892142"/>
      <w:proofErr w:type="gramStart"/>
      <w:r>
        <w:t xml:space="preserve">Table </w:t>
      </w:r>
      <w:proofErr w:type="gramEnd"/>
      <w:r w:rsidR="003C4A25">
        <w:fldChar w:fldCharType="begin"/>
      </w:r>
      <w:r w:rsidR="003C4A25">
        <w:instrText xml:space="preserve"> STYLEREF 1 \s </w:instrText>
      </w:r>
      <w:r w:rsidR="003C4A25">
        <w:fldChar w:fldCharType="separate"/>
      </w:r>
      <w:r w:rsidR="00416053">
        <w:rPr>
          <w:noProof/>
        </w:rPr>
        <w:t>5</w:t>
      </w:r>
      <w:r w:rsidR="003C4A25">
        <w:rPr>
          <w:noProof/>
        </w:rPr>
        <w:fldChar w:fldCharType="end"/>
      </w:r>
      <w:proofErr w:type="gramStart"/>
      <w:r w:rsidR="00E04C80">
        <w:t>.</w:t>
      </w:r>
      <w:proofErr w:type="gramEnd"/>
      <w:r w:rsidR="00735B94">
        <w:fldChar w:fldCharType="begin"/>
      </w:r>
      <w:r w:rsidR="00735B94">
        <w:instrText xml:space="preserve"> SEQ Table \* ARABIC \s 1 </w:instrText>
      </w:r>
      <w:r w:rsidR="00735B94">
        <w:fldChar w:fldCharType="separate"/>
      </w:r>
      <w:r w:rsidR="00416053">
        <w:rPr>
          <w:noProof/>
        </w:rPr>
        <w:t>2</w:t>
      </w:r>
      <w:r w:rsidR="00735B94">
        <w:rPr>
          <w:noProof/>
        </w:rPr>
        <w:fldChar w:fldCharType="end"/>
      </w:r>
      <w:bookmarkEnd w:id="17"/>
      <w:r>
        <w:tab/>
        <w:t>ActewAGL’</w:t>
      </w:r>
      <w:r w:rsidRPr="00F56E79">
        <w:t xml:space="preserve">s </w:t>
      </w:r>
      <w:r w:rsidR="00CF0CFC">
        <w:t xml:space="preserve">revised </w:t>
      </w:r>
      <w:r w:rsidRPr="00F56E79">
        <w:t xml:space="preserve">proposed </w:t>
      </w:r>
      <w:r>
        <w:t xml:space="preserve">regulatory </w:t>
      </w:r>
      <w:r w:rsidRPr="00F56E79">
        <w:t>depreciation for</w:t>
      </w:r>
      <w:r>
        <w:t xml:space="preserve"> 2015–16 and</w:t>
      </w:r>
      <w:r w:rsidRPr="00F56E79">
        <w:t xml:space="preserve"> </w:t>
      </w:r>
      <w:r>
        <w:t xml:space="preserve">the 2016–21 </w:t>
      </w:r>
      <w:r w:rsidRPr="00F56E79">
        <w:t>access arrangement period ($million, nominal)</w:t>
      </w:r>
    </w:p>
    <w:tbl>
      <w:tblPr>
        <w:tblStyle w:val="AERtable-numbers"/>
        <w:tblW w:w="8705" w:type="dxa"/>
        <w:tblLayout w:type="fixed"/>
        <w:tblLook w:val="04A0" w:firstRow="1" w:lastRow="0" w:firstColumn="1" w:lastColumn="0" w:noHBand="0" w:noVBand="1"/>
      </w:tblPr>
      <w:tblGrid>
        <w:gridCol w:w="2563"/>
        <w:gridCol w:w="877"/>
        <w:gridCol w:w="877"/>
        <w:gridCol w:w="878"/>
        <w:gridCol w:w="877"/>
        <w:gridCol w:w="878"/>
        <w:gridCol w:w="877"/>
        <w:gridCol w:w="878"/>
      </w:tblGrid>
      <w:tr w:rsidR="004F51BC" w:rsidRPr="00A575B0" w:rsidTr="00657E7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4F51BC" w:rsidRPr="00A575B0" w:rsidRDefault="004F51BC" w:rsidP="004F51BC"/>
        </w:tc>
        <w:tc>
          <w:tcPr>
            <w:tcW w:w="877" w:type="dxa"/>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t>2015–16</w:t>
            </w:r>
          </w:p>
        </w:tc>
        <w:tc>
          <w:tcPr>
            <w:tcW w:w="877"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A575B0">
              <w:t>2016–17</w:t>
            </w:r>
          </w:p>
        </w:tc>
        <w:tc>
          <w:tcPr>
            <w:tcW w:w="878"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5B4094">
              <w:t>2017–18</w:t>
            </w:r>
          </w:p>
        </w:tc>
        <w:tc>
          <w:tcPr>
            <w:tcW w:w="877"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964F02">
              <w:t>2018–19</w:t>
            </w:r>
          </w:p>
        </w:tc>
        <w:tc>
          <w:tcPr>
            <w:tcW w:w="878"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964F02">
              <w:t>2019–20</w:t>
            </w:r>
          </w:p>
        </w:tc>
        <w:tc>
          <w:tcPr>
            <w:tcW w:w="877" w:type="dxa"/>
            <w:noWrap/>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964F02">
              <w:t>2020–21</w:t>
            </w:r>
          </w:p>
        </w:tc>
        <w:tc>
          <w:tcPr>
            <w:tcW w:w="878" w:type="dxa"/>
          </w:tcPr>
          <w:p w:rsidR="004F51BC" w:rsidRPr="004F51BC" w:rsidRDefault="004F51BC" w:rsidP="004F51BC">
            <w:pPr>
              <w:cnfStyle w:val="100000000000" w:firstRow="1" w:lastRow="0" w:firstColumn="0" w:lastColumn="0" w:oddVBand="0" w:evenVBand="0" w:oddHBand="0" w:evenHBand="0" w:firstRowFirstColumn="0" w:firstRowLastColumn="0" w:lastRowFirstColumn="0" w:lastRowLastColumn="0"/>
            </w:pPr>
            <w:r w:rsidRPr="00964F02">
              <w:t>Total</w:t>
            </w:r>
          </w:p>
        </w:tc>
      </w:tr>
      <w:tr w:rsidR="004F51BC" w:rsidRPr="009603F9" w:rsidTr="00657E79">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4F51BC" w:rsidRPr="004F51BC" w:rsidRDefault="004F51BC" w:rsidP="004F51BC">
            <w:r w:rsidRPr="009603F9">
              <w:t xml:space="preserve">Straight-line </w:t>
            </w:r>
            <w:r w:rsidRPr="004F51BC">
              <w:t>depreciation</w:t>
            </w:r>
          </w:p>
        </w:tc>
        <w:tc>
          <w:tcPr>
            <w:tcW w:w="877" w:type="dxa"/>
          </w:tcPr>
          <w:p w:rsidR="004F51BC" w:rsidRPr="004F51BC" w:rsidRDefault="00397A03" w:rsidP="004F51BC">
            <w:pPr>
              <w:cnfStyle w:val="000000000000" w:firstRow="0" w:lastRow="0" w:firstColumn="0" w:lastColumn="0" w:oddVBand="0" w:evenVBand="0" w:oddHBand="0" w:evenHBand="0" w:firstRowFirstColumn="0" w:firstRowLastColumn="0" w:lastRowFirstColumn="0" w:lastRowLastColumn="0"/>
            </w:pPr>
            <w:r>
              <w:t>11.8</w:t>
            </w:r>
          </w:p>
        </w:tc>
        <w:tc>
          <w:tcPr>
            <w:tcW w:w="877" w:type="dxa"/>
            <w:noWrap/>
          </w:tcPr>
          <w:p w:rsidR="004F51BC" w:rsidRPr="004F51BC" w:rsidRDefault="00397A03" w:rsidP="004F51BC">
            <w:pPr>
              <w:cnfStyle w:val="000000000000" w:firstRow="0" w:lastRow="0" w:firstColumn="0" w:lastColumn="0" w:oddVBand="0" w:evenVBand="0" w:oddHBand="0" w:evenHBand="0" w:firstRowFirstColumn="0" w:firstRowLastColumn="0" w:lastRowFirstColumn="0" w:lastRowLastColumn="0"/>
            </w:pPr>
            <w:r>
              <w:t>13.4</w:t>
            </w:r>
          </w:p>
        </w:tc>
        <w:tc>
          <w:tcPr>
            <w:tcW w:w="878" w:type="dxa"/>
            <w:noWrap/>
          </w:tcPr>
          <w:p w:rsidR="004F51BC" w:rsidRPr="004F51BC" w:rsidRDefault="00397A03" w:rsidP="004F51BC">
            <w:pPr>
              <w:cnfStyle w:val="000000000000" w:firstRow="0" w:lastRow="0" w:firstColumn="0" w:lastColumn="0" w:oddVBand="0" w:evenVBand="0" w:oddHBand="0" w:evenHBand="0" w:firstRowFirstColumn="0" w:firstRowLastColumn="0" w:lastRowFirstColumn="0" w:lastRowLastColumn="0"/>
            </w:pPr>
            <w:r>
              <w:t>14.5</w:t>
            </w:r>
          </w:p>
        </w:tc>
        <w:tc>
          <w:tcPr>
            <w:tcW w:w="877"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pPr>
            <w:r>
              <w:t>15.6</w:t>
            </w:r>
          </w:p>
        </w:tc>
        <w:tc>
          <w:tcPr>
            <w:tcW w:w="878"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pPr>
            <w:r>
              <w:t>16.9</w:t>
            </w:r>
          </w:p>
        </w:tc>
        <w:tc>
          <w:tcPr>
            <w:tcW w:w="877"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pPr>
            <w:r>
              <w:t>18.0</w:t>
            </w:r>
          </w:p>
        </w:tc>
        <w:tc>
          <w:tcPr>
            <w:tcW w:w="878" w:type="dxa"/>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pPr>
            <w:r>
              <w:t>90.2</w:t>
            </w:r>
          </w:p>
        </w:tc>
      </w:tr>
      <w:tr w:rsidR="004F51BC" w:rsidRPr="009603F9" w:rsidTr="00657E79">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4F51BC" w:rsidRPr="004F51BC" w:rsidRDefault="004F51BC" w:rsidP="004F51BC">
            <w:r w:rsidRPr="009603F9">
              <w:rPr>
                <w:rStyle w:val="AERtextitalic"/>
              </w:rPr>
              <w:t>Less:</w:t>
            </w:r>
            <w:r w:rsidRPr="004F51BC">
              <w:rPr>
                <w:rStyle w:val="AERtextitalic"/>
              </w:rPr>
              <w:t xml:space="preserve"> </w:t>
            </w:r>
            <w:r w:rsidRPr="004F51BC">
              <w:t xml:space="preserve">indexation on capital base </w:t>
            </w:r>
          </w:p>
        </w:tc>
        <w:tc>
          <w:tcPr>
            <w:tcW w:w="877" w:type="dxa"/>
          </w:tcPr>
          <w:p w:rsidR="004F51BC" w:rsidRPr="004F51BC" w:rsidRDefault="008A7469" w:rsidP="004F51BC">
            <w:pPr>
              <w:cnfStyle w:val="000000010000" w:firstRow="0" w:lastRow="0" w:firstColumn="0" w:lastColumn="0" w:oddVBand="0" w:evenVBand="0" w:oddHBand="0" w:evenHBand="1" w:firstRowFirstColumn="0" w:firstRowLastColumn="0" w:lastRowFirstColumn="0" w:lastRowLastColumn="0"/>
            </w:pPr>
            <w:r>
              <w:t>7.4</w:t>
            </w:r>
          </w:p>
        </w:tc>
        <w:tc>
          <w:tcPr>
            <w:tcW w:w="877" w:type="dxa"/>
            <w:noWrap/>
          </w:tcPr>
          <w:p w:rsidR="004F51BC" w:rsidRPr="004F51BC" w:rsidRDefault="008A7469" w:rsidP="004F51BC">
            <w:pPr>
              <w:cnfStyle w:val="000000010000" w:firstRow="0" w:lastRow="0" w:firstColumn="0" w:lastColumn="0" w:oddVBand="0" w:evenVBand="0" w:oddHBand="0" w:evenHBand="1" w:firstRowFirstColumn="0" w:firstRowLastColumn="0" w:lastRowFirstColumn="0" w:lastRowLastColumn="0"/>
            </w:pPr>
            <w:r>
              <w:t>8.0</w:t>
            </w:r>
          </w:p>
        </w:tc>
        <w:tc>
          <w:tcPr>
            <w:tcW w:w="878" w:type="dxa"/>
            <w:noWrap/>
          </w:tcPr>
          <w:p w:rsidR="004F51BC" w:rsidRPr="004F51BC" w:rsidRDefault="008A7469" w:rsidP="004F51BC">
            <w:pPr>
              <w:cnfStyle w:val="000000010000" w:firstRow="0" w:lastRow="0" w:firstColumn="0" w:lastColumn="0" w:oddVBand="0" w:evenVBand="0" w:oddHBand="0" w:evenHBand="1" w:firstRowFirstColumn="0" w:firstRowLastColumn="0" w:lastRowFirstColumn="0" w:lastRowLastColumn="0"/>
            </w:pPr>
            <w:r>
              <w:t>8.3</w:t>
            </w:r>
          </w:p>
        </w:tc>
        <w:tc>
          <w:tcPr>
            <w:tcW w:w="877" w:type="dxa"/>
            <w:noWrap/>
          </w:tcPr>
          <w:p w:rsidR="004F51BC" w:rsidRPr="004F51BC" w:rsidRDefault="008A7469" w:rsidP="004F51BC">
            <w:pPr>
              <w:cnfStyle w:val="000000010000" w:firstRow="0" w:lastRow="0" w:firstColumn="0" w:lastColumn="0" w:oddVBand="0" w:evenVBand="0" w:oddHBand="0" w:evenHBand="1" w:firstRowFirstColumn="0" w:firstRowLastColumn="0" w:lastRowFirstColumn="0" w:lastRowLastColumn="0"/>
            </w:pPr>
            <w:r>
              <w:t>8.6</w:t>
            </w:r>
          </w:p>
        </w:tc>
        <w:tc>
          <w:tcPr>
            <w:tcW w:w="878" w:type="dxa"/>
            <w:noWrap/>
          </w:tcPr>
          <w:p w:rsidR="004F51BC" w:rsidRPr="004F51BC" w:rsidRDefault="008A7469" w:rsidP="004F51BC">
            <w:pPr>
              <w:cnfStyle w:val="000000010000" w:firstRow="0" w:lastRow="0" w:firstColumn="0" w:lastColumn="0" w:oddVBand="0" w:evenVBand="0" w:oddHBand="0" w:evenHBand="1" w:firstRowFirstColumn="0" w:firstRowLastColumn="0" w:lastRowFirstColumn="0" w:lastRowLastColumn="0"/>
            </w:pPr>
            <w:r>
              <w:t>8.9</w:t>
            </w:r>
          </w:p>
        </w:tc>
        <w:tc>
          <w:tcPr>
            <w:tcW w:w="877" w:type="dxa"/>
            <w:noWrap/>
          </w:tcPr>
          <w:p w:rsidR="004F51BC" w:rsidRPr="004F51BC" w:rsidRDefault="008A7469" w:rsidP="004F51BC">
            <w:pPr>
              <w:cnfStyle w:val="000000010000" w:firstRow="0" w:lastRow="0" w:firstColumn="0" w:lastColumn="0" w:oddVBand="0" w:evenVBand="0" w:oddHBand="0" w:evenHBand="1" w:firstRowFirstColumn="0" w:firstRowLastColumn="0" w:lastRowFirstColumn="0" w:lastRowLastColumn="0"/>
            </w:pPr>
            <w:r>
              <w:t>9.3</w:t>
            </w:r>
          </w:p>
        </w:tc>
        <w:tc>
          <w:tcPr>
            <w:tcW w:w="878" w:type="dxa"/>
          </w:tcPr>
          <w:p w:rsidR="004F51BC" w:rsidRPr="004F51BC" w:rsidRDefault="008A7469" w:rsidP="004F51BC">
            <w:pPr>
              <w:cnfStyle w:val="000000010000" w:firstRow="0" w:lastRow="0" w:firstColumn="0" w:lastColumn="0" w:oddVBand="0" w:evenVBand="0" w:oddHBand="0" w:evenHBand="1" w:firstRowFirstColumn="0" w:firstRowLastColumn="0" w:lastRowFirstColumn="0" w:lastRowLastColumn="0"/>
            </w:pPr>
            <w:r>
              <w:t>50.6</w:t>
            </w:r>
          </w:p>
        </w:tc>
      </w:tr>
      <w:tr w:rsidR="004F51BC" w:rsidRPr="00A575B0" w:rsidTr="00657E79">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4F51BC" w:rsidRPr="004F51BC" w:rsidRDefault="004F51BC" w:rsidP="004F51BC">
            <w:pPr>
              <w:rPr>
                <w:rStyle w:val="Strong"/>
              </w:rPr>
            </w:pPr>
            <w:r w:rsidRPr="00A575B0">
              <w:rPr>
                <w:rStyle w:val="Strong"/>
              </w:rPr>
              <w:t>Regulatory depreciation</w:t>
            </w:r>
          </w:p>
        </w:tc>
        <w:tc>
          <w:tcPr>
            <w:tcW w:w="877" w:type="dxa"/>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4.4</w:t>
            </w:r>
          </w:p>
        </w:tc>
        <w:tc>
          <w:tcPr>
            <w:tcW w:w="877"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5.4</w:t>
            </w:r>
          </w:p>
        </w:tc>
        <w:tc>
          <w:tcPr>
            <w:tcW w:w="878"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6.2</w:t>
            </w:r>
          </w:p>
        </w:tc>
        <w:tc>
          <w:tcPr>
            <w:tcW w:w="877"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7.0</w:t>
            </w:r>
          </w:p>
        </w:tc>
        <w:tc>
          <w:tcPr>
            <w:tcW w:w="878"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7.9</w:t>
            </w:r>
          </w:p>
        </w:tc>
        <w:tc>
          <w:tcPr>
            <w:tcW w:w="877" w:type="dxa"/>
            <w:noWrap/>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8.8</w:t>
            </w:r>
          </w:p>
        </w:tc>
        <w:tc>
          <w:tcPr>
            <w:tcW w:w="878" w:type="dxa"/>
          </w:tcPr>
          <w:p w:rsidR="004F51BC" w:rsidRPr="004F51BC" w:rsidRDefault="008A7469" w:rsidP="004F51B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39.6</w:t>
            </w:r>
          </w:p>
        </w:tc>
      </w:tr>
    </w:tbl>
    <w:p w:rsidR="004F51BC" w:rsidRPr="00863740" w:rsidRDefault="004F51BC" w:rsidP="004F51BC">
      <w:pPr>
        <w:pStyle w:val="AERtablesource"/>
        <w:rPr>
          <w:rStyle w:val="AERtextsize8"/>
        </w:rPr>
      </w:pPr>
      <w:r w:rsidRPr="004F51BC">
        <w:rPr>
          <w:rFonts w:eastAsia="Calibri"/>
        </w:rPr>
        <w:t xml:space="preserve">Source: </w:t>
      </w:r>
      <w:r w:rsidRPr="004F51BC">
        <w:rPr>
          <w:rFonts w:eastAsia="Calibri"/>
        </w:rPr>
        <w:tab/>
      </w:r>
      <w:proofErr w:type="gramStart"/>
      <w:r w:rsidRPr="004F51BC">
        <w:rPr>
          <w:rFonts w:eastAsia="Calibri"/>
        </w:rPr>
        <w:t>ActewAGL</w:t>
      </w:r>
      <w:r w:rsidRPr="001A2042">
        <w:t>,</w:t>
      </w:r>
      <w:proofErr w:type="gramEnd"/>
      <w:r w:rsidRPr="001A2042">
        <w:t xml:space="preserve"> </w:t>
      </w:r>
      <w:r w:rsidR="00707B25">
        <w:rPr>
          <w:rStyle w:val="AERtextitalic"/>
        </w:rPr>
        <w:t xml:space="preserve">Revised proposed </w:t>
      </w:r>
      <w:r>
        <w:rPr>
          <w:rStyle w:val="AERtextitalic"/>
        </w:rPr>
        <w:t xml:space="preserve">PTRM, </w:t>
      </w:r>
      <w:r w:rsidRPr="00863740">
        <w:rPr>
          <w:rStyle w:val="AERtextsize8"/>
        </w:rPr>
        <w:t>J</w:t>
      </w:r>
      <w:r w:rsidR="00707B25" w:rsidRPr="00863740">
        <w:rPr>
          <w:rStyle w:val="AERtextsize8"/>
        </w:rPr>
        <w:t>anuary 2016.</w:t>
      </w:r>
    </w:p>
    <w:p w:rsidR="004F51BC" w:rsidRDefault="004F51BC" w:rsidP="004F51BC">
      <w:pPr>
        <w:pStyle w:val="AERtablesource"/>
      </w:pPr>
      <w:r w:rsidRPr="001776AC">
        <w:t>N</w:t>
      </w:r>
      <w:r w:rsidRPr="00D538E2">
        <w:t xml:space="preserve">ote: </w:t>
      </w:r>
      <w:r w:rsidRPr="00D538E2">
        <w:tab/>
        <w:t>Numbers may not add due to rounding differences.</w:t>
      </w:r>
    </w:p>
    <w:p w:rsidR="004F51BC" w:rsidRDefault="004F51BC" w:rsidP="004F51BC">
      <w:pPr>
        <w:pStyle w:val="Heading2"/>
      </w:pPr>
      <w:bookmarkStart w:id="18" w:name="_Toc408404322"/>
      <w:bookmarkStart w:id="19" w:name="_Ref429991037"/>
      <w:bookmarkStart w:id="20" w:name="_Toc436041917"/>
      <w:bookmarkStart w:id="21" w:name="_Toc451759257"/>
      <w:r w:rsidRPr="0074565D">
        <w:t>AER’s assessment approach</w:t>
      </w:r>
      <w:bookmarkEnd w:id="18"/>
      <w:bookmarkEnd w:id="19"/>
      <w:bookmarkEnd w:id="20"/>
      <w:bookmarkEnd w:id="21"/>
    </w:p>
    <w:p w:rsidR="00671096" w:rsidRDefault="00671096" w:rsidP="004F51BC">
      <w:r>
        <w:t>We have not changed our assessment approach for regulatory depreciation from our draft decision. Section 5.3 of our draft decision details that approach.</w:t>
      </w:r>
      <w:r>
        <w:rPr>
          <w:rStyle w:val="FootnoteReference"/>
        </w:rPr>
        <w:footnoteReference w:id="7"/>
      </w:r>
    </w:p>
    <w:p w:rsidR="004F51BC" w:rsidRPr="0074565D" w:rsidRDefault="004F51BC" w:rsidP="004F51BC">
      <w:pPr>
        <w:pStyle w:val="Heading2"/>
      </w:pPr>
      <w:bookmarkStart w:id="22" w:name="_Toc408404324"/>
      <w:bookmarkStart w:id="23" w:name="_Toc436041919"/>
      <w:bookmarkStart w:id="24" w:name="_Toc451759258"/>
      <w:r w:rsidRPr="0074565D">
        <w:t xml:space="preserve">Reasons for </w:t>
      </w:r>
      <w:r w:rsidR="0056777E">
        <w:t>final</w:t>
      </w:r>
      <w:r w:rsidRPr="0074565D">
        <w:t xml:space="preserve"> decision</w:t>
      </w:r>
      <w:bookmarkEnd w:id="22"/>
      <w:bookmarkEnd w:id="23"/>
      <w:bookmarkEnd w:id="24"/>
      <w:r w:rsidRPr="0074565D">
        <w:t xml:space="preserve"> </w:t>
      </w:r>
    </w:p>
    <w:p w:rsidR="005B098A" w:rsidRDefault="00B75CF9" w:rsidP="005B098A">
      <w:r>
        <w:t>Consistent with our draft decision, w</w:t>
      </w:r>
      <w:r w:rsidR="00D87FAC">
        <w:t>e</w:t>
      </w:r>
      <w:r w:rsidR="00D87FAC" w:rsidRPr="00CA36EA">
        <w:t xml:space="preserve"> </w:t>
      </w:r>
      <w:r w:rsidR="004F51BC" w:rsidRPr="00CA36EA">
        <w:t>approve</w:t>
      </w:r>
      <w:r w:rsidR="004F51BC">
        <w:t xml:space="preserve"> ActewAGL’s proposed</w:t>
      </w:r>
      <w:r w:rsidR="004F51BC" w:rsidRPr="00CA36EA">
        <w:t xml:space="preserve"> method to calculate the re</w:t>
      </w:r>
      <w:r w:rsidR="004F51BC">
        <w:t xml:space="preserve">gulatory depreciation allowance which is the straight-line depreciation less </w:t>
      </w:r>
      <w:r w:rsidR="004F51BC" w:rsidRPr="003A447F">
        <w:t>the annual inflation indexation on the projected capital base</w:t>
      </w:r>
      <w:r w:rsidR="004F51BC">
        <w:t>. However, w</w:t>
      </w:r>
      <w:r w:rsidR="004F51BC" w:rsidRPr="00D639D1">
        <w:rPr>
          <w:rStyle w:val="AERbody"/>
        </w:rPr>
        <w:t>e do not approve</w:t>
      </w:r>
      <w:r w:rsidR="004F51BC">
        <w:rPr>
          <w:rStyle w:val="AERbody"/>
        </w:rPr>
        <w:t xml:space="preserve"> ActewAGL’</w:t>
      </w:r>
      <w:r w:rsidR="004F51BC" w:rsidRPr="00D639D1">
        <w:rPr>
          <w:rStyle w:val="AERbody"/>
        </w:rPr>
        <w:t xml:space="preserve">s </w:t>
      </w:r>
      <w:r w:rsidR="00366870">
        <w:rPr>
          <w:rStyle w:val="AERbody"/>
        </w:rPr>
        <w:t xml:space="preserve">revised </w:t>
      </w:r>
      <w:r w:rsidR="004F51BC" w:rsidRPr="00D639D1">
        <w:rPr>
          <w:rStyle w:val="AERbody"/>
        </w:rPr>
        <w:t>proposed regulatory depreciation allowance of $</w:t>
      </w:r>
      <w:r w:rsidR="00366870">
        <w:rPr>
          <w:rStyle w:val="AERbody"/>
        </w:rPr>
        <w:t>39.6</w:t>
      </w:r>
      <w:r w:rsidR="004F51BC" w:rsidRPr="00D639D1">
        <w:rPr>
          <w:rStyle w:val="AERbody"/>
        </w:rPr>
        <w:t xml:space="preserve"> million ($nominal) for </w:t>
      </w:r>
      <w:r w:rsidR="004F51BC">
        <w:rPr>
          <w:rStyle w:val="AERbody"/>
        </w:rPr>
        <w:t xml:space="preserve">2015–16 and </w:t>
      </w:r>
      <w:r w:rsidR="004F51BC" w:rsidRPr="00D639D1">
        <w:rPr>
          <w:rStyle w:val="AERbody"/>
        </w:rPr>
        <w:t xml:space="preserve">the </w:t>
      </w:r>
      <w:r w:rsidR="004F51BC">
        <w:rPr>
          <w:rStyle w:val="AERbody"/>
        </w:rPr>
        <w:t>2016–21</w:t>
      </w:r>
      <w:r w:rsidR="004F51BC" w:rsidRPr="00D639D1">
        <w:rPr>
          <w:rStyle w:val="AERbody"/>
        </w:rPr>
        <w:t xml:space="preserve"> access arrangement period.</w:t>
      </w:r>
      <w:r w:rsidR="004F51BC">
        <w:rPr>
          <w:rStyle w:val="AERbody"/>
        </w:rPr>
        <w:t xml:space="preserve"> </w:t>
      </w:r>
      <w:r w:rsidR="004F51BC" w:rsidRPr="00D639D1">
        <w:rPr>
          <w:rStyle w:val="AERbody"/>
        </w:rPr>
        <w:t xml:space="preserve">Our </w:t>
      </w:r>
      <w:r w:rsidR="007B4FE8">
        <w:rPr>
          <w:rStyle w:val="AERbody"/>
        </w:rPr>
        <w:t xml:space="preserve">final </w:t>
      </w:r>
      <w:r w:rsidR="004F51BC" w:rsidRPr="00D639D1">
        <w:rPr>
          <w:rStyle w:val="AERbody"/>
        </w:rPr>
        <w:t xml:space="preserve">decision on </w:t>
      </w:r>
      <w:r w:rsidR="004F51BC">
        <w:rPr>
          <w:rStyle w:val="AERbody"/>
        </w:rPr>
        <w:t>ActewAGL’</w:t>
      </w:r>
      <w:r w:rsidR="004F51BC" w:rsidRPr="00D639D1">
        <w:rPr>
          <w:rStyle w:val="AERbody"/>
        </w:rPr>
        <w:t>s regulatory depreciation allowance is $</w:t>
      </w:r>
      <w:r w:rsidR="00EF54B7">
        <w:rPr>
          <w:rStyle w:val="AERbody"/>
        </w:rPr>
        <w:t>39</w:t>
      </w:r>
      <w:r w:rsidR="004F51BC">
        <w:rPr>
          <w:rStyle w:val="AERbody"/>
        </w:rPr>
        <w:t>.</w:t>
      </w:r>
      <w:r w:rsidR="00EF54B7">
        <w:rPr>
          <w:rStyle w:val="AERbody"/>
        </w:rPr>
        <w:t>4</w:t>
      </w:r>
      <w:r w:rsidR="004F51BC">
        <w:rPr>
          <w:rStyle w:val="AERbody"/>
        </w:rPr>
        <w:t xml:space="preserve"> </w:t>
      </w:r>
      <w:r w:rsidR="004F51BC" w:rsidRPr="00D639D1">
        <w:rPr>
          <w:rStyle w:val="AERbody"/>
        </w:rPr>
        <w:t>million ($nominal</w:t>
      </w:r>
      <w:r w:rsidR="00C42DF7" w:rsidRPr="00D639D1">
        <w:rPr>
          <w:rStyle w:val="AERbody"/>
        </w:rPr>
        <w:t xml:space="preserve">) </w:t>
      </w:r>
      <w:r w:rsidR="004F51BC" w:rsidDel="006C45AE">
        <w:rPr>
          <w:rStyle w:val="FootnoteReference"/>
        </w:rPr>
        <w:t xml:space="preserve"> </w:t>
      </w:r>
      <w:r w:rsidR="004F51BC" w:rsidRPr="00D639D1">
        <w:rPr>
          <w:rStyle w:val="AERbody"/>
        </w:rPr>
        <w:t xml:space="preserve">over </w:t>
      </w:r>
      <w:r w:rsidR="004F51BC">
        <w:rPr>
          <w:rStyle w:val="AERbody"/>
        </w:rPr>
        <w:t xml:space="preserve">2015–16 and </w:t>
      </w:r>
      <w:r w:rsidR="004F51BC" w:rsidRPr="00D639D1">
        <w:rPr>
          <w:rStyle w:val="AERbody"/>
        </w:rPr>
        <w:t xml:space="preserve">the </w:t>
      </w:r>
      <w:r w:rsidR="004F51BC">
        <w:rPr>
          <w:rStyle w:val="AERbody"/>
        </w:rPr>
        <w:t>2016–21</w:t>
      </w:r>
      <w:r w:rsidR="004F51BC" w:rsidRPr="00D639D1">
        <w:rPr>
          <w:rStyle w:val="AERbody"/>
        </w:rPr>
        <w:t xml:space="preserve"> access arrangement period,</w:t>
      </w:r>
      <w:r w:rsidR="004F51BC">
        <w:rPr>
          <w:rStyle w:val="FootnoteReference"/>
        </w:rPr>
        <w:footnoteReference w:id="8"/>
      </w:r>
      <w:r w:rsidR="004F51BC" w:rsidRPr="00D639D1">
        <w:rPr>
          <w:rStyle w:val="AERbody"/>
        </w:rPr>
        <w:t xml:space="preserve"> a reduction</w:t>
      </w:r>
      <w:r w:rsidR="004F51BC">
        <w:rPr>
          <w:rStyle w:val="AERbody"/>
        </w:rPr>
        <w:t xml:space="preserve"> </w:t>
      </w:r>
      <w:r w:rsidR="004F51BC" w:rsidRPr="00D639D1">
        <w:rPr>
          <w:rStyle w:val="AERbody"/>
        </w:rPr>
        <w:t>of $</w:t>
      </w:r>
      <w:r w:rsidR="00C40E84">
        <w:rPr>
          <w:rStyle w:val="AERbody"/>
        </w:rPr>
        <w:t>0.3</w:t>
      </w:r>
      <w:r w:rsidR="004F51BC">
        <w:rPr>
          <w:rStyle w:val="AERbody"/>
        </w:rPr>
        <w:t xml:space="preserve"> </w:t>
      </w:r>
      <w:r w:rsidR="004F51BC" w:rsidRPr="00D639D1">
        <w:rPr>
          <w:rStyle w:val="AERbody"/>
        </w:rPr>
        <w:t xml:space="preserve">million ($nominal) or </w:t>
      </w:r>
      <w:r w:rsidR="00C40E84">
        <w:rPr>
          <w:rStyle w:val="AERbody"/>
        </w:rPr>
        <w:t>0.6</w:t>
      </w:r>
      <w:r w:rsidR="004F51BC">
        <w:rPr>
          <w:rStyle w:val="AERbody"/>
        </w:rPr>
        <w:t xml:space="preserve"> </w:t>
      </w:r>
      <w:r w:rsidR="004F51BC" w:rsidRPr="00D639D1">
        <w:rPr>
          <w:rStyle w:val="AERbody"/>
        </w:rPr>
        <w:t>per cent compared to the</w:t>
      </w:r>
      <w:r w:rsidR="00693F59">
        <w:rPr>
          <w:rStyle w:val="AERbody"/>
        </w:rPr>
        <w:t xml:space="preserve"> revised</w:t>
      </w:r>
      <w:r w:rsidR="004F51BC" w:rsidRPr="00D639D1">
        <w:rPr>
          <w:rStyle w:val="AERbody"/>
        </w:rPr>
        <w:t xml:space="preserve"> proposed amount. </w:t>
      </w:r>
      <w:r w:rsidR="004F51BC">
        <w:rPr>
          <w:rStyle w:val="AERbody"/>
        </w:rPr>
        <w:t xml:space="preserve">This reduction is </w:t>
      </w:r>
      <w:r w:rsidR="00F42576">
        <w:rPr>
          <w:rStyle w:val="AERbody"/>
        </w:rPr>
        <w:t xml:space="preserve">mainly because of </w:t>
      </w:r>
      <w:r w:rsidR="005B098A">
        <w:t>our</w:t>
      </w:r>
      <w:r w:rsidR="005B098A" w:rsidRPr="001C0783">
        <w:t xml:space="preserve"> </w:t>
      </w:r>
      <w:r w:rsidR="005B098A">
        <w:t xml:space="preserve">determinations on other components of </w:t>
      </w:r>
      <w:r w:rsidR="005B098A">
        <w:rPr>
          <w:rStyle w:val="AERbody"/>
        </w:rPr>
        <w:t>ActewAGL</w:t>
      </w:r>
      <w:r w:rsidR="005B098A">
        <w:t>’s</w:t>
      </w:r>
      <w:r w:rsidR="005B098A" w:rsidRPr="001C0783">
        <w:t xml:space="preserve"> </w:t>
      </w:r>
      <w:r w:rsidR="005B098A">
        <w:t>revised proposal which affect the calculation of the regulatory depreciation allowance.</w:t>
      </w:r>
      <w:r w:rsidR="005B098A">
        <w:rPr>
          <w:rStyle w:val="FootnoteReference"/>
        </w:rPr>
        <w:footnoteReference w:id="9"/>
      </w:r>
      <w:r w:rsidR="005B098A">
        <w:t xml:space="preserve"> These include:</w:t>
      </w:r>
    </w:p>
    <w:p w:rsidR="006E25B7" w:rsidRPr="006E25B7" w:rsidRDefault="006E25B7" w:rsidP="006E25B7">
      <w:pPr>
        <w:pStyle w:val="AERbulletlistfirststyle"/>
        <w:rPr>
          <w:rStyle w:val="AERbody"/>
        </w:rPr>
      </w:pPr>
      <w:proofErr w:type="gramStart"/>
      <w:r w:rsidRPr="006E25B7">
        <w:rPr>
          <w:rStyle w:val="AERbody"/>
        </w:rPr>
        <w:t>a</w:t>
      </w:r>
      <w:proofErr w:type="gramEnd"/>
      <w:r w:rsidRPr="006E25B7">
        <w:rPr>
          <w:rStyle w:val="AERbody"/>
        </w:rPr>
        <w:t xml:space="preserve"> slight reduction to ActewAGL's forecast inflation for 2015–16 and the 2016–21 access arrangement period from 2.19 per cent per annum to 2.18 per cent per annum. Our assessment of the revised proposed forecast inflation is set out in the rate of return attachment 3.</w:t>
      </w:r>
    </w:p>
    <w:p w:rsidR="005B098A" w:rsidRPr="00B9583E" w:rsidRDefault="005B098A" w:rsidP="005B098A">
      <w:pPr>
        <w:pStyle w:val="AERbulletlistfirststyle"/>
        <w:rPr>
          <w:rStyle w:val="AERbody"/>
        </w:rPr>
      </w:pPr>
      <w:proofErr w:type="gramStart"/>
      <w:r w:rsidRPr="00B9583E">
        <w:rPr>
          <w:rStyle w:val="AERbody"/>
        </w:rPr>
        <w:t>a</w:t>
      </w:r>
      <w:proofErr w:type="gramEnd"/>
      <w:r w:rsidRPr="00B9583E">
        <w:rPr>
          <w:rStyle w:val="AERbody"/>
        </w:rPr>
        <w:t xml:space="preserve"> reduction to </w:t>
      </w:r>
      <w:r>
        <w:rPr>
          <w:rStyle w:val="AERbody"/>
        </w:rPr>
        <w:t>ActewAGL’</w:t>
      </w:r>
      <w:r w:rsidRPr="00B9583E">
        <w:rPr>
          <w:rStyle w:val="AERbody"/>
        </w:rPr>
        <w:t>s forecast net capex of $</w:t>
      </w:r>
      <w:r w:rsidR="00BD2756">
        <w:rPr>
          <w:rStyle w:val="AERbody"/>
        </w:rPr>
        <w:t>15.4</w:t>
      </w:r>
      <w:r>
        <w:rPr>
          <w:rStyle w:val="AERbody"/>
        </w:rPr>
        <w:t xml:space="preserve"> </w:t>
      </w:r>
      <w:r w:rsidRPr="00B9583E">
        <w:rPr>
          <w:rStyle w:val="AERbody"/>
        </w:rPr>
        <w:t>million ($</w:t>
      </w:r>
      <w:r w:rsidR="00BD2756">
        <w:rPr>
          <w:rStyle w:val="AERbody"/>
        </w:rPr>
        <w:t>nominal</w:t>
      </w:r>
      <w:r w:rsidRPr="00B9583E">
        <w:rPr>
          <w:rStyle w:val="AERbody"/>
        </w:rPr>
        <w:t xml:space="preserve">) or </w:t>
      </w:r>
      <w:r w:rsidR="008223E4">
        <w:rPr>
          <w:rStyle w:val="AERbody"/>
        </w:rPr>
        <w:t>11.</w:t>
      </w:r>
      <w:r w:rsidR="00BD2756">
        <w:rPr>
          <w:rStyle w:val="AERbody"/>
        </w:rPr>
        <w:t>5</w:t>
      </w:r>
      <w:r>
        <w:rPr>
          <w:rStyle w:val="AERbody"/>
        </w:rPr>
        <w:t> </w:t>
      </w:r>
      <w:r w:rsidRPr="00B9583E">
        <w:rPr>
          <w:rStyle w:val="AERbody"/>
        </w:rPr>
        <w:t xml:space="preserve">per cent. Our assessment of the </w:t>
      </w:r>
      <w:r w:rsidR="001D1119">
        <w:rPr>
          <w:rStyle w:val="AERbody"/>
        </w:rPr>
        <w:t xml:space="preserve">revised </w:t>
      </w:r>
      <w:r w:rsidRPr="00B9583E">
        <w:rPr>
          <w:rStyle w:val="AERbody"/>
        </w:rPr>
        <w:t xml:space="preserve">proposed forecast capex allowance is set out in </w:t>
      </w:r>
      <w:r>
        <w:rPr>
          <w:rStyle w:val="AERbody"/>
        </w:rPr>
        <w:t xml:space="preserve">capex </w:t>
      </w:r>
      <w:r w:rsidRPr="00B9583E">
        <w:rPr>
          <w:rStyle w:val="AERbody"/>
        </w:rPr>
        <w:t xml:space="preserve">attachment 6. </w:t>
      </w:r>
    </w:p>
    <w:p w:rsidR="007B4FE8" w:rsidRDefault="00D87FAC" w:rsidP="004F51BC">
      <w:r>
        <w:t xml:space="preserve">Consistent with our draft decision, we </w:t>
      </w:r>
      <w:r w:rsidR="002B7BE5">
        <w:t xml:space="preserve">approve </w:t>
      </w:r>
      <w:r w:rsidR="004F51BC">
        <w:t>ActewAGL’s</w:t>
      </w:r>
      <w:r w:rsidR="00F42576">
        <w:t xml:space="preserve"> </w:t>
      </w:r>
      <w:r w:rsidR="004F51BC">
        <w:t xml:space="preserve">standard asset lives </w:t>
      </w:r>
      <w:r w:rsidR="002B7BE5">
        <w:t xml:space="preserve">assigned to each of </w:t>
      </w:r>
      <w:r w:rsidR="004F51BC">
        <w:t>its asset classes</w:t>
      </w:r>
      <w:r w:rsidR="002B7BE5">
        <w:t xml:space="preserve"> for 2015–16 and </w:t>
      </w:r>
      <w:r w:rsidR="00691073">
        <w:t xml:space="preserve">the </w:t>
      </w:r>
      <w:r w:rsidR="002B7BE5">
        <w:t>2016–21 access arrangement period</w:t>
      </w:r>
      <w:r w:rsidR="004F51BC">
        <w:t>.</w:t>
      </w:r>
      <w:r w:rsidR="00F42576">
        <w:t xml:space="preserve"> We also accept ActewAGL's proposed </w:t>
      </w:r>
      <w:r w:rsidR="002B7BE5">
        <w:t xml:space="preserve">weighted average method to calculate the revised </w:t>
      </w:r>
      <w:r w:rsidR="00F42576">
        <w:t>remaining asset lives as at 1 July 2015</w:t>
      </w:r>
      <w:r w:rsidR="002B7BE5">
        <w:t xml:space="preserve">. However, we have updated ActewAGL's remaining asset lives as at 1 July 2015 to reflect the amended capital base roll forward for the 2010–15 access arrangement </w:t>
      </w:r>
      <w:proofErr w:type="gramStart"/>
      <w:r w:rsidR="002B7BE5">
        <w:t>period</w:t>
      </w:r>
      <w:proofErr w:type="gramEnd"/>
      <w:r w:rsidR="002B7BE5">
        <w:t>.</w:t>
      </w:r>
      <w:r w:rsidR="00F42576">
        <w:t xml:space="preserve"> </w:t>
      </w:r>
    </w:p>
    <w:p w:rsidR="005B098A" w:rsidRDefault="005B098A" w:rsidP="004F51BC">
      <w:r>
        <w:rPr>
          <w:rStyle w:val="AERbody"/>
        </w:rPr>
        <w:t>In the draft decision, we rejected ActewAGL's proposal that its regulatory depreciation approach was contingent on meeting certain BBB to BBB+ credit metrics.</w:t>
      </w:r>
      <w:r>
        <w:rPr>
          <w:rStyle w:val="FootnoteReference"/>
        </w:rPr>
        <w:footnoteReference w:id="10"/>
      </w:r>
      <w:r>
        <w:rPr>
          <w:rStyle w:val="AERbody"/>
        </w:rPr>
        <w:t xml:space="preserve"> We considered </w:t>
      </w:r>
      <w:r>
        <w:t>that the proposed regulatory depreciation approach which we accepted allows reference tariffs to vary, over time, in a way that promotes efficient growth in the market for reference services.</w:t>
      </w:r>
      <w:r>
        <w:rPr>
          <w:rStyle w:val="FootnoteReference"/>
        </w:rPr>
        <w:footnoteReference w:id="11"/>
      </w:r>
      <w:r>
        <w:t xml:space="preserve"> We note ActewAGL's revised proposal adopted our draft decision and did not make further submissions on this matter.</w:t>
      </w:r>
    </w:p>
    <w:p w:rsidR="004F51BC" w:rsidRDefault="004F51BC" w:rsidP="00D83387">
      <w:pPr>
        <w:pStyle w:val="Heading3"/>
      </w:pPr>
      <w:bookmarkStart w:id="25" w:name="_Toc428257992"/>
      <w:bookmarkStart w:id="26" w:name="_Ref432606800"/>
      <w:bookmarkStart w:id="27" w:name="_Toc451759259"/>
      <w:r>
        <w:t>Standard asset life</w:t>
      </w:r>
      <w:bookmarkEnd w:id="25"/>
      <w:bookmarkEnd w:id="26"/>
      <w:bookmarkEnd w:id="27"/>
    </w:p>
    <w:p w:rsidR="004F51BC" w:rsidRPr="009D7438" w:rsidRDefault="00AA30C3" w:rsidP="004F51BC">
      <w:pPr>
        <w:rPr>
          <w:rStyle w:val="AERbody"/>
        </w:rPr>
      </w:pPr>
      <w:r>
        <w:rPr>
          <w:rStyle w:val="AERbody"/>
        </w:rPr>
        <w:t>In accordance with our draft decision, w</w:t>
      </w:r>
      <w:r w:rsidR="004F51BC" w:rsidRPr="009D7438">
        <w:rPr>
          <w:rStyle w:val="AERbody"/>
        </w:rPr>
        <w:t xml:space="preserve">e accept </w:t>
      </w:r>
      <w:r w:rsidR="004F51BC">
        <w:t>ActewAGL</w:t>
      </w:r>
      <w:r w:rsidR="004F51BC">
        <w:rPr>
          <w:rStyle w:val="AERbody"/>
        </w:rPr>
        <w:t>’</w:t>
      </w:r>
      <w:r w:rsidR="004F51BC" w:rsidRPr="009D7438">
        <w:rPr>
          <w:rStyle w:val="AERbody"/>
        </w:rPr>
        <w:t>s proposed standard asset lives for its existing asset classes, because they are:</w:t>
      </w:r>
    </w:p>
    <w:p w:rsidR="004F51BC" w:rsidRPr="009D7438" w:rsidRDefault="004F51BC" w:rsidP="004F51BC">
      <w:pPr>
        <w:pStyle w:val="AERbulletlistfirststyle"/>
      </w:pPr>
      <w:r w:rsidRPr="009D7438">
        <w:t>consistent with our approved s</w:t>
      </w:r>
      <w:r>
        <w:t>tandard asset lives for the 2010</w:t>
      </w:r>
      <w:r w:rsidRPr="009D7438">
        <w:t>–1</w:t>
      </w:r>
      <w:r>
        <w:t>5</w:t>
      </w:r>
      <w:r w:rsidRPr="009D7438">
        <w:t xml:space="preserve"> </w:t>
      </w:r>
      <w:r>
        <w:t>access arrangement period</w:t>
      </w:r>
    </w:p>
    <w:p w:rsidR="00CE53F9" w:rsidRDefault="004F51BC" w:rsidP="00CE53F9">
      <w:pPr>
        <w:pStyle w:val="AERbulletlistfirststyle"/>
      </w:pPr>
      <w:proofErr w:type="gramStart"/>
      <w:r w:rsidRPr="009D7438">
        <w:t>comparable</w:t>
      </w:r>
      <w:proofErr w:type="gramEnd"/>
      <w:r w:rsidRPr="009D7438">
        <w:t xml:space="preserve"> with the standard asset lives approved in our recent determinations for other gas distribution service providers.</w:t>
      </w:r>
      <w:r w:rsidRPr="004F51BC">
        <w:rPr>
          <w:rStyle w:val="FootnoteReference"/>
        </w:rPr>
        <w:footnoteReference w:id="12"/>
      </w:r>
      <w:r w:rsidRPr="009D7438">
        <w:t xml:space="preserve"> </w:t>
      </w:r>
    </w:p>
    <w:p w:rsidR="00CE53F9" w:rsidRDefault="00CE53F9" w:rsidP="000D4468">
      <w:pPr>
        <w:pStyle w:val="AERbulletlistfirststyle"/>
        <w:numPr>
          <w:ilvl w:val="0"/>
          <w:numId w:val="0"/>
        </w:numPr>
      </w:pPr>
      <w:r w:rsidRPr="00CE53F9">
        <w:t xml:space="preserve">In our draft decision we created a 'Land and easement' asset class for </w:t>
      </w:r>
      <w:r>
        <w:t>ActewAGL'</w:t>
      </w:r>
      <w:r w:rsidRPr="00CE53F9">
        <w:t>s forecast land capex in</w:t>
      </w:r>
      <w:r>
        <w:t xml:space="preserve"> 2015–16 and</w:t>
      </w:r>
      <w:r w:rsidRPr="00CE53F9">
        <w:t xml:space="preserve"> the 2016–21 access arrangement period, which was not assigned a standard asset life as land assets do not depreciate. </w:t>
      </w:r>
      <w:r>
        <w:t>ActewAGL's</w:t>
      </w:r>
      <w:r w:rsidRPr="00CE53F9">
        <w:t xml:space="preserve"> revised proposal adopted our draft decision for this new asset class.</w:t>
      </w:r>
      <w:r w:rsidRPr="00CE53F9">
        <w:rPr>
          <w:rStyle w:val="FootnoteReference"/>
        </w:rPr>
        <w:footnoteReference w:id="13"/>
      </w:r>
    </w:p>
    <w:p w:rsidR="004F51BC" w:rsidRDefault="004F51BC" w:rsidP="004F51BC">
      <w:r>
        <w:t>W</w:t>
      </w:r>
      <w:r w:rsidRPr="00F909C7">
        <w:t xml:space="preserve">e are satisfied the proposed standard </w:t>
      </w:r>
      <w:r>
        <w:t>asset</w:t>
      </w:r>
      <w:r w:rsidRPr="00F909C7">
        <w:t xml:space="preserve"> lives reflect </w:t>
      </w:r>
      <w:r>
        <w:t xml:space="preserve">the requirements of rule 89(1) of the </w:t>
      </w:r>
      <w:r w:rsidRPr="00F909C7">
        <w:t>NGR</w:t>
      </w:r>
      <w:r>
        <w:t xml:space="preserve">. </w:t>
      </w:r>
    </w:p>
    <w:p w:rsidR="004F51BC" w:rsidRDefault="004F51BC" w:rsidP="004F51BC">
      <w:r w:rsidRPr="00350754">
        <w:fldChar w:fldCharType="begin"/>
      </w:r>
      <w:r w:rsidRPr="00350754">
        <w:instrText xml:space="preserve"> REF _Ref398283146 \h </w:instrText>
      </w:r>
      <w:r>
        <w:instrText xml:space="preserve"> \* MERGEFORMAT </w:instrText>
      </w:r>
      <w:r w:rsidRPr="00350754">
        <w:fldChar w:fldCharType="separate"/>
      </w:r>
      <w:r w:rsidR="00416053">
        <w:t xml:space="preserve">Table </w:t>
      </w:r>
      <w:r w:rsidR="00416053">
        <w:t>5</w:t>
      </w:r>
      <w:r w:rsidR="00416053">
        <w:t>.</w:t>
      </w:r>
      <w:r w:rsidR="00416053">
        <w:t>3</w:t>
      </w:r>
      <w:r w:rsidRPr="00350754">
        <w:fldChar w:fldCharType="end"/>
      </w:r>
      <w:r>
        <w:t xml:space="preserve"> </w:t>
      </w:r>
      <w:r w:rsidRPr="00350754">
        <w:t xml:space="preserve">sets out our </w:t>
      </w:r>
      <w:r w:rsidR="0056777E">
        <w:t>final</w:t>
      </w:r>
      <w:r w:rsidRPr="00350754">
        <w:t xml:space="preserve"> decision on the standard </w:t>
      </w:r>
      <w:r>
        <w:t>asset lives</w:t>
      </w:r>
      <w:r w:rsidRPr="00350754">
        <w:rPr>
          <w:rStyle w:val="AERbody"/>
        </w:rPr>
        <w:t xml:space="preserve"> for </w:t>
      </w:r>
      <w:r>
        <w:t xml:space="preserve">ActewAGL </w:t>
      </w:r>
      <w:r>
        <w:rPr>
          <w:rStyle w:val="AERbody"/>
        </w:rPr>
        <w:t>over 2015–16 and the 2016–21 access arrangement period</w:t>
      </w:r>
      <w:r w:rsidRPr="00350754">
        <w:t>.</w:t>
      </w:r>
      <w:r>
        <w:t xml:space="preserve"> </w:t>
      </w:r>
    </w:p>
    <w:p w:rsidR="004F51BC" w:rsidRPr="004F51BC" w:rsidRDefault="004F51BC" w:rsidP="00D83387">
      <w:pPr>
        <w:pStyle w:val="Heading3"/>
      </w:pPr>
      <w:bookmarkStart w:id="28" w:name="_Toc403391033"/>
      <w:bookmarkStart w:id="29" w:name="_Toc403391402"/>
      <w:bookmarkStart w:id="30" w:name="_Toc404353001"/>
      <w:bookmarkStart w:id="31" w:name="_Toc428257993"/>
      <w:bookmarkStart w:id="32" w:name="_Toc451759260"/>
      <w:r w:rsidRPr="009D5ECB">
        <w:t xml:space="preserve">Remaining </w:t>
      </w:r>
      <w:r w:rsidRPr="004F51BC">
        <w:t>asset lives</w:t>
      </w:r>
      <w:bookmarkEnd w:id="28"/>
      <w:bookmarkEnd w:id="29"/>
      <w:bookmarkEnd w:id="30"/>
      <w:bookmarkEnd w:id="31"/>
      <w:bookmarkEnd w:id="32"/>
    </w:p>
    <w:p w:rsidR="00B0061E" w:rsidRDefault="00AA30C3" w:rsidP="004F51BC">
      <w:r>
        <w:t>Consistent with our draft decision, w</w:t>
      </w:r>
      <w:r w:rsidR="004F51BC" w:rsidRPr="006733E6">
        <w:t xml:space="preserve">e </w:t>
      </w:r>
      <w:r w:rsidR="004F51BC">
        <w:t xml:space="preserve">accept ActewAGL’s proposed weighted average method to calculate </w:t>
      </w:r>
      <w:r w:rsidR="004F51BC" w:rsidRPr="006733E6">
        <w:t xml:space="preserve">the remaining </w:t>
      </w:r>
      <w:r w:rsidR="004F51BC">
        <w:t xml:space="preserve">asset </w:t>
      </w:r>
      <w:r w:rsidR="004F51BC" w:rsidRPr="006733E6">
        <w:t xml:space="preserve">lives </w:t>
      </w:r>
      <w:r w:rsidR="004F51BC">
        <w:t>as at 1 July 2015</w:t>
      </w:r>
      <w:r w:rsidR="004F51BC" w:rsidRPr="006733E6">
        <w:t>.</w:t>
      </w:r>
      <w:r w:rsidR="00CF0316">
        <w:t xml:space="preserve"> </w:t>
      </w:r>
      <w:r w:rsidR="004F51BC">
        <w:t xml:space="preserve">The </w:t>
      </w:r>
      <w:r>
        <w:t xml:space="preserve">revised </w:t>
      </w:r>
      <w:r w:rsidR="004F51BC">
        <w:t>proposed method is consistent with our preferred approach</w:t>
      </w:r>
      <w:r w:rsidR="00735B94">
        <w:t>,</w:t>
      </w:r>
      <w:r w:rsidR="004F51BC">
        <w:t xml:space="preserve"> as discussed in </w:t>
      </w:r>
      <w:r>
        <w:t>attachment 5 of our draft decision</w:t>
      </w:r>
      <w:r w:rsidR="004F51BC">
        <w:t xml:space="preserve">. </w:t>
      </w:r>
      <w:r w:rsidR="003B7F43">
        <w:t xml:space="preserve">In accepting </w:t>
      </w:r>
      <w:r w:rsidR="003B7F43" w:rsidRPr="00C10EC3">
        <w:t>the weighted average method, we have updated A</w:t>
      </w:r>
      <w:r w:rsidR="003B7F43">
        <w:t>ctewAGL</w:t>
      </w:r>
      <w:r w:rsidR="003B7F43" w:rsidRPr="00C10EC3">
        <w:t>’s revised proposed remaining asset lives as at 1 July 201</w:t>
      </w:r>
      <w:r w:rsidR="003B7F43">
        <w:t>5</w:t>
      </w:r>
      <w:r w:rsidR="003B7F43" w:rsidRPr="00C10EC3">
        <w:t xml:space="preserve"> to reflect the amended capital base roll forward for the 201</w:t>
      </w:r>
      <w:r w:rsidR="003B7F43">
        <w:t>0</w:t>
      </w:r>
      <w:r w:rsidR="003B7F43" w:rsidRPr="00C10EC3">
        <w:t>–1</w:t>
      </w:r>
      <w:r w:rsidR="003B7F43">
        <w:t>5</w:t>
      </w:r>
      <w:r w:rsidR="003B7F43" w:rsidRPr="00C10EC3">
        <w:t xml:space="preserve"> access arrangement </w:t>
      </w:r>
      <w:proofErr w:type="gramStart"/>
      <w:r w:rsidR="003B7F43" w:rsidRPr="00C10EC3">
        <w:t>period</w:t>
      </w:r>
      <w:proofErr w:type="gramEnd"/>
      <w:r w:rsidR="003B7F43" w:rsidRPr="00C10EC3">
        <w:t xml:space="preserve"> (attachment 2).</w:t>
      </w:r>
    </w:p>
    <w:p w:rsidR="00B0061E" w:rsidRDefault="00C62ADF" w:rsidP="004F51BC">
      <w:r>
        <w:t xml:space="preserve">In the draft decision, we noted </w:t>
      </w:r>
      <w:r w:rsidR="004C5451" w:rsidRPr="0024222B">
        <w:t xml:space="preserve">that the remaining asset lives would be updated </w:t>
      </w:r>
      <w:r w:rsidR="004C5451">
        <w:t>for the final decision because ActewAGL'</w:t>
      </w:r>
      <w:r w:rsidR="004C5451" w:rsidRPr="0024222B">
        <w:t xml:space="preserve">s revised proposal </w:t>
      </w:r>
      <w:r w:rsidR="004C5451">
        <w:t>would i</w:t>
      </w:r>
      <w:r w:rsidR="004C5451" w:rsidRPr="0024222B">
        <w:t xml:space="preserve">nclude revisions for </w:t>
      </w:r>
      <w:r w:rsidR="004C5451">
        <w:br/>
      </w:r>
      <w:r w:rsidR="004C5451" w:rsidRPr="0024222B">
        <w:t>201</w:t>
      </w:r>
      <w:r w:rsidR="004C5451">
        <w:t>4</w:t>
      </w:r>
      <w:r w:rsidR="004C5451" w:rsidRPr="0024222B">
        <w:t>–1</w:t>
      </w:r>
      <w:r w:rsidR="004C5451">
        <w:t>5</w:t>
      </w:r>
      <w:r w:rsidR="004C5451" w:rsidRPr="0024222B">
        <w:t xml:space="preserve"> </w:t>
      </w:r>
      <w:r w:rsidR="004C5451">
        <w:t>actual</w:t>
      </w:r>
      <w:r w:rsidR="004C5451" w:rsidRPr="0024222B">
        <w:t xml:space="preserve"> capex. This is because the capex </w:t>
      </w:r>
      <w:r w:rsidR="004C5451">
        <w:t>is</w:t>
      </w:r>
      <w:r w:rsidR="004C5451" w:rsidRPr="0024222B">
        <w:t xml:space="preserve"> used to calculate the closing capital base as at 30 June 201</w:t>
      </w:r>
      <w:r w:rsidR="004C5451">
        <w:t>5</w:t>
      </w:r>
      <w:r w:rsidR="004C5451" w:rsidRPr="0024222B">
        <w:t xml:space="preserve">, which affects the calculation of remaining asset lives under </w:t>
      </w:r>
      <w:r w:rsidR="004C5451">
        <w:t>the weighted average method</w:t>
      </w:r>
      <w:r w:rsidR="004C5451" w:rsidRPr="0024222B">
        <w:t xml:space="preserve">. </w:t>
      </w:r>
      <w:r w:rsidR="004C5451">
        <w:t xml:space="preserve">As discussed in attachment 2, we have </w:t>
      </w:r>
      <w:r w:rsidR="003B7F43">
        <w:t>updated</w:t>
      </w:r>
      <w:r w:rsidR="004C5451">
        <w:t xml:space="preserve"> </w:t>
      </w:r>
      <w:r w:rsidR="003B7F43">
        <w:t>ActewAGL's</w:t>
      </w:r>
      <w:r w:rsidR="004C5451">
        <w:t xml:space="preserve"> opening </w:t>
      </w:r>
      <w:bookmarkStart w:id="33" w:name="_GoBack"/>
      <w:r w:rsidR="004C5451">
        <w:t xml:space="preserve">capital base at 1 July 2015 </w:t>
      </w:r>
      <w:r w:rsidR="00AF33C3">
        <w:t>to reflect ActewAGL's updated revised actual</w:t>
      </w:r>
      <w:r w:rsidR="003B7F43">
        <w:t xml:space="preserve"> capex for</w:t>
      </w:r>
      <w:r w:rsidR="004C5451">
        <w:t xml:space="preserve"> 2014–15. </w:t>
      </w:r>
      <w:r w:rsidR="00B0061E">
        <w:t>We</w:t>
      </w:r>
      <w:r w:rsidR="003B7F43">
        <w:t xml:space="preserve"> also</w:t>
      </w:r>
      <w:r w:rsidR="00B0061E">
        <w:t xml:space="preserve"> note that ActewAGL</w:t>
      </w:r>
      <w:r w:rsidR="00AA30C3">
        <w:t>'s revised proposal</w:t>
      </w:r>
      <w:r w:rsidR="00B0061E">
        <w:t xml:space="preserve"> corrected an error in its RFM for the reported allocation of actual capex between </w:t>
      </w:r>
      <w:r w:rsidR="003B7F43">
        <w:t>the 'contract meters' and 'tariff meters'</w:t>
      </w:r>
      <w:r w:rsidR="00B0061E">
        <w:t xml:space="preserve"> asset class, </w:t>
      </w:r>
      <w:r w:rsidR="00F13F85">
        <w:t>which causes</w:t>
      </w:r>
      <w:r w:rsidR="00B0061E">
        <w:t xml:space="preserve"> a minor change to the remaining asset lives</w:t>
      </w:r>
      <w:r w:rsidR="00AA30C3">
        <w:t xml:space="preserve"> from the draft decision</w:t>
      </w:r>
      <w:r w:rsidR="00B0061E">
        <w:t>.</w:t>
      </w:r>
    </w:p>
    <w:p w:rsidR="004F51BC" w:rsidRDefault="00E04C80" w:rsidP="004F51BC">
      <w:r>
        <w:fldChar w:fldCharType="begin"/>
      </w:r>
      <w:r>
        <w:instrText xml:space="preserve"> REF _Ref398283146 \h </w:instrText>
      </w:r>
      <w:r>
        <w:fldChar w:fldCharType="separate"/>
      </w:r>
      <w:r w:rsidR="00416053">
        <w:t xml:space="preserve">Table </w:t>
      </w:r>
      <w:r w:rsidR="00416053">
        <w:rPr>
          <w:noProof/>
        </w:rPr>
        <w:t>5</w:t>
      </w:r>
      <w:r w:rsidR="00416053">
        <w:t>.</w:t>
      </w:r>
      <w:r w:rsidR="00416053">
        <w:rPr>
          <w:noProof/>
        </w:rPr>
        <w:t>3</w:t>
      </w:r>
      <w:r>
        <w:fldChar w:fldCharType="end"/>
      </w:r>
      <w:r w:rsidR="004F51BC">
        <w:t xml:space="preserve"> </w:t>
      </w:r>
      <w:r w:rsidR="004F51BC" w:rsidRPr="00350754">
        <w:t xml:space="preserve">sets out our </w:t>
      </w:r>
      <w:r w:rsidR="0056777E">
        <w:t>final</w:t>
      </w:r>
      <w:r w:rsidR="004F51BC" w:rsidRPr="00350754">
        <w:t xml:space="preserve"> decision on the remaining </w:t>
      </w:r>
      <w:r w:rsidR="004F51BC">
        <w:t>asset</w:t>
      </w:r>
      <w:r w:rsidR="004F51BC" w:rsidRPr="00350754">
        <w:t xml:space="preserve"> lives </w:t>
      </w:r>
      <w:r w:rsidR="004F51BC" w:rsidRPr="00350754">
        <w:rPr>
          <w:rStyle w:val="AERbody"/>
        </w:rPr>
        <w:t xml:space="preserve">as at </w:t>
      </w:r>
      <w:r w:rsidR="004F51BC">
        <w:rPr>
          <w:rStyle w:val="AERbody"/>
        </w:rPr>
        <w:t>1 July 2015</w:t>
      </w:r>
      <w:r w:rsidR="004F51BC" w:rsidRPr="00350754">
        <w:rPr>
          <w:rStyle w:val="AERbody"/>
        </w:rPr>
        <w:t xml:space="preserve"> for </w:t>
      </w:r>
      <w:r w:rsidR="004F51BC">
        <w:t>ActewAGL</w:t>
      </w:r>
      <w:r w:rsidR="004F51BC" w:rsidRPr="00350754">
        <w:t>.</w:t>
      </w:r>
    </w:p>
    <w:p w:rsidR="00E04C80" w:rsidRDefault="00E04C80" w:rsidP="00E04C80">
      <w:pPr>
        <w:pStyle w:val="Caption"/>
      </w:pPr>
      <w:bookmarkStart w:id="34" w:name="_Ref398283146"/>
      <w:proofErr w:type="gramStart"/>
      <w:r>
        <w:t xml:space="preserve">Table </w:t>
      </w:r>
      <w:proofErr w:type="gramEnd"/>
      <w:r w:rsidR="003C4A25">
        <w:fldChar w:fldCharType="begin"/>
      </w:r>
      <w:r w:rsidR="003C4A25">
        <w:instrText xml:space="preserve"> STYLEREF 1 \s </w:instrText>
      </w:r>
      <w:r w:rsidR="003C4A25">
        <w:fldChar w:fldCharType="separate"/>
      </w:r>
      <w:r w:rsidR="00416053">
        <w:rPr>
          <w:noProof/>
        </w:rPr>
        <w:t>5</w:t>
      </w:r>
      <w:r w:rsidR="003C4A25">
        <w:rPr>
          <w:noProof/>
        </w:rPr>
        <w:fldChar w:fldCharType="end"/>
      </w:r>
      <w:proofErr w:type="gramStart"/>
      <w:r>
        <w:t>.</w:t>
      </w:r>
      <w:proofErr w:type="gramEnd"/>
      <w:r w:rsidR="00735B94">
        <w:fldChar w:fldCharType="begin"/>
      </w:r>
      <w:r w:rsidR="00735B94">
        <w:instrText xml:space="preserve"> SEQ Table \* ARABIC \s 1 </w:instrText>
      </w:r>
      <w:r w:rsidR="00735B94">
        <w:fldChar w:fldCharType="separate"/>
      </w:r>
      <w:r w:rsidR="00416053">
        <w:rPr>
          <w:noProof/>
        </w:rPr>
        <w:t>3</w:t>
      </w:r>
      <w:r w:rsidR="00735B94">
        <w:rPr>
          <w:noProof/>
        </w:rPr>
        <w:fldChar w:fldCharType="end"/>
      </w:r>
      <w:bookmarkEnd w:id="34"/>
      <w:r w:rsidRPr="009D5ECB">
        <w:tab/>
        <w:t xml:space="preserve">AER's </w:t>
      </w:r>
      <w:r w:rsidR="002D7267">
        <w:t>final</w:t>
      </w:r>
      <w:r w:rsidRPr="009D5ECB">
        <w:t xml:space="preserve"> decision on </w:t>
      </w:r>
      <w:r w:rsidRPr="009C7CF6">
        <w:t>ActewAGL</w:t>
      </w:r>
      <w:r>
        <w:t>’s</w:t>
      </w:r>
      <w:r w:rsidRPr="009D5ECB">
        <w:t xml:space="preserve"> </w:t>
      </w:r>
      <w:r>
        <w:t xml:space="preserve">standard and </w:t>
      </w:r>
      <w:r w:rsidRPr="009D5ECB">
        <w:t xml:space="preserve">remaining </w:t>
      </w:r>
      <w:r>
        <w:t>asset</w:t>
      </w:r>
      <w:r w:rsidRPr="009D5ECB">
        <w:t xml:space="preserve"> lives as at </w:t>
      </w:r>
      <w:r>
        <w:t>1 July 2015</w:t>
      </w:r>
      <w:r w:rsidRPr="009D5ECB">
        <w:t xml:space="preserve"> (years)</w:t>
      </w:r>
    </w:p>
    <w:tbl>
      <w:tblPr>
        <w:tblStyle w:val="AERtable-numbers"/>
        <w:tblW w:w="8755" w:type="dxa"/>
        <w:tblLayout w:type="fixed"/>
        <w:tblLook w:val="04A0" w:firstRow="1" w:lastRow="0" w:firstColumn="1" w:lastColumn="0" w:noHBand="0" w:noVBand="1"/>
      </w:tblPr>
      <w:tblGrid>
        <w:gridCol w:w="4100"/>
        <w:gridCol w:w="2245"/>
        <w:gridCol w:w="2410"/>
      </w:tblGrid>
      <w:tr w:rsidR="00E04C80" w:rsidRPr="000D774E" w:rsidTr="007C526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E04C80" w:rsidRPr="0071236A" w:rsidRDefault="00E04C80" w:rsidP="0071236A"/>
        </w:tc>
        <w:tc>
          <w:tcPr>
            <w:tcW w:w="2245" w:type="dxa"/>
          </w:tcPr>
          <w:p w:rsidR="00E04C80" w:rsidRPr="0071236A" w:rsidRDefault="00E04C80" w:rsidP="0071236A">
            <w:pPr>
              <w:cnfStyle w:val="100000000000" w:firstRow="1" w:lastRow="0" w:firstColumn="0" w:lastColumn="0" w:oddVBand="0" w:evenVBand="0" w:oddHBand="0" w:evenHBand="0" w:firstRowFirstColumn="0" w:firstRowLastColumn="0" w:lastRowFirstColumn="0" w:lastRowLastColumn="0"/>
            </w:pPr>
            <w:r w:rsidRPr="0071236A">
              <w:t xml:space="preserve">Standard asset life </w:t>
            </w:r>
          </w:p>
        </w:tc>
        <w:tc>
          <w:tcPr>
            <w:tcW w:w="2410" w:type="dxa"/>
          </w:tcPr>
          <w:p w:rsidR="00E04C80" w:rsidRPr="0071236A" w:rsidRDefault="00E04C80">
            <w:pPr>
              <w:cnfStyle w:val="100000000000" w:firstRow="1" w:lastRow="0" w:firstColumn="0" w:lastColumn="0" w:oddVBand="0" w:evenVBand="0" w:oddHBand="0" w:evenHBand="0" w:firstRowFirstColumn="0" w:firstRowLastColumn="0" w:lastRowFirstColumn="0" w:lastRowLastColumn="0"/>
            </w:pPr>
            <w:r w:rsidRPr="0071236A">
              <w:t>Remaining asset life</w:t>
            </w:r>
          </w:p>
        </w:tc>
      </w:tr>
      <w:bookmarkEnd w:id="33"/>
      <w:tr w:rsidR="00B41C4D" w:rsidRPr="000D774E" w:rsidTr="00256518">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HP mains</w:t>
            </w:r>
          </w:p>
        </w:tc>
        <w:tc>
          <w:tcPr>
            <w:tcW w:w="2245" w:type="dxa"/>
            <w:vAlign w:val="bottom"/>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80</w:t>
            </w:r>
          </w:p>
        </w:tc>
        <w:tc>
          <w:tcPr>
            <w:tcW w:w="2410" w:type="dxa"/>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64.2</w:t>
            </w:r>
          </w:p>
        </w:tc>
      </w:tr>
      <w:tr w:rsidR="00B41C4D" w:rsidRPr="000D774E" w:rsidTr="0025651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HP services</w:t>
            </w:r>
          </w:p>
        </w:tc>
        <w:tc>
          <w:tcPr>
            <w:tcW w:w="2245" w:type="dxa"/>
            <w:vAlign w:val="bottom"/>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50</w:t>
            </w:r>
          </w:p>
        </w:tc>
        <w:tc>
          <w:tcPr>
            <w:tcW w:w="2410" w:type="dxa"/>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27.5</w:t>
            </w:r>
          </w:p>
        </w:tc>
      </w:tr>
      <w:tr w:rsidR="00B41C4D" w:rsidRPr="000D774E" w:rsidTr="00256518">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MP mains</w:t>
            </w:r>
          </w:p>
        </w:tc>
        <w:tc>
          <w:tcPr>
            <w:tcW w:w="2245" w:type="dxa"/>
            <w:vAlign w:val="bottom"/>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50</w:t>
            </w:r>
          </w:p>
        </w:tc>
        <w:tc>
          <w:tcPr>
            <w:tcW w:w="2410" w:type="dxa"/>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27.3</w:t>
            </w:r>
          </w:p>
        </w:tc>
      </w:tr>
      <w:tr w:rsidR="00B41C4D" w:rsidRPr="000D774E" w:rsidTr="0025651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MP services</w:t>
            </w:r>
          </w:p>
        </w:tc>
        <w:tc>
          <w:tcPr>
            <w:tcW w:w="2245" w:type="dxa"/>
            <w:vAlign w:val="bottom"/>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50</w:t>
            </w:r>
          </w:p>
        </w:tc>
        <w:tc>
          <w:tcPr>
            <w:tcW w:w="2410" w:type="dxa"/>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37.6</w:t>
            </w:r>
          </w:p>
        </w:tc>
      </w:tr>
      <w:tr w:rsidR="00B41C4D" w:rsidRPr="000D774E" w:rsidTr="00256518">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TRS &amp; DRS — valves &amp; regulators</w:t>
            </w:r>
          </w:p>
        </w:tc>
        <w:tc>
          <w:tcPr>
            <w:tcW w:w="2245" w:type="dxa"/>
            <w:vAlign w:val="bottom"/>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15</w:t>
            </w:r>
          </w:p>
        </w:tc>
        <w:tc>
          <w:tcPr>
            <w:tcW w:w="2410" w:type="dxa"/>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11.6</w:t>
            </w:r>
          </w:p>
        </w:tc>
      </w:tr>
      <w:tr w:rsidR="00B41C4D" w:rsidRPr="000D774E" w:rsidTr="0025651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Contract meters</w:t>
            </w:r>
            <w:r w:rsidR="00402F88" w:rsidRPr="00256518">
              <w:rPr>
                <w:rStyle w:val="AERsuperscript"/>
              </w:rPr>
              <w:t>(a)</w:t>
            </w:r>
          </w:p>
        </w:tc>
        <w:tc>
          <w:tcPr>
            <w:tcW w:w="2245" w:type="dxa"/>
            <w:vAlign w:val="bottom"/>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15</w:t>
            </w:r>
          </w:p>
        </w:tc>
        <w:tc>
          <w:tcPr>
            <w:tcW w:w="2410" w:type="dxa"/>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1.0</w:t>
            </w:r>
          </w:p>
        </w:tc>
      </w:tr>
      <w:tr w:rsidR="00B41C4D" w:rsidRPr="000D774E" w:rsidTr="00256518">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Tariff meters</w:t>
            </w:r>
          </w:p>
        </w:tc>
        <w:tc>
          <w:tcPr>
            <w:tcW w:w="2245" w:type="dxa"/>
            <w:vAlign w:val="bottom"/>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15</w:t>
            </w:r>
          </w:p>
        </w:tc>
        <w:tc>
          <w:tcPr>
            <w:tcW w:w="2410" w:type="dxa"/>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11.6</w:t>
            </w:r>
          </w:p>
        </w:tc>
      </w:tr>
      <w:tr w:rsidR="00B41C4D" w:rsidRPr="000D774E" w:rsidTr="0025651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Regulatory costs</w:t>
            </w:r>
            <w:r w:rsidR="00402F88" w:rsidRPr="00402F88">
              <w:rPr>
                <w:rStyle w:val="AERsuperscript"/>
              </w:rPr>
              <w:t>(a)</w:t>
            </w:r>
          </w:p>
        </w:tc>
        <w:tc>
          <w:tcPr>
            <w:tcW w:w="2245" w:type="dxa"/>
            <w:vAlign w:val="bottom"/>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5</w:t>
            </w:r>
          </w:p>
        </w:tc>
        <w:tc>
          <w:tcPr>
            <w:tcW w:w="2410" w:type="dxa"/>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1.0</w:t>
            </w:r>
          </w:p>
        </w:tc>
      </w:tr>
      <w:tr w:rsidR="00B41C4D" w:rsidRPr="000D774E" w:rsidTr="00256518">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IT system</w:t>
            </w:r>
          </w:p>
        </w:tc>
        <w:tc>
          <w:tcPr>
            <w:tcW w:w="2245" w:type="dxa"/>
            <w:vAlign w:val="bottom"/>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5</w:t>
            </w:r>
          </w:p>
        </w:tc>
        <w:tc>
          <w:tcPr>
            <w:tcW w:w="2410" w:type="dxa"/>
          </w:tcPr>
          <w:p w:rsidR="00B41C4D" w:rsidRPr="00B41C4D" w:rsidRDefault="00B41C4D" w:rsidP="00B41C4D">
            <w:pPr>
              <w:cnfStyle w:val="000000000000" w:firstRow="0" w:lastRow="0" w:firstColumn="0" w:lastColumn="0" w:oddVBand="0" w:evenVBand="0" w:oddHBand="0" w:evenHBand="0" w:firstRowFirstColumn="0" w:firstRowLastColumn="0" w:lastRowFirstColumn="0" w:lastRowLastColumn="0"/>
            </w:pPr>
            <w:r w:rsidRPr="00B41C4D">
              <w:t>5.4</w:t>
            </w:r>
          </w:p>
        </w:tc>
      </w:tr>
      <w:tr w:rsidR="00B41C4D" w:rsidRPr="000D774E" w:rsidTr="0025651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41C4D" w:rsidRPr="00B41C4D" w:rsidRDefault="00B41C4D" w:rsidP="00B41C4D">
            <w:r w:rsidRPr="00B41C4D">
              <w:t>Land and easement</w:t>
            </w:r>
          </w:p>
        </w:tc>
        <w:tc>
          <w:tcPr>
            <w:tcW w:w="2245" w:type="dxa"/>
            <w:vAlign w:val="bottom"/>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n/a</w:t>
            </w:r>
          </w:p>
        </w:tc>
        <w:tc>
          <w:tcPr>
            <w:tcW w:w="2410" w:type="dxa"/>
          </w:tcPr>
          <w:p w:rsidR="00B41C4D" w:rsidRPr="00B41C4D" w:rsidRDefault="00B41C4D" w:rsidP="00B41C4D">
            <w:pPr>
              <w:cnfStyle w:val="000000010000" w:firstRow="0" w:lastRow="0" w:firstColumn="0" w:lastColumn="0" w:oddVBand="0" w:evenVBand="0" w:oddHBand="0" w:evenHBand="1" w:firstRowFirstColumn="0" w:firstRowLastColumn="0" w:lastRowFirstColumn="0" w:lastRowLastColumn="0"/>
            </w:pPr>
            <w:r w:rsidRPr="00B41C4D">
              <w:t>n/a</w:t>
            </w:r>
          </w:p>
        </w:tc>
      </w:tr>
    </w:tbl>
    <w:p w:rsidR="00E04C80" w:rsidRDefault="00E04C80" w:rsidP="00E04C80">
      <w:pPr>
        <w:pStyle w:val="AERtablesource"/>
      </w:pPr>
      <w:r w:rsidRPr="009D5ECB">
        <w:t>Source:</w:t>
      </w:r>
      <w:r w:rsidRPr="009D5ECB">
        <w:tab/>
        <w:t xml:space="preserve">AER analysis. </w:t>
      </w:r>
    </w:p>
    <w:p w:rsidR="00402F88" w:rsidRPr="00402F88" w:rsidRDefault="00402F88" w:rsidP="00402F88">
      <w:pPr>
        <w:pStyle w:val="AERtablesource"/>
      </w:pPr>
      <w:r>
        <w:t>(a)</w:t>
      </w:r>
      <w:r>
        <w:tab/>
      </w:r>
      <w:r w:rsidRPr="00402F88">
        <w:t xml:space="preserve">The remaining </w:t>
      </w:r>
      <w:r>
        <w:t>asset lives</w:t>
      </w:r>
      <w:r w:rsidRPr="00402F88">
        <w:t xml:space="preserve"> as at 1 July 2015 for the ‘</w:t>
      </w:r>
      <w:r>
        <w:t>Contract meters</w:t>
      </w:r>
      <w:r w:rsidRPr="00402F88">
        <w:t>’</w:t>
      </w:r>
      <w:r>
        <w:t xml:space="preserve"> and 'Regulatory costs'</w:t>
      </w:r>
      <w:r w:rsidRPr="00402F88">
        <w:t xml:space="preserve"> asset class</w:t>
      </w:r>
      <w:r>
        <w:t>es</w:t>
      </w:r>
      <w:r w:rsidRPr="00402F88">
        <w:t xml:space="preserve"> </w:t>
      </w:r>
      <w:r>
        <w:t>are</w:t>
      </w:r>
      <w:r w:rsidR="00AF33C3">
        <w:t xml:space="preserve"> set to one</w:t>
      </w:r>
      <w:r w:rsidRPr="00402F88">
        <w:t xml:space="preserve"> year in order to fully depreciate the small residual </w:t>
      </w:r>
      <w:r w:rsidR="00AF33C3">
        <w:t>capital</w:t>
      </w:r>
      <w:r>
        <w:t xml:space="preserve"> base value for these</w:t>
      </w:r>
      <w:r w:rsidRPr="00402F88">
        <w:t xml:space="preserve"> asset class</w:t>
      </w:r>
      <w:r>
        <w:t>es</w:t>
      </w:r>
      <w:r w:rsidRPr="00402F88">
        <w:t xml:space="preserve"> within 2015–16 and the 2016–21 access arrangement period.</w:t>
      </w:r>
    </w:p>
    <w:p w:rsidR="004F51BC" w:rsidRPr="004F51BC" w:rsidRDefault="00B41C4D" w:rsidP="00256518">
      <w:pPr>
        <w:pStyle w:val="AERtablesource"/>
      </w:pPr>
      <w:proofErr w:type="gramStart"/>
      <w:r>
        <w:t>n/a</w:t>
      </w:r>
      <w:proofErr w:type="gramEnd"/>
      <w:r>
        <w:tab/>
        <w:t>Not applicable.</w:t>
      </w:r>
    </w:p>
    <w:sectPr w:rsidR="004F51BC" w:rsidRPr="004F51BC"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AB" w:rsidRPr="00290C63" w:rsidRDefault="00F525AB" w:rsidP="00290C63">
      <w:r>
        <w:separator/>
      </w:r>
    </w:p>
    <w:p w:rsidR="00F525AB" w:rsidRDefault="00F525AB"/>
  </w:endnote>
  <w:endnote w:type="continuationSeparator" w:id="0">
    <w:p w:rsidR="00F525AB" w:rsidRPr="00290C63" w:rsidRDefault="00F525AB" w:rsidP="00290C63">
      <w:r>
        <w:continuationSeparator/>
      </w:r>
    </w:p>
    <w:p w:rsidR="00F525AB" w:rsidRDefault="00F52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AB" w:rsidRDefault="00F525A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525AB" w:rsidRDefault="00F525AB">
    <w:pPr>
      <w:pStyle w:val="Footer"/>
    </w:pPr>
  </w:p>
  <w:p w:rsidR="00F525AB" w:rsidRDefault="00F525AB">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F525AB" w:rsidRPr="00CA52A2" w:rsidRDefault="00F525AB" w:rsidP="00CA52A2">
        <w:pPr>
          <w:pStyle w:val="Footer"/>
        </w:pPr>
        <w:r w:rsidRPr="00CA52A2">
          <w:fldChar w:fldCharType="begin"/>
        </w:r>
        <w:r>
          <w:instrText xml:space="preserve"> PAGE   \* MERGEFORMAT </w:instrText>
        </w:r>
        <w:r w:rsidRPr="00CA52A2">
          <w:fldChar w:fldCharType="separate"/>
        </w:r>
        <w:r w:rsidR="003C4A25">
          <w:rPr>
            <w:noProof/>
          </w:rPr>
          <w:t>5-10</w:t>
        </w:r>
        <w:r w:rsidRPr="00CA52A2">
          <w:fldChar w:fldCharType="end"/>
        </w:r>
        <w:r w:rsidRPr="00CA52A2">
          <w:t xml:space="preserve">          Attachment </w:t>
        </w:r>
        <w:r>
          <w:t xml:space="preserve">5 </w:t>
        </w:r>
        <w:r w:rsidRPr="00CA52A2">
          <w:t xml:space="preserve">– </w:t>
        </w:r>
        <w:r>
          <w:t xml:space="preserve">Regulatory depreciation </w:t>
        </w:r>
        <w:r w:rsidRPr="00CA52A2">
          <w:t xml:space="preserve">| </w:t>
        </w:r>
        <w:r>
          <w:t>Final decision: ActewAGL Distribution Access Arrangement 2016</w:t>
        </w:r>
        <w:r w:rsidRPr="00CA52A2">
          <w:t>–</w:t>
        </w:r>
        <w:r>
          <w:t>21</w:t>
        </w:r>
      </w:p>
    </w:sdtContent>
  </w:sdt>
  <w:p w:rsidR="00F525AB" w:rsidRDefault="00F525AB">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AB" w:rsidRPr="00290C63" w:rsidRDefault="00F525AB" w:rsidP="00290C63">
      <w:r>
        <w:separator/>
      </w:r>
    </w:p>
    <w:p w:rsidR="00F525AB" w:rsidRDefault="00F525AB"/>
  </w:footnote>
  <w:footnote w:type="continuationSeparator" w:id="0">
    <w:p w:rsidR="00F525AB" w:rsidRPr="00290C63" w:rsidRDefault="00F525AB" w:rsidP="00290C63">
      <w:r>
        <w:continuationSeparator/>
      </w:r>
    </w:p>
    <w:p w:rsidR="00F525AB" w:rsidRDefault="00F525AB"/>
  </w:footnote>
  <w:footnote w:id="1">
    <w:p w:rsidR="00F525AB" w:rsidRDefault="00F525AB" w:rsidP="004F51BC">
      <w:pPr>
        <w:pStyle w:val="FootnoteText"/>
      </w:pPr>
      <w:r>
        <w:rPr>
          <w:rStyle w:val="FootnoteReference"/>
        </w:rPr>
        <w:footnoteRef/>
      </w:r>
      <w:r>
        <w:t xml:space="preserve"> </w:t>
      </w:r>
      <w:r>
        <w:tab/>
      </w:r>
      <w:proofErr w:type="gramStart"/>
      <w:r>
        <w:t>NGR, r. 76(b).</w:t>
      </w:r>
      <w:proofErr w:type="gramEnd"/>
    </w:p>
  </w:footnote>
  <w:footnote w:id="2">
    <w:p w:rsidR="00F525AB" w:rsidRDefault="00F525AB" w:rsidP="004F51BC">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F525AB" w:rsidRDefault="00F525AB" w:rsidP="004F51BC">
      <w:pPr>
        <w:pStyle w:val="FootnoteText"/>
      </w:pPr>
      <w:r>
        <w:rPr>
          <w:rStyle w:val="FootnoteReference"/>
        </w:rPr>
        <w:footnoteRef/>
      </w:r>
      <w:r>
        <w:t xml:space="preserve"> </w:t>
      </w:r>
      <w:r>
        <w:tab/>
        <w:t>The term ‘standard asset life’ is also referred to as ‘</w:t>
      </w:r>
      <w:r w:rsidRPr="003B3083">
        <w:t xml:space="preserve">standard </w:t>
      </w:r>
      <w:r>
        <w:t xml:space="preserve">economic </w:t>
      </w:r>
      <w:r w:rsidRPr="003B3083">
        <w:t>life</w:t>
      </w:r>
      <w:r>
        <w:t>’, ‘asset life’, ‘economic asset life’ or (in ActewAGL’s revised proposal) ‘standard life’.</w:t>
      </w:r>
    </w:p>
  </w:footnote>
  <w:footnote w:id="4">
    <w:p w:rsidR="00F525AB" w:rsidRDefault="00F525AB" w:rsidP="004F51BC">
      <w:pPr>
        <w:pStyle w:val="FootnoteText"/>
      </w:pPr>
      <w:r>
        <w:rPr>
          <w:rStyle w:val="FootnoteReference"/>
        </w:rPr>
        <w:footnoteRef/>
      </w:r>
      <w:r>
        <w:t xml:space="preserve"> </w:t>
      </w:r>
      <w:r>
        <w:tab/>
      </w:r>
      <w:proofErr w:type="gramStart"/>
      <w:r>
        <w:t>The term ‘remaining asset life’ is also referred to as ‘remaining economic life’ or (in ActewAGL’s revised proposal) ‘remaining life’.</w:t>
      </w:r>
      <w:proofErr w:type="gramEnd"/>
      <w:r>
        <w:t xml:space="preserve"> </w:t>
      </w:r>
    </w:p>
  </w:footnote>
  <w:footnote w:id="5">
    <w:p w:rsidR="00F525AB" w:rsidRDefault="00F525AB" w:rsidP="004F51BC">
      <w:pPr>
        <w:pStyle w:val="FootnoteText"/>
      </w:pPr>
      <w:r>
        <w:rPr>
          <w:rStyle w:val="FootnoteReference"/>
        </w:rPr>
        <w:footnoteRef/>
      </w:r>
      <w:r>
        <w:t xml:space="preserve"> </w:t>
      </w:r>
      <w:r>
        <w:tab/>
        <w:t xml:space="preserve">This reflects the total of the depreciation allowance for 2015–16 and the 2016–21 access arrangement </w:t>
      </w:r>
      <w:proofErr w:type="gramStart"/>
      <w:r>
        <w:t>period</w:t>
      </w:r>
      <w:proofErr w:type="gramEnd"/>
      <w:r>
        <w:t xml:space="preserve">. The </w:t>
      </w:r>
      <w:r w:rsidR="00B95AFE">
        <w:t xml:space="preserve">revised </w:t>
      </w:r>
      <w:r>
        <w:t xml:space="preserve">proposed </w:t>
      </w:r>
      <w:r w:rsidR="00B75CF9">
        <w:t xml:space="preserve">regulatory </w:t>
      </w:r>
      <w:r>
        <w:t xml:space="preserve">depreciation allowance </w:t>
      </w:r>
      <w:r w:rsidR="00B75CF9">
        <w:t xml:space="preserve">is $4.4 million ($nominal) </w:t>
      </w:r>
      <w:r>
        <w:t xml:space="preserve">for 2015–16 and $35.2 million ($nominal) for </w:t>
      </w:r>
      <w:r w:rsidR="00B75CF9">
        <w:t xml:space="preserve">the </w:t>
      </w:r>
      <w:r>
        <w:t>2016–21 access arrangement period.</w:t>
      </w:r>
    </w:p>
  </w:footnote>
  <w:footnote w:id="6">
    <w:p w:rsidR="00B75CF9" w:rsidRDefault="00B75CF9">
      <w:pPr>
        <w:pStyle w:val="FootnoteText"/>
      </w:pPr>
      <w:r>
        <w:rPr>
          <w:rStyle w:val="FootnoteReference"/>
        </w:rPr>
        <w:footnoteRef/>
      </w:r>
      <w:r>
        <w:t xml:space="preserve"> </w:t>
      </w:r>
      <w:r>
        <w:tab/>
      </w:r>
      <w:proofErr w:type="gramStart"/>
      <w:r>
        <w:t>ActewAGL,</w:t>
      </w:r>
      <w:r w:rsidRPr="00CE53F9">
        <w:rPr>
          <w:rStyle w:val="AERtextitalic"/>
        </w:rPr>
        <w:t xml:space="preserve"> Response to the AER's draft decision - 2016–21 Queanbeyan and Palerang Gas Network Access Arrangement</w:t>
      </w:r>
      <w:r>
        <w:t>, January 2016, pp. 30–31.</w:t>
      </w:r>
      <w:proofErr w:type="gramEnd"/>
      <w:r>
        <w:t xml:space="preserve">   </w:t>
      </w:r>
    </w:p>
  </w:footnote>
  <w:footnote w:id="7">
    <w:p w:rsidR="00F525AB" w:rsidRDefault="00F525AB">
      <w:pPr>
        <w:pStyle w:val="FootnoteText"/>
      </w:pPr>
      <w:r>
        <w:rPr>
          <w:rStyle w:val="FootnoteReference"/>
        </w:rPr>
        <w:footnoteRef/>
      </w:r>
      <w:r>
        <w:t xml:space="preserve"> </w:t>
      </w:r>
      <w:r>
        <w:tab/>
        <w:t xml:space="preserve">AER, </w:t>
      </w:r>
      <w:r w:rsidRPr="00CA544A">
        <w:rPr>
          <w:rStyle w:val="AERtextitalic"/>
        </w:rPr>
        <w:t>Draft decision</w:t>
      </w:r>
      <w:r w:rsidR="00B75CF9">
        <w:rPr>
          <w:rStyle w:val="AERtextitalic"/>
        </w:rPr>
        <w:t>: ActewAGL Distribution access arrangement 2016–21</w:t>
      </w:r>
      <w:r w:rsidR="00C42DF7">
        <w:rPr>
          <w:rStyle w:val="AERtextitalic"/>
        </w:rPr>
        <w:t xml:space="preserve"> - A</w:t>
      </w:r>
      <w:r w:rsidRPr="00CA544A">
        <w:rPr>
          <w:rStyle w:val="AERtextitalic"/>
        </w:rPr>
        <w:t>ttachment 5</w:t>
      </w:r>
      <w:r w:rsidR="00C42DF7">
        <w:rPr>
          <w:rStyle w:val="AERtextitalic"/>
        </w:rPr>
        <w:t xml:space="preserve"> – Regulatory depreciation</w:t>
      </w:r>
      <w:r w:rsidRPr="00CA544A">
        <w:rPr>
          <w:rStyle w:val="AERtextitalic"/>
        </w:rPr>
        <w:t>,</w:t>
      </w:r>
      <w:r>
        <w:t xml:space="preserve"> November 2015.pp. 8-12.</w:t>
      </w:r>
    </w:p>
  </w:footnote>
  <w:footnote w:id="8">
    <w:p w:rsidR="00F525AB" w:rsidRDefault="00F525AB" w:rsidP="004F51BC">
      <w:pPr>
        <w:pStyle w:val="FootnoteText"/>
      </w:pPr>
      <w:r>
        <w:rPr>
          <w:rStyle w:val="FootnoteReference"/>
        </w:rPr>
        <w:footnoteRef/>
      </w:r>
      <w:r>
        <w:t xml:space="preserve"> </w:t>
      </w:r>
      <w:r>
        <w:tab/>
        <w:t xml:space="preserve">This reflects the total of the </w:t>
      </w:r>
      <w:r w:rsidR="00B95AFE">
        <w:t xml:space="preserve">regulatory </w:t>
      </w:r>
      <w:r>
        <w:t xml:space="preserve">depreciation allowance for 2015–16 and the 2016–21 access arrangement </w:t>
      </w:r>
      <w:proofErr w:type="gramStart"/>
      <w:r>
        <w:t>period</w:t>
      </w:r>
      <w:proofErr w:type="gramEnd"/>
      <w:r>
        <w:t>. The</w:t>
      </w:r>
      <w:r w:rsidR="00B95AFE">
        <w:t xml:space="preserve"> final decision</w:t>
      </w:r>
      <w:r>
        <w:t xml:space="preserve"> </w:t>
      </w:r>
      <w:r w:rsidR="00B95AFE">
        <w:t xml:space="preserve">regulatory </w:t>
      </w:r>
      <w:r>
        <w:t xml:space="preserve">deprecation allowance </w:t>
      </w:r>
      <w:r w:rsidR="00B95AFE">
        <w:t xml:space="preserve">is $4.4 million ($nominal) for </w:t>
      </w:r>
      <w:r>
        <w:t>2015–16 and $</w:t>
      </w:r>
      <w:r w:rsidR="00B95AFE">
        <w:t>35.0</w:t>
      </w:r>
      <w:r>
        <w:t xml:space="preserve"> million </w:t>
      </w:r>
      <w:r w:rsidR="00B95AFE">
        <w:t xml:space="preserve">($nominal) </w:t>
      </w:r>
      <w:r>
        <w:t xml:space="preserve">for </w:t>
      </w:r>
      <w:r w:rsidR="00B95AFE">
        <w:t xml:space="preserve">the </w:t>
      </w:r>
      <w:r>
        <w:t>2016–21 access arrangement period.</w:t>
      </w:r>
    </w:p>
  </w:footnote>
  <w:footnote w:id="9">
    <w:p w:rsidR="00F525AB" w:rsidRDefault="00F525AB" w:rsidP="005B098A">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88–90.</w:t>
      </w:r>
      <w:proofErr w:type="gramEnd"/>
    </w:p>
  </w:footnote>
  <w:footnote w:id="10">
    <w:p w:rsidR="00F525AB" w:rsidRDefault="00F525AB" w:rsidP="005B098A">
      <w:pPr>
        <w:pStyle w:val="FootnoteText"/>
      </w:pPr>
      <w:r>
        <w:rPr>
          <w:rStyle w:val="FootnoteReference"/>
        </w:rPr>
        <w:footnoteRef/>
      </w:r>
      <w:r>
        <w:t xml:space="preserve"> </w:t>
      </w:r>
      <w:r>
        <w:tab/>
        <w:t xml:space="preserve">ActewAGL specifically mentioned the credit metric </w:t>
      </w:r>
      <w:r w:rsidRPr="004D0B41">
        <w:rPr>
          <w:rStyle w:val="AERtextitalic"/>
        </w:rPr>
        <w:t xml:space="preserve">Funds </w:t>
      </w:r>
      <w:proofErr w:type="gramStart"/>
      <w:r w:rsidRPr="004D0B41">
        <w:rPr>
          <w:rStyle w:val="AERtextitalic"/>
        </w:rPr>
        <w:t>From</w:t>
      </w:r>
      <w:proofErr w:type="gramEnd"/>
      <w:r w:rsidRPr="004D0B41">
        <w:rPr>
          <w:rStyle w:val="AERtextitalic"/>
        </w:rPr>
        <w:t xml:space="preserve"> Operations (FFO) to Debt</w:t>
      </w:r>
      <w:r>
        <w:t>, which is a financial ratio used by credit rating agencies.</w:t>
      </w:r>
    </w:p>
  </w:footnote>
  <w:footnote w:id="11">
    <w:p w:rsidR="00F525AB" w:rsidRDefault="00F525AB" w:rsidP="005B098A">
      <w:pPr>
        <w:pStyle w:val="FootnoteText"/>
      </w:pPr>
      <w:r>
        <w:rPr>
          <w:rStyle w:val="FootnoteReference"/>
        </w:rPr>
        <w:footnoteRef/>
      </w:r>
      <w:r>
        <w:t xml:space="preserve"> </w:t>
      </w:r>
      <w:r>
        <w:tab/>
        <w:t>NGR, r. 89(1</w:t>
      </w:r>
      <w:proofErr w:type="gramStart"/>
      <w:r>
        <w:t>)(</w:t>
      </w:r>
      <w:proofErr w:type="gramEnd"/>
      <w:r>
        <w:t>a).</w:t>
      </w:r>
    </w:p>
  </w:footnote>
  <w:footnote w:id="12">
    <w:p w:rsidR="00F525AB" w:rsidRDefault="00F525AB" w:rsidP="004F51BC">
      <w:pPr>
        <w:pStyle w:val="FootnoteText"/>
      </w:pPr>
      <w:r>
        <w:rPr>
          <w:rStyle w:val="FootnoteReference"/>
        </w:rPr>
        <w:footnoteRef/>
      </w:r>
      <w:r>
        <w:t xml:space="preserve"> </w:t>
      </w:r>
      <w:r>
        <w:tab/>
        <w:t xml:space="preserve">AER, </w:t>
      </w:r>
      <w:r>
        <w:rPr>
          <w:rStyle w:val="AERtextitalic"/>
          <w:rFonts w:eastAsia="Calibri"/>
        </w:rPr>
        <w:t>Draft</w:t>
      </w:r>
      <w:r w:rsidRPr="00D014D9">
        <w:rPr>
          <w:rStyle w:val="AERtextitalic"/>
          <w:rFonts w:eastAsia="Calibri"/>
        </w:rPr>
        <w:t xml:space="preserve"> decision: Envestra (Victoria) access arrangement proposal 2013–17 Part</w:t>
      </w:r>
      <w:r>
        <w:rPr>
          <w:rStyle w:val="AERtextitalic"/>
          <w:rFonts w:eastAsia="Calibri"/>
        </w:rPr>
        <w:t xml:space="preserve"> </w:t>
      </w:r>
      <w:r w:rsidRPr="00D014D9">
        <w:rPr>
          <w:rStyle w:val="AERtextitalic"/>
          <w:rFonts w:eastAsia="Calibri"/>
        </w:rPr>
        <w: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158</w:t>
      </w:r>
      <w:r w:rsidRPr="00D014D9">
        <w:rPr>
          <w:rFonts w:eastAsia="Calibri"/>
        </w:rPr>
        <w:t xml:space="preserve">; AER, </w:t>
      </w:r>
      <w:r>
        <w:rPr>
          <w:rStyle w:val="AERtextitalic"/>
          <w:rFonts w:eastAsia="Calibri"/>
        </w:rPr>
        <w:t>Draft</w:t>
      </w:r>
      <w:r w:rsidRPr="00D014D9">
        <w:rPr>
          <w:rStyle w:val="AERtextitalic"/>
          <w:rFonts w:eastAsia="Calibri"/>
        </w:rPr>
        <w:t xml:space="preserve"> decision: AusNet (SP AusNet) arrangement proposal 2013–17 Part</w:t>
      </w:r>
      <w:r>
        <w:rPr>
          <w:rStyle w:val="AERtextitalic"/>
          <w:rFonts w:eastAsia="Calibri"/>
        </w:rPr>
        <w:t xml:space="preserve"> </w:t>
      </w:r>
      <w:r w:rsidRPr="00D014D9">
        <w:rPr>
          <w:rStyle w:val="AERtextitalic"/>
          <w:rFonts w:eastAsia="Calibri"/>
        </w:rPr>
        <w: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134</w:t>
      </w:r>
      <w:r w:rsidRPr="00D014D9">
        <w:rPr>
          <w:rFonts w:eastAsia="Calibri"/>
        </w:rPr>
        <w:t>; AER,</w:t>
      </w:r>
      <w:r>
        <w:rPr>
          <w:rStyle w:val="AERtextitalic"/>
          <w:rFonts w:eastAsia="Calibri"/>
        </w:rPr>
        <w:t xml:space="preserve"> Draft</w:t>
      </w:r>
      <w:r w:rsidRPr="00D014D9">
        <w:rPr>
          <w:rStyle w:val="AERtextitalic"/>
          <w:rFonts w:eastAsia="Calibri"/>
        </w:rPr>
        <w:t xml:space="preserve"> decision: </w:t>
      </w:r>
      <w:proofErr w:type="spellStart"/>
      <w:r w:rsidRPr="00D014D9">
        <w:rPr>
          <w:rStyle w:val="AERtextitalic"/>
          <w:rFonts w:eastAsia="Calibri"/>
        </w:rPr>
        <w:t>Multi</w:t>
      </w:r>
      <w:r>
        <w:rPr>
          <w:rStyle w:val="AERtextitalic"/>
          <w:rFonts w:eastAsia="Calibri"/>
        </w:rPr>
        <w:t>n</w:t>
      </w:r>
      <w:r w:rsidRPr="00D014D9">
        <w:rPr>
          <w:rStyle w:val="AERtextitalic"/>
          <w:rFonts w:eastAsia="Calibri"/>
        </w:rPr>
        <w:t>et</w:t>
      </w:r>
      <w:proofErr w:type="spellEnd"/>
      <w:r w:rsidRPr="00D014D9">
        <w:rPr>
          <w:rStyle w:val="AERtextitalic"/>
          <w:rFonts w:eastAsia="Calibri"/>
        </w:rPr>
        <w:t xml:space="preserve"> Gas arrangement proposal 2013–17</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xml:space="preserve">, p. </w:t>
      </w:r>
      <w:r>
        <w:rPr>
          <w:rFonts w:eastAsia="Calibri"/>
        </w:rPr>
        <w:t>1</w:t>
      </w:r>
      <w:r w:rsidRPr="00D014D9">
        <w:rPr>
          <w:rFonts w:eastAsia="Calibri"/>
        </w:rPr>
        <w:t>2</w:t>
      </w:r>
      <w:r>
        <w:rPr>
          <w:rFonts w:eastAsia="Calibri"/>
        </w:rPr>
        <w:t xml:space="preserve">6; AER, </w:t>
      </w:r>
      <w:r w:rsidRPr="00D51139">
        <w:rPr>
          <w:rFonts w:eastAsia="Calibri"/>
          <w:i/>
        </w:rPr>
        <w:t>Draft decision: Jemena Gas Network (NSW) access arrangement 2015–20: Attachment 5</w:t>
      </w:r>
      <w:r>
        <w:rPr>
          <w:rFonts w:eastAsia="Calibri"/>
        </w:rPr>
        <w:t xml:space="preserve">, June 2015, p. 10. </w:t>
      </w:r>
    </w:p>
  </w:footnote>
  <w:footnote w:id="13">
    <w:p w:rsidR="00F525AB" w:rsidRDefault="00F525AB" w:rsidP="00CE53F9">
      <w:pPr>
        <w:pStyle w:val="FootnoteText"/>
      </w:pPr>
      <w:r>
        <w:rPr>
          <w:rStyle w:val="FootnoteReference"/>
        </w:rPr>
        <w:footnoteRef/>
      </w:r>
      <w:r>
        <w:t xml:space="preserve"> </w:t>
      </w:r>
      <w:r>
        <w:tab/>
        <w:t>ActewAGL,</w:t>
      </w:r>
      <w:r w:rsidRPr="00CE53F9">
        <w:rPr>
          <w:rStyle w:val="AERtextitalic"/>
        </w:rPr>
        <w:t xml:space="preserve"> Response to the AER's draft decision</w:t>
      </w:r>
      <w:r w:rsidR="007B51D5">
        <w:rPr>
          <w:rStyle w:val="AERtextitalic"/>
        </w:rPr>
        <w:t>:</w:t>
      </w:r>
      <w:r w:rsidRPr="00CE53F9">
        <w:rPr>
          <w:rStyle w:val="AERtextitalic"/>
        </w:rPr>
        <w:t xml:space="preserve">  2016–21 Queanbeyan and Palerang Gas Network Access Arrangement</w:t>
      </w:r>
      <w:r>
        <w:t>, January 2016</w:t>
      </w:r>
      <w:r w:rsidR="007B51D5">
        <w:t>, p. 30.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AB" w:rsidRDefault="003C4A2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525AB">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AB" w:rsidRDefault="003C4A2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2AC8B9A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2D2A1BAA"/>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lvlOverride w:ilvl="0">
      <w:lvl w:ilvl="0">
        <w:start w:val="1"/>
        <w:numFmt w:val="none"/>
        <w:lvlText w:val="%1"/>
        <w:lvlJc w:val="left"/>
        <w:pPr>
          <w:tabs>
            <w:tab w:val="num" w:pos="0"/>
          </w:tabs>
          <w:ind w:left="0" w:firstLine="0"/>
        </w:pPr>
        <w:rPr>
          <w:rFonts w:hint="default"/>
        </w:rPr>
      </w:lvl>
    </w:lvlOverride>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eHhSDQ6WtKY7MZguhxg8PL/aW0bPAfLHm2bnApmIO4=" w:saltValue="Ybacb6WNxG0NkxQqUcilZ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836\AER15 4328  AER - Final decision Amadeus Gas Pipeline Access Arrangement - Attachment 5 - Regulatory depreciation - April 2016.DOCX"/>
  </w:docVars>
  <w:rsids>
    <w:rsidRoot w:val="00961A4A"/>
    <w:rsid w:val="00004633"/>
    <w:rsid w:val="00010286"/>
    <w:rsid w:val="00021202"/>
    <w:rsid w:val="00021C2B"/>
    <w:rsid w:val="0002517F"/>
    <w:rsid w:val="00026495"/>
    <w:rsid w:val="0003578C"/>
    <w:rsid w:val="000401AF"/>
    <w:rsid w:val="00041DDA"/>
    <w:rsid w:val="00063247"/>
    <w:rsid w:val="00063A92"/>
    <w:rsid w:val="00070F9F"/>
    <w:rsid w:val="0007137B"/>
    <w:rsid w:val="00085663"/>
    <w:rsid w:val="00085EBF"/>
    <w:rsid w:val="00085F93"/>
    <w:rsid w:val="00091B15"/>
    <w:rsid w:val="000A1E7C"/>
    <w:rsid w:val="000A3020"/>
    <w:rsid w:val="000A6C7B"/>
    <w:rsid w:val="000B0360"/>
    <w:rsid w:val="000C0245"/>
    <w:rsid w:val="000C0D25"/>
    <w:rsid w:val="000C2B40"/>
    <w:rsid w:val="000D01F4"/>
    <w:rsid w:val="000D06C1"/>
    <w:rsid w:val="000D122C"/>
    <w:rsid w:val="000D3016"/>
    <w:rsid w:val="000D4468"/>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58D4"/>
    <w:rsid w:val="00147E70"/>
    <w:rsid w:val="00153DC2"/>
    <w:rsid w:val="00155C27"/>
    <w:rsid w:val="00156DCC"/>
    <w:rsid w:val="001573E4"/>
    <w:rsid w:val="00160756"/>
    <w:rsid w:val="001649E6"/>
    <w:rsid w:val="0017232E"/>
    <w:rsid w:val="00174102"/>
    <w:rsid w:val="0017480F"/>
    <w:rsid w:val="001754EE"/>
    <w:rsid w:val="00180157"/>
    <w:rsid w:val="00182467"/>
    <w:rsid w:val="00185CB9"/>
    <w:rsid w:val="00186F77"/>
    <w:rsid w:val="001926A4"/>
    <w:rsid w:val="00192AD5"/>
    <w:rsid w:val="00194CA1"/>
    <w:rsid w:val="001B3F62"/>
    <w:rsid w:val="001B45A0"/>
    <w:rsid w:val="001B45C0"/>
    <w:rsid w:val="001B6F2E"/>
    <w:rsid w:val="001B7D00"/>
    <w:rsid w:val="001C17E7"/>
    <w:rsid w:val="001C2662"/>
    <w:rsid w:val="001D055E"/>
    <w:rsid w:val="001D1119"/>
    <w:rsid w:val="001E009C"/>
    <w:rsid w:val="001E5FE2"/>
    <w:rsid w:val="001F05A4"/>
    <w:rsid w:val="001F492E"/>
    <w:rsid w:val="001F6DA3"/>
    <w:rsid w:val="002010BC"/>
    <w:rsid w:val="002016E7"/>
    <w:rsid w:val="00201F98"/>
    <w:rsid w:val="00202E03"/>
    <w:rsid w:val="0020478D"/>
    <w:rsid w:val="0020492C"/>
    <w:rsid w:val="00205A33"/>
    <w:rsid w:val="00211A09"/>
    <w:rsid w:val="0022444D"/>
    <w:rsid w:val="00224DB9"/>
    <w:rsid w:val="00227DCE"/>
    <w:rsid w:val="0023276C"/>
    <w:rsid w:val="00233775"/>
    <w:rsid w:val="002346E1"/>
    <w:rsid w:val="002424F5"/>
    <w:rsid w:val="00251745"/>
    <w:rsid w:val="00256518"/>
    <w:rsid w:val="00263AC0"/>
    <w:rsid w:val="00264264"/>
    <w:rsid w:val="0026772D"/>
    <w:rsid w:val="002748BB"/>
    <w:rsid w:val="00277554"/>
    <w:rsid w:val="00283447"/>
    <w:rsid w:val="00286874"/>
    <w:rsid w:val="00290C63"/>
    <w:rsid w:val="00296B65"/>
    <w:rsid w:val="0029724D"/>
    <w:rsid w:val="002A6688"/>
    <w:rsid w:val="002A7DEF"/>
    <w:rsid w:val="002B1003"/>
    <w:rsid w:val="002B573C"/>
    <w:rsid w:val="002B7BE5"/>
    <w:rsid w:val="002C233C"/>
    <w:rsid w:val="002C6F9B"/>
    <w:rsid w:val="002D7267"/>
    <w:rsid w:val="002D72E8"/>
    <w:rsid w:val="002E4078"/>
    <w:rsid w:val="002E7B22"/>
    <w:rsid w:val="002F7986"/>
    <w:rsid w:val="00301B40"/>
    <w:rsid w:val="00301F1F"/>
    <w:rsid w:val="003029A5"/>
    <w:rsid w:val="003029EE"/>
    <w:rsid w:val="0030370B"/>
    <w:rsid w:val="00305CC8"/>
    <w:rsid w:val="00307F6D"/>
    <w:rsid w:val="00310432"/>
    <w:rsid w:val="003130C9"/>
    <w:rsid w:val="003177A2"/>
    <w:rsid w:val="00320869"/>
    <w:rsid w:val="00326B1D"/>
    <w:rsid w:val="003271B5"/>
    <w:rsid w:val="00327A1E"/>
    <w:rsid w:val="00331264"/>
    <w:rsid w:val="003338A2"/>
    <w:rsid w:val="00334C8D"/>
    <w:rsid w:val="0033548E"/>
    <w:rsid w:val="00343A18"/>
    <w:rsid w:val="00344473"/>
    <w:rsid w:val="00344D08"/>
    <w:rsid w:val="003457F9"/>
    <w:rsid w:val="00347114"/>
    <w:rsid w:val="003518B3"/>
    <w:rsid w:val="003578CD"/>
    <w:rsid w:val="003666F2"/>
    <w:rsid w:val="00366870"/>
    <w:rsid w:val="003717D8"/>
    <w:rsid w:val="003846F1"/>
    <w:rsid w:val="003903D4"/>
    <w:rsid w:val="00391BF0"/>
    <w:rsid w:val="003931A7"/>
    <w:rsid w:val="00393646"/>
    <w:rsid w:val="00397A03"/>
    <w:rsid w:val="003B484F"/>
    <w:rsid w:val="003B7F43"/>
    <w:rsid w:val="003B7FBA"/>
    <w:rsid w:val="003C4A25"/>
    <w:rsid w:val="003F174D"/>
    <w:rsid w:val="003F572D"/>
    <w:rsid w:val="003F7442"/>
    <w:rsid w:val="00402F88"/>
    <w:rsid w:val="00415F31"/>
    <w:rsid w:val="00416053"/>
    <w:rsid w:val="0042205D"/>
    <w:rsid w:val="00423A77"/>
    <w:rsid w:val="0043652A"/>
    <w:rsid w:val="00436ECD"/>
    <w:rsid w:val="00452473"/>
    <w:rsid w:val="0045777E"/>
    <w:rsid w:val="004614BD"/>
    <w:rsid w:val="00461B0F"/>
    <w:rsid w:val="00461C29"/>
    <w:rsid w:val="00474EC7"/>
    <w:rsid w:val="00477BD3"/>
    <w:rsid w:val="00480B4B"/>
    <w:rsid w:val="00485DC4"/>
    <w:rsid w:val="004A0A5E"/>
    <w:rsid w:val="004A1D7C"/>
    <w:rsid w:val="004A43D1"/>
    <w:rsid w:val="004B0C20"/>
    <w:rsid w:val="004B355D"/>
    <w:rsid w:val="004B4412"/>
    <w:rsid w:val="004C0C43"/>
    <w:rsid w:val="004C348C"/>
    <w:rsid w:val="004C5451"/>
    <w:rsid w:val="004C6A30"/>
    <w:rsid w:val="004D1A96"/>
    <w:rsid w:val="004D55BA"/>
    <w:rsid w:val="004E22EC"/>
    <w:rsid w:val="004E2A4C"/>
    <w:rsid w:val="004F51BC"/>
    <w:rsid w:val="004F6A0E"/>
    <w:rsid w:val="00515B78"/>
    <w:rsid w:val="00530128"/>
    <w:rsid w:val="00532467"/>
    <w:rsid w:val="00537FD6"/>
    <w:rsid w:val="00564A4D"/>
    <w:rsid w:val="0056588A"/>
    <w:rsid w:val="0056621F"/>
    <w:rsid w:val="0056777E"/>
    <w:rsid w:val="00567BA5"/>
    <w:rsid w:val="00571B35"/>
    <w:rsid w:val="00571D57"/>
    <w:rsid w:val="00577A09"/>
    <w:rsid w:val="005829C2"/>
    <w:rsid w:val="00584D8F"/>
    <w:rsid w:val="00585A4E"/>
    <w:rsid w:val="00586819"/>
    <w:rsid w:val="00592EE6"/>
    <w:rsid w:val="0059704C"/>
    <w:rsid w:val="005A404D"/>
    <w:rsid w:val="005B098A"/>
    <w:rsid w:val="005B1E3C"/>
    <w:rsid w:val="005B3FB7"/>
    <w:rsid w:val="005B4D33"/>
    <w:rsid w:val="005B704A"/>
    <w:rsid w:val="005C0A7F"/>
    <w:rsid w:val="005C26CC"/>
    <w:rsid w:val="005C4C9C"/>
    <w:rsid w:val="005C6218"/>
    <w:rsid w:val="005C6253"/>
    <w:rsid w:val="005D03B1"/>
    <w:rsid w:val="005D7BA2"/>
    <w:rsid w:val="005E36C2"/>
    <w:rsid w:val="005F0183"/>
    <w:rsid w:val="005F727F"/>
    <w:rsid w:val="006007DE"/>
    <w:rsid w:val="00601638"/>
    <w:rsid w:val="00610111"/>
    <w:rsid w:val="00610EF9"/>
    <w:rsid w:val="00612F4F"/>
    <w:rsid w:val="00615C6B"/>
    <w:rsid w:val="00620DC3"/>
    <w:rsid w:val="00621DCE"/>
    <w:rsid w:val="0063174C"/>
    <w:rsid w:val="00632D6D"/>
    <w:rsid w:val="00637C7F"/>
    <w:rsid w:val="00637D88"/>
    <w:rsid w:val="00640812"/>
    <w:rsid w:val="00642C3E"/>
    <w:rsid w:val="00651786"/>
    <w:rsid w:val="00651C3A"/>
    <w:rsid w:val="00651CB2"/>
    <w:rsid w:val="006560CA"/>
    <w:rsid w:val="00657E79"/>
    <w:rsid w:val="0066104A"/>
    <w:rsid w:val="00663DAD"/>
    <w:rsid w:val="00665649"/>
    <w:rsid w:val="00666E20"/>
    <w:rsid w:val="006672AA"/>
    <w:rsid w:val="00671096"/>
    <w:rsid w:val="00675E20"/>
    <w:rsid w:val="00676679"/>
    <w:rsid w:val="006812E7"/>
    <w:rsid w:val="00683C89"/>
    <w:rsid w:val="00684C16"/>
    <w:rsid w:val="00691073"/>
    <w:rsid w:val="00691D9A"/>
    <w:rsid w:val="00693F59"/>
    <w:rsid w:val="00694E16"/>
    <w:rsid w:val="006A7CB9"/>
    <w:rsid w:val="006A7D76"/>
    <w:rsid w:val="006B2395"/>
    <w:rsid w:val="006B45A4"/>
    <w:rsid w:val="006B4CF9"/>
    <w:rsid w:val="006B785B"/>
    <w:rsid w:val="006B7AC8"/>
    <w:rsid w:val="006C1736"/>
    <w:rsid w:val="006C4798"/>
    <w:rsid w:val="006C774D"/>
    <w:rsid w:val="006D1687"/>
    <w:rsid w:val="006D22F2"/>
    <w:rsid w:val="006D550F"/>
    <w:rsid w:val="006E25B7"/>
    <w:rsid w:val="006E3F76"/>
    <w:rsid w:val="006F1F83"/>
    <w:rsid w:val="006F3AD1"/>
    <w:rsid w:val="006F3FC8"/>
    <w:rsid w:val="006F5537"/>
    <w:rsid w:val="006F6183"/>
    <w:rsid w:val="0070011E"/>
    <w:rsid w:val="00701CAB"/>
    <w:rsid w:val="00707563"/>
    <w:rsid w:val="00707B25"/>
    <w:rsid w:val="0071236A"/>
    <w:rsid w:val="0071382C"/>
    <w:rsid w:val="0072348C"/>
    <w:rsid w:val="00724A37"/>
    <w:rsid w:val="007303C3"/>
    <w:rsid w:val="00735B94"/>
    <w:rsid w:val="00741C46"/>
    <w:rsid w:val="00741E23"/>
    <w:rsid w:val="007429BE"/>
    <w:rsid w:val="00743223"/>
    <w:rsid w:val="00746E01"/>
    <w:rsid w:val="00747DA5"/>
    <w:rsid w:val="00747EEA"/>
    <w:rsid w:val="00752C8D"/>
    <w:rsid w:val="00757364"/>
    <w:rsid w:val="00757BDF"/>
    <w:rsid w:val="007609D0"/>
    <w:rsid w:val="00763618"/>
    <w:rsid w:val="00763E5D"/>
    <w:rsid w:val="00767740"/>
    <w:rsid w:val="00775234"/>
    <w:rsid w:val="00777EE6"/>
    <w:rsid w:val="00782EEA"/>
    <w:rsid w:val="00797667"/>
    <w:rsid w:val="007A7002"/>
    <w:rsid w:val="007A7136"/>
    <w:rsid w:val="007A7F63"/>
    <w:rsid w:val="007B011C"/>
    <w:rsid w:val="007B186E"/>
    <w:rsid w:val="007B2C72"/>
    <w:rsid w:val="007B4FE8"/>
    <w:rsid w:val="007B51D5"/>
    <w:rsid w:val="007B6C52"/>
    <w:rsid w:val="007C1C53"/>
    <w:rsid w:val="007C5261"/>
    <w:rsid w:val="007C74BB"/>
    <w:rsid w:val="007D456E"/>
    <w:rsid w:val="007E0F01"/>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23E4"/>
    <w:rsid w:val="00825985"/>
    <w:rsid w:val="008301A7"/>
    <w:rsid w:val="008301B2"/>
    <w:rsid w:val="008344F6"/>
    <w:rsid w:val="0083510F"/>
    <w:rsid w:val="008408C5"/>
    <w:rsid w:val="008414FC"/>
    <w:rsid w:val="00847887"/>
    <w:rsid w:val="00851209"/>
    <w:rsid w:val="008553F8"/>
    <w:rsid w:val="0085722A"/>
    <w:rsid w:val="00862B19"/>
    <w:rsid w:val="00863740"/>
    <w:rsid w:val="00864B35"/>
    <w:rsid w:val="00866D99"/>
    <w:rsid w:val="00867CF6"/>
    <w:rsid w:val="0087282A"/>
    <w:rsid w:val="008749E0"/>
    <w:rsid w:val="00874CD0"/>
    <w:rsid w:val="00882481"/>
    <w:rsid w:val="008837AC"/>
    <w:rsid w:val="00890C91"/>
    <w:rsid w:val="008A587D"/>
    <w:rsid w:val="008A7469"/>
    <w:rsid w:val="008B35CD"/>
    <w:rsid w:val="008B5FCC"/>
    <w:rsid w:val="008B754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37958"/>
    <w:rsid w:val="009460AA"/>
    <w:rsid w:val="0094641C"/>
    <w:rsid w:val="00951978"/>
    <w:rsid w:val="00961115"/>
    <w:rsid w:val="00961A4A"/>
    <w:rsid w:val="009661DE"/>
    <w:rsid w:val="00983C25"/>
    <w:rsid w:val="00984A8C"/>
    <w:rsid w:val="009856B7"/>
    <w:rsid w:val="00985C86"/>
    <w:rsid w:val="00996BAF"/>
    <w:rsid w:val="009972D8"/>
    <w:rsid w:val="009A4FAA"/>
    <w:rsid w:val="009A5113"/>
    <w:rsid w:val="009A539D"/>
    <w:rsid w:val="009A5FC3"/>
    <w:rsid w:val="009B5DC8"/>
    <w:rsid w:val="009B6F84"/>
    <w:rsid w:val="009B7343"/>
    <w:rsid w:val="009B74B0"/>
    <w:rsid w:val="009C691D"/>
    <w:rsid w:val="009D2B38"/>
    <w:rsid w:val="009D3906"/>
    <w:rsid w:val="009D6B46"/>
    <w:rsid w:val="009E1C7E"/>
    <w:rsid w:val="009F4940"/>
    <w:rsid w:val="009F5BA1"/>
    <w:rsid w:val="00A02A88"/>
    <w:rsid w:val="00A0562E"/>
    <w:rsid w:val="00A06085"/>
    <w:rsid w:val="00A0726D"/>
    <w:rsid w:val="00A16596"/>
    <w:rsid w:val="00A2303E"/>
    <w:rsid w:val="00A32FBB"/>
    <w:rsid w:val="00A428EE"/>
    <w:rsid w:val="00A4478A"/>
    <w:rsid w:val="00A44852"/>
    <w:rsid w:val="00A4650A"/>
    <w:rsid w:val="00A50502"/>
    <w:rsid w:val="00A57D04"/>
    <w:rsid w:val="00A60A26"/>
    <w:rsid w:val="00A61598"/>
    <w:rsid w:val="00A7259C"/>
    <w:rsid w:val="00A84A99"/>
    <w:rsid w:val="00A84F46"/>
    <w:rsid w:val="00A871F4"/>
    <w:rsid w:val="00A90AA4"/>
    <w:rsid w:val="00A923BF"/>
    <w:rsid w:val="00AA30C3"/>
    <w:rsid w:val="00AB47E1"/>
    <w:rsid w:val="00AC1B2C"/>
    <w:rsid w:val="00AC3264"/>
    <w:rsid w:val="00AD0183"/>
    <w:rsid w:val="00AD3884"/>
    <w:rsid w:val="00AD7B56"/>
    <w:rsid w:val="00AE1BF1"/>
    <w:rsid w:val="00AF0DD2"/>
    <w:rsid w:val="00AF33C3"/>
    <w:rsid w:val="00B0061E"/>
    <w:rsid w:val="00B0209D"/>
    <w:rsid w:val="00B02961"/>
    <w:rsid w:val="00B04908"/>
    <w:rsid w:val="00B04B4C"/>
    <w:rsid w:val="00B07CEA"/>
    <w:rsid w:val="00B13048"/>
    <w:rsid w:val="00B1716D"/>
    <w:rsid w:val="00B17A1D"/>
    <w:rsid w:val="00B207A0"/>
    <w:rsid w:val="00B40CAA"/>
    <w:rsid w:val="00B41C4D"/>
    <w:rsid w:val="00B514DD"/>
    <w:rsid w:val="00B51F3F"/>
    <w:rsid w:val="00B52AF0"/>
    <w:rsid w:val="00B561BD"/>
    <w:rsid w:val="00B56E03"/>
    <w:rsid w:val="00B61EDF"/>
    <w:rsid w:val="00B74AC5"/>
    <w:rsid w:val="00B757A6"/>
    <w:rsid w:val="00B75CF9"/>
    <w:rsid w:val="00B8080B"/>
    <w:rsid w:val="00B82223"/>
    <w:rsid w:val="00B8784F"/>
    <w:rsid w:val="00B87BA5"/>
    <w:rsid w:val="00B87C39"/>
    <w:rsid w:val="00B9562D"/>
    <w:rsid w:val="00B95AFE"/>
    <w:rsid w:val="00BA0731"/>
    <w:rsid w:val="00BA4665"/>
    <w:rsid w:val="00BA47EE"/>
    <w:rsid w:val="00BB2FB2"/>
    <w:rsid w:val="00BB3304"/>
    <w:rsid w:val="00BB3FD7"/>
    <w:rsid w:val="00BB6848"/>
    <w:rsid w:val="00BB7528"/>
    <w:rsid w:val="00BC18DE"/>
    <w:rsid w:val="00BC2FAF"/>
    <w:rsid w:val="00BC42EF"/>
    <w:rsid w:val="00BD0920"/>
    <w:rsid w:val="00BD0C45"/>
    <w:rsid w:val="00BD2756"/>
    <w:rsid w:val="00BD310B"/>
    <w:rsid w:val="00BD3446"/>
    <w:rsid w:val="00BE1F1B"/>
    <w:rsid w:val="00BE47B5"/>
    <w:rsid w:val="00BE6196"/>
    <w:rsid w:val="00BE7F57"/>
    <w:rsid w:val="00BF0C8F"/>
    <w:rsid w:val="00BF0CD7"/>
    <w:rsid w:val="00BF6F6A"/>
    <w:rsid w:val="00C04223"/>
    <w:rsid w:val="00C10EC3"/>
    <w:rsid w:val="00C25FA6"/>
    <w:rsid w:val="00C275C4"/>
    <w:rsid w:val="00C30637"/>
    <w:rsid w:val="00C36F19"/>
    <w:rsid w:val="00C40E84"/>
    <w:rsid w:val="00C42ACA"/>
    <w:rsid w:val="00C42DF7"/>
    <w:rsid w:val="00C5122C"/>
    <w:rsid w:val="00C538A9"/>
    <w:rsid w:val="00C53B5A"/>
    <w:rsid w:val="00C54F5A"/>
    <w:rsid w:val="00C569B4"/>
    <w:rsid w:val="00C56A01"/>
    <w:rsid w:val="00C56A3E"/>
    <w:rsid w:val="00C62ADF"/>
    <w:rsid w:val="00C63C3F"/>
    <w:rsid w:val="00C67A92"/>
    <w:rsid w:val="00C7497E"/>
    <w:rsid w:val="00C74D43"/>
    <w:rsid w:val="00C81568"/>
    <w:rsid w:val="00C84560"/>
    <w:rsid w:val="00C84F52"/>
    <w:rsid w:val="00C86679"/>
    <w:rsid w:val="00C92BA3"/>
    <w:rsid w:val="00C97CDF"/>
    <w:rsid w:val="00CA2ABF"/>
    <w:rsid w:val="00CA2C1D"/>
    <w:rsid w:val="00CA489E"/>
    <w:rsid w:val="00CA52A2"/>
    <w:rsid w:val="00CA544A"/>
    <w:rsid w:val="00CB0279"/>
    <w:rsid w:val="00CB21B6"/>
    <w:rsid w:val="00CB666B"/>
    <w:rsid w:val="00CC7F1D"/>
    <w:rsid w:val="00CD19EE"/>
    <w:rsid w:val="00CE484B"/>
    <w:rsid w:val="00CE4900"/>
    <w:rsid w:val="00CE53F9"/>
    <w:rsid w:val="00CF0316"/>
    <w:rsid w:val="00CF0CFC"/>
    <w:rsid w:val="00CF0DEE"/>
    <w:rsid w:val="00CF2C05"/>
    <w:rsid w:val="00CF5A81"/>
    <w:rsid w:val="00CF6931"/>
    <w:rsid w:val="00CF6EDE"/>
    <w:rsid w:val="00D006AE"/>
    <w:rsid w:val="00D01CF0"/>
    <w:rsid w:val="00D01EFD"/>
    <w:rsid w:val="00D0442A"/>
    <w:rsid w:val="00D06055"/>
    <w:rsid w:val="00D066B7"/>
    <w:rsid w:val="00D17683"/>
    <w:rsid w:val="00D36FCC"/>
    <w:rsid w:val="00D41E80"/>
    <w:rsid w:val="00D45694"/>
    <w:rsid w:val="00D46BD3"/>
    <w:rsid w:val="00D608F6"/>
    <w:rsid w:val="00D60EFF"/>
    <w:rsid w:val="00D61388"/>
    <w:rsid w:val="00D61A54"/>
    <w:rsid w:val="00D64275"/>
    <w:rsid w:val="00D64DEA"/>
    <w:rsid w:val="00D7168E"/>
    <w:rsid w:val="00D71E57"/>
    <w:rsid w:val="00D75AA2"/>
    <w:rsid w:val="00D7645E"/>
    <w:rsid w:val="00D80893"/>
    <w:rsid w:val="00D83387"/>
    <w:rsid w:val="00D84854"/>
    <w:rsid w:val="00D848B4"/>
    <w:rsid w:val="00D86B06"/>
    <w:rsid w:val="00D87FAC"/>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4EFA"/>
    <w:rsid w:val="00DE5520"/>
    <w:rsid w:val="00DE563D"/>
    <w:rsid w:val="00DE5E2E"/>
    <w:rsid w:val="00DE772C"/>
    <w:rsid w:val="00DF1D9A"/>
    <w:rsid w:val="00DF312A"/>
    <w:rsid w:val="00E007AE"/>
    <w:rsid w:val="00E04818"/>
    <w:rsid w:val="00E04C80"/>
    <w:rsid w:val="00E06442"/>
    <w:rsid w:val="00E06BCF"/>
    <w:rsid w:val="00E1001C"/>
    <w:rsid w:val="00E11949"/>
    <w:rsid w:val="00E23993"/>
    <w:rsid w:val="00E257D6"/>
    <w:rsid w:val="00E25B8C"/>
    <w:rsid w:val="00E3544F"/>
    <w:rsid w:val="00E447ED"/>
    <w:rsid w:val="00E51D65"/>
    <w:rsid w:val="00E6200B"/>
    <w:rsid w:val="00E65C85"/>
    <w:rsid w:val="00E66199"/>
    <w:rsid w:val="00E711C7"/>
    <w:rsid w:val="00E7494F"/>
    <w:rsid w:val="00E755EC"/>
    <w:rsid w:val="00E7624D"/>
    <w:rsid w:val="00E97242"/>
    <w:rsid w:val="00EA38F3"/>
    <w:rsid w:val="00EA3D42"/>
    <w:rsid w:val="00EA6B1B"/>
    <w:rsid w:val="00EA7453"/>
    <w:rsid w:val="00EB5BC8"/>
    <w:rsid w:val="00EB606C"/>
    <w:rsid w:val="00EC04F1"/>
    <w:rsid w:val="00EC1B2B"/>
    <w:rsid w:val="00EC32E5"/>
    <w:rsid w:val="00ED0EC2"/>
    <w:rsid w:val="00ED3474"/>
    <w:rsid w:val="00ED7323"/>
    <w:rsid w:val="00EE28F3"/>
    <w:rsid w:val="00EE50D1"/>
    <w:rsid w:val="00EE77FA"/>
    <w:rsid w:val="00EE7A83"/>
    <w:rsid w:val="00EF1B7A"/>
    <w:rsid w:val="00EF5110"/>
    <w:rsid w:val="00EF54B7"/>
    <w:rsid w:val="00F0334E"/>
    <w:rsid w:val="00F07967"/>
    <w:rsid w:val="00F10411"/>
    <w:rsid w:val="00F13F85"/>
    <w:rsid w:val="00F156B0"/>
    <w:rsid w:val="00F15882"/>
    <w:rsid w:val="00F171E0"/>
    <w:rsid w:val="00F20BD3"/>
    <w:rsid w:val="00F2526A"/>
    <w:rsid w:val="00F31B42"/>
    <w:rsid w:val="00F35081"/>
    <w:rsid w:val="00F373A5"/>
    <w:rsid w:val="00F42576"/>
    <w:rsid w:val="00F42E08"/>
    <w:rsid w:val="00F47559"/>
    <w:rsid w:val="00F525AB"/>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B1BF3"/>
    <w:rsid w:val="00FB4402"/>
    <w:rsid w:val="00FB4A6B"/>
    <w:rsid w:val="00FB60FE"/>
    <w:rsid w:val="00FB74E2"/>
    <w:rsid w:val="00FC3A84"/>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9"/>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9"/>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9154528">
      <w:bodyDiv w:val="1"/>
      <w:marLeft w:val="0"/>
      <w:marRight w:val="0"/>
      <w:marTop w:val="0"/>
      <w:marBottom w:val="0"/>
      <w:divBdr>
        <w:top w:val="none" w:sz="0" w:space="0" w:color="auto"/>
        <w:left w:val="none" w:sz="0" w:space="0" w:color="auto"/>
        <w:bottom w:val="none" w:sz="0" w:space="0" w:color="auto"/>
        <w:right w:val="none" w:sz="0" w:space="0" w:color="auto"/>
      </w:divBdr>
    </w:div>
    <w:div w:id="19474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9B07A-D930-45C8-B51D-FC16FF99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88AFB081</Template>
  <TotalTime>0</TotalTime>
  <Pages>11</Pages>
  <Words>2249</Words>
  <Characters>12823</Characters>
  <Application>Microsoft Office Word</Application>
  <DocSecurity>0</DocSecurity>
  <Lines>106</Lines>
  <Paragraphs>30</Paragraphs>
  <ScaleCrop>false</ScaleCrop>
  <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2016-05-22T23:35:00Z</dcterms:created>
  <dcterms:modified xsi:type="dcterms:W3CDTF">2016-05-22T23:35:00Z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8576132</vt:lpwstr>
  </property>
</Properties>
</file>