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E5161B1" wp14:editId="431DB1A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895536" w:rsidP="008F07A3">
          <w:pPr>
            <w:pStyle w:val="ReportSubtitle"/>
          </w:pPr>
          <w:r>
            <w:t>ActewAGL Distribution</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D86B06">
            <w:t>8</w:t>
          </w:r>
          <w:r w:rsidR="00DA4752">
            <w:t xml:space="preserve"> </w:t>
          </w:r>
          <w:r w:rsidR="00415F31">
            <w:rPr>
              <w:rFonts w:cs="Arial"/>
            </w:rPr>
            <w:t>–</w:t>
          </w:r>
          <w:r w:rsidR="00DA4752">
            <w:t xml:space="preserve"> </w:t>
          </w:r>
          <w:r w:rsidR="00D86B06">
            <w:t>Corporate income tax</w:t>
          </w:r>
        </w:p>
        <w:p w:rsidR="000A6C7B" w:rsidRPr="00327A1E" w:rsidRDefault="001E6071" w:rsidP="00327A1E">
          <w:pPr>
            <w:pStyle w:val="ReportDate"/>
          </w:pPr>
          <w:r>
            <w:t xml:space="preserve">May </w:t>
          </w:r>
          <w:r w:rsidR="00A2303E">
            <w:t>2016</w:t>
          </w:r>
        </w:p>
      </w:sdtContent>
    </w:sdt>
    <w:p w:rsidR="00327A1E" w:rsidRPr="00290C63" w:rsidRDefault="00327A1E" w:rsidP="00290C63">
      <w:r>
        <w:br w:type="page"/>
      </w:r>
    </w:p>
    <w:p w:rsidR="000A6C7B" w:rsidRDefault="00CD16D3"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760229"/>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A2303E">
        <w:t>final</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895536">
        <w:t xml:space="preserve">ActewAGL Distribution </w:t>
      </w:r>
      <w:r w:rsidR="0033548E">
        <w:t xml:space="preserve">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A2303E">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2303E">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51760230"/>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A82EF3"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51760229" w:history="1">
            <w:r w:rsidR="00A82EF3" w:rsidRPr="009D5DFC">
              <w:rPr>
                <w:rStyle w:val="Hyperlink"/>
              </w:rPr>
              <w:t>Note</w:t>
            </w:r>
            <w:r w:rsidR="00A82EF3">
              <w:rPr>
                <w:webHidden/>
              </w:rPr>
              <w:tab/>
            </w:r>
            <w:r w:rsidR="00A82EF3">
              <w:rPr>
                <w:webHidden/>
              </w:rPr>
              <w:fldChar w:fldCharType="begin"/>
            </w:r>
            <w:r w:rsidR="00A82EF3">
              <w:rPr>
                <w:webHidden/>
              </w:rPr>
              <w:instrText xml:space="preserve"> PAGEREF _Toc451760229 \h </w:instrText>
            </w:r>
            <w:r w:rsidR="00A82EF3">
              <w:rPr>
                <w:webHidden/>
              </w:rPr>
            </w:r>
            <w:r w:rsidR="00A82EF3">
              <w:rPr>
                <w:webHidden/>
              </w:rPr>
              <w:fldChar w:fldCharType="separate"/>
            </w:r>
            <w:r w:rsidR="00A82EF3">
              <w:rPr>
                <w:webHidden/>
              </w:rPr>
              <w:t>8-2</w:t>
            </w:r>
            <w:r w:rsidR="00A82EF3">
              <w:rPr>
                <w:webHidden/>
              </w:rPr>
              <w:fldChar w:fldCharType="end"/>
            </w:r>
          </w:hyperlink>
        </w:p>
        <w:p w:rsidR="00A82EF3" w:rsidRDefault="00A82EF3">
          <w:pPr>
            <w:pStyle w:val="TOC1"/>
            <w:rPr>
              <w:rFonts w:asciiTheme="minorHAnsi" w:eastAsiaTheme="minorEastAsia" w:hAnsiTheme="minorHAnsi"/>
              <w:b w:val="0"/>
              <w:color w:val="auto"/>
              <w:sz w:val="22"/>
              <w:lang w:val="en-AU" w:eastAsia="en-AU"/>
            </w:rPr>
          </w:pPr>
          <w:hyperlink w:anchor="_Toc451760230" w:history="1">
            <w:r w:rsidRPr="009D5DFC">
              <w:rPr>
                <w:rStyle w:val="Hyperlink"/>
              </w:rPr>
              <w:t>Contents</w:t>
            </w:r>
            <w:r>
              <w:rPr>
                <w:webHidden/>
              </w:rPr>
              <w:tab/>
            </w:r>
            <w:r>
              <w:rPr>
                <w:webHidden/>
              </w:rPr>
              <w:fldChar w:fldCharType="begin"/>
            </w:r>
            <w:r>
              <w:rPr>
                <w:webHidden/>
              </w:rPr>
              <w:instrText xml:space="preserve"> PAGEREF _Toc451760230 \h </w:instrText>
            </w:r>
            <w:r>
              <w:rPr>
                <w:webHidden/>
              </w:rPr>
            </w:r>
            <w:r>
              <w:rPr>
                <w:webHidden/>
              </w:rPr>
              <w:fldChar w:fldCharType="separate"/>
            </w:r>
            <w:r>
              <w:rPr>
                <w:webHidden/>
              </w:rPr>
              <w:t>8-3</w:t>
            </w:r>
            <w:r>
              <w:rPr>
                <w:webHidden/>
              </w:rPr>
              <w:fldChar w:fldCharType="end"/>
            </w:r>
          </w:hyperlink>
        </w:p>
        <w:p w:rsidR="00A82EF3" w:rsidRDefault="00A82EF3">
          <w:pPr>
            <w:pStyle w:val="TOC1"/>
            <w:rPr>
              <w:rFonts w:asciiTheme="minorHAnsi" w:eastAsiaTheme="minorEastAsia" w:hAnsiTheme="minorHAnsi"/>
              <w:b w:val="0"/>
              <w:color w:val="auto"/>
              <w:sz w:val="22"/>
              <w:lang w:val="en-AU" w:eastAsia="en-AU"/>
            </w:rPr>
          </w:pPr>
          <w:hyperlink w:anchor="_Toc451760231" w:history="1">
            <w:r w:rsidRPr="009D5DFC">
              <w:rPr>
                <w:rStyle w:val="Hyperlink"/>
              </w:rPr>
              <w:t>Shortened forms</w:t>
            </w:r>
            <w:r>
              <w:rPr>
                <w:webHidden/>
              </w:rPr>
              <w:tab/>
            </w:r>
            <w:r>
              <w:rPr>
                <w:webHidden/>
              </w:rPr>
              <w:fldChar w:fldCharType="begin"/>
            </w:r>
            <w:r>
              <w:rPr>
                <w:webHidden/>
              </w:rPr>
              <w:instrText xml:space="preserve"> PAGEREF _Toc451760231 \h </w:instrText>
            </w:r>
            <w:r>
              <w:rPr>
                <w:webHidden/>
              </w:rPr>
            </w:r>
            <w:r>
              <w:rPr>
                <w:webHidden/>
              </w:rPr>
              <w:fldChar w:fldCharType="separate"/>
            </w:r>
            <w:r>
              <w:rPr>
                <w:webHidden/>
              </w:rPr>
              <w:t>8-4</w:t>
            </w:r>
            <w:r>
              <w:rPr>
                <w:webHidden/>
              </w:rPr>
              <w:fldChar w:fldCharType="end"/>
            </w:r>
          </w:hyperlink>
        </w:p>
        <w:p w:rsidR="00A82EF3" w:rsidRDefault="00A82EF3">
          <w:pPr>
            <w:pStyle w:val="TOC1"/>
            <w:rPr>
              <w:rFonts w:asciiTheme="minorHAnsi" w:eastAsiaTheme="minorEastAsia" w:hAnsiTheme="minorHAnsi"/>
              <w:b w:val="0"/>
              <w:color w:val="auto"/>
              <w:sz w:val="22"/>
              <w:lang w:val="en-AU" w:eastAsia="en-AU"/>
            </w:rPr>
          </w:pPr>
          <w:hyperlink w:anchor="_Toc451760232" w:history="1">
            <w:r w:rsidRPr="009D5DFC">
              <w:rPr>
                <w:rStyle w:val="Hyperlink"/>
              </w:rPr>
              <w:t>8</w:t>
            </w:r>
            <w:r>
              <w:rPr>
                <w:rFonts w:asciiTheme="minorHAnsi" w:eastAsiaTheme="minorEastAsia" w:hAnsiTheme="minorHAnsi"/>
                <w:b w:val="0"/>
                <w:color w:val="auto"/>
                <w:sz w:val="22"/>
                <w:lang w:val="en-AU" w:eastAsia="en-AU"/>
              </w:rPr>
              <w:tab/>
            </w:r>
            <w:r w:rsidRPr="009D5DFC">
              <w:rPr>
                <w:rStyle w:val="Hyperlink"/>
              </w:rPr>
              <w:t>Corporate income tax</w:t>
            </w:r>
            <w:r>
              <w:rPr>
                <w:webHidden/>
              </w:rPr>
              <w:tab/>
            </w:r>
            <w:r>
              <w:rPr>
                <w:webHidden/>
              </w:rPr>
              <w:fldChar w:fldCharType="begin"/>
            </w:r>
            <w:r>
              <w:rPr>
                <w:webHidden/>
              </w:rPr>
              <w:instrText xml:space="preserve"> PAGEREF _Toc451760232 \h </w:instrText>
            </w:r>
            <w:r>
              <w:rPr>
                <w:webHidden/>
              </w:rPr>
            </w:r>
            <w:r>
              <w:rPr>
                <w:webHidden/>
              </w:rPr>
              <w:fldChar w:fldCharType="separate"/>
            </w:r>
            <w:r>
              <w:rPr>
                <w:webHidden/>
              </w:rPr>
              <w:t>8-6</w:t>
            </w:r>
            <w:r>
              <w:rPr>
                <w:webHidden/>
              </w:rPr>
              <w:fldChar w:fldCharType="end"/>
            </w:r>
          </w:hyperlink>
        </w:p>
        <w:p w:rsidR="00A82EF3" w:rsidRDefault="00A82EF3">
          <w:pPr>
            <w:pStyle w:val="TOC2"/>
            <w:rPr>
              <w:rFonts w:asciiTheme="minorHAnsi" w:eastAsiaTheme="minorEastAsia" w:hAnsiTheme="minorHAnsi"/>
              <w:b w:val="0"/>
              <w:color w:val="auto"/>
              <w:sz w:val="22"/>
              <w:lang w:eastAsia="en-AU"/>
            </w:rPr>
          </w:pPr>
          <w:hyperlink w:anchor="_Toc451760233" w:history="1">
            <w:r w:rsidRPr="009D5DFC">
              <w:rPr>
                <w:rStyle w:val="Hyperlink"/>
              </w:rPr>
              <w:t>8.1</w:t>
            </w:r>
            <w:r>
              <w:rPr>
                <w:rFonts w:asciiTheme="minorHAnsi" w:eastAsiaTheme="minorEastAsia" w:hAnsiTheme="minorHAnsi"/>
                <w:b w:val="0"/>
                <w:color w:val="auto"/>
                <w:sz w:val="22"/>
                <w:lang w:eastAsia="en-AU"/>
              </w:rPr>
              <w:tab/>
            </w:r>
            <w:r w:rsidRPr="009D5DFC">
              <w:rPr>
                <w:rStyle w:val="Hyperlink"/>
              </w:rPr>
              <w:t>Final decision</w:t>
            </w:r>
            <w:r>
              <w:rPr>
                <w:webHidden/>
              </w:rPr>
              <w:tab/>
            </w:r>
            <w:r>
              <w:rPr>
                <w:webHidden/>
              </w:rPr>
              <w:fldChar w:fldCharType="begin"/>
            </w:r>
            <w:r>
              <w:rPr>
                <w:webHidden/>
              </w:rPr>
              <w:instrText xml:space="preserve"> PAGEREF _Toc451760233 \h </w:instrText>
            </w:r>
            <w:r>
              <w:rPr>
                <w:webHidden/>
              </w:rPr>
            </w:r>
            <w:r>
              <w:rPr>
                <w:webHidden/>
              </w:rPr>
              <w:fldChar w:fldCharType="separate"/>
            </w:r>
            <w:r>
              <w:rPr>
                <w:webHidden/>
              </w:rPr>
              <w:t>8-6</w:t>
            </w:r>
            <w:r>
              <w:rPr>
                <w:webHidden/>
              </w:rPr>
              <w:fldChar w:fldCharType="end"/>
            </w:r>
          </w:hyperlink>
        </w:p>
        <w:p w:rsidR="00A82EF3" w:rsidRDefault="00A82EF3">
          <w:pPr>
            <w:pStyle w:val="TOC2"/>
            <w:rPr>
              <w:rFonts w:asciiTheme="minorHAnsi" w:eastAsiaTheme="minorEastAsia" w:hAnsiTheme="minorHAnsi"/>
              <w:b w:val="0"/>
              <w:color w:val="auto"/>
              <w:sz w:val="22"/>
              <w:lang w:eastAsia="en-AU"/>
            </w:rPr>
          </w:pPr>
          <w:hyperlink w:anchor="_Toc451760234" w:history="1">
            <w:r w:rsidRPr="009D5DFC">
              <w:rPr>
                <w:rStyle w:val="Hyperlink"/>
              </w:rPr>
              <w:t>8.2</w:t>
            </w:r>
            <w:r>
              <w:rPr>
                <w:rFonts w:asciiTheme="minorHAnsi" w:eastAsiaTheme="minorEastAsia" w:hAnsiTheme="minorHAnsi"/>
                <w:b w:val="0"/>
                <w:color w:val="auto"/>
                <w:sz w:val="22"/>
                <w:lang w:eastAsia="en-AU"/>
              </w:rPr>
              <w:tab/>
            </w:r>
            <w:r w:rsidRPr="009D5DFC">
              <w:rPr>
                <w:rStyle w:val="Hyperlink"/>
              </w:rPr>
              <w:t>ActewAGL’s revised proposal</w:t>
            </w:r>
            <w:r>
              <w:rPr>
                <w:webHidden/>
              </w:rPr>
              <w:tab/>
            </w:r>
            <w:r>
              <w:rPr>
                <w:webHidden/>
              </w:rPr>
              <w:fldChar w:fldCharType="begin"/>
            </w:r>
            <w:r>
              <w:rPr>
                <w:webHidden/>
              </w:rPr>
              <w:instrText xml:space="preserve"> PAGEREF _Toc451760234 \h </w:instrText>
            </w:r>
            <w:r>
              <w:rPr>
                <w:webHidden/>
              </w:rPr>
            </w:r>
            <w:r>
              <w:rPr>
                <w:webHidden/>
              </w:rPr>
              <w:fldChar w:fldCharType="separate"/>
            </w:r>
            <w:r>
              <w:rPr>
                <w:webHidden/>
              </w:rPr>
              <w:t>8-7</w:t>
            </w:r>
            <w:r>
              <w:rPr>
                <w:webHidden/>
              </w:rPr>
              <w:fldChar w:fldCharType="end"/>
            </w:r>
          </w:hyperlink>
        </w:p>
        <w:p w:rsidR="00A82EF3" w:rsidRDefault="00A82EF3">
          <w:pPr>
            <w:pStyle w:val="TOC2"/>
            <w:rPr>
              <w:rFonts w:asciiTheme="minorHAnsi" w:eastAsiaTheme="minorEastAsia" w:hAnsiTheme="minorHAnsi"/>
              <w:b w:val="0"/>
              <w:color w:val="auto"/>
              <w:sz w:val="22"/>
              <w:lang w:eastAsia="en-AU"/>
            </w:rPr>
          </w:pPr>
          <w:hyperlink w:anchor="_Toc451760235" w:history="1">
            <w:r w:rsidRPr="009D5DFC">
              <w:rPr>
                <w:rStyle w:val="Hyperlink"/>
              </w:rPr>
              <w:t>8.3</w:t>
            </w:r>
            <w:r>
              <w:rPr>
                <w:rFonts w:asciiTheme="minorHAnsi" w:eastAsiaTheme="minorEastAsia" w:hAnsiTheme="minorHAnsi"/>
                <w:b w:val="0"/>
                <w:color w:val="auto"/>
                <w:sz w:val="22"/>
                <w:lang w:eastAsia="en-AU"/>
              </w:rPr>
              <w:tab/>
            </w:r>
            <w:r w:rsidRPr="009D5DFC">
              <w:rPr>
                <w:rStyle w:val="Hyperlink"/>
              </w:rPr>
              <w:t>AER’s assessment approach</w:t>
            </w:r>
            <w:r>
              <w:rPr>
                <w:webHidden/>
              </w:rPr>
              <w:tab/>
            </w:r>
            <w:r>
              <w:rPr>
                <w:webHidden/>
              </w:rPr>
              <w:fldChar w:fldCharType="begin"/>
            </w:r>
            <w:r>
              <w:rPr>
                <w:webHidden/>
              </w:rPr>
              <w:instrText xml:space="preserve"> PAGEREF _Toc451760235 \h </w:instrText>
            </w:r>
            <w:r>
              <w:rPr>
                <w:webHidden/>
              </w:rPr>
            </w:r>
            <w:r>
              <w:rPr>
                <w:webHidden/>
              </w:rPr>
              <w:fldChar w:fldCharType="separate"/>
            </w:r>
            <w:r>
              <w:rPr>
                <w:webHidden/>
              </w:rPr>
              <w:t>8-8</w:t>
            </w:r>
            <w:r>
              <w:rPr>
                <w:webHidden/>
              </w:rPr>
              <w:fldChar w:fldCharType="end"/>
            </w:r>
          </w:hyperlink>
        </w:p>
        <w:p w:rsidR="00A82EF3" w:rsidRDefault="00A82EF3">
          <w:pPr>
            <w:pStyle w:val="TOC2"/>
            <w:rPr>
              <w:rFonts w:asciiTheme="minorHAnsi" w:eastAsiaTheme="minorEastAsia" w:hAnsiTheme="minorHAnsi"/>
              <w:b w:val="0"/>
              <w:color w:val="auto"/>
              <w:sz w:val="22"/>
              <w:lang w:eastAsia="en-AU"/>
            </w:rPr>
          </w:pPr>
          <w:hyperlink w:anchor="_Toc451760236" w:history="1">
            <w:r w:rsidRPr="009D5DFC">
              <w:rPr>
                <w:rStyle w:val="Hyperlink"/>
              </w:rPr>
              <w:t>8.4</w:t>
            </w:r>
            <w:r>
              <w:rPr>
                <w:rFonts w:asciiTheme="minorHAnsi" w:eastAsiaTheme="minorEastAsia" w:hAnsiTheme="minorHAnsi"/>
                <w:b w:val="0"/>
                <w:color w:val="auto"/>
                <w:sz w:val="22"/>
                <w:lang w:eastAsia="en-AU"/>
              </w:rPr>
              <w:tab/>
            </w:r>
            <w:r w:rsidRPr="009D5DFC">
              <w:rPr>
                <w:rStyle w:val="Hyperlink"/>
              </w:rPr>
              <w:t>Reasons for final decision</w:t>
            </w:r>
            <w:r>
              <w:rPr>
                <w:webHidden/>
              </w:rPr>
              <w:tab/>
            </w:r>
            <w:r>
              <w:rPr>
                <w:webHidden/>
              </w:rPr>
              <w:fldChar w:fldCharType="begin"/>
            </w:r>
            <w:r>
              <w:rPr>
                <w:webHidden/>
              </w:rPr>
              <w:instrText xml:space="preserve"> PAGEREF _Toc451760236 \h </w:instrText>
            </w:r>
            <w:r>
              <w:rPr>
                <w:webHidden/>
              </w:rPr>
            </w:r>
            <w:r>
              <w:rPr>
                <w:webHidden/>
              </w:rPr>
              <w:fldChar w:fldCharType="separate"/>
            </w:r>
            <w:r>
              <w:rPr>
                <w:webHidden/>
              </w:rPr>
              <w:t>8-9</w:t>
            </w:r>
            <w:r>
              <w:rPr>
                <w:webHidden/>
              </w:rPr>
              <w:fldChar w:fldCharType="end"/>
            </w:r>
          </w:hyperlink>
        </w:p>
        <w:p w:rsidR="00A82EF3" w:rsidRDefault="00A82EF3">
          <w:pPr>
            <w:pStyle w:val="TOC3"/>
            <w:rPr>
              <w:rFonts w:asciiTheme="minorHAnsi" w:eastAsiaTheme="minorEastAsia" w:hAnsiTheme="minorHAnsi"/>
              <w:lang w:eastAsia="en-AU"/>
            </w:rPr>
          </w:pPr>
          <w:hyperlink w:anchor="_Toc451760237" w:history="1">
            <w:r w:rsidRPr="009D5DFC">
              <w:rPr>
                <w:rStyle w:val="Hyperlink"/>
              </w:rPr>
              <w:t>8.4.1</w:t>
            </w:r>
            <w:r>
              <w:rPr>
                <w:rFonts w:asciiTheme="minorHAnsi" w:eastAsiaTheme="minorEastAsia" w:hAnsiTheme="minorHAnsi"/>
                <w:lang w:eastAsia="en-AU"/>
              </w:rPr>
              <w:tab/>
            </w:r>
            <w:r w:rsidRPr="009D5DFC">
              <w:rPr>
                <w:rStyle w:val="Hyperlink"/>
              </w:rPr>
              <w:t>Opening tax asset base as at 1 July 2015</w:t>
            </w:r>
            <w:r>
              <w:rPr>
                <w:webHidden/>
              </w:rPr>
              <w:tab/>
            </w:r>
            <w:r>
              <w:rPr>
                <w:webHidden/>
              </w:rPr>
              <w:fldChar w:fldCharType="begin"/>
            </w:r>
            <w:r>
              <w:rPr>
                <w:webHidden/>
              </w:rPr>
              <w:instrText xml:space="preserve"> PAGEREF _Toc451760237 \h </w:instrText>
            </w:r>
            <w:r>
              <w:rPr>
                <w:webHidden/>
              </w:rPr>
            </w:r>
            <w:r>
              <w:rPr>
                <w:webHidden/>
              </w:rPr>
              <w:fldChar w:fldCharType="separate"/>
            </w:r>
            <w:r>
              <w:rPr>
                <w:webHidden/>
              </w:rPr>
              <w:t>8-9</w:t>
            </w:r>
            <w:r>
              <w:rPr>
                <w:webHidden/>
              </w:rPr>
              <w:fldChar w:fldCharType="end"/>
            </w:r>
          </w:hyperlink>
        </w:p>
        <w:p w:rsidR="00A82EF3" w:rsidRDefault="00A82EF3">
          <w:pPr>
            <w:pStyle w:val="TOC3"/>
            <w:rPr>
              <w:rFonts w:asciiTheme="minorHAnsi" w:eastAsiaTheme="minorEastAsia" w:hAnsiTheme="minorHAnsi"/>
              <w:lang w:eastAsia="en-AU"/>
            </w:rPr>
          </w:pPr>
          <w:hyperlink w:anchor="_Toc451760238" w:history="1">
            <w:r w:rsidRPr="009D5DFC">
              <w:rPr>
                <w:rStyle w:val="Hyperlink"/>
              </w:rPr>
              <w:t>8.4.2</w:t>
            </w:r>
            <w:r>
              <w:rPr>
                <w:rFonts w:asciiTheme="minorHAnsi" w:eastAsiaTheme="minorEastAsia" w:hAnsiTheme="minorHAnsi"/>
                <w:lang w:eastAsia="en-AU"/>
              </w:rPr>
              <w:tab/>
            </w:r>
            <w:r w:rsidRPr="009D5DFC">
              <w:rPr>
                <w:rStyle w:val="Hyperlink"/>
              </w:rPr>
              <w:t>Standard tax asset lives</w:t>
            </w:r>
            <w:r>
              <w:rPr>
                <w:webHidden/>
              </w:rPr>
              <w:tab/>
            </w:r>
            <w:r>
              <w:rPr>
                <w:webHidden/>
              </w:rPr>
              <w:fldChar w:fldCharType="begin"/>
            </w:r>
            <w:r>
              <w:rPr>
                <w:webHidden/>
              </w:rPr>
              <w:instrText xml:space="preserve"> PAGEREF _Toc451760238 \h </w:instrText>
            </w:r>
            <w:r>
              <w:rPr>
                <w:webHidden/>
              </w:rPr>
            </w:r>
            <w:r>
              <w:rPr>
                <w:webHidden/>
              </w:rPr>
              <w:fldChar w:fldCharType="separate"/>
            </w:r>
            <w:r>
              <w:rPr>
                <w:webHidden/>
              </w:rPr>
              <w:t>8-10</w:t>
            </w:r>
            <w:r>
              <w:rPr>
                <w:webHidden/>
              </w:rPr>
              <w:fldChar w:fldCharType="end"/>
            </w:r>
          </w:hyperlink>
        </w:p>
        <w:p w:rsidR="00A82EF3" w:rsidRDefault="00A82EF3">
          <w:pPr>
            <w:pStyle w:val="TOC3"/>
            <w:rPr>
              <w:rFonts w:asciiTheme="minorHAnsi" w:eastAsiaTheme="minorEastAsia" w:hAnsiTheme="minorHAnsi"/>
              <w:lang w:eastAsia="en-AU"/>
            </w:rPr>
          </w:pPr>
          <w:hyperlink w:anchor="_Toc451760239" w:history="1">
            <w:r w:rsidRPr="009D5DFC">
              <w:rPr>
                <w:rStyle w:val="Hyperlink"/>
              </w:rPr>
              <w:t>8.4.3</w:t>
            </w:r>
            <w:r>
              <w:rPr>
                <w:rFonts w:asciiTheme="minorHAnsi" w:eastAsiaTheme="minorEastAsia" w:hAnsiTheme="minorHAnsi"/>
                <w:lang w:eastAsia="en-AU"/>
              </w:rPr>
              <w:tab/>
            </w:r>
            <w:r w:rsidRPr="009D5DFC">
              <w:rPr>
                <w:rStyle w:val="Hyperlink"/>
              </w:rPr>
              <w:t>Remaining tax asset lives as at 1 July 2015</w:t>
            </w:r>
            <w:r>
              <w:rPr>
                <w:webHidden/>
              </w:rPr>
              <w:tab/>
            </w:r>
            <w:r>
              <w:rPr>
                <w:webHidden/>
              </w:rPr>
              <w:fldChar w:fldCharType="begin"/>
            </w:r>
            <w:r>
              <w:rPr>
                <w:webHidden/>
              </w:rPr>
              <w:instrText xml:space="preserve"> PAGEREF _Toc451760239 \h </w:instrText>
            </w:r>
            <w:r>
              <w:rPr>
                <w:webHidden/>
              </w:rPr>
            </w:r>
            <w:r>
              <w:rPr>
                <w:webHidden/>
              </w:rPr>
              <w:fldChar w:fldCharType="separate"/>
            </w:r>
            <w:r>
              <w:rPr>
                <w:webHidden/>
              </w:rPr>
              <w:t>8-11</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7" w:name="_Toc404700925"/>
      <w:bookmarkStart w:id="8" w:name="_Toc451760231"/>
      <w:r>
        <w:t>Shortened forms</w:t>
      </w:r>
      <w:bookmarkEnd w:id="7"/>
      <w:bookmarkEnd w:id="8"/>
    </w:p>
    <w:tbl>
      <w:tblPr>
        <w:tblStyle w:val="AERtable-numbers"/>
        <w:tblW w:w="0" w:type="auto"/>
        <w:tblLook w:val="04A0" w:firstRow="1" w:lastRow="0" w:firstColumn="1" w:lastColumn="0" w:noHBand="0" w:noVBand="1"/>
      </w:tblPr>
      <w:tblGrid>
        <w:gridCol w:w="3652"/>
        <w:gridCol w:w="5041"/>
      </w:tblGrid>
      <w:tr w:rsidR="00462BED" w:rsidTr="00462B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Shortened form</w:t>
            </w:r>
          </w:p>
        </w:tc>
        <w:tc>
          <w:tcPr>
            <w:tcW w:w="5041" w:type="dxa"/>
            <w:tcBorders>
              <w:top w:val="nil"/>
              <w:left w:val="nil"/>
              <w:bottom w:val="nil"/>
              <w:right w:val="nil"/>
            </w:tcBorders>
            <w:hideMark/>
          </w:tcPr>
          <w:p w:rsidR="00462BED" w:rsidRPr="00462BED" w:rsidRDefault="00462BED" w:rsidP="00462BED">
            <w:pPr>
              <w:numPr>
                <w:ilvl w:val="0"/>
                <w:numId w:val="24"/>
              </w:numPr>
              <w:cnfStyle w:val="100000000000" w:firstRow="1" w:lastRow="0" w:firstColumn="0" w:lastColumn="0" w:oddVBand="0" w:evenVBand="0" w:oddHBand="0" w:evenHBand="0" w:firstRowFirstColumn="0" w:firstRowLastColumn="0" w:lastRowFirstColumn="0" w:lastRowLastColumn="0"/>
            </w:pPr>
            <w:r w:rsidRPr="00462BED">
              <w:t>Extended form</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AA</w:t>
            </w:r>
          </w:p>
        </w:tc>
        <w:tc>
          <w:tcPr>
            <w:tcW w:w="5041" w:type="dxa"/>
            <w:tcBorders>
              <w:top w:val="nil"/>
              <w:left w:val="nil"/>
              <w:bottom w:val="nil"/>
              <w:right w:val="nil"/>
            </w:tcBorders>
            <w:hideMark/>
          </w:tcPr>
          <w:p w:rsidR="00462BED" w:rsidRPr="00462BED" w:rsidRDefault="00462BED" w:rsidP="00462BED">
            <w:pPr>
              <w:cnfStyle w:val="000000000000" w:firstRow="0" w:lastRow="0" w:firstColumn="0" w:lastColumn="0" w:oddVBand="0" w:evenVBand="0" w:oddHBand="0" w:evenHBand="0" w:firstRowFirstColumn="0" w:firstRowLastColumn="0" w:lastRowFirstColumn="0" w:lastRowLastColumn="0"/>
            </w:pPr>
            <w:r w:rsidRPr="00462BED">
              <w:t>Access Arrangement</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AAI</w:t>
            </w:r>
          </w:p>
        </w:tc>
        <w:tc>
          <w:tcPr>
            <w:tcW w:w="5041" w:type="dxa"/>
            <w:tcBorders>
              <w:top w:val="nil"/>
              <w:left w:val="nil"/>
              <w:bottom w:val="nil"/>
              <w:right w:val="nil"/>
            </w:tcBorders>
            <w:hideMark/>
          </w:tcPr>
          <w:p w:rsidR="00462BED" w:rsidRPr="00462BED" w:rsidRDefault="00462BED" w:rsidP="00462BED">
            <w:pPr>
              <w:cnfStyle w:val="000000010000" w:firstRow="0" w:lastRow="0" w:firstColumn="0" w:lastColumn="0" w:oddVBand="0" w:evenVBand="0" w:oddHBand="0" w:evenHBand="1" w:firstRowFirstColumn="0" w:firstRowLastColumn="0" w:lastRowFirstColumn="0" w:lastRowLastColumn="0"/>
            </w:pPr>
            <w:r w:rsidRPr="00462BED">
              <w:t>Access Arrangement Information</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AER</w:t>
            </w:r>
          </w:p>
        </w:tc>
        <w:tc>
          <w:tcPr>
            <w:tcW w:w="5041" w:type="dxa"/>
            <w:tcBorders>
              <w:top w:val="nil"/>
              <w:left w:val="nil"/>
              <w:bottom w:val="nil"/>
              <w:right w:val="nil"/>
            </w:tcBorders>
            <w:hideMark/>
          </w:tcPr>
          <w:p w:rsidR="00462BED" w:rsidRPr="00462BED" w:rsidRDefault="00462BED" w:rsidP="00462BED">
            <w:pPr>
              <w:numPr>
                <w:ilvl w:val="0"/>
                <w:numId w:val="24"/>
              </w:numPr>
              <w:cnfStyle w:val="000000000000" w:firstRow="0" w:lastRow="0" w:firstColumn="0" w:lastColumn="0" w:oddVBand="0" w:evenVBand="0" w:oddHBand="0" w:evenHBand="0" w:firstRowFirstColumn="0" w:firstRowLastColumn="0" w:lastRowFirstColumn="0" w:lastRowLastColumn="0"/>
            </w:pPr>
            <w:r w:rsidRPr="00462BED">
              <w:t>Australian Energy Regulator</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ASA</w:t>
            </w:r>
          </w:p>
        </w:tc>
        <w:tc>
          <w:tcPr>
            <w:tcW w:w="5041" w:type="dxa"/>
            <w:tcBorders>
              <w:top w:val="nil"/>
              <w:left w:val="nil"/>
              <w:bottom w:val="nil"/>
              <w:right w:val="nil"/>
            </w:tcBorders>
            <w:hideMark/>
          </w:tcPr>
          <w:p w:rsidR="00462BED" w:rsidRPr="00462BED" w:rsidRDefault="00462BED" w:rsidP="00462BED">
            <w:pPr>
              <w:cnfStyle w:val="000000010000" w:firstRow="0" w:lastRow="0" w:firstColumn="0" w:lastColumn="0" w:oddVBand="0" w:evenVBand="0" w:oddHBand="0" w:evenHBand="1" w:firstRowFirstColumn="0" w:firstRowLastColumn="0" w:lastRowFirstColumn="0" w:lastRowLastColumn="0"/>
            </w:pPr>
            <w:r w:rsidRPr="00462BED">
              <w:t>Asset Services Agreement</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ATO</w:t>
            </w:r>
          </w:p>
        </w:tc>
        <w:tc>
          <w:tcPr>
            <w:tcW w:w="5041" w:type="dxa"/>
            <w:tcBorders>
              <w:top w:val="nil"/>
              <w:left w:val="nil"/>
              <w:bottom w:val="nil"/>
              <w:right w:val="nil"/>
            </w:tcBorders>
            <w:hideMark/>
          </w:tcPr>
          <w:p w:rsidR="00462BED" w:rsidRPr="00462BED" w:rsidRDefault="00462BED" w:rsidP="00462BED">
            <w:pPr>
              <w:cnfStyle w:val="000000000000" w:firstRow="0" w:lastRow="0" w:firstColumn="0" w:lastColumn="0" w:oddVBand="0" w:evenVBand="0" w:oddHBand="0" w:evenHBand="0" w:firstRowFirstColumn="0" w:firstRowLastColumn="0" w:lastRowFirstColumn="0" w:lastRowLastColumn="0"/>
            </w:pPr>
            <w:r w:rsidRPr="00462BED">
              <w:t>Australian Tax Office</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capex</w:t>
            </w:r>
          </w:p>
        </w:tc>
        <w:tc>
          <w:tcPr>
            <w:tcW w:w="5041" w:type="dxa"/>
            <w:tcBorders>
              <w:top w:val="nil"/>
              <w:left w:val="nil"/>
              <w:bottom w:val="nil"/>
              <w:right w:val="nil"/>
            </w:tcBorders>
            <w:hideMark/>
          </w:tcPr>
          <w:p w:rsidR="00462BED" w:rsidRPr="00462BED" w:rsidRDefault="00462BED" w:rsidP="00462BED">
            <w:pPr>
              <w:numPr>
                <w:ilvl w:val="0"/>
                <w:numId w:val="24"/>
              </w:numPr>
              <w:cnfStyle w:val="000000010000" w:firstRow="0" w:lastRow="0" w:firstColumn="0" w:lastColumn="0" w:oddVBand="0" w:evenVBand="0" w:oddHBand="0" w:evenHBand="1" w:firstRowFirstColumn="0" w:firstRowLastColumn="0" w:lastRowFirstColumn="0" w:lastRowLastColumn="0"/>
            </w:pPr>
            <w:r w:rsidRPr="00462BED">
              <w:t>capital expenditure</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CAPM</w:t>
            </w:r>
          </w:p>
        </w:tc>
        <w:tc>
          <w:tcPr>
            <w:tcW w:w="5041" w:type="dxa"/>
            <w:tcBorders>
              <w:top w:val="nil"/>
              <w:left w:val="nil"/>
              <w:bottom w:val="nil"/>
              <w:right w:val="nil"/>
            </w:tcBorders>
            <w:hideMark/>
          </w:tcPr>
          <w:p w:rsidR="00462BED" w:rsidRPr="00462BED" w:rsidRDefault="00462BED" w:rsidP="00462BED">
            <w:pPr>
              <w:numPr>
                <w:ilvl w:val="0"/>
                <w:numId w:val="24"/>
              </w:numPr>
              <w:cnfStyle w:val="000000000000" w:firstRow="0" w:lastRow="0" w:firstColumn="0" w:lastColumn="0" w:oddVBand="0" w:evenVBand="0" w:oddHBand="0" w:evenHBand="0" w:firstRowFirstColumn="0" w:firstRowLastColumn="0" w:lastRowFirstColumn="0" w:lastRowLastColumn="0"/>
            </w:pPr>
            <w:r w:rsidRPr="00462BED">
              <w:t>capital asset pricing model</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CCP</w:t>
            </w:r>
          </w:p>
        </w:tc>
        <w:tc>
          <w:tcPr>
            <w:tcW w:w="5041" w:type="dxa"/>
            <w:tcBorders>
              <w:top w:val="nil"/>
              <w:left w:val="nil"/>
              <w:bottom w:val="nil"/>
              <w:right w:val="nil"/>
            </w:tcBorders>
            <w:hideMark/>
          </w:tcPr>
          <w:p w:rsidR="00462BED" w:rsidRPr="00462BED" w:rsidRDefault="00462BED" w:rsidP="00462BED">
            <w:pPr>
              <w:numPr>
                <w:ilvl w:val="0"/>
                <w:numId w:val="24"/>
              </w:numPr>
              <w:cnfStyle w:val="000000010000" w:firstRow="0" w:lastRow="0" w:firstColumn="0" w:lastColumn="0" w:oddVBand="0" w:evenVBand="0" w:oddHBand="0" w:evenHBand="1" w:firstRowFirstColumn="0" w:firstRowLastColumn="0" w:lastRowFirstColumn="0" w:lastRowLastColumn="0"/>
            </w:pPr>
            <w:r w:rsidRPr="00462BED">
              <w:t>Consumer Challenge Panel</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CMF</w:t>
            </w:r>
          </w:p>
        </w:tc>
        <w:tc>
          <w:tcPr>
            <w:tcW w:w="5041" w:type="dxa"/>
            <w:tcBorders>
              <w:top w:val="nil"/>
              <w:left w:val="nil"/>
              <w:bottom w:val="nil"/>
              <w:right w:val="nil"/>
            </w:tcBorders>
            <w:hideMark/>
          </w:tcPr>
          <w:p w:rsidR="00462BED" w:rsidRPr="00462BED" w:rsidRDefault="00462BED" w:rsidP="00462BED">
            <w:pPr>
              <w:cnfStyle w:val="000000000000" w:firstRow="0" w:lastRow="0" w:firstColumn="0" w:lastColumn="0" w:oddVBand="0" w:evenVBand="0" w:oddHBand="0" w:evenHBand="0" w:firstRowFirstColumn="0" w:firstRowLastColumn="0" w:lastRowFirstColumn="0" w:lastRowLastColumn="0"/>
            </w:pPr>
            <w:r w:rsidRPr="00462BED">
              <w:t>construction management fee</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CPI</w:t>
            </w:r>
          </w:p>
        </w:tc>
        <w:tc>
          <w:tcPr>
            <w:tcW w:w="5041" w:type="dxa"/>
            <w:tcBorders>
              <w:top w:val="nil"/>
              <w:left w:val="nil"/>
              <w:bottom w:val="nil"/>
              <w:right w:val="nil"/>
            </w:tcBorders>
            <w:hideMark/>
          </w:tcPr>
          <w:p w:rsidR="00462BED" w:rsidRPr="00462BED" w:rsidRDefault="00462BED" w:rsidP="00462BED">
            <w:pPr>
              <w:numPr>
                <w:ilvl w:val="0"/>
                <w:numId w:val="24"/>
              </w:numPr>
              <w:cnfStyle w:val="000000010000" w:firstRow="0" w:lastRow="0" w:firstColumn="0" w:lastColumn="0" w:oddVBand="0" w:evenVBand="0" w:oddHBand="0" w:evenHBand="1" w:firstRowFirstColumn="0" w:firstRowLastColumn="0" w:lastRowFirstColumn="0" w:lastRowLastColumn="0"/>
            </w:pPr>
            <w:r w:rsidRPr="00462BED">
              <w:t>consumer price index</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DAMS</w:t>
            </w:r>
          </w:p>
        </w:tc>
        <w:tc>
          <w:tcPr>
            <w:tcW w:w="5041" w:type="dxa"/>
            <w:tcBorders>
              <w:top w:val="nil"/>
              <w:left w:val="nil"/>
              <w:bottom w:val="nil"/>
              <w:right w:val="nil"/>
            </w:tcBorders>
            <w:hideMark/>
          </w:tcPr>
          <w:p w:rsidR="00462BED" w:rsidRPr="00462BED" w:rsidRDefault="00462BED" w:rsidP="00462BED">
            <w:pPr>
              <w:cnfStyle w:val="000000000000" w:firstRow="0" w:lastRow="0" w:firstColumn="0" w:lastColumn="0" w:oddVBand="0" w:evenVBand="0" w:oddHBand="0" w:evenHBand="0" w:firstRowFirstColumn="0" w:firstRowLastColumn="0" w:lastRowFirstColumn="0" w:lastRowLastColumn="0"/>
            </w:pPr>
            <w:r w:rsidRPr="00462BED">
              <w:t>Distribution Asset Management Services</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DRP</w:t>
            </w:r>
          </w:p>
        </w:tc>
        <w:tc>
          <w:tcPr>
            <w:tcW w:w="5041" w:type="dxa"/>
            <w:tcBorders>
              <w:top w:val="nil"/>
              <w:left w:val="nil"/>
              <w:bottom w:val="nil"/>
              <w:right w:val="nil"/>
            </w:tcBorders>
            <w:hideMark/>
          </w:tcPr>
          <w:p w:rsidR="00462BED" w:rsidRPr="00462BED" w:rsidRDefault="00462BED" w:rsidP="00462BED">
            <w:pPr>
              <w:numPr>
                <w:ilvl w:val="0"/>
                <w:numId w:val="24"/>
              </w:numPr>
              <w:cnfStyle w:val="000000010000" w:firstRow="0" w:lastRow="0" w:firstColumn="0" w:lastColumn="0" w:oddVBand="0" w:evenVBand="0" w:oddHBand="0" w:evenHBand="1" w:firstRowFirstColumn="0" w:firstRowLastColumn="0" w:lastRowFirstColumn="0" w:lastRowLastColumn="0"/>
            </w:pPr>
            <w:r w:rsidRPr="00462BED">
              <w:t>debt risk premium</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EBSS</w:t>
            </w:r>
          </w:p>
        </w:tc>
        <w:tc>
          <w:tcPr>
            <w:tcW w:w="5041" w:type="dxa"/>
            <w:tcBorders>
              <w:top w:val="nil"/>
              <w:left w:val="nil"/>
              <w:bottom w:val="nil"/>
              <w:right w:val="nil"/>
            </w:tcBorders>
            <w:hideMark/>
          </w:tcPr>
          <w:p w:rsidR="00462BED" w:rsidRPr="00462BED" w:rsidRDefault="00462BED" w:rsidP="00462BED">
            <w:pPr>
              <w:cnfStyle w:val="000000000000" w:firstRow="0" w:lastRow="0" w:firstColumn="0" w:lastColumn="0" w:oddVBand="0" w:evenVBand="0" w:oddHBand="0" w:evenHBand="0" w:firstRowFirstColumn="0" w:firstRowLastColumn="0" w:lastRowFirstColumn="0" w:lastRowLastColumn="0"/>
            </w:pPr>
            <w:r w:rsidRPr="00462BED">
              <w:t>Efficiency Benefit Sharing Scheme</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ECM</w:t>
            </w:r>
          </w:p>
        </w:tc>
        <w:tc>
          <w:tcPr>
            <w:tcW w:w="5041" w:type="dxa"/>
            <w:tcBorders>
              <w:top w:val="nil"/>
              <w:left w:val="nil"/>
              <w:bottom w:val="nil"/>
              <w:right w:val="nil"/>
            </w:tcBorders>
            <w:hideMark/>
          </w:tcPr>
          <w:p w:rsidR="00462BED" w:rsidRPr="00462BED" w:rsidRDefault="00462BED" w:rsidP="00462BED">
            <w:pPr>
              <w:cnfStyle w:val="000000010000" w:firstRow="0" w:lastRow="0" w:firstColumn="0" w:lastColumn="0" w:oddVBand="0" w:evenVBand="0" w:oddHBand="0" w:evenHBand="1" w:firstRowFirstColumn="0" w:firstRowLastColumn="0" w:lastRowFirstColumn="0" w:lastRowLastColumn="0"/>
            </w:pPr>
            <w:r w:rsidRPr="00462BED">
              <w:t>Efficiency Carryover Mechanism</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EIL</w:t>
            </w:r>
          </w:p>
        </w:tc>
        <w:tc>
          <w:tcPr>
            <w:tcW w:w="5041" w:type="dxa"/>
            <w:tcBorders>
              <w:top w:val="nil"/>
              <w:left w:val="nil"/>
              <w:bottom w:val="nil"/>
              <w:right w:val="nil"/>
            </w:tcBorders>
            <w:hideMark/>
          </w:tcPr>
          <w:p w:rsidR="00462BED" w:rsidRPr="00462BED" w:rsidRDefault="00462BED" w:rsidP="00462BED">
            <w:pPr>
              <w:cnfStyle w:val="000000000000" w:firstRow="0" w:lastRow="0" w:firstColumn="0" w:lastColumn="0" w:oddVBand="0" w:evenVBand="0" w:oddHBand="0" w:evenHBand="0" w:firstRowFirstColumn="0" w:firstRowLastColumn="0" w:lastRowFirstColumn="0" w:lastRowLastColumn="0"/>
            </w:pPr>
            <w:r w:rsidRPr="00462BED">
              <w:t>Energy Industry Levy</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ERP</w:t>
            </w:r>
          </w:p>
        </w:tc>
        <w:tc>
          <w:tcPr>
            <w:tcW w:w="5041" w:type="dxa"/>
            <w:tcBorders>
              <w:top w:val="nil"/>
              <w:left w:val="nil"/>
              <w:bottom w:val="nil"/>
              <w:right w:val="nil"/>
            </w:tcBorders>
            <w:hideMark/>
          </w:tcPr>
          <w:p w:rsidR="00462BED" w:rsidRPr="00462BED" w:rsidRDefault="00462BED" w:rsidP="00462BED">
            <w:pPr>
              <w:numPr>
                <w:ilvl w:val="0"/>
                <w:numId w:val="24"/>
              </w:numPr>
              <w:cnfStyle w:val="000000010000" w:firstRow="0" w:lastRow="0" w:firstColumn="0" w:lastColumn="0" w:oddVBand="0" w:evenVBand="0" w:oddHBand="0" w:evenHBand="1" w:firstRowFirstColumn="0" w:firstRowLastColumn="0" w:lastRowFirstColumn="0" w:lastRowLastColumn="0"/>
            </w:pPr>
            <w:r w:rsidRPr="00462BED">
              <w:t>equity risk premium</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Expenditure Guideline</w:t>
            </w:r>
          </w:p>
        </w:tc>
        <w:tc>
          <w:tcPr>
            <w:tcW w:w="5041" w:type="dxa"/>
            <w:tcBorders>
              <w:top w:val="nil"/>
              <w:left w:val="nil"/>
              <w:bottom w:val="nil"/>
              <w:right w:val="nil"/>
            </w:tcBorders>
            <w:hideMark/>
          </w:tcPr>
          <w:p w:rsidR="00462BED" w:rsidRPr="00462BED" w:rsidRDefault="00462BED" w:rsidP="00462BED">
            <w:pPr>
              <w:cnfStyle w:val="000000000000" w:firstRow="0" w:lastRow="0" w:firstColumn="0" w:lastColumn="0" w:oddVBand="0" w:evenVBand="0" w:oddHBand="0" w:evenHBand="0" w:firstRowFirstColumn="0" w:firstRowLastColumn="0" w:lastRowFirstColumn="0" w:lastRowLastColumn="0"/>
            </w:pPr>
            <w:r w:rsidRPr="00462BED">
              <w:t>Expenditure Forecast Assessment Guideline</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gamma</w:t>
            </w:r>
          </w:p>
        </w:tc>
        <w:tc>
          <w:tcPr>
            <w:tcW w:w="5041" w:type="dxa"/>
            <w:tcBorders>
              <w:top w:val="nil"/>
              <w:left w:val="nil"/>
              <w:bottom w:val="nil"/>
              <w:right w:val="nil"/>
            </w:tcBorders>
            <w:hideMark/>
          </w:tcPr>
          <w:p w:rsidR="00462BED" w:rsidRPr="00462BED" w:rsidRDefault="00462BED" w:rsidP="00462BED">
            <w:pPr>
              <w:cnfStyle w:val="000000010000" w:firstRow="0" w:lastRow="0" w:firstColumn="0" w:lastColumn="0" w:oddVBand="0" w:evenVBand="0" w:oddHBand="0" w:evenHBand="1" w:firstRowFirstColumn="0" w:firstRowLastColumn="0" w:lastRowFirstColumn="0" w:lastRowLastColumn="0"/>
            </w:pPr>
            <w:r w:rsidRPr="00462BED">
              <w:t>value of imputation credits</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GSL</w:t>
            </w:r>
          </w:p>
        </w:tc>
        <w:tc>
          <w:tcPr>
            <w:tcW w:w="5041" w:type="dxa"/>
            <w:tcBorders>
              <w:top w:val="nil"/>
              <w:left w:val="nil"/>
              <w:bottom w:val="nil"/>
              <w:right w:val="nil"/>
            </w:tcBorders>
            <w:hideMark/>
          </w:tcPr>
          <w:p w:rsidR="00462BED" w:rsidRPr="00462BED" w:rsidRDefault="00462BED" w:rsidP="00462BED">
            <w:pPr>
              <w:cnfStyle w:val="000000000000" w:firstRow="0" w:lastRow="0" w:firstColumn="0" w:lastColumn="0" w:oddVBand="0" w:evenVBand="0" w:oddHBand="0" w:evenHBand="0" w:firstRowFirstColumn="0" w:firstRowLastColumn="0" w:lastRowFirstColumn="0" w:lastRowLastColumn="0"/>
            </w:pPr>
            <w:r w:rsidRPr="00462BED">
              <w:t>Guaranteed Service Level</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GTA</w:t>
            </w:r>
          </w:p>
        </w:tc>
        <w:tc>
          <w:tcPr>
            <w:tcW w:w="5041" w:type="dxa"/>
            <w:tcBorders>
              <w:top w:val="nil"/>
              <w:left w:val="nil"/>
              <w:bottom w:val="nil"/>
              <w:right w:val="nil"/>
            </w:tcBorders>
            <w:hideMark/>
          </w:tcPr>
          <w:p w:rsidR="00462BED" w:rsidRPr="00462BED" w:rsidRDefault="00462BED" w:rsidP="00462BED">
            <w:pPr>
              <w:cnfStyle w:val="000000010000" w:firstRow="0" w:lastRow="0" w:firstColumn="0" w:lastColumn="0" w:oddVBand="0" w:evenVBand="0" w:oddHBand="0" w:evenHBand="1" w:firstRowFirstColumn="0" w:firstRowLastColumn="0" w:lastRowFirstColumn="0" w:lastRowLastColumn="0"/>
            </w:pPr>
            <w:r w:rsidRPr="00462BED">
              <w:t>Gas Transport Services Agreement</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ICRC</w:t>
            </w:r>
          </w:p>
        </w:tc>
        <w:tc>
          <w:tcPr>
            <w:tcW w:w="5041" w:type="dxa"/>
            <w:tcBorders>
              <w:top w:val="nil"/>
              <w:left w:val="nil"/>
              <w:bottom w:val="nil"/>
              <w:right w:val="nil"/>
            </w:tcBorders>
            <w:hideMark/>
          </w:tcPr>
          <w:p w:rsidR="00462BED" w:rsidRPr="00462BED" w:rsidRDefault="00462BED" w:rsidP="00462BED">
            <w:pPr>
              <w:cnfStyle w:val="000000000000" w:firstRow="0" w:lastRow="0" w:firstColumn="0" w:lastColumn="0" w:oddVBand="0" w:evenVBand="0" w:oddHBand="0" w:evenHBand="0" w:firstRowFirstColumn="0" w:firstRowLastColumn="0" w:lastRowFirstColumn="0" w:lastRowLastColumn="0"/>
            </w:pPr>
            <w:r w:rsidRPr="00462BED">
              <w:t>Independent Competition and Regulatory Commission</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MRP</w:t>
            </w:r>
          </w:p>
        </w:tc>
        <w:tc>
          <w:tcPr>
            <w:tcW w:w="5041" w:type="dxa"/>
            <w:tcBorders>
              <w:top w:val="nil"/>
              <w:left w:val="nil"/>
              <w:bottom w:val="nil"/>
              <w:right w:val="nil"/>
            </w:tcBorders>
            <w:hideMark/>
          </w:tcPr>
          <w:p w:rsidR="00462BED" w:rsidRPr="00462BED" w:rsidRDefault="00462BED" w:rsidP="00462BED">
            <w:pPr>
              <w:numPr>
                <w:ilvl w:val="0"/>
                <w:numId w:val="24"/>
              </w:numPr>
              <w:cnfStyle w:val="000000010000" w:firstRow="0" w:lastRow="0" w:firstColumn="0" w:lastColumn="0" w:oddVBand="0" w:evenVBand="0" w:oddHBand="0" w:evenHBand="1" w:firstRowFirstColumn="0" w:firstRowLastColumn="0" w:lastRowFirstColumn="0" w:lastRowLastColumn="0"/>
            </w:pPr>
            <w:r w:rsidRPr="00462BED">
              <w:t>market risk premium</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NECF</w:t>
            </w:r>
          </w:p>
        </w:tc>
        <w:tc>
          <w:tcPr>
            <w:tcW w:w="5041" w:type="dxa"/>
            <w:tcBorders>
              <w:top w:val="nil"/>
              <w:left w:val="nil"/>
              <w:bottom w:val="nil"/>
              <w:right w:val="nil"/>
            </w:tcBorders>
            <w:hideMark/>
          </w:tcPr>
          <w:p w:rsidR="00462BED" w:rsidRPr="00462BED" w:rsidRDefault="00462BED" w:rsidP="00462BED">
            <w:pPr>
              <w:cnfStyle w:val="000000000000" w:firstRow="0" w:lastRow="0" w:firstColumn="0" w:lastColumn="0" w:oddVBand="0" w:evenVBand="0" w:oddHBand="0" w:evenHBand="0" w:firstRowFirstColumn="0" w:firstRowLastColumn="0" w:lastRowFirstColumn="0" w:lastRowLastColumn="0"/>
            </w:pPr>
            <w:r w:rsidRPr="00462BED">
              <w:t>National Energy Customer Framework</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NERL</w:t>
            </w:r>
          </w:p>
        </w:tc>
        <w:tc>
          <w:tcPr>
            <w:tcW w:w="5041" w:type="dxa"/>
            <w:tcBorders>
              <w:top w:val="nil"/>
              <w:left w:val="nil"/>
              <w:bottom w:val="nil"/>
              <w:right w:val="nil"/>
            </w:tcBorders>
            <w:hideMark/>
          </w:tcPr>
          <w:p w:rsidR="00462BED" w:rsidRPr="00462BED" w:rsidRDefault="00462BED" w:rsidP="00462BED">
            <w:pPr>
              <w:cnfStyle w:val="000000010000" w:firstRow="0" w:lastRow="0" w:firstColumn="0" w:lastColumn="0" w:oddVBand="0" w:evenVBand="0" w:oddHBand="0" w:evenHBand="1" w:firstRowFirstColumn="0" w:firstRowLastColumn="0" w:lastRowFirstColumn="0" w:lastRowLastColumn="0"/>
            </w:pPr>
            <w:r w:rsidRPr="00462BED">
              <w:t>National Energy Retail Law</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NERR</w:t>
            </w:r>
          </w:p>
        </w:tc>
        <w:tc>
          <w:tcPr>
            <w:tcW w:w="5041" w:type="dxa"/>
            <w:tcBorders>
              <w:top w:val="nil"/>
              <w:left w:val="nil"/>
              <w:bottom w:val="nil"/>
              <w:right w:val="nil"/>
            </w:tcBorders>
            <w:hideMark/>
          </w:tcPr>
          <w:p w:rsidR="00462BED" w:rsidRPr="00462BED" w:rsidRDefault="00462BED" w:rsidP="00462BED">
            <w:pPr>
              <w:numPr>
                <w:ilvl w:val="0"/>
                <w:numId w:val="24"/>
              </w:numPr>
              <w:cnfStyle w:val="000000000000" w:firstRow="0" w:lastRow="0" w:firstColumn="0" w:lastColumn="0" w:oddVBand="0" w:evenVBand="0" w:oddHBand="0" w:evenHBand="0" w:firstRowFirstColumn="0" w:firstRowLastColumn="0" w:lastRowFirstColumn="0" w:lastRowLastColumn="0"/>
            </w:pPr>
            <w:r w:rsidRPr="00462BED">
              <w:t>National Energy Retail Rules</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NGL</w:t>
            </w:r>
          </w:p>
        </w:tc>
        <w:tc>
          <w:tcPr>
            <w:tcW w:w="5041" w:type="dxa"/>
            <w:tcBorders>
              <w:top w:val="nil"/>
              <w:left w:val="nil"/>
              <w:bottom w:val="nil"/>
              <w:right w:val="nil"/>
            </w:tcBorders>
            <w:hideMark/>
          </w:tcPr>
          <w:p w:rsidR="00462BED" w:rsidRPr="00462BED" w:rsidRDefault="00462BED" w:rsidP="00462BED">
            <w:pPr>
              <w:numPr>
                <w:ilvl w:val="0"/>
                <w:numId w:val="24"/>
              </w:numPr>
              <w:cnfStyle w:val="000000010000" w:firstRow="0" w:lastRow="0" w:firstColumn="0" w:lastColumn="0" w:oddVBand="0" w:evenVBand="0" w:oddHBand="0" w:evenHBand="1" w:firstRowFirstColumn="0" w:firstRowLastColumn="0" w:lastRowFirstColumn="0" w:lastRowLastColumn="0"/>
            </w:pPr>
            <w:r w:rsidRPr="00462BED">
              <w:t>National Gas Law</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NGO</w:t>
            </w:r>
          </w:p>
        </w:tc>
        <w:tc>
          <w:tcPr>
            <w:tcW w:w="5041" w:type="dxa"/>
            <w:tcBorders>
              <w:top w:val="nil"/>
              <w:left w:val="nil"/>
              <w:bottom w:val="nil"/>
              <w:right w:val="nil"/>
            </w:tcBorders>
            <w:hideMark/>
          </w:tcPr>
          <w:p w:rsidR="00462BED" w:rsidRPr="00462BED" w:rsidRDefault="00462BED" w:rsidP="00462BED">
            <w:pPr>
              <w:numPr>
                <w:ilvl w:val="0"/>
                <w:numId w:val="24"/>
              </w:numPr>
              <w:cnfStyle w:val="000000000000" w:firstRow="0" w:lastRow="0" w:firstColumn="0" w:lastColumn="0" w:oddVBand="0" w:evenVBand="0" w:oddHBand="0" w:evenHBand="0" w:firstRowFirstColumn="0" w:firstRowLastColumn="0" w:lastRowFirstColumn="0" w:lastRowLastColumn="0"/>
            </w:pPr>
            <w:r w:rsidRPr="00462BED">
              <w:t>National Gas Objective</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NGR</w:t>
            </w:r>
          </w:p>
        </w:tc>
        <w:tc>
          <w:tcPr>
            <w:tcW w:w="5041" w:type="dxa"/>
            <w:tcBorders>
              <w:top w:val="nil"/>
              <w:left w:val="nil"/>
              <w:bottom w:val="nil"/>
              <w:right w:val="nil"/>
            </w:tcBorders>
            <w:hideMark/>
          </w:tcPr>
          <w:p w:rsidR="00462BED" w:rsidRPr="00462BED" w:rsidRDefault="00462BED" w:rsidP="00462BED">
            <w:pPr>
              <w:numPr>
                <w:ilvl w:val="0"/>
                <w:numId w:val="24"/>
              </w:numPr>
              <w:cnfStyle w:val="000000010000" w:firstRow="0" w:lastRow="0" w:firstColumn="0" w:lastColumn="0" w:oddVBand="0" w:evenVBand="0" w:oddHBand="0" w:evenHBand="1" w:firstRowFirstColumn="0" w:firstRowLastColumn="0" w:lastRowFirstColumn="0" w:lastRowLastColumn="0"/>
            </w:pPr>
            <w:r w:rsidRPr="00462BED">
              <w:t>National Gas Rules</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NPV</w:t>
            </w:r>
          </w:p>
        </w:tc>
        <w:tc>
          <w:tcPr>
            <w:tcW w:w="5041" w:type="dxa"/>
            <w:tcBorders>
              <w:top w:val="nil"/>
              <w:left w:val="nil"/>
              <w:bottom w:val="nil"/>
              <w:right w:val="nil"/>
            </w:tcBorders>
            <w:hideMark/>
          </w:tcPr>
          <w:p w:rsidR="00462BED" w:rsidRPr="00462BED" w:rsidRDefault="00462BED" w:rsidP="00462BED">
            <w:pPr>
              <w:cnfStyle w:val="000000000000" w:firstRow="0" w:lastRow="0" w:firstColumn="0" w:lastColumn="0" w:oddVBand="0" w:evenVBand="0" w:oddHBand="0" w:evenHBand="0" w:firstRowFirstColumn="0" w:firstRowLastColumn="0" w:lastRowFirstColumn="0" w:lastRowLastColumn="0"/>
            </w:pPr>
            <w:r w:rsidRPr="00462BED">
              <w:t>net present value</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opex</w:t>
            </w:r>
          </w:p>
        </w:tc>
        <w:tc>
          <w:tcPr>
            <w:tcW w:w="5041" w:type="dxa"/>
            <w:tcBorders>
              <w:top w:val="nil"/>
              <w:left w:val="nil"/>
              <w:bottom w:val="nil"/>
              <w:right w:val="nil"/>
            </w:tcBorders>
            <w:hideMark/>
          </w:tcPr>
          <w:p w:rsidR="00462BED" w:rsidRPr="00462BED" w:rsidRDefault="00462BED" w:rsidP="00462BED">
            <w:pPr>
              <w:numPr>
                <w:ilvl w:val="0"/>
                <w:numId w:val="24"/>
              </w:numPr>
              <w:cnfStyle w:val="000000010000" w:firstRow="0" w:lastRow="0" w:firstColumn="0" w:lastColumn="0" w:oddVBand="0" w:evenVBand="0" w:oddHBand="0" w:evenHBand="1" w:firstRowFirstColumn="0" w:firstRowLastColumn="0" w:lastRowFirstColumn="0" w:lastRowLastColumn="0"/>
            </w:pPr>
            <w:r w:rsidRPr="00462BED">
              <w:t>operating expenditure</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PFP</w:t>
            </w:r>
          </w:p>
        </w:tc>
        <w:tc>
          <w:tcPr>
            <w:tcW w:w="5041" w:type="dxa"/>
            <w:tcBorders>
              <w:top w:val="nil"/>
              <w:left w:val="nil"/>
              <w:bottom w:val="nil"/>
              <w:right w:val="nil"/>
            </w:tcBorders>
            <w:hideMark/>
          </w:tcPr>
          <w:p w:rsidR="00462BED" w:rsidRPr="00462BED" w:rsidRDefault="00462BED" w:rsidP="00462BED">
            <w:pPr>
              <w:cnfStyle w:val="000000000000" w:firstRow="0" w:lastRow="0" w:firstColumn="0" w:lastColumn="0" w:oddVBand="0" w:evenVBand="0" w:oddHBand="0" w:evenHBand="0" w:firstRowFirstColumn="0" w:firstRowLastColumn="0" w:lastRowFirstColumn="0" w:lastRowLastColumn="0"/>
            </w:pPr>
            <w:r w:rsidRPr="00462BED">
              <w:t>partial factor productivity</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PPI</w:t>
            </w:r>
          </w:p>
        </w:tc>
        <w:tc>
          <w:tcPr>
            <w:tcW w:w="5041" w:type="dxa"/>
            <w:tcBorders>
              <w:top w:val="nil"/>
              <w:left w:val="nil"/>
              <w:bottom w:val="nil"/>
              <w:right w:val="nil"/>
            </w:tcBorders>
            <w:hideMark/>
          </w:tcPr>
          <w:p w:rsidR="00462BED" w:rsidRPr="00462BED" w:rsidRDefault="00462BED" w:rsidP="00462BED">
            <w:pPr>
              <w:numPr>
                <w:ilvl w:val="0"/>
                <w:numId w:val="24"/>
              </w:numPr>
              <w:cnfStyle w:val="000000010000" w:firstRow="0" w:lastRow="0" w:firstColumn="0" w:lastColumn="0" w:oddVBand="0" w:evenVBand="0" w:oddHBand="0" w:evenHBand="1" w:firstRowFirstColumn="0" w:firstRowLastColumn="0" w:lastRowFirstColumn="0" w:lastRowLastColumn="0"/>
            </w:pPr>
            <w:r w:rsidRPr="00462BED">
              <w:t>partial performance indicators</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PTRM</w:t>
            </w:r>
          </w:p>
        </w:tc>
        <w:tc>
          <w:tcPr>
            <w:tcW w:w="5041" w:type="dxa"/>
            <w:tcBorders>
              <w:top w:val="nil"/>
              <w:left w:val="nil"/>
              <w:bottom w:val="nil"/>
              <w:right w:val="nil"/>
            </w:tcBorders>
            <w:hideMark/>
          </w:tcPr>
          <w:p w:rsidR="00462BED" w:rsidRPr="00462BED" w:rsidRDefault="00462BED" w:rsidP="00462BED">
            <w:pPr>
              <w:numPr>
                <w:ilvl w:val="0"/>
                <w:numId w:val="24"/>
              </w:numPr>
              <w:cnfStyle w:val="000000000000" w:firstRow="0" w:lastRow="0" w:firstColumn="0" w:lastColumn="0" w:oddVBand="0" w:evenVBand="0" w:oddHBand="0" w:evenHBand="0" w:firstRowFirstColumn="0" w:firstRowLastColumn="0" w:lastRowFirstColumn="0" w:lastRowLastColumn="0"/>
            </w:pPr>
            <w:r w:rsidRPr="00462BED">
              <w:t>post-tax revenue model</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RBA</w:t>
            </w:r>
          </w:p>
        </w:tc>
        <w:tc>
          <w:tcPr>
            <w:tcW w:w="5041" w:type="dxa"/>
            <w:tcBorders>
              <w:top w:val="nil"/>
              <w:left w:val="nil"/>
              <w:bottom w:val="nil"/>
              <w:right w:val="nil"/>
            </w:tcBorders>
            <w:hideMark/>
          </w:tcPr>
          <w:p w:rsidR="00462BED" w:rsidRPr="00462BED" w:rsidRDefault="00462BED" w:rsidP="00462BED">
            <w:pPr>
              <w:numPr>
                <w:ilvl w:val="0"/>
                <w:numId w:val="24"/>
              </w:numPr>
              <w:cnfStyle w:val="000000010000" w:firstRow="0" w:lastRow="0" w:firstColumn="0" w:lastColumn="0" w:oddVBand="0" w:evenVBand="0" w:oddHBand="0" w:evenHBand="1" w:firstRowFirstColumn="0" w:firstRowLastColumn="0" w:lastRowFirstColumn="0" w:lastRowLastColumn="0"/>
            </w:pPr>
            <w:r w:rsidRPr="00462BED">
              <w:t>Reserve Bank of Australia</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RFM</w:t>
            </w:r>
          </w:p>
        </w:tc>
        <w:tc>
          <w:tcPr>
            <w:tcW w:w="5041" w:type="dxa"/>
            <w:tcBorders>
              <w:top w:val="nil"/>
              <w:left w:val="nil"/>
              <w:bottom w:val="nil"/>
              <w:right w:val="nil"/>
            </w:tcBorders>
            <w:hideMark/>
          </w:tcPr>
          <w:p w:rsidR="00462BED" w:rsidRPr="00462BED" w:rsidRDefault="00462BED" w:rsidP="00462BED">
            <w:pPr>
              <w:numPr>
                <w:ilvl w:val="0"/>
                <w:numId w:val="24"/>
              </w:numPr>
              <w:cnfStyle w:val="000000000000" w:firstRow="0" w:lastRow="0" w:firstColumn="0" w:lastColumn="0" w:oddVBand="0" w:evenVBand="0" w:oddHBand="0" w:evenHBand="0" w:firstRowFirstColumn="0" w:firstRowLastColumn="0" w:lastRowFirstColumn="0" w:lastRowLastColumn="0"/>
            </w:pPr>
            <w:r w:rsidRPr="00462BED">
              <w:t>roll forward model</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RIN</w:t>
            </w:r>
          </w:p>
        </w:tc>
        <w:tc>
          <w:tcPr>
            <w:tcW w:w="5041" w:type="dxa"/>
            <w:tcBorders>
              <w:top w:val="nil"/>
              <w:left w:val="nil"/>
              <w:bottom w:val="nil"/>
              <w:right w:val="nil"/>
            </w:tcBorders>
            <w:hideMark/>
          </w:tcPr>
          <w:p w:rsidR="00462BED" w:rsidRPr="00462BED" w:rsidRDefault="00462BED" w:rsidP="00462BED">
            <w:pPr>
              <w:numPr>
                <w:ilvl w:val="0"/>
                <w:numId w:val="24"/>
              </w:numPr>
              <w:cnfStyle w:val="000000010000" w:firstRow="0" w:lastRow="0" w:firstColumn="0" w:lastColumn="0" w:oddVBand="0" w:evenVBand="0" w:oddHBand="0" w:evenHBand="1" w:firstRowFirstColumn="0" w:firstRowLastColumn="0" w:lastRowFirstColumn="0" w:lastRowLastColumn="0"/>
            </w:pPr>
            <w:r w:rsidRPr="00462BED">
              <w:t>regulatory information notice</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proofErr w:type="spellStart"/>
            <w:r w:rsidRPr="00462BED">
              <w:t>RoLR</w:t>
            </w:r>
            <w:proofErr w:type="spellEnd"/>
          </w:p>
        </w:tc>
        <w:tc>
          <w:tcPr>
            <w:tcW w:w="5041" w:type="dxa"/>
            <w:tcBorders>
              <w:top w:val="nil"/>
              <w:left w:val="nil"/>
              <w:bottom w:val="nil"/>
              <w:right w:val="nil"/>
            </w:tcBorders>
            <w:hideMark/>
          </w:tcPr>
          <w:p w:rsidR="00462BED" w:rsidRPr="00462BED" w:rsidRDefault="00462BED" w:rsidP="00462BED">
            <w:pPr>
              <w:cnfStyle w:val="000000000000" w:firstRow="0" w:lastRow="0" w:firstColumn="0" w:lastColumn="0" w:oddVBand="0" w:evenVBand="0" w:oddHBand="0" w:evenHBand="0" w:firstRowFirstColumn="0" w:firstRowLastColumn="0" w:lastRowFirstColumn="0" w:lastRowLastColumn="0"/>
            </w:pPr>
            <w:r w:rsidRPr="00462BED">
              <w:t>retailer of last resort</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RSA</w:t>
            </w:r>
          </w:p>
        </w:tc>
        <w:tc>
          <w:tcPr>
            <w:tcW w:w="5041" w:type="dxa"/>
            <w:tcBorders>
              <w:top w:val="nil"/>
              <w:left w:val="nil"/>
              <w:bottom w:val="nil"/>
              <w:right w:val="nil"/>
            </w:tcBorders>
            <w:hideMark/>
          </w:tcPr>
          <w:p w:rsidR="00462BED" w:rsidRPr="00462BED" w:rsidRDefault="00462BED" w:rsidP="00462BED">
            <w:pPr>
              <w:cnfStyle w:val="000000010000" w:firstRow="0" w:lastRow="0" w:firstColumn="0" w:lastColumn="0" w:oddVBand="0" w:evenVBand="0" w:oddHBand="0" w:evenHBand="1" w:firstRowFirstColumn="0" w:firstRowLastColumn="0" w:lastRowFirstColumn="0" w:lastRowLastColumn="0"/>
            </w:pPr>
            <w:r w:rsidRPr="00462BED">
              <w:t>Reference Service Agreement</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RPP</w:t>
            </w:r>
          </w:p>
        </w:tc>
        <w:tc>
          <w:tcPr>
            <w:tcW w:w="5041" w:type="dxa"/>
            <w:tcBorders>
              <w:top w:val="nil"/>
              <w:left w:val="nil"/>
              <w:bottom w:val="nil"/>
              <w:right w:val="nil"/>
            </w:tcBorders>
            <w:hideMark/>
          </w:tcPr>
          <w:p w:rsidR="00462BED" w:rsidRPr="00462BED" w:rsidRDefault="00462BED" w:rsidP="00462BED">
            <w:pPr>
              <w:numPr>
                <w:ilvl w:val="0"/>
                <w:numId w:val="24"/>
              </w:numPr>
              <w:cnfStyle w:val="000000000000" w:firstRow="0" w:lastRow="0" w:firstColumn="0" w:lastColumn="0" w:oddVBand="0" w:evenVBand="0" w:oddHBand="0" w:evenHBand="0" w:firstRowFirstColumn="0" w:firstRowLastColumn="0" w:lastRowFirstColumn="0" w:lastRowLastColumn="0"/>
            </w:pPr>
            <w:r w:rsidRPr="00462BED">
              <w:t>revenue and pricing principles</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SLCAPM</w:t>
            </w:r>
          </w:p>
        </w:tc>
        <w:tc>
          <w:tcPr>
            <w:tcW w:w="5041" w:type="dxa"/>
            <w:tcBorders>
              <w:top w:val="nil"/>
              <w:left w:val="nil"/>
              <w:bottom w:val="nil"/>
              <w:right w:val="nil"/>
            </w:tcBorders>
            <w:hideMark/>
          </w:tcPr>
          <w:p w:rsidR="00462BED" w:rsidRPr="00462BED" w:rsidRDefault="00462BED" w:rsidP="00462BED">
            <w:pPr>
              <w:numPr>
                <w:ilvl w:val="0"/>
                <w:numId w:val="24"/>
              </w:numPr>
              <w:cnfStyle w:val="000000010000" w:firstRow="0" w:lastRow="0" w:firstColumn="0" w:lastColumn="0" w:oddVBand="0" w:evenVBand="0" w:oddHBand="0" w:evenHBand="1" w:firstRowFirstColumn="0" w:firstRowLastColumn="0" w:lastRowFirstColumn="0" w:lastRowLastColumn="0"/>
            </w:pPr>
            <w:r w:rsidRPr="00462BED">
              <w:t>Sharpe-</w:t>
            </w:r>
            <w:proofErr w:type="spellStart"/>
            <w:r w:rsidRPr="00462BED">
              <w:t>Lintner</w:t>
            </w:r>
            <w:proofErr w:type="spellEnd"/>
            <w:r w:rsidRPr="00462BED">
              <w:t xml:space="preserve"> capital asset pricing model</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STTM</w:t>
            </w:r>
          </w:p>
        </w:tc>
        <w:tc>
          <w:tcPr>
            <w:tcW w:w="5041" w:type="dxa"/>
            <w:tcBorders>
              <w:top w:val="nil"/>
              <w:left w:val="nil"/>
              <w:bottom w:val="nil"/>
              <w:right w:val="nil"/>
            </w:tcBorders>
            <w:hideMark/>
          </w:tcPr>
          <w:p w:rsidR="00462BED" w:rsidRPr="00462BED" w:rsidRDefault="00462BED" w:rsidP="00462BED">
            <w:pPr>
              <w:cnfStyle w:val="000000000000" w:firstRow="0" w:lastRow="0" w:firstColumn="0" w:lastColumn="0" w:oddVBand="0" w:evenVBand="0" w:oddHBand="0" w:evenHBand="0" w:firstRowFirstColumn="0" w:firstRowLastColumn="0" w:lastRowFirstColumn="0" w:lastRowLastColumn="0"/>
            </w:pPr>
            <w:r w:rsidRPr="00462BED">
              <w:t>Short Term Trading Market</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TAB</w:t>
            </w:r>
          </w:p>
        </w:tc>
        <w:tc>
          <w:tcPr>
            <w:tcW w:w="5041" w:type="dxa"/>
            <w:tcBorders>
              <w:top w:val="nil"/>
              <w:left w:val="nil"/>
              <w:bottom w:val="nil"/>
              <w:right w:val="nil"/>
            </w:tcBorders>
            <w:hideMark/>
          </w:tcPr>
          <w:p w:rsidR="00462BED" w:rsidRPr="00462BED" w:rsidRDefault="00462BED" w:rsidP="00462BED">
            <w:pPr>
              <w:cnfStyle w:val="000000010000" w:firstRow="0" w:lastRow="0" w:firstColumn="0" w:lastColumn="0" w:oddVBand="0" w:evenVBand="0" w:oddHBand="0" w:evenHBand="1" w:firstRowFirstColumn="0" w:firstRowLastColumn="0" w:lastRowFirstColumn="0" w:lastRowLastColumn="0"/>
            </w:pPr>
            <w:r w:rsidRPr="00462BED">
              <w:t>tax asset base</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UAFG</w:t>
            </w:r>
          </w:p>
        </w:tc>
        <w:tc>
          <w:tcPr>
            <w:tcW w:w="5041" w:type="dxa"/>
            <w:tcBorders>
              <w:top w:val="nil"/>
              <w:left w:val="nil"/>
              <w:bottom w:val="nil"/>
              <w:right w:val="nil"/>
            </w:tcBorders>
            <w:hideMark/>
          </w:tcPr>
          <w:p w:rsidR="00462BED" w:rsidRPr="00462BED" w:rsidRDefault="00462BED" w:rsidP="00462BED">
            <w:pPr>
              <w:cnfStyle w:val="000000000000" w:firstRow="0" w:lastRow="0" w:firstColumn="0" w:lastColumn="0" w:oddVBand="0" w:evenVBand="0" w:oddHBand="0" w:evenHBand="0" w:firstRowFirstColumn="0" w:firstRowLastColumn="0" w:lastRowFirstColumn="0" w:lastRowLastColumn="0"/>
            </w:pPr>
            <w:r w:rsidRPr="00462BED">
              <w:t>unaccounted for gas</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UNFT</w:t>
            </w:r>
          </w:p>
        </w:tc>
        <w:tc>
          <w:tcPr>
            <w:tcW w:w="5041" w:type="dxa"/>
            <w:tcBorders>
              <w:top w:val="nil"/>
              <w:left w:val="nil"/>
              <w:bottom w:val="nil"/>
              <w:right w:val="nil"/>
            </w:tcBorders>
            <w:hideMark/>
          </w:tcPr>
          <w:p w:rsidR="00462BED" w:rsidRPr="00462BED" w:rsidRDefault="00462BED" w:rsidP="00462BED">
            <w:pPr>
              <w:cnfStyle w:val="000000010000" w:firstRow="0" w:lastRow="0" w:firstColumn="0" w:lastColumn="0" w:oddVBand="0" w:evenVBand="0" w:oddHBand="0" w:evenHBand="1" w:firstRowFirstColumn="0" w:firstRowLastColumn="0" w:lastRowFirstColumn="0" w:lastRowLastColumn="0"/>
            </w:pPr>
            <w:r w:rsidRPr="00462BED">
              <w:t>Utilities Network Facilities Tax</w:t>
            </w:r>
          </w:p>
        </w:tc>
      </w:tr>
      <w:tr w:rsidR="00462BED" w:rsidTr="00462BE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462BED" w:rsidRPr="00462BED" w:rsidRDefault="00462BED" w:rsidP="00462BED">
            <w:pPr>
              <w:numPr>
                <w:ilvl w:val="0"/>
                <w:numId w:val="24"/>
              </w:numPr>
            </w:pPr>
            <w:r w:rsidRPr="00462BED">
              <w:t>WACC</w:t>
            </w:r>
          </w:p>
        </w:tc>
        <w:tc>
          <w:tcPr>
            <w:tcW w:w="5041" w:type="dxa"/>
            <w:tcBorders>
              <w:top w:val="nil"/>
              <w:left w:val="nil"/>
              <w:bottom w:val="nil"/>
              <w:right w:val="nil"/>
            </w:tcBorders>
            <w:hideMark/>
          </w:tcPr>
          <w:p w:rsidR="00462BED" w:rsidRPr="00462BED" w:rsidRDefault="00462BED" w:rsidP="00462BED">
            <w:pPr>
              <w:numPr>
                <w:ilvl w:val="0"/>
                <w:numId w:val="24"/>
              </w:numPr>
              <w:cnfStyle w:val="000000000000" w:firstRow="0" w:lastRow="0" w:firstColumn="0" w:lastColumn="0" w:oddVBand="0" w:evenVBand="0" w:oddHBand="0" w:evenHBand="0" w:firstRowFirstColumn="0" w:firstRowLastColumn="0" w:lastRowFirstColumn="0" w:lastRowLastColumn="0"/>
            </w:pPr>
            <w:r w:rsidRPr="00462BED">
              <w:t>weighted average cost of capital</w:t>
            </w:r>
          </w:p>
        </w:tc>
      </w:tr>
      <w:tr w:rsidR="00462BED" w:rsidTr="00462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462BED" w:rsidRPr="00462BED" w:rsidRDefault="00462BED" w:rsidP="00462BED">
            <w:pPr>
              <w:numPr>
                <w:ilvl w:val="0"/>
                <w:numId w:val="24"/>
              </w:numPr>
            </w:pPr>
            <w:r w:rsidRPr="00462BED">
              <w:t>WPI</w:t>
            </w:r>
          </w:p>
        </w:tc>
        <w:tc>
          <w:tcPr>
            <w:tcW w:w="5041" w:type="dxa"/>
            <w:tcBorders>
              <w:top w:val="nil"/>
              <w:left w:val="nil"/>
              <w:bottom w:val="single" w:sz="4" w:space="0" w:color="365F91"/>
              <w:right w:val="nil"/>
            </w:tcBorders>
            <w:hideMark/>
          </w:tcPr>
          <w:p w:rsidR="00462BED" w:rsidRPr="00462BED" w:rsidRDefault="00462BED" w:rsidP="00462BED">
            <w:pPr>
              <w:cnfStyle w:val="000000010000" w:firstRow="0" w:lastRow="0" w:firstColumn="0" w:lastColumn="0" w:oddVBand="0" w:evenVBand="0" w:oddHBand="0" w:evenHBand="1" w:firstRowFirstColumn="0" w:firstRowLastColumn="0" w:lastRowFirstColumn="0" w:lastRowLastColumn="0"/>
            </w:pPr>
            <w:r w:rsidRPr="00462BED">
              <w:t>Wage Price Index</w:t>
            </w:r>
          </w:p>
        </w:tc>
      </w:tr>
    </w:tbl>
    <w:p w:rsidR="00462BED" w:rsidRPr="00462BED" w:rsidRDefault="00462BED" w:rsidP="00462BED"/>
    <w:p w:rsidR="004F0BC3" w:rsidRDefault="004F0BC3" w:rsidP="004F0BC3">
      <w:pPr>
        <w:pStyle w:val="Heading1"/>
      </w:pPr>
      <w:bookmarkStart w:id="9" w:name="_Toc436043208"/>
      <w:bookmarkStart w:id="10" w:name="_Toc451760232"/>
      <w:r>
        <w:t>Corporate income tax</w:t>
      </w:r>
      <w:bookmarkEnd w:id="9"/>
      <w:bookmarkEnd w:id="10"/>
    </w:p>
    <w:p w:rsidR="004F0BC3" w:rsidRPr="00FD50DB" w:rsidRDefault="004F0BC3" w:rsidP="004F0BC3">
      <w:r w:rsidRPr="00FD50DB">
        <w:t xml:space="preserve">When determining the total revenue for </w:t>
      </w:r>
      <w:r>
        <w:t>ActewAGL</w:t>
      </w:r>
      <w:r w:rsidRPr="00FD50DB">
        <w:t xml:space="preserve">, we must estimate </w:t>
      </w:r>
      <w:r>
        <w:t>ActewAGL</w:t>
      </w:r>
      <w:r w:rsidRPr="00FD50DB">
        <w:t>’s cost of corporate income tax.</w:t>
      </w:r>
      <w:r w:rsidRPr="00FD50DB">
        <w:rPr>
          <w:rStyle w:val="FootnoteReference"/>
        </w:rPr>
        <w:footnoteReference w:id="1"/>
      </w:r>
      <w:r w:rsidRPr="00FD50DB">
        <w:t xml:space="preserve"> </w:t>
      </w:r>
      <w:r>
        <w:t>ActewAGL</w:t>
      </w:r>
      <w:r w:rsidRPr="00FD50DB">
        <w:t xml:space="preserve"> has adopted the post</w:t>
      </w:r>
      <w:r>
        <w:t>–</w:t>
      </w:r>
      <w:r w:rsidRPr="00FD50DB">
        <w:t>tax framework to derive its revenue requirement for</w:t>
      </w:r>
      <w:r w:rsidR="00796635">
        <w:t xml:space="preserve"> </w:t>
      </w:r>
      <w:r w:rsidR="00CF125B">
        <w:t>2015–16 and</w:t>
      </w:r>
      <w:r w:rsidRPr="00FD50DB">
        <w:t xml:space="preserve"> the </w:t>
      </w:r>
      <w:r>
        <w:t>2016–21</w:t>
      </w:r>
      <w:r w:rsidRPr="00FD50DB">
        <w:t xml:space="preserve"> access arrangement </w:t>
      </w:r>
      <w:proofErr w:type="gramStart"/>
      <w:r w:rsidRPr="00FD50DB">
        <w:t>period</w:t>
      </w:r>
      <w:proofErr w:type="gramEnd"/>
      <w:r w:rsidRPr="00FD50DB">
        <w:t>.</w:t>
      </w:r>
      <w:r w:rsidRPr="00FD50DB">
        <w:rPr>
          <w:rStyle w:val="FootnoteReference"/>
        </w:rPr>
        <w:footnoteReference w:id="2"/>
      </w:r>
      <w:r w:rsidRPr="00FD50DB">
        <w:t xml:space="preserve"> Under the post</w:t>
      </w:r>
      <w:r>
        <w:t>–</w:t>
      </w:r>
      <w:r w:rsidRPr="00FD50DB">
        <w:t>tax framework, a separate corporate income tax allowance is calculated as part of the building blocks assessment.</w:t>
      </w:r>
    </w:p>
    <w:p w:rsidR="004F0BC3" w:rsidRDefault="004F0BC3" w:rsidP="004F0BC3">
      <w:pPr>
        <w:pStyle w:val="Heading2"/>
      </w:pPr>
      <w:bookmarkStart w:id="11" w:name="_Toc408404320"/>
      <w:bookmarkStart w:id="12" w:name="_Toc436043209"/>
      <w:bookmarkStart w:id="13" w:name="_Toc451760233"/>
      <w:r>
        <w:t>Final</w:t>
      </w:r>
      <w:r w:rsidRPr="0074565D">
        <w:t xml:space="preserve"> decision</w:t>
      </w:r>
      <w:bookmarkEnd w:id="11"/>
      <w:bookmarkEnd w:id="12"/>
      <w:bookmarkEnd w:id="13"/>
    </w:p>
    <w:p w:rsidR="00CF125B" w:rsidRDefault="00CF125B" w:rsidP="004F0BC3">
      <w:r>
        <w:t>We do not approve ActewAGL's revised proposed cost of corporate income tax of $</w:t>
      </w:r>
      <w:r w:rsidR="00DC363D">
        <w:t>20</w:t>
      </w:r>
      <w:r w:rsidR="00EB489D">
        <w:t>.0</w:t>
      </w:r>
      <w:r w:rsidR="001D1216">
        <w:t> </w:t>
      </w:r>
      <w:r>
        <w:t xml:space="preserve">million ($nominal) for </w:t>
      </w:r>
      <w:r w:rsidR="001D1216">
        <w:t xml:space="preserve">2015–16 and </w:t>
      </w:r>
      <w:r>
        <w:t>the 2016–21 access arrangement period. This is mainly a consequence of our adjustments to ActewAGL's proposed value of imputation credits–gamma–(attachment 4) and other building block costs that affect revenues, such as the rate of return on capital (attachment 3), forecast capex (attachment 6) and forecast opex (attachment 7).</w:t>
      </w:r>
      <w:r>
        <w:rPr>
          <w:rStyle w:val="FootnoteReference"/>
        </w:rPr>
        <w:footnoteReference w:id="3"/>
      </w:r>
    </w:p>
    <w:p w:rsidR="00796635" w:rsidRDefault="00DC363D" w:rsidP="00796635">
      <w:pPr>
        <w:rPr>
          <w:rStyle w:val="AERbody"/>
        </w:rPr>
      </w:pPr>
      <w:r>
        <w:rPr>
          <w:rStyle w:val="AERbody"/>
        </w:rPr>
        <w:t>Consistent with our draft decision, w</w:t>
      </w:r>
      <w:r w:rsidR="00796635">
        <w:rPr>
          <w:rStyle w:val="AERbody"/>
        </w:rPr>
        <w:t xml:space="preserve">e </w:t>
      </w:r>
      <w:r>
        <w:rPr>
          <w:rStyle w:val="AERbody"/>
        </w:rPr>
        <w:t xml:space="preserve">accept </w:t>
      </w:r>
      <w:proofErr w:type="spellStart"/>
      <w:r w:rsidR="00796635">
        <w:t>ActewAGL</w:t>
      </w:r>
      <w:r w:rsidR="00796635">
        <w:rPr>
          <w:rStyle w:val="AERbody"/>
        </w:rPr>
        <w:t>’s</w:t>
      </w:r>
      <w:proofErr w:type="spellEnd"/>
      <w:r w:rsidR="00796635">
        <w:rPr>
          <w:rStyle w:val="AERbody"/>
        </w:rPr>
        <w:t xml:space="preserve"> proposed method to roll forward the tax asset base (TAB) because it is consistent with the AER’s roll forward model (RFM) for electricity service providers and the approach previously approved in gas access arrangement decisions. </w:t>
      </w:r>
      <w:r>
        <w:rPr>
          <w:rStyle w:val="AERbody"/>
        </w:rPr>
        <w:t>In accepting the approach, however, we have updated</w:t>
      </w:r>
      <w:r w:rsidR="00796635">
        <w:rPr>
          <w:rStyle w:val="AERbody"/>
        </w:rPr>
        <w:t xml:space="preserve"> </w:t>
      </w:r>
      <w:proofErr w:type="spellStart"/>
      <w:r w:rsidR="001D1216">
        <w:rPr>
          <w:rStyle w:val="AERbody"/>
        </w:rPr>
        <w:t>ActewAGL's</w:t>
      </w:r>
      <w:proofErr w:type="spellEnd"/>
      <w:r w:rsidR="001D1216">
        <w:rPr>
          <w:rStyle w:val="AERbody"/>
        </w:rPr>
        <w:t xml:space="preserve"> </w:t>
      </w:r>
      <w:r w:rsidR="00796635">
        <w:rPr>
          <w:rStyle w:val="AERbody"/>
        </w:rPr>
        <w:t xml:space="preserve">opening TAB </w:t>
      </w:r>
      <w:r w:rsidR="005B1056">
        <w:rPr>
          <w:rStyle w:val="AERbody"/>
        </w:rPr>
        <w:t xml:space="preserve">as at 1 July 2015 </w:t>
      </w:r>
      <w:r>
        <w:rPr>
          <w:rStyle w:val="AERbody"/>
        </w:rPr>
        <w:t>to $231.7 million</w:t>
      </w:r>
      <w:r w:rsidR="00FF1259">
        <w:rPr>
          <w:rStyle w:val="AERbody"/>
        </w:rPr>
        <w:t xml:space="preserve"> ($nominal)</w:t>
      </w:r>
      <w:r w:rsidRPr="00DC363D">
        <w:rPr>
          <w:rStyle w:val="AERbody"/>
        </w:rPr>
        <w:t xml:space="preserve"> to reflect </w:t>
      </w:r>
      <w:proofErr w:type="spellStart"/>
      <w:r w:rsidRPr="00DC363D">
        <w:rPr>
          <w:rStyle w:val="AERbody"/>
        </w:rPr>
        <w:t>ActewAGL's</w:t>
      </w:r>
      <w:proofErr w:type="spellEnd"/>
      <w:r w:rsidRPr="00DC363D">
        <w:rPr>
          <w:rStyle w:val="AERbody"/>
        </w:rPr>
        <w:t xml:space="preserve"> updated revised </w:t>
      </w:r>
      <w:r w:rsidR="005B1056" w:rsidRPr="00DC363D">
        <w:rPr>
          <w:rStyle w:val="AERbody"/>
        </w:rPr>
        <w:t>conforming</w:t>
      </w:r>
      <w:r w:rsidRPr="00DC363D">
        <w:rPr>
          <w:rStyle w:val="AERbody"/>
        </w:rPr>
        <w:t xml:space="preserve"> capex for 2014–15 as discussed in attachment 2.</w:t>
      </w:r>
      <w:r>
        <w:rPr>
          <w:rStyle w:val="AERbody"/>
        </w:rPr>
        <w:t xml:space="preserve"> </w:t>
      </w:r>
      <w:r w:rsidR="005B1056">
        <w:rPr>
          <w:rStyle w:val="AERbody"/>
        </w:rPr>
        <w:t>Our final decision</w:t>
      </w:r>
      <w:r>
        <w:rPr>
          <w:rStyle w:val="AERbody"/>
        </w:rPr>
        <w:t xml:space="preserve"> is 0.3 million or 0.1 per cent ($</w:t>
      </w:r>
      <w:r w:rsidR="005B1056">
        <w:rPr>
          <w:rStyle w:val="AERbody"/>
        </w:rPr>
        <w:t>nominal</w:t>
      </w:r>
      <w:r>
        <w:rPr>
          <w:rStyle w:val="AERbody"/>
        </w:rPr>
        <w:t xml:space="preserve">) higher than </w:t>
      </w:r>
      <w:proofErr w:type="spellStart"/>
      <w:r>
        <w:rPr>
          <w:rStyle w:val="AERbody"/>
        </w:rPr>
        <w:t>ActewAGL's</w:t>
      </w:r>
      <w:proofErr w:type="spellEnd"/>
      <w:r>
        <w:rPr>
          <w:rStyle w:val="AERbody"/>
        </w:rPr>
        <w:t xml:space="preserve"> revised proposed value </w:t>
      </w:r>
      <w:r w:rsidR="00796635">
        <w:rPr>
          <w:rStyle w:val="AERbody"/>
        </w:rPr>
        <w:t>of $231.</w:t>
      </w:r>
      <w:r w:rsidR="00EB489D">
        <w:rPr>
          <w:rStyle w:val="AERbody"/>
        </w:rPr>
        <w:t>4</w:t>
      </w:r>
      <w:r w:rsidR="00796635">
        <w:rPr>
          <w:rStyle w:val="AERbody"/>
        </w:rPr>
        <w:t xml:space="preserve"> million ($nominal)</w:t>
      </w:r>
      <w:r w:rsidR="005B1056">
        <w:rPr>
          <w:rStyle w:val="AERbody"/>
        </w:rPr>
        <w:t>.</w:t>
      </w:r>
    </w:p>
    <w:p w:rsidR="00EA13FF" w:rsidRDefault="00796635" w:rsidP="004F0BC3">
      <w:r>
        <w:t>Our adjustments result in an estimated cost of corporate income tax of $</w:t>
      </w:r>
      <w:r w:rsidR="00EB489D">
        <w:t>9.4</w:t>
      </w:r>
      <w:r w:rsidR="00EA13FF">
        <w:t xml:space="preserve"> </w:t>
      </w:r>
      <w:r>
        <w:t xml:space="preserve">million ($nominal) for ActewAGL </w:t>
      </w:r>
      <w:r w:rsidR="00EB489D">
        <w:t xml:space="preserve">for 2015–16 and the 2016–21 access arrangement period </w:t>
      </w:r>
      <w:r>
        <w:t xml:space="preserve">as shown in table 8.1. </w:t>
      </w:r>
    </w:p>
    <w:p w:rsidR="00353CC4" w:rsidRPr="00353CC4" w:rsidRDefault="00353CC4" w:rsidP="00353CC4">
      <w:r w:rsidRPr="00353CC4">
        <w:t xml:space="preserve">We have revised the access arrangement having regard to our reasons for refusing to approve </w:t>
      </w:r>
      <w:proofErr w:type="spellStart"/>
      <w:r w:rsidRPr="00353CC4">
        <w:t>ActewAGL's</w:t>
      </w:r>
      <w:proofErr w:type="spellEnd"/>
      <w:r w:rsidRPr="00353CC4">
        <w:t xml:space="preserve"> proposal and the further matters identified in the NGR section 64(2). Our revisions are reflected in the </w:t>
      </w:r>
      <w:r w:rsidRPr="00FF1259">
        <w:rPr>
          <w:rStyle w:val="AERbody"/>
        </w:rPr>
        <w:t>Approved</w:t>
      </w:r>
      <w:r w:rsidRPr="00353CC4">
        <w:rPr>
          <w:rStyle w:val="AERtextitalic"/>
        </w:rPr>
        <w:t xml:space="preserve"> Access Arrangement for ACT, Queanbeyan and </w:t>
      </w:r>
      <w:proofErr w:type="spellStart"/>
      <w:r w:rsidRPr="00353CC4">
        <w:rPr>
          <w:rStyle w:val="AERtextitalic"/>
        </w:rPr>
        <w:t>Palerang</w:t>
      </w:r>
      <w:proofErr w:type="spellEnd"/>
      <w:r w:rsidRPr="00353CC4">
        <w:rPr>
          <w:rStyle w:val="AERtextitalic"/>
        </w:rPr>
        <w:t xml:space="preserve"> gas distribution network 2016–2021</w:t>
      </w:r>
      <w:r w:rsidRPr="00353CC4">
        <w:rPr>
          <w:rStyle w:val="AERbody"/>
        </w:rPr>
        <w:t xml:space="preserve">, </w:t>
      </w:r>
      <w:r w:rsidRPr="00353CC4">
        <w:t xml:space="preserve">which gives effect to this decision. </w:t>
      </w:r>
    </w:p>
    <w:p w:rsidR="004F0BC3" w:rsidRPr="00FD50DB" w:rsidRDefault="00250039" w:rsidP="004C17F5">
      <w:pPr>
        <w:pStyle w:val="Caption"/>
      </w:pPr>
      <w:proofErr w:type="gramStart"/>
      <w:r>
        <w:t xml:space="preserve">Table </w:t>
      </w:r>
      <w:proofErr w:type="gramEnd"/>
      <w:r w:rsidR="0006379C">
        <w:fldChar w:fldCharType="begin"/>
      </w:r>
      <w:r w:rsidR="0006379C">
        <w:instrText xml:space="preserve"> STYLEREF 1 \s </w:instrText>
      </w:r>
      <w:r w:rsidR="0006379C">
        <w:fldChar w:fldCharType="separate"/>
      </w:r>
      <w:r w:rsidR="00A82EF3">
        <w:rPr>
          <w:noProof/>
        </w:rPr>
        <w:t>8</w:t>
      </w:r>
      <w:r w:rsidR="0006379C">
        <w:rPr>
          <w:noProof/>
        </w:rPr>
        <w:fldChar w:fldCharType="end"/>
      </w:r>
      <w:proofErr w:type="gramStart"/>
      <w:r w:rsidR="00DF5916">
        <w:t>.</w:t>
      </w:r>
      <w:proofErr w:type="gramEnd"/>
      <w:r w:rsidR="00DF5916">
        <w:fldChar w:fldCharType="begin"/>
      </w:r>
      <w:r w:rsidR="00DF5916">
        <w:instrText xml:space="preserve"> SEQ Table \* ARABIC \s 1 </w:instrText>
      </w:r>
      <w:r w:rsidR="00DF5916">
        <w:fldChar w:fldCharType="separate"/>
      </w:r>
      <w:r w:rsidR="00A82EF3">
        <w:rPr>
          <w:noProof/>
        </w:rPr>
        <w:t>1</w:t>
      </w:r>
      <w:r w:rsidR="00DF5916">
        <w:fldChar w:fldCharType="end"/>
      </w:r>
      <w:r w:rsidR="004F0BC3">
        <w:tab/>
        <w:t>AER’</w:t>
      </w:r>
      <w:r w:rsidR="004F0BC3" w:rsidRPr="00FD50DB">
        <w:t xml:space="preserve">s </w:t>
      </w:r>
      <w:r w:rsidR="00821486">
        <w:t>final</w:t>
      </w:r>
      <w:r w:rsidR="004F0BC3" w:rsidRPr="00FD50DB">
        <w:t xml:space="preserve"> decision on </w:t>
      </w:r>
      <w:r w:rsidR="00362FA1">
        <w:t xml:space="preserve">cost of </w:t>
      </w:r>
      <w:r w:rsidR="004F0BC3" w:rsidRPr="00FD50DB">
        <w:t xml:space="preserve">corporate income tax for </w:t>
      </w:r>
      <w:r w:rsidR="004F0BC3">
        <w:t>ActewAGL</w:t>
      </w:r>
      <w:r w:rsidR="004F0BC3" w:rsidRPr="00FD50DB">
        <w:t xml:space="preserve"> for </w:t>
      </w:r>
      <w:r w:rsidR="004F0BC3">
        <w:t xml:space="preserve">2015–16 and </w:t>
      </w:r>
      <w:r w:rsidR="004F0BC3" w:rsidRPr="00FD50DB">
        <w:t xml:space="preserve">the </w:t>
      </w:r>
      <w:r w:rsidR="004F0BC3">
        <w:t>2016–21</w:t>
      </w:r>
      <w:r w:rsidR="004F0BC3" w:rsidRPr="00FD50DB">
        <w:t xml:space="preserve"> access arrangement period ($million, nominal)  </w:t>
      </w:r>
    </w:p>
    <w:tbl>
      <w:tblPr>
        <w:tblStyle w:val="AERtable-numbers"/>
        <w:tblW w:w="8709" w:type="dxa"/>
        <w:tblLayout w:type="fixed"/>
        <w:tblLook w:val="01E0" w:firstRow="1" w:lastRow="1" w:firstColumn="1" w:lastColumn="1" w:noHBand="0" w:noVBand="0"/>
      </w:tblPr>
      <w:tblGrid>
        <w:gridCol w:w="2841"/>
        <w:gridCol w:w="855"/>
        <w:gridCol w:w="855"/>
        <w:gridCol w:w="855"/>
        <w:gridCol w:w="855"/>
        <w:gridCol w:w="855"/>
        <w:gridCol w:w="855"/>
        <w:gridCol w:w="738"/>
      </w:tblGrid>
      <w:tr w:rsidR="004F0BC3" w:rsidRPr="00B13853" w:rsidTr="00E420E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41" w:type="dxa"/>
          </w:tcPr>
          <w:p w:rsidR="004F0BC3" w:rsidRPr="00EE2F11" w:rsidRDefault="004F0BC3" w:rsidP="00A82EF3">
            <w:pPr>
              <w:keepNext/>
            </w:pPr>
          </w:p>
        </w:tc>
        <w:tc>
          <w:tcPr>
            <w:tcW w:w="855" w:type="dxa"/>
          </w:tcPr>
          <w:p w:rsidR="004F0BC3" w:rsidRPr="00EE2F11" w:rsidRDefault="004F0BC3" w:rsidP="00A82EF3">
            <w:pPr>
              <w:keepNext/>
              <w:cnfStyle w:val="100000000000" w:firstRow="1" w:lastRow="0" w:firstColumn="0" w:lastColumn="0" w:oddVBand="0" w:evenVBand="0" w:oddHBand="0" w:evenHBand="0" w:firstRowFirstColumn="0" w:firstRowLastColumn="0" w:lastRowFirstColumn="0" w:lastRowLastColumn="0"/>
            </w:pPr>
            <w:r w:rsidRPr="00EE2F11">
              <w:t>2015–16</w:t>
            </w:r>
          </w:p>
        </w:tc>
        <w:tc>
          <w:tcPr>
            <w:tcW w:w="855" w:type="dxa"/>
          </w:tcPr>
          <w:p w:rsidR="004F0BC3" w:rsidRPr="00EE2F11" w:rsidRDefault="004F0BC3" w:rsidP="00A82EF3">
            <w:pPr>
              <w:keepNext/>
              <w:cnfStyle w:val="100000000000" w:firstRow="1" w:lastRow="0" w:firstColumn="0" w:lastColumn="0" w:oddVBand="0" w:evenVBand="0" w:oddHBand="0" w:evenHBand="0" w:firstRowFirstColumn="0" w:firstRowLastColumn="0" w:lastRowFirstColumn="0" w:lastRowLastColumn="0"/>
            </w:pPr>
            <w:r w:rsidRPr="00EE2F11">
              <w:t>2016–17</w:t>
            </w:r>
          </w:p>
        </w:tc>
        <w:tc>
          <w:tcPr>
            <w:tcW w:w="855" w:type="dxa"/>
          </w:tcPr>
          <w:p w:rsidR="004F0BC3" w:rsidRPr="00EE2F11" w:rsidRDefault="004F0BC3" w:rsidP="00A82EF3">
            <w:pPr>
              <w:keepNext/>
              <w:cnfStyle w:val="100000000000" w:firstRow="1" w:lastRow="0" w:firstColumn="0" w:lastColumn="0" w:oddVBand="0" w:evenVBand="0" w:oddHBand="0" w:evenHBand="0" w:firstRowFirstColumn="0" w:firstRowLastColumn="0" w:lastRowFirstColumn="0" w:lastRowLastColumn="0"/>
            </w:pPr>
            <w:r w:rsidRPr="00EE2F11">
              <w:t>2017–18</w:t>
            </w:r>
          </w:p>
        </w:tc>
        <w:tc>
          <w:tcPr>
            <w:tcW w:w="855" w:type="dxa"/>
          </w:tcPr>
          <w:p w:rsidR="004F0BC3" w:rsidRPr="00EE2F11" w:rsidRDefault="004F0BC3" w:rsidP="00A82EF3">
            <w:pPr>
              <w:keepNext/>
              <w:cnfStyle w:val="100000000000" w:firstRow="1" w:lastRow="0" w:firstColumn="0" w:lastColumn="0" w:oddVBand="0" w:evenVBand="0" w:oddHBand="0" w:evenHBand="0" w:firstRowFirstColumn="0" w:firstRowLastColumn="0" w:lastRowFirstColumn="0" w:lastRowLastColumn="0"/>
            </w:pPr>
            <w:r w:rsidRPr="00EE2F11">
              <w:t>2018–19</w:t>
            </w:r>
          </w:p>
        </w:tc>
        <w:tc>
          <w:tcPr>
            <w:tcW w:w="855" w:type="dxa"/>
          </w:tcPr>
          <w:p w:rsidR="004F0BC3" w:rsidRPr="00EE2F11" w:rsidRDefault="004F0BC3" w:rsidP="00A82EF3">
            <w:pPr>
              <w:keepNext/>
              <w:cnfStyle w:val="100000000000" w:firstRow="1" w:lastRow="0" w:firstColumn="0" w:lastColumn="0" w:oddVBand="0" w:evenVBand="0" w:oddHBand="0" w:evenHBand="0" w:firstRowFirstColumn="0" w:firstRowLastColumn="0" w:lastRowFirstColumn="0" w:lastRowLastColumn="0"/>
            </w:pPr>
            <w:r w:rsidRPr="00EE2F11">
              <w:t>2019–20</w:t>
            </w:r>
          </w:p>
        </w:tc>
        <w:tc>
          <w:tcPr>
            <w:tcW w:w="855" w:type="dxa"/>
          </w:tcPr>
          <w:p w:rsidR="004F0BC3" w:rsidRPr="00EE2F11" w:rsidRDefault="004F0BC3" w:rsidP="00A82EF3">
            <w:pPr>
              <w:keepNext/>
              <w:cnfStyle w:val="100000000000" w:firstRow="1" w:lastRow="0" w:firstColumn="0" w:lastColumn="0" w:oddVBand="0" w:evenVBand="0" w:oddHBand="0" w:evenHBand="0" w:firstRowFirstColumn="0" w:firstRowLastColumn="0" w:lastRowFirstColumn="0" w:lastRowLastColumn="0"/>
            </w:pPr>
            <w:r w:rsidRPr="00EE2F11">
              <w:t>2020–21</w:t>
            </w:r>
          </w:p>
        </w:tc>
        <w:tc>
          <w:tcPr>
            <w:tcW w:w="738" w:type="dxa"/>
          </w:tcPr>
          <w:p w:rsidR="004F0BC3" w:rsidRPr="00EE2F11" w:rsidRDefault="004F0BC3" w:rsidP="00A82EF3">
            <w:pPr>
              <w:keepNext/>
              <w:cnfStyle w:val="100000000000" w:firstRow="1" w:lastRow="0" w:firstColumn="0" w:lastColumn="0" w:oddVBand="0" w:evenVBand="0" w:oddHBand="0" w:evenHBand="0" w:firstRowFirstColumn="0" w:firstRowLastColumn="0" w:lastRowFirstColumn="0" w:lastRowLastColumn="0"/>
            </w:pPr>
            <w:r w:rsidRPr="00EE2F11">
              <w:t>Total</w:t>
            </w:r>
          </w:p>
        </w:tc>
      </w:tr>
      <w:tr w:rsidR="00B67E9E" w:rsidRPr="001D1216" w:rsidTr="00E420E2">
        <w:trPr>
          <w:trHeight w:val="288"/>
        </w:trPr>
        <w:tc>
          <w:tcPr>
            <w:cnfStyle w:val="001000000000" w:firstRow="0" w:lastRow="0" w:firstColumn="1" w:lastColumn="0" w:oddVBand="0" w:evenVBand="0" w:oddHBand="0" w:evenHBand="0" w:firstRowFirstColumn="0" w:firstRowLastColumn="0" w:lastRowFirstColumn="0" w:lastRowLastColumn="0"/>
            <w:tcW w:w="2841" w:type="dxa"/>
          </w:tcPr>
          <w:p w:rsidR="00B67E9E" w:rsidRPr="00B67E9E" w:rsidRDefault="00B67E9E" w:rsidP="00A82EF3">
            <w:pPr>
              <w:keepNext/>
            </w:pPr>
            <w:r w:rsidRPr="00B67E9E">
              <w:t>Tax payable</w:t>
            </w:r>
          </w:p>
        </w:tc>
        <w:tc>
          <w:tcPr>
            <w:tcW w:w="855" w:type="dxa"/>
          </w:tcPr>
          <w:p w:rsidR="00B67E9E" w:rsidRPr="00B67E9E" w:rsidRDefault="00B67E9E" w:rsidP="00A82EF3">
            <w:pPr>
              <w:keepNext/>
              <w:cnfStyle w:val="000000000000" w:firstRow="0" w:lastRow="0" w:firstColumn="0" w:lastColumn="0" w:oddVBand="0" w:evenVBand="0" w:oddHBand="0" w:evenHBand="0" w:firstRowFirstColumn="0" w:firstRowLastColumn="0" w:lastRowFirstColumn="0" w:lastRowLastColumn="0"/>
            </w:pPr>
            <w:r w:rsidRPr="00B67E9E">
              <w:t>1.5</w:t>
            </w:r>
          </w:p>
        </w:tc>
        <w:tc>
          <w:tcPr>
            <w:tcW w:w="855" w:type="dxa"/>
          </w:tcPr>
          <w:p w:rsidR="00B67E9E" w:rsidRPr="00B67E9E" w:rsidRDefault="00B67E9E" w:rsidP="00A82EF3">
            <w:pPr>
              <w:keepNext/>
              <w:cnfStyle w:val="000000000000" w:firstRow="0" w:lastRow="0" w:firstColumn="0" w:lastColumn="0" w:oddVBand="0" w:evenVBand="0" w:oddHBand="0" w:evenHBand="0" w:firstRowFirstColumn="0" w:firstRowLastColumn="0" w:lastRowFirstColumn="0" w:lastRowLastColumn="0"/>
            </w:pPr>
            <w:r w:rsidRPr="00B67E9E">
              <w:t>1.8</w:t>
            </w:r>
          </w:p>
        </w:tc>
        <w:tc>
          <w:tcPr>
            <w:tcW w:w="855" w:type="dxa"/>
          </w:tcPr>
          <w:p w:rsidR="00B67E9E" w:rsidRPr="00B67E9E" w:rsidRDefault="00B67E9E" w:rsidP="00A82EF3">
            <w:pPr>
              <w:keepNext/>
              <w:cnfStyle w:val="000000000000" w:firstRow="0" w:lastRow="0" w:firstColumn="0" w:lastColumn="0" w:oddVBand="0" w:evenVBand="0" w:oddHBand="0" w:evenHBand="0" w:firstRowFirstColumn="0" w:firstRowLastColumn="0" w:lastRowFirstColumn="0" w:lastRowLastColumn="0"/>
            </w:pPr>
            <w:r w:rsidRPr="00B67E9E">
              <w:t>2.6</w:t>
            </w:r>
          </w:p>
        </w:tc>
        <w:tc>
          <w:tcPr>
            <w:tcW w:w="855" w:type="dxa"/>
          </w:tcPr>
          <w:p w:rsidR="00B67E9E" w:rsidRPr="00B67E9E" w:rsidRDefault="00B67E9E" w:rsidP="00A82EF3">
            <w:pPr>
              <w:keepNext/>
              <w:cnfStyle w:val="000000000000" w:firstRow="0" w:lastRow="0" w:firstColumn="0" w:lastColumn="0" w:oddVBand="0" w:evenVBand="0" w:oddHBand="0" w:evenHBand="0" w:firstRowFirstColumn="0" w:firstRowLastColumn="0" w:lastRowFirstColumn="0" w:lastRowLastColumn="0"/>
            </w:pPr>
            <w:r w:rsidRPr="00B67E9E">
              <w:t>3.1</w:t>
            </w:r>
          </w:p>
        </w:tc>
        <w:tc>
          <w:tcPr>
            <w:tcW w:w="855" w:type="dxa"/>
          </w:tcPr>
          <w:p w:rsidR="00B67E9E" w:rsidRPr="00B67E9E" w:rsidRDefault="00B67E9E" w:rsidP="00A82EF3">
            <w:pPr>
              <w:keepNext/>
              <w:cnfStyle w:val="000000000000" w:firstRow="0" w:lastRow="0" w:firstColumn="0" w:lastColumn="0" w:oddVBand="0" w:evenVBand="0" w:oddHBand="0" w:evenHBand="0" w:firstRowFirstColumn="0" w:firstRowLastColumn="0" w:lastRowFirstColumn="0" w:lastRowLastColumn="0"/>
            </w:pPr>
            <w:r w:rsidRPr="00B67E9E">
              <w:t>3.3</w:t>
            </w:r>
          </w:p>
        </w:tc>
        <w:tc>
          <w:tcPr>
            <w:tcW w:w="855" w:type="dxa"/>
          </w:tcPr>
          <w:p w:rsidR="00B67E9E" w:rsidRPr="00B67E9E" w:rsidRDefault="00B67E9E" w:rsidP="00A82EF3">
            <w:pPr>
              <w:keepNext/>
              <w:cnfStyle w:val="000000000000" w:firstRow="0" w:lastRow="0" w:firstColumn="0" w:lastColumn="0" w:oddVBand="0" w:evenVBand="0" w:oddHBand="0" w:evenHBand="0" w:firstRowFirstColumn="0" w:firstRowLastColumn="0" w:lastRowFirstColumn="0" w:lastRowLastColumn="0"/>
            </w:pPr>
            <w:r w:rsidRPr="00B67E9E">
              <w:t>3.4</w:t>
            </w:r>
          </w:p>
        </w:tc>
        <w:tc>
          <w:tcPr>
            <w:tcW w:w="738" w:type="dxa"/>
          </w:tcPr>
          <w:p w:rsidR="00B67E9E" w:rsidRPr="00B67E9E" w:rsidRDefault="00B67E9E" w:rsidP="00A82EF3">
            <w:pPr>
              <w:keepNext/>
              <w:cnfStyle w:val="000000000000" w:firstRow="0" w:lastRow="0" w:firstColumn="0" w:lastColumn="0" w:oddVBand="0" w:evenVBand="0" w:oddHBand="0" w:evenHBand="0" w:firstRowFirstColumn="0" w:firstRowLastColumn="0" w:lastRowFirstColumn="0" w:lastRowLastColumn="0"/>
            </w:pPr>
            <w:r w:rsidRPr="00B67E9E">
              <w:t>15.6</w:t>
            </w:r>
          </w:p>
        </w:tc>
      </w:tr>
      <w:tr w:rsidR="00B67E9E" w:rsidRPr="001D1216" w:rsidTr="00E420E2">
        <w:trPr>
          <w:cnfStyle w:val="000000010000" w:firstRow="0" w:lastRow="0" w:firstColumn="0" w:lastColumn="0" w:oddVBand="0" w:evenVBand="0" w:oddHBand="0" w:evenHBand="1"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841" w:type="dxa"/>
          </w:tcPr>
          <w:p w:rsidR="00B67E9E" w:rsidRPr="00B67E9E" w:rsidRDefault="00B67E9E" w:rsidP="00A82EF3">
            <w:pPr>
              <w:keepNext/>
            </w:pPr>
            <w:r w:rsidRPr="00B67E9E">
              <w:t>Less: value of imputation credits</w:t>
            </w:r>
          </w:p>
        </w:tc>
        <w:tc>
          <w:tcPr>
            <w:tcW w:w="855" w:type="dxa"/>
          </w:tcPr>
          <w:p w:rsidR="00B67E9E" w:rsidRPr="00B67E9E" w:rsidRDefault="00B67E9E" w:rsidP="00A82EF3">
            <w:pPr>
              <w:keepNext/>
              <w:cnfStyle w:val="000000010000" w:firstRow="0" w:lastRow="0" w:firstColumn="0" w:lastColumn="0" w:oddVBand="0" w:evenVBand="0" w:oddHBand="0" w:evenHBand="1" w:firstRowFirstColumn="0" w:firstRowLastColumn="0" w:lastRowFirstColumn="0" w:lastRowLastColumn="0"/>
            </w:pPr>
            <w:r w:rsidRPr="00B67E9E">
              <w:t>0.6</w:t>
            </w:r>
          </w:p>
        </w:tc>
        <w:tc>
          <w:tcPr>
            <w:tcW w:w="855" w:type="dxa"/>
          </w:tcPr>
          <w:p w:rsidR="00B67E9E" w:rsidRPr="00B67E9E" w:rsidRDefault="00B67E9E" w:rsidP="00A82EF3">
            <w:pPr>
              <w:keepNext/>
              <w:cnfStyle w:val="000000010000" w:firstRow="0" w:lastRow="0" w:firstColumn="0" w:lastColumn="0" w:oddVBand="0" w:evenVBand="0" w:oddHBand="0" w:evenHBand="1" w:firstRowFirstColumn="0" w:firstRowLastColumn="0" w:lastRowFirstColumn="0" w:lastRowLastColumn="0"/>
            </w:pPr>
            <w:r w:rsidRPr="00B67E9E">
              <w:t>0.7</w:t>
            </w:r>
          </w:p>
        </w:tc>
        <w:tc>
          <w:tcPr>
            <w:tcW w:w="855" w:type="dxa"/>
          </w:tcPr>
          <w:p w:rsidR="00B67E9E" w:rsidRPr="00B67E9E" w:rsidRDefault="00B67E9E" w:rsidP="00A82EF3">
            <w:pPr>
              <w:keepNext/>
              <w:cnfStyle w:val="000000010000" w:firstRow="0" w:lastRow="0" w:firstColumn="0" w:lastColumn="0" w:oddVBand="0" w:evenVBand="0" w:oddHBand="0" w:evenHBand="1" w:firstRowFirstColumn="0" w:firstRowLastColumn="0" w:lastRowFirstColumn="0" w:lastRowLastColumn="0"/>
            </w:pPr>
            <w:r w:rsidRPr="00B67E9E">
              <w:t>1.0</w:t>
            </w:r>
          </w:p>
        </w:tc>
        <w:tc>
          <w:tcPr>
            <w:tcW w:w="855" w:type="dxa"/>
          </w:tcPr>
          <w:p w:rsidR="00B67E9E" w:rsidRPr="00B67E9E" w:rsidRDefault="00B67E9E" w:rsidP="00A82EF3">
            <w:pPr>
              <w:keepNext/>
              <w:cnfStyle w:val="000000010000" w:firstRow="0" w:lastRow="0" w:firstColumn="0" w:lastColumn="0" w:oddVBand="0" w:evenVBand="0" w:oddHBand="0" w:evenHBand="1" w:firstRowFirstColumn="0" w:firstRowLastColumn="0" w:lastRowFirstColumn="0" w:lastRowLastColumn="0"/>
            </w:pPr>
            <w:r w:rsidRPr="00B67E9E">
              <w:t>1.2</w:t>
            </w:r>
          </w:p>
        </w:tc>
        <w:tc>
          <w:tcPr>
            <w:tcW w:w="855" w:type="dxa"/>
          </w:tcPr>
          <w:p w:rsidR="00B67E9E" w:rsidRPr="00B67E9E" w:rsidRDefault="00B67E9E" w:rsidP="00A82EF3">
            <w:pPr>
              <w:keepNext/>
              <w:cnfStyle w:val="000000010000" w:firstRow="0" w:lastRow="0" w:firstColumn="0" w:lastColumn="0" w:oddVBand="0" w:evenVBand="0" w:oddHBand="0" w:evenHBand="1" w:firstRowFirstColumn="0" w:firstRowLastColumn="0" w:lastRowFirstColumn="0" w:lastRowLastColumn="0"/>
            </w:pPr>
            <w:r w:rsidRPr="00B67E9E">
              <w:t>1.3</w:t>
            </w:r>
          </w:p>
        </w:tc>
        <w:tc>
          <w:tcPr>
            <w:tcW w:w="855" w:type="dxa"/>
          </w:tcPr>
          <w:p w:rsidR="00B67E9E" w:rsidRPr="00B67E9E" w:rsidRDefault="00B67E9E" w:rsidP="00A82EF3">
            <w:pPr>
              <w:keepNext/>
              <w:cnfStyle w:val="000000010000" w:firstRow="0" w:lastRow="0" w:firstColumn="0" w:lastColumn="0" w:oddVBand="0" w:evenVBand="0" w:oddHBand="0" w:evenHBand="1" w:firstRowFirstColumn="0" w:firstRowLastColumn="0" w:lastRowFirstColumn="0" w:lastRowLastColumn="0"/>
            </w:pPr>
            <w:r w:rsidRPr="00B67E9E">
              <w:t>1.4</w:t>
            </w:r>
          </w:p>
        </w:tc>
        <w:tc>
          <w:tcPr>
            <w:tcW w:w="738" w:type="dxa"/>
          </w:tcPr>
          <w:p w:rsidR="00B67E9E" w:rsidRPr="00B67E9E" w:rsidRDefault="00B67E9E" w:rsidP="00A82EF3">
            <w:pPr>
              <w:keepNext/>
              <w:cnfStyle w:val="000000010000" w:firstRow="0" w:lastRow="0" w:firstColumn="0" w:lastColumn="0" w:oddVBand="0" w:evenVBand="0" w:oddHBand="0" w:evenHBand="1" w:firstRowFirstColumn="0" w:firstRowLastColumn="0" w:lastRowFirstColumn="0" w:lastRowLastColumn="0"/>
            </w:pPr>
            <w:r w:rsidRPr="00B67E9E">
              <w:t>6.2</w:t>
            </w:r>
          </w:p>
        </w:tc>
      </w:tr>
      <w:tr w:rsidR="00B67E9E" w:rsidRPr="001D1216" w:rsidTr="00E420E2">
        <w:trPr>
          <w:trHeight w:val="483"/>
        </w:trPr>
        <w:tc>
          <w:tcPr>
            <w:cnfStyle w:val="001000000000" w:firstRow="0" w:lastRow="0" w:firstColumn="1" w:lastColumn="0" w:oddVBand="0" w:evenVBand="0" w:oddHBand="0" w:evenHBand="0" w:firstRowFirstColumn="0" w:firstRowLastColumn="0" w:lastRowFirstColumn="0" w:lastRowLastColumn="0"/>
            <w:tcW w:w="2841" w:type="dxa"/>
          </w:tcPr>
          <w:p w:rsidR="00B67E9E" w:rsidRPr="00B67E9E" w:rsidRDefault="00B67E9E" w:rsidP="00A82EF3">
            <w:pPr>
              <w:keepNext/>
              <w:rPr>
                <w:rStyle w:val="Strong"/>
              </w:rPr>
            </w:pPr>
            <w:r w:rsidRPr="00B67E9E">
              <w:rPr>
                <w:rStyle w:val="Strong"/>
              </w:rPr>
              <w:t>Net corporate income tax allowance</w:t>
            </w:r>
          </w:p>
        </w:tc>
        <w:tc>
          <w:tcPr>
            <w:tcW w:w="855" w:type="dxa"/>
          </w:tcPr>
          <w:p w:rsidR="00B67E9E" w:rsidRPr="00FF1259" w:rsidRDefault="00B67E9E" w:rsidP="00A82EF3">
            <w:pPr>
              <w:keepNext/>
              <w:cnfStyle w:val="000000000000" w:firstRow="0" w:lastRow="0" w:firstColumn="0" w:lastColumn="0" w:oddVBand="0" w:evenVBand="0" w:oddHBand="0" w:evenHBand="0" w:firstRowFirstColumn="0" w:firstRowLastColumn="0" w:lastRowFirstColumn="0" w:lastRowLastColumn="0"/>
              <w:rPr>
                <w:rStyle w:val="Strong"/>
              </w:rPr>
            </w:pPr>
            <w:r w:rsidRPr="00FF1259">
              <w:rPr>
                <w:rStyle w:val="Strong"/>
              </w:rPr>
              <w:t>0.9</w:t>
            </w:r>
          </w:p>
        </w:tc>
        <w:tc>
          <w:tcPr>
            <w:tcW w:w="855" w:type="dxa"/>
          </w:tcPr>
          <w:p w:rsidR="00B67E9E" w:rsidRPr="00FF1259" w:rsidRDefault="00B67E9E" w:rsidP="00A82EF3">
            <w:pPr>
              <w:keepNext/>
              <w:cnfStyle w:val="000000000000" w:firstRow="0" w:lastRow="0" w:firstColumn="0" w:lastColumn="0" w:oddVBand="0" w:evenVBand="0" w:oddHBand="0" w:evenHBand="0" w:firstRowFirstColumn="0" w:firstRowLastColumn="0" w:lastRowFirstColumn="0" w:lastRowLastColumn="0"/>
              <w:rPr>
                <w:rStyle w:val="Strong"/>
              </w:rPr>
            </w:pPr>
            <w:r w:rsidRPr="00FF1259">
              <w:rPr>
                <w:rStyle w:val="Strong"/>
              </w:rPr>
              <w:t>1.1</w:t>
            </w:r>
          </w:p>
        </w:tc>
        <w:tc>
          <w:tcPr>
            <w:tcW w:w="855" w:type="dxa"/>
          </w:tcPr>
          <w:p w:rsidR="00B67E9E" w:rsidRPr="00FF1259" w:rsidRDefault="00B67E9E" w:rsidP="00A82EF3">
            <w:pPr>
              <w:keepNext/>
              <w:cnfStyle w:val="000000000000" w:firstRow="0" w:lastRow="0" w:firstColumn="0" w:lastColumn="0" w:oddVBand="0" w:evenVBand="0" w:oddHBand="0" w:evenHBand="0" w:firstRowFirstColumn="0" w:firstRowLastColumn="0" w:lastRowFirstColumn="0" w:lastRowLastColumn="0"/>
              <w:rPr>
                <w:rStyle w:val="Strong"/>
              </w:rPr>
            </w:pPr>
            <w:r w:rsidRPr="00FF1259">
              <w:rPr>
                <w:rStyle w:val="Strong"/>
              </w:rPr>
              <w:t>1.5</w:t>
            </w:r>
          </w:p>
        </w:tc>
        <w:tc>
          <w:tcPr>
            <w:tcW w:w="855" w:type="dxa"/>
          </w:tcPr>
          <w:p w:rsidR="00B67E9E" w:rsidRPr="00FF1259" w:rsidRDefault="00B67E9E" w:rsidP="00A82EF3">
            <w:pPr>
              <w:keepNext/>
              <w:cnfStyle w:val="000000000000" w:firstRow="0" w:lastRow="0" w:firstColumn="0" w:lastColumn="0" w:oddVBand="0" w:evenVBand="0" w:oddHBand="0" w:evenHBand="0" w:firstRowFirstColumn="0" w:firstRowLastColumn="0" w:lastRowFirstColumn="0" w:lastRowLastColumn="0"/>
              <w:rPr>
                <w:rStyle w:val="Strong"/>
              </w:rPr>
            </w:pPr>
            <w:r w:rsidRPr="00FF1259">
              <w:rPr>
                <w:rStyle w:val="Strong"/>
              </w:rPr>
              <w:t>1.9</w:t>
            </w:r>
          </w:p>
        </w:tc>
        <w:tc>
          <w:tcPr>
            <w:tcW w:w="855" w:type="dxa"/>
          </w:tcPr>
          <w:p w:rsidR="00B67E9E" w:rsidRPr="00FF1259" w:rsidRDefault="00B67E9E" w:rsidP="00A82EF3">
            <w:pPr>
              <w:keepNext/>
              <w:cnfStyle w:val="000000000000" w:firstRow="0" w:lastRow="0" w:firstColumn="0" w:lastColumn="0" w:oddVBand="0" w:evenVBand="0" w:oddHBand="0" w:evenHBand="0" w:firstRowFirstColumn="0" w:firstRowLastColumn="0" w:lastRowFirstColumn="0" w:lastRowLastColumn="0"/>
              <w:rPr>
                <w:rStyle w:val="Strong"/>
              </w:rPr>
            </w:pPr>
            <w:r w:rsidRPr="00FF1259">
              <w:rPr>
                <w:rStyle w:val="Strong"/>
              </w:rPr>
              <w:t>2.0</w:t>
            </w:r>
          </w:p>
        </w:tc>
        <w:tc>
          <w:tcPr>
            <w:tcW w:w="855" w:type="dxa"/>
          </w:tcPr>
          <w:p w:rsidR="00B67E9E" w:rsidRPr="00FF1259" w:rsidRDefault="00B67E9E" w:rsidP="00A82EF3">
            <w:pPr>
              <w:keepNext/>
              <w:cnfStyle w:val="000000000000" w:firstRow="0" w:lastRow="0" w:firstColumn="0" w:lastColumn="0" w:oddVBand="0" w:evenVBand="0" w:oddHBand="0" w:evenHBand="0" w:firstRowFirstColumn="0" w:firstRowLastColumn="0" w:lastRowFirstColumn="0" w:lastRowLastColumn="0"/>
              <w:rPr>
                <w:rStyle w:val="Strong"/>
              </w:rPr>
            </w:pPr>
            <w:r w:rsidRPr="00FF1259">
              <w:rPr>
                <w:rStyle w:val="Strong"/>
              </w:rPr>
              <w:t>2.0</w:t>
            </w:r>
          </w:p>
        </w:tc>
        <w:tc>
          <w:tcPr>
            <w:tcW w:w="738" w:type="dxa"/>
          </w:tcPr>
          <w:p w:rsidR="00B67E9E" w:rsidRPr="00FF1259" w:rsidRDefault="00B67E9E" w:rsidP="00A82EF3">
            <w:pPr>
              <w:keepNext/>
              <w:cnfStyle w:val="000000000000" w:firstRow="0" w:lastRow="0" w:firstColumn="0" w:lastColumn="0" w:oddVBand="0" w:evenVBand="0" w:oddHBand="0" w:evenHBand="0" w:firstRowFirstColumn="0" w:firstRowLastColumn="0" w:lastRowFirstColumn="0" w:lastRowLastColumn="0"/>
              <w:rPr>
                <w:rStyle w:val="Strong"/>
              </w:rPr>
            </w:pPr>
            <w:r w:rsidRPr="00FF1259">
              <w:rPr>
                <w:rStyle w:val="Strong"/>
              </w:rPr>
              <w:t>9.4</w:t>
            </w:r>
          </w:p>
        </w:tc>
      </w:tr>
    </w:tbl>
    <w:p w:rsidR="004F0BC3" w:rsidRPr="00FD50DB" w:rsidRDefault="004F0BC3" w:rsidP="00A82EF3">
      <w:pPr>
        <w:pStyle w:val="AERtablesource"/>
        <w:keepNext/>
      </w:pPr>
      <w:r w:rsidRPr="00FD50DB">
        <w:t xml:space="preserve">Source: </w:t>
      </w:r>
      <w:r w:rsidRPr="00FD50DB">
        <w:tab/>
        <w:t>AER analysis.</w:t>
      </w:r>
    </w:p>
    <w:p w:rsidR="004F0BC3" w:rsidRDefault="004F0BC3" w:rsidP="004F0BC3">
      <w:pPr>
        <w:pStyle w:val="Heading2"/>
      </w:pPr>
      <w:bookmarkStart w:id="14" w:name="_Toc436043210"/>
      <w:bookmarkStart w:id="15" w:name="_Toc451760234"/>
      <w:r>
        <w:t xml:space="preserve">ActewAGL’s </w:t>
      </w:r>
      <w:r w:rsidR="00821486">
        <w:t xml:space="preserve">revised </w:t>
      </w:r>
      <w:r>
        <w:t>proposal</w:t>
      </w:r>
      <w:bookmarkEnd w:id="14"/>
      <w:bookmarkEnd w:id="15"/>
    </w:p>
    <w:p w:rsidR="00BB19F0" w:rsidRDefault="004F0BC3" w:rsidP="00BB19F0">
      <w:bookmarkStart w:id="16" w:name="_Ref308172283"/>
      <w:r>
        <w:t>ActewAGL</w:t>
      </w:r>
      <w:r w:rsidR="00BB19F0">
        <w:t>'s revised proposal forecast a cost of</w:t>
      </w:r>
      <w:r>
        <w:t xml:space="preserve"> corporate income tax of $</w:t>
      </w:r>
      <w:r w:rsidR="00D33A98">
        <w:t>20.0</w:t>
      </w:r>
      <w:r w:rsidR="00777A2C">
        <w:t xml:space="preserve"> </w:t>
      </w:r>
      <w:r>
        <w:t>million ($nominal) for 2015–16 and the 2016–21 access arrangement period</w:t>
      </w:r>
      <w:r w:rsidRPr="00FD50DB">
        <w:t>.</w:t>
      </w:r>
      <w:r>
        <w:t xml:space="preserve"> </w:t>
      </w:r>
      <w:r w:rsidR="00BB19F0">
        <w:t>ActewAGL's</w:t>
      </w:r>
      <w:r w:rsidR="00632548">
        <w:t xml:space="preserve"> methodology for determining it</w:t>
      </w:r>
      <w:r w:rsidR="00BB19F0">
        <w:t xml:space="preserve">s cost of corporate income tax is unchanged from its initial proposal. </w:t>
      </w:r>
    </w:p>
    <w:p w:rsidR="00BB19F0" w:rsidRDefault="00BB19F0" w:rsidP="00BB19F0">
      <w:r>
        <w:t xml:space="preserve">ActewAGL adopted the methodology accepted in our draft decision to determine </w:t>
      </w:r>
      <w:r w:rsidR="00CA1BCA">
        <w:t xml:space="preserve">the </w:t>
      </w:r>
      <w:r>
        <w:t xml:space="preserve">revised proposed </w:t>
      </w:r>
      <w:r w:rsidR="00CA1BCA">
        <w:t>tax asset base (</w:t>
      </w:r>
      <w:r>
        <w:t>TAB</w:t>
      </w:r>
      <w:r w:rsidR="00CA1BCA">
        <w:t>)</w:t>
      </w:r>
      <w:r>
        <w:t xml:space="preserve"> at 1 July 2015</w:t>
      </w:r>
      <w:r w:rsidR="001D1216">
        <w:t>. The TAB was</w:t>
      </w:r>
      <w:r>
        <w:t xml:space="preserve"> updated for </w:t>
      </w:r>
      <w:r w:rsidR="001D1216">
        <w:t>2014–15 actual</w:t>
      </w:r>
      <w:r>
        <w:t xml:space="preserve"> capex.</w:t>
      </w:r>
    </w:p>
    <w:p w:rsidR="004F0BC3" w:rsidRDefault="004F0BC3" w:rsidP="004F0BC3">
      <w:r>
        <w:t>ActewAGL’s</w:t>
      </w:r>
      <w:r w:rsidR="00EE4582">
        <w:t xml:space="preserve"> revised</w:t>
      </w:r>
      <w:r>
        <w:t xml:space="preserve"> proposed roll forward of its TAB over the 2010–15 access arrangement </w:t>
      </w:r>
      <w:proofErr w:type="gramStart"/>
      <w:r>
        <w:t>period</w:t>
      </w:r>
      <w:proofErr w:type="gramEnd"/>
      <w:r>
        <w:t xml:space="preserve"> is set out in </w:t>
      </w:r>
      <w:r w:rsidR="00A87AC3">
        <w:fldChar w:fldCharType="begin"/>
      </w:r>
      <w:r w:rsidR="00A87AC3">
        <w:instrText xml:space="preserve"> REF  _Ref398551924 \* Lower \h  \* MERGEFORMAT </w:instrText>
      </w:r>
      <w:r w:rsidR="00A87AC3">
        <w:fldChar w:fldCharType="separate"/>
      </w:r>
      <w:r w:rsidR="00A82EF3">
        <w:t>table 8.2</w:t>
      </w:r>
      <w:r w:rsidR="00A87AC3">
        <w:fldChar w:fldCharType="end"/>
      </w:r>
      <w:r>
        <w:t>.</w:t>
      </w:r>
    </w:p>
    <w:p w:rsidR="004F0BC3" w:rsidRDefault="00DF5916" w:rsidP="004F0BC3">
      <w:pPr>
        <w:pStyle w:val="Caption"/>
      </w:pPr>
      <w:bookmarkStart w:id="17" w:name="_Ref398551924"/>
      <w:proofErr w:type="gramStart"/>
      <w:r>
        <w:t xml:space="preserve">Table </w:t>
      </w:r>
      <w:proofErr w:type="gramEnd"/>
      <w:r w:rsidR="0006379C">
        <w:fldChar w:fldCharType="begin"/>
      </w:r>
      <w:r w:rsidR="0006379C">
        <w:instrText xml:space="preserve"> STYLEREF 1 \s </w:instrText>
      </w:r>
      <w:r w:rsidR="0006379C">
        <w:fldChar w:fldCharType="separate"/>
      </w:r>
      <w:r w:rsidR="00A82EF3">
        <w:rPr>
          <w:noProof/>
        </w:rPr>
        <w:t>8</w:t>
      </w:r>
      <w:r w:rsidR="0006379C">
        <w:rPr>
          <w:noProof/>
        </w:rPr>
        <w:fldChar w:fldCharType="end"/>
      </w:r>
      <w:proofErr w:type="gramStart"/>
      <w:r>
        <w:t>.</w:t>
      </w:r>
      <w:proofErr w:type="gramEnd"/>
      <w:r>
        <w:fldChar w:fldCharType="begin"/>
      </w:r>
      <w:r>
        <w:instrText xml:space="preserve"> SEQ Table \* ARABIC \s 1 </w:instrText>
      </w:r>
      <w:r>
        <w:fldChar w:fldCharType="separate"/>
      </w:r>
      <w:r w:rsidR="00A82EF3">
        <w:rPr>
          <w:noProof/>
        </w:rPr>
        <w:t>2</w:t>
      </w:r>
      <w:r>
        <w:fldChar w:fldCharType="end"/>
      </w:r>
      <w:bookmarkEnd w:id="17"/>
      <w:r>
        <w:tab/>
      </w:r>
      <w:r w:rsidR="004F0BC3">
        <w:t xml:space="preserve">ActewAGL’s </w:t>
      </w:r>
      <w:r w:rsidR="00EE4582">
        <w:t xml:space="preserve">revised </w:t>
      </w:r>
      <w:r w:rsidR="004F0BC3">
        <w:t>proposed tax asset base roll forward over the 2010–15 access arrangement period ($million, nominal)</w:t>
      </w:r>
    </w:p>
    <w:tbl>
      <w:tblPr>
        <w:tblStyle w:val="AERtable-numbers"/>
        <w:tblW w:w="8715" w:type="dxa"/>
        <w:tblLook w:val="04A0" w:firstRow="1" w:lastRow="0" w:firstColumn="1" w:lastColumn="0" w:noHBand="0" w:noVBand="1"/>
      </w:tblPr>
      <w:tblGrid>
        <w:gridCol w:w="2793"/>
        <w:gridCol w:w="1184"/>
        <w:gridCol w:w="1184"/>
        <w:gridCol w:w="1185"/>
        <w:gridCol w:w="1184"/>
        <w:gridCol w:w="1185"/>
      </w:tblGrid>
      <w:tr w:rsidR="004F0BC3" w:rsidRPr="00C95E67" w:rsidTr="00B1791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4F0BC3" w:rsidRPr="00EE2F11" w:rsidRDefault="004F0BC3" w:rsidP="00EE2F11"/>
        </w:tc>
        <w:tc>
          <w:tcPr>
            <w:tcW w:w="1184" w:type="dxa"/>
            <w:hideMark/>
          </w:tcPr>
          <w:p w:rsidR="004F0BC3" w:rsidRPr="00EE2F11" w:rsidRDefault="004F0BC3" w:rsidP="00EE2F11">
            <w:pPr>
              <w:cnfStyle w:val="100000000000" w:firstRow="1" w:lastRow="0" w:firstColumn="0" w:lastColumn="0" w:oddVBand="0" w:evenVBand="0" w:oddHBand="0" w:evenHBand="0" w:firstRowFirstColumn="0" w:firstRowLastColumn="0" w:lastRowFirstColumn="0" w:lastRowLastColumn="0"/>
            </w:pPr>
            <w:r w:rsidRPr="00EE2F11">
              <w:t>2010–11</w:t>
            </w:r>
          </w:p>
        </w:tc>
        <w:tc>
          <w:tcPr>
            <w:tcW w:w="1184" w:type="dxa"/>
          </w:tcPr>
          <w:p w:rsidR="004F0BC3" w:rsidRPr="00E0231E" w:rsidRDefault="004F0BC3" w:rsidP="00E0231E">
            <w:pPr>
              <w:cnfStyle w:val="100000000000" w:firstRow="1" w:lastRow="0" w:firstColumn="0" w:lastColumn="0" w:oddVBand="0" w:evenVBand="0" w:oddHBand="0" w:evenHBand="0" w:firstRowFirstColumn="0" w:firstRowLastColumn="0" w:lastRowFirstColumn="0" w:lastRowLastColumn="0"/>
            </w:pPr>
            <w:r w:rsidRPr="00E0231E">
              <w:t>2011–12</w:t>
            </w:r>
          </w:p>
        </w:tc>
        <w:tc>
          <w:tcPr>
            <w:tcW w:w="1185" w:type="dxa"/>
          </w:tcPr>
          <w:p w:rsidR="004F0BC3" w:rsidRPr="007164A7" w:rsidRDefault="004F0BC3" w:rsidP="007164A7">
            <w:pPr>
              <w:cnfStyle w:val="100000000000" w:firstRow="1" w:lastRow="0" w:firstColumn="0" w:lastColumn="0" w:oddVBand="0" w:evenVBand="0" w:oddHBand="0" w:evenHBand="0" w:firstRowFirstColumn="0" w:firstRowLastColumn="0" w:lastRowFirstColumn="0" w:lastRowLastColumn="0"/>
            </w:pPr>
            <w:r w:rsidRPr="007164A7">
              <w:t>2012–13</w:t>
            </w:r>
          </w:p>
        </w:tc>
        <w:tc>
          <w:tcPr>
            <w:tcW w:w="1184" w:type="dxa"/>
          </w:tcPr>
          <w:p w:rsidR="004F0BC3" w:rsidRPr="007164A7" w:rsidRDefault="004F0BC3" w:rsidP="007164A7">
            <w:pPr>
              <w:cnfStyle w:val="100000000000" w:firstRow="1" w:lastRow="0" w:firstColumn="0" w:lastColumn="0" w:oddVBand="0" w:evenVBand="0" w:oddHBand="0" w:evenHBand="0" w:firstRowFirstColumn="0" w:firstRowLastColumn="0" w:lastRowFirstColumn="0" w:lastRowLastColumn="0"/>
            </w:pPr>
            <w:r w:rsidRPr="007164A7">
              <w:t>2013–14</w:t>
            </w:r>
          </w:p>
        </w:tc>
        <w:tc>
          <w:tcPr>
            <w:tcW w:w="1185" w:type="dxa"/>
          </w:tcPr>
          <w:p w:rsidR="004F0BC3" w:rsidRPr="00C95E67" w:rsidRDefault="004F0BC3" w:rsidP="00C95E67">
            <w:pPr>
              <w:cnfStyle w:val="100000000000" w:firstRow="1" w:lastRow="0" w:firstColumn="0" w:lastColumn="0" w:oddVBand="0" w:evenVBand="0" w:oddHBand="0" w:evenHBand="0" w:firstRowFirstColumn="0" w:firstRowLastColumn="0" w:lastRowFirstColumn="0" w:lastRowLastColumn="0"/>
            </w:pPr>
            <w:r w:rsidRPr="00C95E67">
              <w:t>2014–15</w:t>
            </w:r>
          </w:p>
        </w:tc>
      </w:tr>
      <w:tr w:rsidR="004F0BC3" w:rsidRPr="00C95E67" w:rsidTr="00B17918">
        <w:trPr>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4F0BC3" w:rsidRPr="00C95E67" w:rsidRDefault="004F0BC3" w:rsidP="00EE2F11">
            <w:r w:rsidRPr="00C95E67">
              <w:t>Opening tax asset base</w:t>
            </w:r>
          </w:p>
        </w:tc>
        <w:tc>
          <w:tcPr>
            <w:tcW w:w="1184" w:type="dxa"/>
          </w:tcPr>
          <w:p w:rsidR="004F0BC3" w:rsidRPr="00C95E67" w:rsidRDefault="004F0BC3" w:rsidP="00EE2F11">
            <w:pPr>
              <w:cnfStyle w:val="000000000000" w:firstRow="0" w:lastRow="0" w:firstColumn="0" w:lastColumn="0" w:oddVBand="0" w:evenVBand="0" w:oddHBand="0" w:evenHBand="0" w:firstRowFirstColumn="0" w:firstRowLastColumn="0" w:lastRowFirstColumn="0" w:lastRowLastColumn="0"/>
            </w:pPr>
            <w:r w:rsidRPr="00C95E67">
              <w:t>191.6</w:t>
            </w:r>
          </w:p>
        </w:tc>
        <w:tc>
          <w:tcPr>
            <w:tcW w:w="1184" w:type="dxa"/>
          </w:tcPr>
          <w:p w:rsidR="004F0BC3" w:rsidRPr="00C95E67" w:rsidRDefault="004F0BC3" w:rsidP="00E0231E">
            <w:pPr>
              <w:cnfStyle w:val="000000000000" w:firstRow="0" w:lastRow="0" w:firstColumn="0" w:lastColumn="0" w:oddVBand="0" w:evenVBand="0" w:oddHBand="0" w:evenHBand="0" w:firstRowFirstColumn="0" w:firstRowLastColumn="0" w:lastRowFirstColumn="0" w:lastRowLastColumn="0"/>
            </w:pPr>
            <w:r w:rsidRPr="00C95E67">
              <w:t>195.8</w:t>
            </w:r>
          </w:p>
        </w:tc>
        <w:tc>
          <w:tcPr>
            <w:tcW w:w="1185" w:type="dxa"/>
          </w:tcPr>
          <w:p w:rsidR="004F0BC3" w:rsidRPr="00C95E67" w:rsidRDefault="004F0BC3" w:rsidP="007164A7">
            <w:pPr>
              <w:cnfStyle w:val="000000000000" w:firstRow="0" w:lastRow="0" w:firstColumn="0" w:lastColumn="0" w:oddVBand="0" w:evenVBand="0" w:oddHBand="0" w:evenHBand="0" w:firstRowFirstColumn="0" w:firstRowLastColumn="0" w:lastRowFirstColumn="0" w:lastRowLastColumn="0"/>
            </w:pPr>
            <w:r w:rsidRPr="00C95E67">
              <w:t>201.0</w:t>
            </w:r>
          </w:p>
        </w:tc>
        <w:tc>
          <w:tcPr>
            <w:tcW w:w="1184" w:type="dxa"/>
          </w:tcPr>
          <w:p w:rsidR="004F0BC3" w:rsidRPr="00C95E67" w:rsidRDefault="004F0BC3" w:rsidP="007164A7">
            <w:pPr>
              <w:cnfStyle w:val="000000000000" w:firstRow="0" w:lastRow="0" w:firstColumn="0" w:lastColumn="0" w:oddVBand="0" w:evenVBand="0" w:oddHBand="0" w:evenHBand="0" w:firstRowFirstColumn="0" w:firstRowLastColumn="0" w:lastRowFirstColumn="0" w:lastRowLastColumn="0"/>
            </w:pPr>
            <w:r w:rsidRPr="00C95E67">
              <w:t>210.9</w:t>
            </w:r>
          </w:p>
        </w:tc>
        <w:tc>
          <w:tcPr>
            <w:tcW w:w="1185" w:type="dxa"/>
          </w:tcPr>
          <w:p w:rsidR="004F0BC3" w:rsidRPr="00C95E67" w:rsidRDefault="004F0BC3" w:rsidP="00C95E67">
            <w:pPr>
              <w:cnfStyle w:val="000000000000" w:firstRow="0" w:lastRow="0" w:firstColumn="0" w:lastColumn="0" w:oddVBand="0" w:evenVBand="0" w:oddHBand="0" w:evenHBand="0" w:firstRowFirstColumn="0" w:firstRowLastColumn="0" w:lastRowFirstColumn="0" w:lastRowLastColumn="0"/>
            </w:pPr>
            <w:r w:rsidRPr="00C95E67">
              <w:t>218.7</w:t>
            </w:r>
          </w:p>
        </w:tc>
      </w:tr>
      <w:tr w:rsidR="004F0BC3" w:rsidRPr="00C95E67" w:rsidTr="00B17918">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4F0BC3" w:rsidRPr="00C95E67" w:rsidRDefault="004F0BC3" w:rsidP="00EE2F11">
            <w:r w:rsidRPr="00C95E67">
              <w:t>Capex</w:t>
            </w:r>
          </w:p>
        </w:tc>
        <w:tc>
          <w:tcPr>
            <w:tcW w:w="1184" w:type="dxa"/>
          </w:tcPr>
          <w:p w:rsidR="004F0BC3" w:rsidRPr="00C95E67" w:rsidRDefault="004F0BC3" w:rsidP="00EE2F11">
            <w:pPr>
              <w:cnfStyle w:val="000000010000" w:firstRow="0" w:lastRow="0" w:firstColumn="0" w:lastColumn="0" w:oddVBand="0" w:evenVBand="0" w:oddHBand="0" w:evenHBand="1" w:firstRowFirstColumn="0" w:firstRowLastColumn="0" w:lastRowFirstColumn="0" w:lastRowLastColumn="0"/>
            </w:pPr>
            <w:r w:rsidRPr="00C95E67">
              <w:t>12.8</w:t>
            </w:r>
          </w:p>
        </w:tc>
        <w:tc>
          <w:tcPr>
            <w:tcW w:w="1184" w:type="dxa"/>
          </w:tcPr>
          <w:p w:rsidR="004F0BC3" w:rsidRPr="00C95E67" w:rsidRDefault="004F0BC3" w:rsidP="00E0231E">
            <w:pPr>
              <w:cnfStyle w:val="000000010000" w:firstRow="0" w:lastRow="0" w:firstColumn="0" w:lastColumn="0" w:oddVBand="0" w:evenVBand="0" w:oddHBand="0" w:evenHBand="1" w:firstRowFirstColumn="0" w:firstRowLastColumn="0" w:lastRowFirstColumn="0" w:lastRowLastColumn="0"/>
            </w:pPr>
            <w:r w:rsidRPr="00C95E67">
              <w:t>14.3</w:t>
            </w:r>
          </w:p>
        </w:tc>
        <w:tc>
          <w:tcPr>
            <w:tcW w:w="1185" w:type="dxa"/>
          </w:tcPr>
          <w:p w:rsidR="004F0BC3" w:rsidRPr="00C95E67" w:rsidRDefault="004F0BC3" w:rsidP="007164A7">
            <w:pPr>
              <w:cnfStyle w:val="000000010000" w:firstRow="0" w:lastRow="0" w:firstColumn="0" w:lastColumn="0" w:oddVBand="0" w:evenVBand="0" w:oddHBand="0" w:evenHBand="1" w:firstRowFirstColumn="0" w:firstRowLastColumn="0" w:lastRowFirstColumn="0" w:lastRowLastColumn="0"/>
            </w:pPr>
            <w:r w:rsidRPr="00C95E67">
              <w:t>19.4</w:t>
            </w:r>
          </w:p>
        </w:tc>
        <w:tc>
          <w:tcPr>
            <w:tcW w:w="1184" w:type="dxa"/>
          </w:tcPr>
          <w:p w:rsidR="004F0BC3" w:rsidRPr="00C95E67" w:rsidRDefault="004F0BC3" w:rsidP="007164A7">
            <w:pPr>
              <w:cnfStyle w:val="000000010000" w:firstRow="0" w:lastRow="0" w:firstColumn="0" w:lastColumn="0" w:oddVBand="0" w:evenVBand="0" w:oddHBand="0" w:evenHBand="1" w:firstRowFirstColumn="0" w:firstRowLastColumn="0" w:lastRowFirstColumn="0" w:lastRowLastColumn="0"/>
            </w:pPr>
            <w:r w:rsidRPr="00C95E67">
              <w:t>17.8</w:t>
            </w:r>
          </w:p>
        </w:tc>
        <w:tc>
          <w:tcPr>
            <w:tcW w:w="1185" w:type="dxa"/>
          </w:tcPr>
          <w:p w:rsidR="004F0BC3" w:rsidRPr="00C95E67" w:rsidRDefault="004F0BC3" w:rsidP="00C95E67">
            <w:pPr>
              <w:cnfStyle w:val="000000010000" w:firstRow="0" w:lastRow="0" w:firstColumn="0" w:lastColumn="0" w:oddVBand="0" w:evenVBand="0" w:oddHBand="0" w:evenHBand="1" w:firstRowFirstColumn="0" w:firstRowLastColumn="0" w:lastRowFirstColumn="0" w:lastRowLastColumn="0"/>
            </w:pPr>
            <w:r w:rsidRPr="00C95E67">
              <w:t>23.</w:t>
            </w:r>
            <w:r w:rsidR="0033516A" w:rsidRPr="00C95E67">
              <w:t>2</w:t>
            </w:r>
          </w:p>
        </w:tc>
      </w:tr>
      <w:tr w:rsidR="004F0BC3" w:rsidRPr="00C95E67" w:rsidTr="00B17918">
        <w:trPr>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4F0BC3" w:rsidRPr="00C95E67" w:rsidRDefault="004F0BC3" w:rsidP="00EE2F11">
            <w:r w:rsidRPr="00C95E67">
              <w:t>Tax depreciation</w:t>
            </w:r>
          </w:p>
        </w:tc>
        <w:tc>
          <w:tcPr>
            <w:tcW w:w="1184" w:type="dxa"/>
          </w:tcPr>
          <w:p w:rsidR="004F0BC3" w:rsidRPr="00C95E67" w:rsidRDefault="004F0BC3" w:rsidP="00EE2F11">
            <w:pPr>
              <w:cnfStyle w:val="000000000000" w:firstRow="0" w:lastRow="0" w:firstColumn="0" w:lastColumn="0" w:oddVBand="0" w:evenVBand="0" w:oddHBand="0" w:evenHBand="0" w:firstRowFirstColumn="0" w:firstRowLastColumn="0" w:lastRowFirstColumn="0" w:lastRowLastColumn="0"/>
            </w:pPr>
            <w:r w:rsidRPr="00C95E67">
              <w:t>–8.6</w:t>
            </w:r>
          </w:p>
        </w:tc>
        <w:tc>
          <w:tcPr>
            <w:tcW w:w="1184" w:type="dxa"/>
          </w:tcPr>
          <w:p w:rsidR="004F0BC3" w:rsidRPr="00C95E67" w:rsidRDefault="004F0BC3" w:rsidP="00E0231E">
            <w:pPr>
              <w:cnfStyle w:val="000000000000" w:firstRow="0" w:lastRow="0" w:firstColumn="0" w:lastColumn="0" w:oddVBand="0" w:evenVBand="0" w:oddHBand="0" w:evenHBand="0" w:firstRowFirstColumn="0" w:firstRowLastColumn="0" w:lastRowFirstColumn="0" w:lastRowLastColumn="0"/>
            </w:pPr>
            <w:r w:rsidRPr="00C95E67">
              <w:t>–9.1</w:t>
            </w:r>
          </w:p>
        </w:tc>
        <w:tc>
          <w:tcPr>
            <w:tcW w:w="1185" w:type="dxa"/>
          </w:tcPr>
          <w:p w:rsidR="004F0BC3" w:rsidRPr="00C95E67" w:rsidRDefault="004F0BC3" w:rsidP="007164A7">
            <w:pPr>
              <w:cnfStyle w:val="000000000000" w:firstRow="0" w:lastRow="0" w:firstColumn="0" w:lastColumn="0" w:oddVBand="0" w:evenVBand="0" w:oddHBand="0" w:evenHBand="0" w:firstRowFirstColumn="0" w:firstRowLastColumn="0" w:lastRowFirstColumn="0" w:lastRowLastColumn="0"/>
            </w:pPr>
            <w:r w:rsidRPr="00C95E67">
              <w:t>–9.5</w:t>
            </w:r>
          </w:p>
        </w:tc>
        <w:tc>
          <w:tcPr>
            <w:tcW w:w="1184" w:type="dxa"/>
          </w:tcPr>
          <w:p w:rsidR="004F0BC3" w:rsidRPr="00C95E67" w:rsidRDefault="004F0BC3" w:rsidP="007164A7">
            <w:pPr>
              <w:cnfStyle w:val="000000000000" w:firstRow="0" w:lastRow="0" w:firstColumn="0" w:lastColumn="0" w:oddVBand="0" w:evenVBand="0" w:oddHBand="0" w:evenHBand="0" w:firstRowFirstColumn="0" w:firstRowLastColumn="0" w:lastRowFirstColumn="0" w:lastRowLastColumn="0"/>
            </w:pPr>
            <w:r w:rsidRPr="00C95E67">
              <w:t>–10.0</w:t>
            </w:r>
          </w:p>
        </w:tc>
        <w:tc>
          <w:tcPr>
            <w:tcW w:w="1185" w:type="dxa"/>
          </w:tcPr>
          <w:p w:rsidR="004F0BC3" w:rsidRPr="00C95E67" w:rsidRDefault="004F0BC3" w:rsidP="00C95E67">
            <w:pPr>
              <w:cnfStyle w:val="000000000000" w:firstRow="0" w:lastRow="0" w:firstColumn="0" w:lastColumn="0" w:oddVBand="0" w:evenVBand="0" w:oddHBand="0" w:evenHBand="0" w:firstRowFirstColumn="0" w:firstRowLastColumn="0" w:lastRowFirstColumn="0" w:lastRowLastColumn="0"/>
            </w:pPr>
            <w:r w:rsidRPr="00C95E67">
              <w:t>–10.5</w:t>
            </w:r>
          </w:p>
        </w:tc>
      </w:tr>
      <w:tr w:rsidR="004F0BC3" w:rsidRPr="00C95E67" w:rsidTr="00B17918">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793" w:type="dxa"/>
            <w:hideMark/>
          </w:tcPr>
          <w:p w:rsidR="004F0BC3" w:rsidRPr="00C95E67" w:rsidRDefault="004F0BC3" w:rsidP="00EE2F11">
            <w:r w:rsidRPr="00C95E67">
              <w:t>Closing tax asset base</w:t>
            </w:r>
          </w:p>
        </w:tc>
        <w:tc>
          <w:tcPr>
            <w:tcW w:w="1184" w:type="dxa"/>
          </w:tcPr>
          <w:p w:rsidR="004F0BC3" w:rsidRPr="00C95E67" w:rsidRDefault="004F0BC3" w:rsidP="00EE2F11">
            <w:pPr>
              <w:cnfStyle w:val="000000010000" w:firstRow="0" w:lastRow="0" w:firstColumn="0" w:lastColumn="0" w:oddVBand="0" w:evenVBand="0" w:oddHBand="0" w:evenHBand="1" w:firstRowFirstColumn="0" w:firstRowLastColumn="0" w:lastRowFirstColumn="0" w:lastRowLastColumn="0"/>
            </w:pPr>
            <w:r w:rsidRPr="00C95E67">
              <w:t>195.8</w:t>
            </w:r>
          </w:p>
        </w:tc>
        <w:tc>
          <w:tcPr>
            <w:tcW w:w="1184" w:type="dxa"/>
          </w:tcPr>
          <w:p w:rsidR="004F0BC3" w:rsidRPr="00C95E67" w:rsidRDefault="004F0BC3" w:rsidP="00E0231E">
            <w:pPr>
              <w:cnfStyle w:val="000000010000" w:firstRow="0" w:lastRow="0" w:firstColumn="0" w:lastColumn="0" w:oddVBand="0" w:evenVBand="0" w:oddHBand="0" w:evenHBand="1" w:firstRowFirstColumn="0" w:firstRowLastColumn="0" w:lastRowFirstColumn="0" w:lastRowLastColumn="0"/>
            </w:pPr>
            <w:r w:rsidRPr="00C95E67">
              <w:t>201.0</w:t>
            </w:r>
          </w:p>
        </w:tc>
        <w:tc>
          <w:tcPr>
            <w:tcW w:w="1185" w:type="dxa"/>
          </w:tcPr>
          <w:p w:rsidR="004F0BC3" w:rsidRPr="00C95E67" w:rsidRDefault="004F0BC3" w:rsidP="007164A7">
            <w:pPr>
              <w:cnfStyle w:val="000000010000" w:firstRow="0" w:lastRow="0" w:firstColumn="0" w:lastColumn="0" w:oddVBand="0" w:evenVBand="0" w:oddHBand="0" w:evenHBand="1" w:firstRowFirstColumn="0" w:firstRowLastColumn="0" w:lastRowFirstColumn="0" w:lastRowLastColumn="0"/>
            </w:pPr>
            <w:r w:rsidRPr="00C95E67">
              <w:t>210.9</w:t>
            </w:r>
          </w:p>
        </w:tc>
        <w:tc>
          <w:tcPr>
            <w:tcW w:w="1184" w:type="dxa"/>
          </w:tcPr>
          <w:p w:rsidR="004F0BC3" w:rsidRPr="00C95E67" w:rsidRDefault="004F0BC3" w:rsidP="007164A7">
            <w:pPr>
              <w:cnfStyle w:val="000000010000" w:firstRow="0" w:lastRow="0" w:firstColumn="0" w:lastColumn="0" w:oddVBand="0" w:evenVBand="0" w:oddHBand="0" w:evenHBand="1" w:firstRowFirstColumn="0" w:firstRowLastColumn="0" w:lastRowFirstColumn="0" w:lastRowLastColumn="0"/>
            </w:pPr>
            <w:r w:rsidRPr="00C95E67">
              <w:t>218.7</w:t>
            </w:r>
          </w:p>
        </w:tc>
        <w:tc>
          <w:tcPr>
            <w:tcW w:w="1185" w:type="dxa"/>
          </w:tcPr>
          <w:p w:rsidR="004F0BC3" w:rsidRPr="00EE2F11" w:rsidRDefault="004F0BC3" w:rsidP="00017DA6">
            <w:pPr>
              <w:cnfStyle w:val="000000010000" w:firstRow="0" w:lastRow="0" w:firstColumn="0" w:lastColumn="0" w:oddVBand="0" w:evenVBand="0" w:oddHBand="0" w:evenHBand="1" w:firstRowFirstColumn="0" w:firstRowLastColumn="0" w:lastRowFirstColumn="0" w:lastRowLastColumn="0"/>
            </w:pPr>
            <w:r w:rsidRPr="00C95E67">
              <w:t>231.</w:t>
            </w:r>
            <w:r w:rsidR="00017DA6">
              <w:t>4</w:t>
            </w:r>
          </w:p>
        </w:tc>
      </w:tr>
    </w:tbl>
    <w:p w:rsidR="004F0BC3" w:rsidRDefault="004F0BC3" w:rsidP="004F0BC3">
      <w:pPr>
        <w:pStyle w:val="AERtablesource"/>
      </w:pPr>
      <w:r>
        <w:t xml:space="preserve"> </w:t>
      </w:r>
      <w:r w:rsidRPr="004F0BC3">
        <w:rPr>
          <w:rFonts w:eastAsia="Calibri"/>
        </w:rPr>
        <w:t xml:space="preserve">Source: </w:t>
      </w:r>
      <w:r w:rsidRPr="004F0BC3">
        <w:rPr>
          <w:rFonts w:eastAsia="Calibri"/>
        </w:rPr>
        <w:tab/>
      </w:r>
      <w:proofErr w:type="gramStart"/>
      <w:r>
        <w:t>ActewAGL</w:t>
      </w:r>
      <w:r w:rsidRPr="000F2AA1">
        <w:t>,</w:t>
      </w:r>
      <w:proofErr w:type="gramEnd"/>
      <w:r>
        <w:t xml:space="preserve"> </w:t>
      </w:r>
      <w:r w:rsidR="0059769E" w:rsidRPr="00B13853">
        <w:rPr>
          <w:rStyle w:val="AERtextitalic"/>
        </w:rPr>
        <w:t>Revised p</w:t>
      </w:r>
      <w:r w:rsidRPr="00B13853">
        <w:rPr>
          <w:rStyle w:val="AERtextitalic"/>
        </w:rPr>
        <w:t>roposed RFM</w:t>
      </w:r>
      <w:r w:rsidRPr="000F2AA1">
        <w:t xml:space="preserve">, </w:t>
      </w:r>
      <w:r>
        <w:t>J</w:t>
      </w:r>
      <w:r w:rsidR="0059769E">
        <w:t>anuary 2016</w:t>
      </w:r>
      <w:r>
        <w:t>.</w:t>
      </w:r>
    </w:p>
    <w:p w:rsidR="00597E7B" w:rsidRDefault="00B14EEC" w:rsidP="00597E7B">
      <w:r>
        <w:t>Applying</w:t>
      </w:r>
      <w:r w:rsidR="001D1216">
        <w:t xml:space="preserve"> </w:t>
      </w:r>
      <w:r w:rsidR="00597E7B">
        <w:t>the</w:t>
      </w:r>
      <w:r w:rsidR="001D1216">
        <w:t xml:space="preserve"> same</w:t>
      </w:r>
      <w:r w:rsidR="00597E7B">
        <w:t xml:space="preserve"> approach accepted in the draft decision, ActewAGL's revised proposal calculate</w:t>
      </w:r>
      <w:r w:rsidR="001D1216">
        <w:t>d</w:t>
      </w:r>
      <w:r w:rsidR="00597E7B">
        <w:t xml:space="preserve"> the corporate income tax</w:t>
      </w:r>
      <w:r w:rsidR="001D1216" w:rsidRPr="001D1216">
        <w:t xml:space="preserve"> </w:t>
      </w:r>
      <w:r w:rsidR="001D1216">
        <w:t>over 2015–16 and the 2016–21 access arrangement period using the following inputs</w:t>
      </w:r>
      <w:r w:rsidR="00597E7B">
        <w:t>:</w:t>
      </w:r>
      <w:r w:rsidR="00C349AC">
        <w:rPr>
          <w:rStyle w:val="FootnoteReference"/>
        </w:rPr>
        <w:footnoteReference w:id="4"/>
      </w:r>
    </w:p>
    <w:p w:rsidR="00CA1BCA" w:rsidRDefault="00B14EEC" w:rsidP="00597E7B">
      <w:pPr>
        <w:pStyle w:val="AERbulletlistfirststyle"/>
      </w:pPr>
      <w:r>
        <w:t>R</w:t>
      </w:r>
      <w:r w:rsidR="00597E7B">
        <w:t xml:space="preserve">evised </w:t>
      </w:r>
      <w:r w:rsidR="00597E7B" w:rsidRPr="004F0BC3">
        <w:t>opening TAB of $231.</w:t>
      </w:r>
      <w:r w:rsidR="00597E7B">
        <w:t>4</w:t>
      </w:r>
      <w:r w:rsidR="00597E7B" w:rsidRPr="004F0BC3">
        <w:t xml:space="preserve"> million ($nominal) as at 1 July 2015</w:t>
      </w:r>
      <w:r>
        <w:t>, reflecting updates for 2014–15 actual capex.</w:t>
      </w:r>
      <w:r w:rsidR="00597E7B" w:rsidRPr="004F0BC3">
        <w:t xml:space="preserve"> </w:t>
      </w:r>
    </w:p>
    <w:p w:rsidR="00597E7B" w:rsidRPr="004F0BC3" w:rsidRDefault="00B14EEC" w:rsidP="00597E7B">
      <w:pPr>
        <w:pStyle w:val="AERbulletlistfirststyle"/>
      </w:pPr>
      <w:r>
        <w:t>A</w:t>
      </w:r>
      <w:r w:rsidR="00597E7B" w:rsidRPr="003A718F">
        <w:t>n expected statutory income</w:t>
      </w:r>
      <w:r w:rsidR="00632548">
        <w:t xml:space="preserve"> tax</w:t>
      </w:r>
      <w:r w:rsidR="00597E7B" w:rsidRPr="003A718F">
        <w:t xml:space="preserve"> rate of 30 per cent per year</w:t>
      </w:r>
      <w:r>
        <w:t>.</w:t>
      </w:r>
    </w:p>
    <w:p w:rsidR="00597E7B" w:rsidRPr="004F0BC3" w:rsidRDefault="00B14EEC" w:rsidP="00597E7B">
      <w:pPr>
        <w:pStyle w:val="AERbulletlistfirststyle"/>
      </w:pPr>
      <w:r>
        <w:t>A</w:t>
      </w:r>
      <w:r w:rsidR="00597E7B" w:rsidRPr="003A718F">
        <w:t xml:space="preserve"> value for the assumed utilisation of imputation credits (gamma) of 0.25</w:t>
      </w:r>
      <w:r>
        <w:t xml:space="preserve"> which is consistent with its initial proposal.</w:t>
      </w:r>
    </w:p>
    <w:p w:rsidR="00597E7B" w:rsidRPr="004F0BC3" w:rsidRDefault="00B14EEC" w:rsidP="00597E7B">
      <w:pPr>
        <w:pStyle w:val="AERbulletlistfirststyle"/>
      </w:pPr>
      <w:r>
        <w:t>T</w:t>
      </w:r>
      <w:r w:rsidR="00597E7B" w:rsidRPr="003A718F">
        <w:t xml:space="preserve">he standard tax asset lives </w:t>
      </w:r>
      <w:r w:rsidR="00597E7B" w:rsidRPr="004F0BC3">
        <w:t>as approved for the 2010–15 access arrangement period</w:t>
      </w:r>
      <w:r>
        <w:t>.</w:t>
      </w:r>
    </w:p>
    <w:p w:rsidR="00597E7B" w:rsidRDefault="00B14EEC" w:rsidP="00597E7B">
      <w:pPr>
        <w:pStyle w:val="AERbulletlistfirststyle"/>
      </w:pPr>
      <w:r>
        <w:t>R</w:t>
      </w:r>
      <w:r w:rsidR="00597E7B">
        <w:t xml:space="preserve">evised </w:t>
      </w:r>
      <w:r w:rsidR="00597E7B" w:rsidRPr="003A718F">
        <w:t xml:space="preserve">remaining tax asset lives </w:t>
      </w:r>
      <w:r w:rsidR="00597E7B" w:rsidRPr="004F0BC3">
        <w:t xml:space="preserve">as at 1 July 2015 which </w:t>
      </w:r>
      <w:proofErr w:type="gramStart"/>
      <w:r w:rsidR="00597E7B" w:rsidRPr="004F0BC3">
        <w:t>are</w:t>
      </w:r>
      <w:proofErr w:type="gramEnd"/>
      <w:r w:rsidR="00597E7B" w:rsidRPr="004F0BC3">
        <w:t xml:space="preserve"> calculated using a weighted average remaining life approach as contained in its </w:t>
      </w:r>
      <w:r>
        <w:t xml:space="preserve">revised </w:t>
      </w:r>
      <w:r w:rsidR="00597E7B" w:rsidRPr="004F0BC3">
        <w:t>proposed RFM.</w:t>
      </w:r>
    </w:p>
    <w:p w:rsidR="00597E7B" w:rsidRDefault="00597E7B" w:rsidP="00597E7B">
      <w:pPr>
        <w:pStyle w:val="AERbulletlistfirststyle"/>
      </w:pPr>
      <w:r>
        <w:t>Revised forecast capex</w:t>
      </w:r>
      <w:r w:rsidR="00B14EEC">
        <w:t>.</w:t>
      </w:r>
    </w:p>
    <w:p w:rsidR="00597E7B" w:rsidRDefault="00597E7B" w:rsidP="00597E7B">
      <w:pPr>
        <w:pStyle w:val="AERbulletlistfirststyle"/>
      </w:pPr>
      <w:r>
        <w:t>Revised forecast opex</w:t>
      </w:r>
      <w:r w:rsidR="00B14EEC">
        <w:t>.</w:t>
      </w:r>
    </w:p>
    <w:p w:rsidR="00AF2A5C" w:rsidRPr="004F0BC3" w:rsidRDefault="00AF2A5C" w:rsidP="00AF2A5C">
      <w:pPr>
        <w:pStyle w:val="AERbulletlistfirststyle"/>
        <w:numPr>
          <w:ilvl w:val="0"/>
          <w:numId w:val="0"/>
        </w:numPr>
      </w:pPr>
      <w:r>
        <w:t>ActewAGL's revised proposed cost of corporate income tax for 2015–16 and the 2016–21 access arrangement period is $</w:t>
      </w:r>
      <w:r w:rsidR="00EE2F11">
        <w:t xml:space="preserve">20.0 </w:t>
      </w:r>
      <w:r>
        <w:t>million ($nominal) as set out in</w:t>
      </w:r>
      <w:r w:rsidR="005C620F">
        <w:t xml:space="preserve"> </w:t>
      </w:r>
      <w:r w:rsidR="00DF5916">
        <w:fldChar w:fldCharType="begin"/>
      </w:r>
      <w:r w:rsidR="00DF5916">
        <w:instrText xml:space="preserve"> REF _Ref445203887 \h </w:instrText>
      </w:r>
      <w:r w:rsidR="00DF5916">
        <w:fldChar w:fldCharType="separate"/>
      </w:r>
      <w:r w:rsidR="00A82EF3">
        <w:t xml:space="preserve">Table </w:t>
      </w:r>
      <w:r w:rsidR="00A82EF3">
        <w:rPr>
          <w:noProof/>
        </w:rPr>
        <w:t>8</w:t>
      </w:r>
      <w:r w:rsidR="00A82EF3">
        <w:t>.</w:t>
      </w:r>
      <w:r w:rsidR="00A82EF3">
        <w:rPr>
          <w:noProof/>
        </w:rPr>
        <w:t>3</w:t>
      </w:r>
      <w:r w:rsidR="00DF5916">
        <w:fldChar w:fldCharType="end"/>
      </w:r>
      <w:r w:rsidR="00EE2F11">
        <w:t>.</w:t>
      </w:r>
    </w:p>
    <w:p w:rsidR="00BB19F0" w:rsidRPr="00FD50DB" w:rsidRDefault="00DF5916" w:rsidP="00DF5916">
      <w:pPr>
        <w:pStyle w:val="Caption"/>
      </w:pPr>
      <w:bookmarkStart w:id="18" w:name="_Ref445203887"/>
      <w:proofErr w:type="gramStart"/>
      <w:r>
        <w:t xml:space="preserve">Table </w:t>
      </w:r>
      <w:proofErr w:type="gramEnd"/>
      <w:r w:rsidR="0006379C">
        <w:fldChar w:fldCharType="begin"/>
      </w:r>
      <w:r w:rsidR="0006379C">
        <w:instrText xml:space="preserve"> STYLEREF 1 \s </w:instrText>
      </w:r>
      <w:r w:rsidR="0006379C">
        <w:fldChar w:fldCharType="separate"/>
      </w:r>
      <w:r w:rsidR="00A82EF3">
        <w:rPr>
          <w:noProof/>
        </w:rPr>
        <w:t>8</w:t>
      </w:r>
      <w:r w:rsidR="0006379C">
        <w:rPr>
          <w:noProof/>
        </w:rPr>
        <w:fldChar w:fldCharType="end"/>
      </w:r>
      <w:proofErr w:type="gramStart"/>
      <w:r>
        <w:t>.</w:t>
      </w:r>
      <w:proofErr w:type="gramEnd"/>
      <w:r>
        <w:fldChar w:fldCharType="begin"/>
      </w:r>
      <w:r>
        <w:instrText xml:space="preserve"> SEQ Table \* ARABIC \s 1 </w:instrText>
      </w:r>
      <w:r>
        <w:fldChar w:fldCharType="separate"/>
      </w:r>
      <w:r w:rsidR="00A82EF3">
        <w:rPr>
          <w:noProof/>
        </w:rPr>
        <w:t>3</w:t>
      </w:r>
      <w:r>
        <w:fldChar w:fldCharType="end"/>
      </w:r>
      <w:bookmarkEnd w:id="18"/>
      <w:r w:rsidR="00BB19F0" w:rsidRPr="00FD50DB">
        <w:tab/>
      </w:r>
      <w:r w:rsidR="00BB19F0">
        <w:t>ActewAGL’s</w:t>
      </w:r>
      <w:r w:rsidR="00BB19F0" w:rsidRPr="00FD50DB">
        <w:t xml:space="preserve"> </w:t>
      </w:r>
      <w:r w:rsidR="00BB19F0">
        <w:t xml:space="preserve">revised </w:t>
      </w:r>
      <w:r w:rsidR="00BB19F0" w:rsidRPr="00FD50DB">
        <w:t xml:space="preserve">proposed corporate income tax </w:t>
      </w:r>
      <w:r w:rsidR="00BB19F0">
        <w:t xml:space="preserve">allowance </w:t>
      </w:r>
      <w:r w:rsidR="00BB19F0" w:rsidRPr="00FD50DB">
        <w:t xml:space="preserve">for </w:t>
      </w:r>
      <w:r w:rsidR="00BB19F0">
        <w:t xml:space="preserve">2015–16 and </w:t>
      </w:r>
      <w:r w:rsidR="00BB19F0" w:rsidRPr="00FD50DB">
        <w:t xml:space="preserve">the </w:t>
      </w:r>
      <w:r w:rsidR="00BB19F0">
        <w:t>2016–21</w:t>
      </w:r>
      <w:r w:rsidR="00BB19F0" w:rsidRPr="00FD50DB">
        <w:t xml:space="preserve"> access arrangement period ($million, nominal)</w:t>
      </w:r>
    </w:p>
    <w:tbl>
      <w:tblPr>
        <w:tblStyle w:val="AERtable-numbers"/>
        <w:tblW w:w="8723" w:type="dxa"/>
        <w:tblLayout w:type="fixed"/>
        <w:tblLook w:val="04A0" w:firstRow="1" w:lastRow="0" w:firstColumn="1" w:lastColumn="0" w:noHBand="0" w:noVBand="1"/>
      </w:tblPr>
      <w:tblGrid>
        <w:gridCol w:w="2927"/>
        <w:gridCol w:w="842"/>
        <w:gridCol w:w="842"/>
        <w:gridCol w:w="842"/>
        <w:gridCol w:w="842"/>
        <w:gridCol w:w="842"/>
        <w:gridCol w:w="842"/>
        <w:gridCol w:w="744"/>
      </w:tblGrid>
      <w:tr w:rsidR="00BB19F0" w:rsidRPr="00077B2C" w:rsidTr="00E420E2">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927" w:type="dxa"/>
            <w:hideMark/>
          </w:tcPr>
          <w:p w:rsidR="00BB19F0" w:rsidRPr="004F0BC3" w:rsidRDefault="00BB19F0" w:rsidP="00BB19F0">
            <w:pPr>
              <w:pStyle w:val="AERtabletextleft"/>
            </w:pPr>
            <w:r w:rsidRPr="004F0BC3">
              <w:t xml:space="preserve"> </w:t>
            </w:r>
          </w:p>
        </w:tc>
        <w:tc>
          <w:tcPr>
            <w:tcW w:w="842" w:type="dxa"/>
          </w:tcPr>
          <w:p w:rsidR="00BB19F0" w:rsidRPr="00B13853" w:rsidRDefault="00BB19F0" w:rsidP="00B13853">
            <w:pPr>
              <w:cnfStyle w:val="100000000000" w:firstRow="1" w:lastRow="0" w:firstColumn="0" w:lastColumn="0" w:oddVBand="0" w:evenVBand="0" w:oddHBand="0" w:evenHBand="0" w:firstRowFirstColumn="0" w:firstRowLastColumn="0" w:lastRowFirstColumn="0" w:lastRowLastColumn="0"/>
            </w:pPr>
            <w:r w:rsidRPr="00B13853">
              <w:t>2015–16</w:t>
            </w:r>
          </w:p>
        </w:tc>
        <w:tc>
          <w:tcPr>
            <w:tcW w:w="842" w:type="dxa"/>
            <w:hideMark/>
          </w:tcPr>
          <w:p w:rsidR="00BB19F0" w:rsidRPr="00B13853" w:rsidRDefault="00BB19F0" w:rsidP="00B13853">
            <w:pPr>
              <w:cnfStyle w:val="100000000000" w:firstRow="1" w:lastRow="0" w:firstColumn="0" w:lastColumn="0" w:oddVBand="0" w:evenVBand="0" w:oddHBand="0" w:evenHBand="0" w:firstRowFirstColumn="0" w:firstRowLastColumn="0" w:lastRowFirstColumn="0" w:lastRowLastColumn="0"/>
            </w:pPr>
            <w:r w:rsidRPr="00B13853">
              <w:t>2016–17</w:t>
            </w:r>
          </w:p>
        </w:tc>
        <w:tc>
          <w:tcPr>
            <w:tcW w:w="842" w:type="dxa"/>
            <w:hideMark/>
          </w:tcPr>
          <w:p w:rsidR="00BB19F0" w:rsidRPr="00B13853" w:rsidRDefault="00BB19F0" w:rsidP="00B13853">
            <w:pPr>
              <w:cnfStyle w:val="100000000000" w:firstRow="1" w:lastRow="0" w:firstColumn="0" w:lastColumn="0" w:oddVBand="0" w:evenVBand="0" w:oddHBand="0" w:evenHBand="0" w:firstRowFirstColumn="0" w:firstRowLastColumn="0" w:lastRowFirstColumn="0" w:lastRowLastColumn="0"/>
            </w:pPr>
            <w:r w:rsidRPr="00B13853">
              <w:t>2017–18</w:t>
            </w:r>
          </w:p>
        </w:tc>
        <w:tc>
          <w:tcPr>
            <w:tcW w:w="842" w:type="dxa"/>
            <w:hideMark/>
          </w:tcPr>
          <w:p w:rsidR="00BB19F0" w:rsidRPr="00B13853" w:rsidRDefault="00BB19F0" w:rsidP="00B13853">
            <w:pPr>
              <w:cnfStyle w:val="100000000000" w:firstRow="1" w:lastRow="0" w:firstColumn="0" w:lastColumn="0" w:oddVBand="0" w:evenVBand="0" w:oddHBand="0" w:evenHBand="0" w:firstRowFirstColumn="0" w:firstRowLastColumn="0" w:lastRowFirstColumn="0" w:lastRowLastColumn="0"/>
            </w:pPr>
            <w:r w:rsidRPr="00B13853">
              <w:t>2018–19</w:t>
            </w:r>
          </w:p>
        </w:tc>
        <w:tc>
          <w:tcPr>
            <w:tcW w:w="842" w:type="dxa"/>
            <w:hideMark/>
          </w:tcPr>
          <w:p w:rsidR="00BB19F0" w:rsidRPr="00B13853" w:rsidRDefault="00BB19F0" w:rsidP="00B13853">
            <w:pPr>
              <w:cnfStyle w:val="100000000000" w:firstRow="1" w:lastRow="0" w:firstColumn="0" w:lastColumn="0" w:oddVBand="0" w:evenVBand="0" w:oddHBand="0" w:evenHBand="0" w:firstRowFirstColumn="0" w:firstRowLastColumn="0" w:lastRowFirstColumn="0" w:lastRowLastColumn="0"/>
            </w:pPr>
            <w:r w:rsidRPr="00B13853">
              <w:t>2019–20</w:t>
            </w:r>
          </w:p>
        </w:tc>
        <w:tc>
          <w:tcPr>
            <w:tcW w:w="842" w:type="dxa"/>
            <w:hideMark/>
          </w:tcPr>
          <w:p w:rsidR="00BB19F0" w:rsidRPr="00B13853" w:rsidRDefault="00BB19F0" w:rsidP="00B13853">
            <w:pPr>
              <w:cnfStyle w:val="100000000000" w:firstRow="1" w:lastRow="0" w:firstColumn="0" w:lastColumn="0" w:oddVBand="0" w:evenVBand="0" w:oddHBand="0" w:evenHBand="0" w:firstRowFirstColumn="0" w:firstRowLastColumn="0" w:lastRowFirstColumn="0" w:lastRowLastColumn="0"/>
            </w:pPr>
            <w:r w:rsidRPr="00B13853">
              <w:t>2020–21</w:t>
            </w:r>
          </w:p>
        </w:tc>
        <w:tc>
          <w:tcPr>
            <w:tcW w:w="744" w:type="dxa"/>
          </w:tcPr>
          <w:p w:rsidR="00BB19F0" w:rsidRPr="00B13853" w:rsidRDefault="00BB19F0" w:rsidP="00B13853">
            <w:pPr>
              <w:cnfStyle w:val="100000000000" w:firstRow="1" w:lastRow="0" w:firstColumn="0" w:lastColumn="0" w:oddVBand="0" w:evenVBand="0" w:oddHBand="0" w:evenHBand="0" w:firstRowFirstColumn="0" w:firstRowLastColumn="0" w:lastRowFirstColumn="0" w:lastRowLastColumn="0"/>
            </w:pPr>
            <w:r w:rsidRPr="00B13853">
              <w:t>Total</w:t>
            </w:r>
          </w:p>
        </w:tc>
      </w:tr>
      <w:tr w:rsidR="00BB19F0" w:rsidRPr="00B14EEC" w:rsidTr="00E420E2">
        <w:trPr>
          <w:trHeight w:val="224"/>
        </w:trPr>
        <w:tc>
          <w:tcPr>
            <w:cnfStyle w:val="001000000000" w:firstRow="0" w:lastRow="0" w:firstColumn="1" w:lastColumn="0" w:oddVBand="0" w:evenVBand="0" w:oddHBand="0" w:evenHBand="0" w:firstRowFirstColumn="0" w:firstRowLastColumn="0" w:lastRowFirstColumn="0" w:lastRowLastColumn="0"/>
            <w:tcW w:w="2927" w:type="dxa"/>
            <w:hideMark/>
          </w:tcPr>
          <w:p w:rsidR="00BB19F0" w:rsidRPr="00B14EEC" w:rsidRDefault="00BB19F0" w:rsidP="00707E54">
            <w:r w:rsidRPr="00B14EEC">
              <w:t>Tax payable</w:t>
            </w:r>
          </w:p>
        </w:tc>
        <w:tc>
          <w:tcPr>
            <w:tcW w:w="842" w:type="dxa"/>
          </w:tcPr>
          <w:p w:rsidR="00BB19F0" w:rsidRPr="00B14EEC" w:rsidRDefault="00BB19F0">
            <w:pPr>
              <w:cnfStyle w:val="000000000000" w:firstRow="0" w:lastRow="0" w:firstColumn="0" w:lastColumn="0" w:oddVBand="0" w:evenVBand="0" w:oddHBand="0" w:evenHBand="0" w:firstRowFirstColumn="0" w:firstRowLastColumn="0" w:lastRowFirstColumn="0" w:lastRowLastColumn="0"/>
            </w:pPr>
            <w:r w:rsidRPr="00B14EEC">
              <w:t>3.0</w:t>
            </w:r>
          </w:p>
        </w:tc>
        <w:tc>
          <w:tcPr>
            <w:tcW w:w="842" w:type="dxa"/>
          </w:tcPr>
          <w:p w:rsidR="00BB19F0" w:rsidRPr="00B14EEC" w:rsidRDefault="00BB19F0">
            <w:pPr>
              <w:cnfStyle w:val="000000000000" w:firstRow="0" w:lastRow="0" w:firstColumn="0" w:lastColumn="0" w:oddVBand="0" w:evenVBand="0" w:oddHBand="0" w:evenHBand="0" w:firstRowFirstColumn="0" w:firstRowLastColumn="0" w:lastRowFirstColumn="0" w:lastRowLastColumn="0"/>
            </w:pPr>
            <w:r w:rsidRPr="00B14EEC">
              <w:t>3.5</w:t>
            </w:r>
          </w:p>
        </w:tc>
        <w:tc>
          <w:tcPr>
            <w:tcW w:w="842" w:type="dxa"/>
          </w:tcPr>
          <w:p w:rsidR="00BB19F0" w:rsidRPr="00B14EEC" w:rsidRDefault="00BB19F0">
            <w:pPr>
              <w:cnfStyle w:val="000000000000" w:firstRow="0" w:lastRow="0" w:firstColumn="0" w:lastColumn="0" w:oddVBand="0" w:evenVBand="0" w:oddHBand="0" w:evenHBand="0" w:firstRowFirstColumn="0" w:firstRowLastColumn="0" w:lastRowFirstColumn="0" w:lastRowLastColumn="0"/>
            </w:pPr>
            <w:r w:rsidRPr="00B14EEC">
              <w:t>4.4</w:t>
            </w:r>
          </w:p>
        </w:tc>
        <w:tc>
          <w:tcPr>
            <w:tcW w:w="842" w:type="dxa"/>
          </w:tcPr>
          <w:p w:rsidR="00BB19F0" w:rsidRPr="00B14EEC" w:rsidRDefault="00BB19F0">
            <w:pPr>
              <w:cnfStyle w:val="000000000000" w:firstRow="0" w:lastRow="0" w:firstColumn="0" w:lastColumn="0" w:oddVBand="0" w:evenVBand="0" w:oddHBand="0" w:evenHBand="0" w:firstRowFirstColumn="0" w:firstRowLastColumn="0" w:lastRowFirstColumn="0" w:lastRowLastColumn="0"/>
            </w:pPr>
            <w:r w:rsidRPr="00B14EEC">
              <w:t>5.0</w:t>
            </w:r>
          </w:p>
        </w:tc>
        <w:tc>
          <w:tcPr>
            <w:tcW w:w="842" w:type="dxa"/>
          </w:tcPr>
          <w:p w:rsidR="00BB19F0" w:rsidRPr="00B14EEC" w:rsidRDefault="00BB19F0">
            <w:pPr>
              <w:cnfStyle w:val="000000000000" w:firstRow="0" w:lastRow="0" w:firstColumn="0" w:lastColumn="0" w:oddVBand="0" w:evenVBand="0" w:oddHBand="0" w:evenHBand="0" w:firstRowFirstColumn="0" w:firstRowLastColumn="0" w:lastRowFirstColumn="0" w:lastRowLastColumn="0"/>
            </w:pPr>
            <w:r w:rsidRPr="00B14EEC">
              <w:t>5.3</w:t>
            </w:r>
          </w:p>
        </w:tc>
        <w:tc>
          <w:tcPr>
            <w:tcW w:w="842" w:type="dxa"/>
          </w:tcPr>
          <w:p w:rsidR="00BB19F0" w:rsidRPr="00B14EEC" w:rsidRDefault="00BB19F0">
            <w:pPr>
              <w:cnfStyle w:val="000000000000" w:firstRow="0" w:lastRow="0" w:firstColumn="0" w:lastColumn="0" w:oddVBand="0" w:evenVBand="0" w:oddHBand="0" w:evenHBand="0" w:firstRowFirstColumn="0" w:firstRowLastColumn="0" w:lastRowFirstColumn="0" w:lastRowLastColumn="0"/>
            </w:pPr>
            <w:r w:rsidRPr="00B14EEC">
              <w:t>5.5</w:t>
            </w:r>
          </w:p>
        </w:tc>
        <w:tc>
          <w:tcPr>
            <w:tcW w:w="744" w:type="dxa"/>
          </w:tcPr>
          <w:p w:rsidR="00BB19F0" w:rsidRPr="00B14EEC" w:rsidRDefault="00BB19F0">
            <w:pPr>
              <w:cnfStyle w:val="000000000000" w:firstRow="0" w:lastRow="0" w:firstColumn="0" w:lastColumn="0" w:oddVBand="0" w:evenVBand="0" w:oddHBand="0" w:evenHBand="0" w:firstRowFirstColumn="0" w:firstRowLastColumn="0" w:lastRowFirstColumn="0" w:lastRowLastColumn="0"/>
            </w:pPr>
            <w:r w:rsidRPr="00B14EEC">
              <w:t>26.7</w:t>
            </w:r>
          </w:p>
        </w:tc>
      </w:tr>
      <w:tr w:rsidR="00BB19F0" w:rsidRPr="00B14EEC" w:rsidTr="00E420E2">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927" w:type="dxa"/>
            <w:hideMark/>
          </w:tcPr>
          <w:p w:rsidR="00BB19F0" w:rsidRPr="00B14EEC" w:rsidRDefault="00BB19F0" w:rsidP="00707E54">
            <w:r w:rsidRPr="00B14EEC">
              <w:rPr>
                <w:rStyle w:val="AERtextitalic"/>
              </w:rPr>
              <w:t>Less</w:t>
            </w:r>
            <w:r w:rsidRPr="00B14EEC">
              <w:t>: value of imputation credits</w:t>
            </w:r>
          </w:p>
        </w:tc>
        <w:tc>
          <w:tcPr>
            <w:tcW w:w="842" w:type="dxa"/>
          </w:tcPr>
          <w:p w:rsidR="00BB19F0" w:rsidRPr="00B14EEC" w:rsidRDefault="00BB19F0">
            <w:pPr>
              <w:cnfStyle w:val="000000010000" w:firstRow="0" w:lastRow="0" w:firstColumn="0" w:lastColumn="0" w:oddVBand="0" w:evenVBand="0" w:oddHBand="0" w:evenHBand="1" w:firstRowFirstColumn="0" w:firstRowLastColumn="0" w:lastRowFirstColumn="0" w:lastRowLastColumn="0"/>
            </w:pPr>
            <w:r w:rsidRPr="00B14EEC">
              <w:t>0.7</w:t>
            </w:r>
          </w:p>
        </w:tc>
        <w:tc>
          <w:tcPr>
            <w:tcW w:w="842" w:type="dxa"/>
          </w:tcPr>
          <w:p w:rsidR="00BB19F0" w:rsidRPr="00B14EEC" w:rsidRDefault="00BB19F0">
            <w:pPr>
              <w:cnfStyle w:val="000000010000" w:firstRow="0" w:lastRow="0" w:firstColumn="0" w:lastColumn="0" w:oddVBand="0" w:evenVBand="0" w:oddHBand="0" w:evenHBand="1" w:firstRowFirstColumn="0" w:firstRowLastColumn="0" w:lastRowFirstColumn="0" w:lastRowLastColumn="0"/>
            </w:pPr>
            <w:r w:rsidRPr="00B14EEC">
              <w:t>0.9</w:t>
            </w:r>
          </w:p>
        </w:tc>
        <w:tc>
          <w:tcPr>
            <w:tcW w:w="842" w:type="dxa"/>
          </w:tcPr>
          <w:p w:rsidR="00BB19F0" w:rsidRPr="00B14EEC" w:rsidRDefault="00BB19F0">
            <w:pPr>
              <w:cnfStyle w:val="000000010000" w:firstRow="0" w:lastRow="0" w:firstColumn="0" w:lastColumn="0" w:oddVBand="0" w:evenVBand="0" w:oddHBand="0" w:evenHBand="1" w:firstRowFirstColumn="0" w:firstRowLastColumn="0" w:lastRowFirstColumn="0" w:lastRowLastColumn="0"/>
            </w:pPr>
            <w:r w:rsidRPr="00B14EEC">
              <w:t>1.1</w:t>
            </w:r>
          </w:p>
        </w:tc>
        <w:tc>
          <w:tcPr>
            <w:tcW w:w="842" w:type="dxa"/>
          </w:tcPr>
          <w:p w:rsidR="00BB19F0" w:rsidRPr="00B14EEC" w:rsidRDefault="00BB19F0">
            <w:pPr>
              <w:cnfStyle w:val="000000010000" w:firstRow="0" w:lastRow="0" w:firstColumn="0" w:lastColumn="0" w:oddVBand="0" w:evenVBand="0" w:oddHBand="0" w:evenHBand="1" w:firstRowFirstColumn="0" w:firstRowLastColumn="0" w:lastRowFirstColumn="0" w:lastRowLastColumn="0"/>
            </w:pPr>
            <w:r w:rsidRPr="00B14EEC">
              <w:t>1.3</w:t>
            </w:r>
          </w:p>
        </w:tc>
        <w:tc>
          <w:tcPr>
            <w:tcW w:w="842" w:type="dxa"/>
          </w:tcPr>
          <w:p w:rsidR="00BB19F0" w:rsidRPr="00B14EEC" w:rsidRDefault="00BB19F0">
            <w:pPr>
              <w:cnfStyle w:val="000000010000" w:firstRow="0" w:lastRow="0" w:firstColumn="0" w:lastColumn="0" w:oddVBand="0" w:evenVBand="0" w:oddHBand="0" w:evenHBand="1" w:firstRowFirstColumn="0" w:firstRowLastColumn="0" w:lastRowFirstColumn="0" w:lastRowLastColumn="0"/>
            </w:pPr>
            <w:r w:rsidRPr="00B14EEC">
              <w:t>1.3</w:t>
            </w:r>
          </w:p>
        </w:tc>
        <w:tc>
          <w:tcPr>
            <w:tcW w:w="842" w:type="dxa"/>
          </w:tcPr>
          <w:p w:rsidR="00BB19F0" w:rsidRPr="00B14EEC" w:rsidRDefault="00BB19F0">
            <w:pPr>
              <w:cnfStyle w:val="000000010000" w:firstRow="0" w:lastRow="0" w:firstColumn="0" w:lastColumn="0" w:oddVBand="0" w:evenVBand="0" w:oddHBand="0" w:evenHBand="1" w:firstRowFirstColumn="0" w:firstRowLastColumn="0" w:lastRowFirstColumn="0" w:lastRowLastColumn="0"/>
            </w:pPr>
            <w:r w:rsidRPr="00B14EEC">
              <w:t>1.4</w:t>
            </w:r>
          </w:p>
        </w:tc>
        <w:tc>
          <w:tcPr>
            <w:tcW w:w="744" w:type="dxa"/>
          </w:tcPr>
          <w:p w:rsidR="00BB19F0" w:rsidRPr="00B14EEC" w:rsidRDefault="00BB19F0">
            <w:pPr>
              <w:cnfStyle w:val="000000010000" w:firstRow="0" w:lastRow="0" w:firstColumn="0" w:lastColumn="0" w:oddVBand="0" w:evenVBand="0" w:oddHBand="0" w:evenHBand="1" w:firstRowFirstColumn="0" w:firstRowLastColumn="0" w:lastRowFirstColumn="0" w:lastRowLastColumn="0"/>
            </w:pPr>
            <w:r w:rsidRPr="00B14EEC">
              <w:t>6.7</w:t>
            </w:r>
          </w:p>
        </w:tc>
      </w:tr>
      <w:tr w:rsidR="00BB19F0" w:rsidRPr="00B14EEC" w:rsidTr="00E420E2">
        <w:trPr>
          <w:trHeight w:val="531"/>
        </w:trPr>
        <w:tc>
          <w:tcPr>
            <w:cnfStyle w:val="001000000000" w:firstRow="0" w:lastRow="0" w:firstColumn="1" w:lastColumn="0" w:oddVBand="0" w:evenVBand="0" w:oddHBand="0" w:evenHBand="0" w:firstRowFirstColumn="0" w:firstRowLastColumn="0" w:lastRowFirstColumn="0" w:lastRowLastColumn="0"/>
            <w:tcW w:w="2927" w:type="dxa"/>
            <w:hideMark/>
          </w:tcPr>
          <w:p w:rsidR="00BB19F0" w:rsidRPr="00B14EEC" w:rsidRDefault="00BB19F0" w:rsidP="00707E54">
            <w:pPr>
              <w:rPr>
                <w:rStyle w:val="Strong"/>
              </w:rPr>
            </w:pPr>
            <w:r w:rsidRPr="00B14EEC">
              <w:rPr>
                <w:rStyle w:val="Strong"/>
              </w:rPr>
              <w:t>Net corporate income tax allowance</w:t>
            </w:r>
          </w:p>
        </w:tc>
        <w:tc>
          <w:tcPr>
            <w:tcW w:w="842" w:type="dxa"/>
          </w:tcPr>
          <w:p w:rsidR="00BB19F0" w:rsidRPr="00707E54" w:rsidRDefault="00BB19F0">
            <w:pPr>
              <w:cnfStyle w:val="000000000000" w:firstRow="0" w:lastRow="0" w:firstColumn="0" w:lastColumn="0" w:oddVBand="0" w:evenVBand="0" w:oddHBand="0" w:evenHBand="0" w:firstRowFirstColumn="0" w:firstRowLastColumn="0" w:lastRowFirstColumn="0" w:lastRowLastColumn="0"/>
              <w:rPr>
                <w:rStyle w:val="Strong"/>
              </w:rPr>
            </w:pPr>
            <w:r w:rsidRPr="00707E54">
              <w:rPr>
                <w:rStyle w:val="Strong"/>
              </w:rPr>
              <w:t>2.2</w:t>
            </w:r>
          </w:p>
        </w:tc>
        <w:tc>
          <w:tcPr>
            <w:tcW w:w="842" w:type="dxa"/>
          </w:tcPr>
          <w:p w:rsidR="00BB19F0" w:rsidRPr="00707E54" w:rsidRDefault="00BB19F0">
            <w:pPr>
              <w:cnfStyle w:val="000000000000" w:firstRow="0" w:lastRow="0" w:firstColumn="0" w:lastColumn="0" w:oddVBand="0" w:evenVBand="0" w:oddHBand="0" w:evenHBand="0" w:firstRowFirstColumn="0" w:firstRowLastColumn="0" w:lastRowFirstColumn="0" w:lastRowLastColumn="0"/>
              <w:rPr>
                <w:rStyle w:val="Strong"/>
              </w:rPr>
            </w:pPr>
            <w:r w:rsidRPr="00707E54">
              <w:rPr>
                <w:rStyle w:val="Strong"/>
              </w:rPr>
              <w:t>2.6</w:t>
            </w:r>
          </w:p>
        </w:tc>
        <w:tc>
          <w:tcPr>
            <w:tcW w:w="842" w:type="dxa"/>
          </w:tcPr>
          <w:p w:rsidR="00BB19F0" w:rsidRPr="00707E54" w:rsidRDefault="00BB19F0">
            <w:pPr>
              <w:cnfStyle w:val="000000000000" w:firstRow="0" w:lastRow="0" w:firstColumn="0" w:lastColumn="0" w:oddVBand="0" w:evenVBand="0" w:oddHBand="0" w:evenHBand="0" w:firstRowFirstColumn="0" w:firstRowLastColumn="0" w:lastRowFirstColumn="0" w:lastRowLastColumn="0"/>
              <w:rPr>
                <w:rStyle w:val="Strong"/>
              </w:rPr>
            </w:pPr>
            <w:r w:rsidRPr="00707E54">
              <w:rPr>
                <w:rStyle w:val="Strong"/>
              </w:rPr>
              <w:t>3.3</w:t>
            </w:r>
          </w:p>
        </w:tc>
        <w:tc>
          <w:tcPr>
            <w:tcW w:w="842" w:type="dxa"/>
          </w:tcPr>
          <w:p w:rsidR="00BB19F0" w:rsidRPr="00707E54" w:rsidRDefault="00BB19F0">
            <w:pPr>
              <w:cnfStyle w:val="000000000000" w:firstRow="0" w:lastRow="0" w:firstColumn="0" w:lastColumn="0" w:oddVBand="0" w:evenVBand="0" w:oddHBand="0" w:evenHBand="0" w:firstRowFirstColumn="0" w:firstRowLastColumn="0" w:lastRowFirstColumn="0" w:lastRowLastColumn="0"/>
              <w:rPr>
                <w:rStyle w:val="Strong"/>
              </w:rPr>
            </w:pPr>
            <w:r w:rsidRPr="00707E54">
              <w:rPr>
                <w:rStyle w:val="Strong"/>
              </w:rPr>
              <w:t>3.8</w:t>
            </w:r>
          </w:p>
        </w:tc>
        <w:tc>
          <w:tcPr>
            <w:tcW w:w="842" w:type="dxa"/>
          </w:tcPr>
          <w:p w:rsidR="00BB19F0" w:rsidRPr="00707E54" w:rsidRDefault="00BB19F0">
            <w:pPr>
              <w:cnfStyle w:val="000000000000" w:firstRow="0" w:lastRow="0" w:firstColumn="0" w:lastColumn="0" w:oddVBand="0" w:evenVBand="0" w:oddHBand="0" w:evenHBand="0" w:firstRowFirstColumn="0" w:firstRowLastColumn="0" w:lastRowFirstColumn="0" w:lastRowLastColumn="0"/>
              <w:rPr>
                <w:rStyle w:val="Strong"/>
              </w:rPr>
            </w:pPr>
            <w:r w:rsidRPr="00707E54">
              <w:rPr>
                <w:rStyle w:val="Strong"/>
              </w:rPr>
              <w:t>4.0</w:t>
            </w:r>
          </w:p>
        </w:tc>
        <w:tc>
          <w:tcPr>
            <w:tcW w:w="842" w:type="dxa"/>
          </w:tcPr>
          <w:p w:rsidR="00BB19F0" w:rsidRPr="00707E54" w:rsidRDefault="00BB19F0">
            <w:pPr>
              <w:cnfStyle w:val="000000000000" w:firstRow="0" w:lastRow="0" w:firstColumn="0" w:lastColumn="0" w:oddVBand="0" w:evenVBand="0" w:oddHBand="0" w:evenHBand="0" w:firstRowFirstColumn="0" w:firstRowLastColumn="0" w:lastRowFirstColumn="0" w:lastRowLastColumn="0"/>
              <w:rPr>
                <w:rStyle w:val="Strong"/>
              </w:rPr>
            </w:pPr>
            <w:r w:rsidRPr="00707E54">
              <w:rPr>
                <w:rStyle w:val="Strong"/>
              </w:rPr>
              <w:t>4.1</w:t>
            </w:r>
          </w:p>
        </w:tc>
        <w:tc>
          <w:tcPr>
            <w:tcW w:w="744" w:type="dxa"/>
          </w:tcPr>
          <w:p w:rsidR="00BB19F0" w:rsidRPr="00707E54" w:rsidRDefault="00BB19F0">
            <w:pPr>
              <w:cnfStyle w:val="000000000000" w:firstRow="0" w:lastRow="0" w:firstColumn="0" w:lastColumn="0" w:oddVBand="0" w:evenVBand="0" w:oddHBand="0" w:evenHBand="0" w:firstRowFirstColumn="0" w:firstRowLastColumn="0" w:lastRowFirstColumn="0" w:lastRowLastColumn="0"/>
              <w:rPr>
                <w:rStyle w:val="Strong"/>
              </w:rPr>
            </w:pPr>
            <w:r w:rsidRPr="00707E54">
              <w:rPr>
                <w:rStyle w:val="Strong"/>
              </w:rPr>
              <w:t>20.0</w:t>
            </w:r>
          </w:p>
        </w:tc>
      </w:tr>
    </w:tbl>
    <w:p w:rsidR="00A20AE0" w:rsidRPr="00FD50DB" w:rsidRDefault="00A20AE0" w:rsidP="00A20AE0">
      <w:pPr>
        <w:pStyle w:val="AERtablesource"/>
      </w:pPr>
      <w:r w:rsidRPr="00A20AE0">
        <w:rPr>
          <w:rFonts w:eastAsia="Calibri"/>
        </w:rPr>
        <w:t xml:space="preserve">Source: </w:t>
      </w:r>
      <w:r w:rsidRPr="00A20AE0">
        <w:rPr>
          <w:rFonts w:eastAsia="Calibri"/>
        </w:rPr>
        <w:tab/>
      </w:r>
      <w:proofErr w:type="gramStart"/>
      <w:r w:rsidR="005C620F">
        <w:t>ActewAGL,</w:t>
      </w:r>
      <w:proofErr w:type="gramEnd"/>
      <w:r w:rsidRPr="00B13853">
        <w:rPr>
          <w:rStyle w:val="AERtextitalic"/>
        </w:rPr>
        <w:t xml:space="preserve"> Revised proposed </w:t>
      </w:r>
      <w:r w:rsidR="005C620F" w:rsidRPr="00B13853">
        <w:rPr>
          <w:rStyle w:val="AERtextitalic"/>
        </w:rPr>
        <w:t>PTRM</w:t>
      </w:r>
      <w:r>
        <w:rPr>
          <w:rStyle w:val="AERtextitalic"/>
        </w:rPr>
        <w:t xml:space="preserve">, </w:t>
      </w:r>
      <w:r w:rsidRPr="00B13853">
        <w:rPr>
          <w:rStyle w:val="AERtextsize8"/>
        </w:rPr>
        <w:t>January 2016</w:t>
      </w:r>
      <w:r>
        <w:t>.</w:t>
      </w:r>
    </w:p>
    <w:p w:rsidR="004F0BC3" w:rsidRDefault="004F0BC3" w:rsidP="004F0BC3">
      <w:pPr>
        <w:pStyle w:val="Heading2"/>
      </w:pPr>
      <w:bookmarkStart w:id="19" w:name="_Toc408404322"/>
      <w:bookmarkStart w:id="20" w:name="_Toc436043211"/>
      <w:bookmarkStart w:id="21" w:name="_Toc451760235"/>
      <w:bookmarkEnd w:id="16"/>
      <w:r w:rsidRPr="0074565D">
        <w:t>AER’s assessment approach</w:t>
      </w:r>
      <w:bookmarkEnd w:id="19"/>
      <w:bookmarkEnd w:id="20"/>
      <w:bookmarkEnd w:id="21"/>
    </w:p>
    <w:p w:rsidR="00732428" w:rsidRDefault="00732428" w:rsidP="00732428">
      <w:r>
        <w:t>We have not changed our assessment approach for the corporate income tax from our draft decision. Section 8.3 of our draft decision details that approach.</w:t>
      </w:r>
      <w:r>
        <w:rPr>
          <w:rStyle w:val="FootnoteReference"/>
        </w:rPr>
        <w:footnoteReference w:id="5"/>
      </w:r>
    </w:p>
    <w:p w:rsidR="004C17F5" w:rsidRPr="001E061F" w:rsidRDefault="004C17F5" w:rsidP="00732428"/>
    <w:p w:rsidR="004F0BC3" w:rsidRDefault="004F0BC3" w:rsidP="004F0BC3">
      <w:pPr>
        <w:pStyle w:val="Heading2"/>
      </w:pPr>
      <w:bookmarkStart w:id="22" w:name="_Toc408404324"/>
      <w:bookmarkStart w:id="23" w:name="_Toc436043213"/>
      <w:bookmarkStart w:id="24" w:name="_Toc451760236"/>
      <w:r w:rsidRPr="0074565D">
        <w:t xml:space="preserve">Reasons for </w:t>
      </w:r>
      <w:r>
        <w:t>final</w:t>
      </w:r>
      <w:r w:rsidRPr="0074565D">
        <w:t xml:space="preserve"> decision</w:t>
      </w:r>
      <w:bookmarkEnd w:id="22"/>
      <w:bookmarkEnd w:id="23"/>
      <w:bookmarkEnd w:id="24"/>
      <w:r w:rsidRPr="0074565D">
        <w:t xml:space="preserve"> </w:t>
      </w:r>
    </w:p>
    <w:p w:rsidR="004F0BC3" w:rsidRPr="00407443" w:rsidRDefault="004F0BC3" w:rsidP="004F0BC3">
      <w:r w:rsidRPr="00407443">
        <w:t xml:space="preserve">Our </w:t>
      </w:r>
      <w:r w:rsidR="00842660">
        <w:rPr>
          <w:rStyle w:val="AERbody"/>
        </w:rPr>
        <w:t>final</w:t>
      </w:r>
      <w:r w:rsidRPr="002616BC">
        <w:rPr>
          <w:rStyle w:val="AERbody"/>
        </w:rPr>
        <w:t xml:space="preserve"> decision on </w:t>
      </w:r>
      <w:r>
        <w:t>ActewAGL</w:t>
      </w:r>
      <w:r w:rsidRPr="002616BC">
        <w:rPr>
          <w:rStyle w:val="AERbody"/>
        </w:rPr>
        <w:t>’s corporate income tax allowance is $</w:t>
      </w:r>
      <w:r w:rsidR="006C1D08">
        <w:rPr>
          <w:rStyle w:val="AERbody"/>
        </w:rPr>
        <w:t>9.4</w:t>
      </w:r>
      <w:r w:rsidRPr="002616BC">
        <w:rPr>
          <w:rStyle w:val="AERbody"/>
        </w:rPr>
        <w:t xml:space="preserve"> million ($nominal), which is a reduction of $</w:t>
      </w:r>
      <w:r w:rsidR="005963A0">
        <w:rPr>
          <w:rStyle w:val="AERbody"/>
        </w:rPr>
        <w:t>1</w:t>
      </w:r>
      <w:r w:rsidR="006C1D08">
        <w:rPr>
          <w:rStyle w:val="AERbody"/>
        </w:rPr>
        <w:t>0</w:t>
      </w:r>
      <w:r w:rsidR="005963A0">
        <w:rPr>
          <w:rStyle w:val="AERbody"/>
        </w:rPr>
        <w:t>.</w:t>
      </w:r>
      <w:r w:rsidR="006C1D08">
        <w:rPr>
          <w:rStyle w:val="AERbody"/>
        </w:rPr>
        <w:t>6</w:t>
      </w:r>
      <w:r w:rsidRPr="002616BC">
        <w:rPr>
          <w:rStyle w:val="AERbody"/>
        </w:rPr>
        <w:t xml:space="preserve"> million ($nominal) or </w:t>
      </w:r>
      <w:r w:rsidR="006C1D08">
        <w:rPr>
          <w:rStyle w:val="AERbody"/>
        </w:rPr>
        <w:t>53.2</w:t>
      </w:r>
      <w:r>
        <w:rPr>
          <w:rStyle w:val="AERbody"/>
        </w:rPr>
        <w:t xml:space="preserve"> </w:t>
      </w:r>
      <w:r w:rsidRPr="002616BC">
        <w:rPr>
          <w:rStyle w:val="AERbody"/>
        </w:rPr>
        <w:t>per cent</w:t>
      </w:r>
      <w:r w:rsidRPr="00407443">
        <w:t xml:space="preserve"> of </w:t>
      </w:r>
      <w:r>
        <w:t>ActewAGL’</w:t>
      </w:r>
      <w:r w:rsidRPr="00407443">
        <w:t xml:space="preserve">s </w:t>
      </w:r>
      <w:r w:rsidR="00821486">
        <w:t xml:space="preserve">revised </w:t>
      </w:r>
      <w:r w:rsidRPr="00407443">
        <w:t>proposal.</w:t>
      </w:r>
    </w:p>
    <w:p w:rsidR="004F0BC3" w:rsidRPr="00407443" w:rsidRDefault="00890C70" w:rsidP="004F0BC3">
      <w:r>
        <w:t>Consistent with our draft decision, w</w:t>
      </w:r>
      <w:r w:rsidR="004F0BC3" w:rsidRPr="00407443">
        <w:t xml:space="preserve">e accept </w:t>
      </w:r>
      <w:r w:rsidR="004F0BC3">
        <w:t>ActewAGL</w:t>
      </w:r>
      <w:r w:rsidR="004F0BC3" w:rsidRPr="00407443">
        <w:t xml:space="preserve">’s proposed </w:t>
      </w:r>
      <w:r w:rsidR="004F0BC3">
        <w:t>approach</w:t>
      </w:r>
      <w:r w:rsidR="004F0BC3" w:rsidRPr="00407443">
        <w:t xml:space="preserve"> for calculating the</w:t>
      </w:r>
      <w:r w:rsidR="004F0BC3">
        <w:t xml:space="preserve"> corporate income tax allowance.</w:t>
      </w:r>
      <w:r w:rsidR="004F0BC3" w:rsidRPr="00407443">
        <w:t xml:space="preserve"> </w:t>
      </w:r>
      <w:r w:rsidR="00B14EEC">
        <w:t>In accepting the approach</w:t>
      </w:r>
      <w:r w:rsidR="004F0BC3" w:rsidRPr="00407443">
        <w:t xml:space="preserve"> we </w:t>
      </w:r>
      <w:r w:rsidR="00632548">
        <w:t xml:space="preserve">have </w:t>
      </w:r>
      <w:r w:rsidR="004F0BC3" w:rsidRPr="00407443">
        <w:t xml:space="preserve">adjusted several inputs </w:t>
      </w:r>
      <w:r w:rsidR="00B14EEC">
        <w:t>to</w:t>
      </w:r>
      <w:r w:rsidR="004F0BC3">
        <w:t xml:space="preserve"> ActewAGL’s</w:t>
      </w:r>
      <w:r w:rsidR="00B14EEC">
        <w:t xml:space="preserve"> revised</w:t>
      </w:r>
      <w:r w:rsidR="004F0BC3">
        <w:t xml:space="preserve"> </w:t>
      </w:r>
      <w:r w:rsidR="004F0BC3" w:rsidRPr="00407443">
        <w:t xml:space="preserve">proposed </w:t>
      </w:r>
      <w:r w:rsidR="004F0BC3">
        <w:t>PTRM</w:t>
      </w:r>
      <w:r w:rsidR="004F0BC3" w:rsidRPr="00407443">
        <w:t xml:space="preserve"> for calculating the corporate income tax allowance. These relate to:</w:t>
      </w:r>
    </w:p>
    <w:p w:rsidR="00B14EEC" w:rsidRPr="00B14EEC" w:rsidRDefault="00B14EEC" w:rsidP="00B14EEC">
      <w:pPr>
        <w:pStyle w:val="AERbulletlistfirststyle"/>
        <w:rPr>
          <w:rStyle w:val="AERbody"/>
        </w:rPr>
      </w:pPr>
      <w:r>
        <w:t xml:space="preserve">Changing </w:t>
      </w:r>
      <w:r w:rsidRPr="004F0BC3">
        <w:t xml:space="preserve">the value of </w:t>
      </w:r>
      <w:r w:rsidRPr="004F0BC3">
        <w:rPr>
          <w:rStyle w:val="AERbody"/>
        </w:rPr>
        <w:t>gamma to 0.4 from 0.25 (attachment 4)</w:t>
      </w:r>
      <w:r>
        <w:rPr>
          <w:rStyle w:val="AERbody"/>
        </w:rPr>
        <w:t>.</w:t>
      </w:r>
    </w:p>
    <w:p w:rsidR="00890C70" w:rsidRDefault="00890C70" w:rsidP="00890C70">
      <w:pPr>
        <w:pStyle w:val="AERbulletlistfirststyle"/>
      </w:pPr>
      <w:r>
        <w:t xml:space="preserve">Changes to other building block components including the rate of return on capital (attachment 3), forecast capex (attachment 6) and opex (attachment 7) </w:t>
      </w:r>
      <w:r w:rsidR="00B14EEC">
        <w:t>that</w:t>
      </w:r>
      <w:r>
        <w:t xml:space="preserve"> impact total revenues and therefore also impact the forecast corporate income tax allowance.</w:t>
      </w:r>
      <w:r>
        <w:rPr>
          <w:rStyle w:val="FootnoteReference"/>
        </w:rPr>
        <w:footnoteReference w:id="6"/>
      </w:r>
    </w:p>
    <w:p w:rsidR="004F0BC3" w:rsidRPr="004F0BC3" w:rsidRDefault="004F0BC3" w:rsidP="004F0BC3">
      <w:pPr>
        <w:pStyle w:val="Heading3"/>
      </w:pPr>
      <w:bookmarkStart w:id="25" w:name="_Toc403463358"/>
      <w:bookmarkStart w:id="26" w:name="_Toc404182766"/>
      <w:bookmarkStart w:id="27" w:name="_Ref430792434"/>
      <w:bookmarkStart w:id="28" w:name="_Ref430866274"/>
      <w:bookmarkStart w:id="29" w:name="_Toc430871310"/>
      <w:bookmarkStart w:id="30" w:name="_Toc436043214"/>
      <w:bookmarkStart w:id="31" w:name="_Ref445303282"/>
      <w:bookmarkStart w:id="32" w:name="_Ref450831251"/>
      <w:bookmarkStart w:id="33" w:name="_Toc451760237"/>
      <w:r w:rsidRPr="00CA51E3">
        <w:t>Opening tax asset base as at 1 July 201</w:t>
      </w:r>
      <w:bookmarkEnd w:id="25"/>
      <w:bookmarkEnd w:id="26"/>
      <w:bookmarkEnd w:id="27"/>
      <w:bookmarkEnd w:id="28"/>
      <w:bookmarkEnd w:id="29"/>
      <w:r w:rsidRPr="004F0BC3">
        <w:t>5</w:t>
      </w:r>
      <w:bookmarkEnd w:id="30"/>
      <w:bookmarkEnd w:id="31"/>
      <w:bookmarkEnd w:id="32"/>
      <w:bookmarkEnd w:id="33"/>
    </w:p>
    <w:p w:rsidR="00FA050E" w:rsidRDefault="00966ACA" w:rsidP="004F0BC3">
      <w:r>
        <w:rPr>
          <w:rStyle w:val="AERbody"/>
        </w:rPr>
        <w:t xml:space="preserve">Consistent with the draft decision, we accept ActewAGL's proposed method to roll forward the TAB. </w:t>
      </w:r>
      <w:r w:rsidR="00833F00" w:rsidRPr="00833F00">
        <w:rPr>
          <w:rStyle w:val="AERbody"/>
        </w:rPr>
        <w:t xml:space="preserve">In accepting the approach, however, we have updated </w:t>
      </w:r>
      <w:proofErr w:type="spellStart"/>
      <w:r w:rsidR="00833F00" w:rsidRPr="00833F00">
        <w:rPr>
          <w:rStyle w:val="AERbody"/>
        </w:rPr>
        <w:t>ActewAGL's</w:t>
      </w:r>
      <w:proofErr w:type="spellEnd"/>
      <w:r w:rsidR="00833F00" w:rsidRPr="00833F00">
        <w:rPr>
          <w:rStyle w:val="AERbody"/>
        </w:rPr>
        <w:t xml:space="preserve"> opening TAB as at 1 July 2015 to $231.7 million</w:t>
      </w:r>
      <w:r w:rsidR="00833F00">
        <w:rPr>
          <w:rStyle w:val="AERbody"/>
        </w:rPr>
        <w:t>,</w:t>
      </w:r>
      <w:r w:rsidR="00833F00" w:rsidRPr="00833F00">
        <w:rPr>
          <w:rStyle w:val="AERbody"/>
        </w:rPr>
        <w:t xml:space="preserve"> </w:t>
      </w:r>
      <w:r w:rsidR="00833F00">
        <w:rPr>
          <w:rStyle w:val="AERbody"/>
        </w:rPr>
        <w:t xml:space="preserve">which </w:t>
      </w:r>
      <w:r w:rsidR="00833F00" w:rsidRPr="00833F00">
        <w:rPr>
          <w:rStyle w:val="AERbody"/>
        </w:rPr>
        <w:t xml:space="preserve">is 0.3 million or 0.1 per cent ($nominal) higher than </w:t>
      </w:r>
      <w:proofErr w:type="spellStart"/>
      <w:r w:rsidR="00833F00" w:rsidRPr="00833F00">
        <w:rPr>
          <w:rStyle w:val="AERbody"/>
        </w:rPr>
        <w:t>ActewAGL's</w:t>
      </w:r>
      <w:proofErr w:type="spellEnd"/>
      <w:r w:rsidR="00833F00" w:rsidRPr="00833F00">
        <w:rPr>
          <w:rStyle w:val="AERbody"/>
        </w:rPr>
        <w:t xml:space="preserve"> revised proposed value of $231.</w:t>
      </w:r>
      <w:r w:rsidR="00FB2530">
        <w:rPr>
          <w:rStyle w:val="AERbody"/>
        </w:rPr>
        <w:t>4</w:t>
      </w:r>
      <w:r w:rsidR="00833F00" w:rsidRPr="00833F00">
        <w:rPr>
          <w:rStyle w:val="AERbody"/>
        </w:rPr>
        <w:t xml:space="preserve"> million ($nominal).</w:t>
      </w:r>
      <w:r w:rsidR="00833F00">
        <w:rPr>
          <w:rStyle w:val="AERbody"/>
        </w:rPr>
        <w:t xml:space="preserve"> This is </w:t>
      </w:r>
      <w:r w:rsidR="00CA5984">
        <w:rPr>
          <w:rStyle w:val="AERbody"/>
        </w:rPr>
        <w:t>because</w:t>
      </w:r>
      <w:r w:rsidR="00833F00">
        <w:rPr>
          <w:rStyle w:val="AERbody"/>
        </w:rPr>
        <w:t xml:space="preserve"> </w:t>
      </w:r>
      <w:r w:rsidR="00833F00" w:rsidRPr="00833F00">
        <w:rPr>
          <w:rStyle w:val="AERbody"/>
        </w:rPr>
        <w:t>ActewAGL updated</w:t>
      </w:r>
      <w:r w:rsidR="00833F00">
        <w:rPr>
          <w:rStyle w:val="AERbody"/>
        </w:rPr>
        <w:t xml:space="preserve"> its</w:t>
      </w:r>
      <w:r w:rsidR="00833F00" w:rsidRPr="00833F00">
        <w:rPr>
          <w:rStyle w:val="AERbody"/>
        </w:rPr>
        <w:t xml:space="preserve"> revised </w:t>
      </w:r>
      <w:r w:rsidR="00833F00">
        <w:rPr>
          <w:rStyle w:val="AERbody"/>
        </w:rPr>
        <w:t xml:space="preserve">proposed </w:t>
      </w:r>
      <w:r w:rsidR="00833F00" w:rsidRPr="00833F00">
        <w:rPr>
          <w:rStyle w:val="AERbody"/>
        </w:rPr>
        <w:t>conforming capex for 2014–15</w:t>
      </w:r>
      <w:r w:rsidR="00833F00">
        <w:rPr>
          <w:rStyle w:val="AERbody"/>
        </w:rPr>
        <w:t>.</w:t>
      </w:r>
      <w:r w:rsidR="00833F00" w:rsidRPr="00833F00">
        <w:rPr>
          <w:rStyle w:val="AERbody"/>
        </w:rPr>
        <w:t xml:space="preserve"> </w:t>
      </w:r>
      <w:r w:rsidR="00833F00">
        <w:rPr>
          <w:rStyle w:val="AERbody"/>
        </w:rPr>
        <w:t>A</w:t>
      </w:r>
      <w:r w:rsidR="00833F00" w:rsidRPr="00833F00">
        <w:rPr>
          <w:rStyle w:val="AERbody"/>
        </w:rPr>
        <w:t>s discussed in attachment 2</w:t>
      </w:r>
      <w:r w:rsidR="00833F00">
        <w:rPr>
          <w:rStyle w:val="AERbody"/>
        </w:rPr>
        <w:t xml:space="preserve">, we accept </w:t>
      </w:r>
      <w:proofErr w:type="spellStart"/>
      <w:r w:rsidR="00833F00">
        <w:rPr>
          <w:rStyle w:val="AERbody"/>
        </w:rPr>
        <w:t>ActewAGL's</w:t>
      </w:r>
      <w:proofErr w:type="spellEnd"/>
      <w:r w:rsidR="00833F00">
        <w:rPr>
          <w:rStyle w:val="AERbody"/>
        </w:rPr>
        <w:t xml:space="preserve"> updated revised capex for 2014–15 as </w:t>
      </w:r>
      <w:r w:rsidR="00CA5984">
        <w:rPr>
          <w:rStyle w:val="AERbody"/>
        </w:rPr>
        <w:t>conforming</w:t>
      </w:r>
      <w:r w:rsidR="00833F00">
        <w:rPr>
          <w:rStyle w:val="AERbody"/>
        </w:rPr>
        <w:t xml:space="preserve"> capex. </w:t>
      </w:r>
      <w:r w:rsidR="00833F00" w:rsidRPr="00833F00">
        <w:rPr>
          <w:rStyle w:val="AERbody"/>
        </w:rPr>
        <w:t xml:space="preserve">Our </w:t>
      </w:r>
      <w:r w:rsidR="00CA5984">
        <w:rPr>
          <w:rStyle w:val="AERbody"/>
        </w:rPr>
        <w:t>amendment to</w:t>
      </w:r>
      <w:r w:rsidR="00833F00">
        <w:rPr>
          <w:rStyle w:val="AERbody"/>
        </w:rPr>
        <w:t xml:space="preserve"> </w:t>
      </w:r>
      <w:proofErr w:type="spellStart"/>
      <w:r w:rsidR="00833F00">
        <w:rPr>
          <w:rStyle w:val="AERbody"/>
        </w:rPr>
        <w:t>ActewAGL's</w:t>
      </w:r>
      <w:proofErr w:type="spellEnd"/>
      <w:r w:rsidR="00CA5984">
        <w:rPr>
          <w:rStyle w:val="AERbody"/>
        </w:rPr>
        <w:t xml:space="preserve"> revised proposed</w:t>
      </w:r>
      <w:r w:rsidR="00833F00">
        <w:rPr>
          <w:rStyle w:val="AERbody"/>
        </w:rPr>
        <w:t xml:space="preserve"> </w:t>
      </w:r>
      <w:r w:rsidR="00CA5984">
        <w:rPr>
          <w:rStyle w:val="AERbody"/>
        </w:rPr>
        <w:t>opening</w:t>
      </w:r>
      <w:r w:rsidR="00833F00">
        <w:rPr>
          <w:rStyle w:val="AERbody"/>
        </w:rPr>
        <w:t xml:space="preserve"> TAB reflects </w:t>
      </w:r>
      <w:r w:rsidR="00CA5984">
        <w:rPr>
          <w:rStyle w:val="AERbody"/>
        </w:rPr>
        <w:t>this updated value</w:t>
      </w:r>
      <w:r w:rsidR="00833F00">
        <w:rPr>
          <w:rStyle w:val="AERbody"/>
        </w:rPr>
        <w:t>.</w:t>
      </w:r>
      <w:r w:rsidR="00CA5984">
        <w:rPr>
          <w:rStyle w:val="AERbody"/>
        </w:rPr>
        <w:t xml:space="preserve"> </w:t>
      </w:r>
      <w:r w:rsidR="00370C6C">
        <w:t>For this</w:t>
      </w:r>
      <w:r w:rsidR="00FA050E">
        <w:t xml:space="preserve"> final decision we </w:t>
      </w:r>
      <w:r w:rsidR="00370C6C">
        <w:t xml:space="preserve">are satisfied the actual capex for </w:t>
      </w:r>
      <w:r w:rsidR="00FA050E">
        <w:t>2014</w:t>
      </w:r>
      <w:r w:rsidR="00FA050E">
        <w:softHyphen/>
      </w:r>
      <w:r w:rsidR="00FA050E">
        <w:softHyphen/>
        <w:t xml:space="preserve">–15 </w:t>
      </w:r>
      <w:r w:rsidR="00370C6C">
        <w:t>included in the TAB</w:t>
      </w:r>
      <w:r w:rsidR="00FA050E">
        <w:t xml:space="preserve"> reflect</w:t>
      </w:r>
      <w:r w:rsidR="00370C6C">
        <w:t>s</w:t>
      </w:r>
      <w:r w:rsidR="00FA050E">
        <w:t xml:space="preserve"> </w:t>
      </w:r>
      <w:r w:rsidR="00370C6C">
        <w:t>the requirements of r. 79 of the NGR</w:t>
      </w:r>
      <w:r w:rsidR="00FA050E">
        <w:t xml:space="preserve">. Our detailed assessment of conforming capex </w:t>
      </w:r>
      <w:r w:rsidR="00370C6C">
        <w:t xml:space="preserve">for the 2010–15 access arrangement </w:t>
      </w:r>
      <w:proofErr w:type="gramStart"/>
      <w:r w:rsidR="00370C6C">
        <w:t>period</w:t>
      </w:r>
      <w:proofErr w:type="gramEnd"/>
      <w:r w:rsidR="00370C6C">
        <w:t xml:space="preserve"> </w:t>
      </w:r>
      <w:r w:rsidR="00FA050E">
        <w:t>is set out in attachment 6.</w:t>
      </w:r>
    </w:p>
    <w:p w:rsidR="00FA050E" w:rsidRPr="00896D81" w:rsidRDefault="00FA050E" w:rsidP="00FA050E">
      <w:r>
        <w:fldChar w:fldCharType="begin"/>
      </w:r>
      <w:r>
        <w:instrText xml:space="preserve"> REF _Ref398907505 \h  \* MERGEFORMAT </w:instrText>
      </w:r>
      <w:r>
        <w:fldChar w:fldCharType="separate"/>
      </w:r>
      <w:r w:rsidR="00A82EF3" w:rsidRPr="00896D81">
        <w:t xml:space="preserve">Table </w:t>
      </w:r>
      <w:r w:rsidR="00A82EF3">
        <w:t>8.4</w:t>
      </w:r>
      <w:r>
        <w:fldChar w:fldCharType="end"/>
      </w:r>
      <w:r>
        <w:t xml:space="preserve"> </w:t>
      </w:r>
      <w:r w:rsidRPr="00896D81">
        <w:t xml:space="preserve">sets out our </w:t>
      </w:r>
      <w:r>
        <w:t>final</w:t>
      </w:r>
      <w:r w:rsidRPr="00896D81">
        <w:t xml:space="preserve"> decision on the roll forward of </w:t>
      </w:r>
      <w:r>
        <w:t>ActewAGL’</w:t>
      </w:r>
      <w:r w:rsidRPr="00896D81">
        <w:t xml:space="preserve">s </w:t>
      </w:r>
      <w:r>
        <w:t xml:space="preserve">TAB </w:t>
      </w:r>
      <w:r w:rsidRPr="00896D81">
        <w:t xml:space="preserve">values. </w:t>
      </w:r>
    </w:p>
    <w:p w:rsidR="004F0BC3" w:rsidRPr="00896D81" w:rsidRDefault="004F0BC3" w:rsidP="004C17F5">
      <w:pPr>
        <w:pStyle w:val="Caption"/>
      </w:pPr>
      <w:bookmarkStart w:id="34" w:name="_Ref398907505"/>
      <w:proofErr w:type="gramStart"/>
      <w:r w:rsidRPr="00896D81">
        <w:t xml:space="preserve">Table </w:t>
      </w:r>
      <w:proofErr w:type="gramEnd"/>
      <w:r w:rsidR="0006379C">
        <w:fldChar w:fldCharType="begin"/>
      </w:r>
      <w:r w:rsidR="0006379C">
        <w:instrText xml:space="preserve"> STYLEREF 1 \s </w:instrText>
      </w:r>
      <w:r w:rsidR="0006379C">
        <w:fldChar w:fldCharType="separate"/>
      </w:r>
      <w:r w:rsidR="00A82EF3">
        <w:rPr>
          <w:noProof/>
        </w:rPr>
        <w:t>8</w:t>
      </w:r>
      <w:r w:rsidR="0006379C">
        <w:rPr>
          <w:noProof/>
        </w:rPr>
        <w:fldChar w:fldCharType="end"/>
      </w:r>
      <w:proofErr w:type="gramStart"/>
      <w:r w:rsidR="00DF5916">
        <w:t>.</w:t>
      </w:r>
      <w:proofErr w:type="gramEnd"/>
      <w:r w:rsidR="00DF5916">
        <w:fldChar w:fldCharType="begin"/>
      </w:r>
      <w:r w:rsidR="00DF5916">
        <w:instrText xml:space="preserve"> SEQ Table \* ARABIC \s 1 </w:instrText>
      </w:r>
      <w:r w:rsidR="00DF5916">
        <w:fldChar w:fldCharType="separate"/>
      </w:r>
      <w:r w:rsidR="00A82EF3">
        <w:rPr>
          <w:noProof/>
        </w:rPr>
        <w:t>4</w:t>
      </w:r>
      <w:r w:rsidR="00DF5916">
        <w:fldChar w:fldCharType="end"/>
      </w:r>
      <w:bookmarkEnd w:id="34"/>
      <w:r>
        <w:tab/>
        <w:t>AER’</w:t>
      </w:r>
      <w:r w:rsidRPr="00896D81">
        <w:t xml:space="preserve">s </w:t>
      </w:r>
      <w:r w:rsidR="00821486">
        <w:t>final</w:t>
      </w:r>
      <w:r w:rsidRPr="00896D81">
        <w:t xml:space="preserve"> decision on </w:t>
      </w:r>
      <w:r>
        <w:t>ActewAGL’</w:t>
      </w:r>
      <w:r w:rsidRPr="00896D81">
        <w:t xml:space="preserve">s tax asset base roll forward for the </w:t>
      </w:r>
      <w:r>
        <w:t>2010–15</w:t>
      </w:r>
      <w:r w:rsidRPr="00896D81">
        <w:t xml:space="preserve"> </w:t>
      </w:r>
      <w:r>
        <w:t>access arrangement</w:t>
      </w:r>
      <w:r w:rsidRPr="00896D81">
        <w:t xml:space="preserve"> period ($million, nominal)</w:t>
      </w:r>
    </w:p>
    <w:tbl>
      <w:tblPr>
        <w:tblStyle w:val="AERtable-numbers"/>
        <w:tblW w:w="8722" w:type="dxa"/>
        <w:tblLook w:val="04A0" w:firstRow="1" w:lastRow="0" w:firstColumn="1" w:lastColumn="0" w:noHBand="0" w:noVBand="1"/>
      </w:tblPr>
      <w:tblGrid>
        <w:gridCol w:w="2438"/>
        <w:gridCol w:w="1256"/>
        <w:gridCol w:w="1257"/>
        <w:gridCol w:w="1257"/>
        <w:gridCol w:w="1257"/>
        <w:gridCol w:w="1257"/>
      </w:tblGrid>
      <w:tr w:rsidR="004F0BC3" w:rsidRPr="00073A04" w:rsidTr="00B17918">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438" w:type="dxa"/>
            <w:hideMark/>
          </w:tcPr>
          <w:p w:rsidR="004F0BC3" w:rsidRPr="00073A04" w:rsidRDefault="004F0BC3" w:rsidP="00A82EF3">
            <w:pPr>
              <w:keepNext/>
            </w:pPr>
          </w:p>
        </w:tc>
        <w:tc>
          <w:tcPr>
            <w:tcW w:w="1256" w:type="dxa"/>
            <w:hideMark/>
          </w:tcPr>
          <w:p w:rsidR="004F0BC3" w:rsidRPr="00073A04" w:rsidRDefault="004F0BC3" w:rsidP="00A82EF3">
            <w:pPr>
              <w:keepNext/>
              <w:cnfStyle w:val="100000000000" w:firstRow="1" w:lastRow="0" w:firstColumn="0" w:lastColumn="0" w:oddVBand="0" w:evenVBand="0" w:oddHBand="0" w:evenHBand="0" w:firstRowFirstColumn="0" w:firstRowLastColumn="0" w:lastRowFirstColumn="0" w:lastRowLastColumn="0"/>
            </w:pPr>
            <w:r w:rsidRPr="00073A04">
              <w:t>2010–11</w:t>
            </w:r>
          </w:p>
        </w:tc>
        <w:tc>
          <w:tcPr>
            <w:tcW w:w="1257" w:type="dxa"/>
            <w:hideMark/>
          </w:tcPr>
          <w:p w:rsidR="004F0BC3" w:rsidRPr="008F0E12" w:rsidRDefault="004F0BC3" w:rsidP="00A82EF3">
            <w:pPr>
              <w:keepNext/>
              <w:cnfStyle w:val="100000000000" w:firstRow="1" w:lastRow="0" w:firstColumn="0" w:lastColumn="0" w:oddVBand="0" w:evenVBand="0" w:oddHBand="0" w:evenHBand="0" w:firstRowFirstColumn="0" w:firstRowLastColumn="0" w:lastRowFirstColumn="0" w:lastRowLastColumn="0"/>
            </w:pPr>
            <w:r w:rsidRPr="008F0E12">
              <w:t>2011–12</w:t>
            </w:r>
          </w:p>
        </w:tc>
        <w:tc>
          <w:tcPr>
            <w:tcW w:w="1257" w:type="dxa"/>
            <w:hideMark/>
          </w:tcPr>
          <w:p w:rsidR="004F0BC3" w:rsidRPr="00073A04" w:rsidRDefault="004F0BC3" w:rsidP="00A82EF3">
            <w:pPr>
              <w:keepNext/>
              <w:cnfStyle w:val="100000000000" w:firstRow="1" w:lastRow="0" w:firstColumn="0" w:lastColumn="0" w:oddVBand="0" w:evenVBand="0" w:oddHBand="0" w:evenHBand="0" w:firstRowFirstColumn="0" w:firstRowLastColumn="0" w:lastRowFirstColumn="0" w:lastRowLastColumn="0"/>
            </w:pPr>
            <w:r w:rsidRPr="00073A04">
              <w:t>2012–13</w:t>
            </w:r>
          </w:p>
        </w:tc>
        <w:tc>
          <w:tcPr>
            <w:tcW w:w="1257" w:type="dxa"/>
            <w:hideMark/>
          </w:tcPr>
          <w:p w:rsidR="004F0BC3" w:rsidRPr="00073A04" w:rsidRDefault="004F0BC3" w:rsidP="00A82EF3">
            <w:pPr>
              <w:keepNext/>
              <w:cnfStyle w:val="100000000000" w:firstRow="1" w:lastRow="0" w:firstColumn="0" w:lastColumn="0" w:oddVBand="0" w:evenVBand="0" w:oddHBand="0" w:evenHBand="0" w:firstRowFirstColumn="0" w:firstRowLastColumn="0" w:lastRowFirstColumn="0" w:lastRowLastColumn="0"/>
            </w:pPr>
            <w:r w:rsidRPr="00073A04">
              <w:t>2013–14</w:t>
            </w:r>
          </w:p>
        </w:tc>
        <w:tc>
          <w:tcPr>
            <w:tcW w:w="1257" w:type="dxa"/>
            <w:hideMark/>
          </w:tcPr>
          <w:p w:rsidR="004F0BC3" w:rsidRPr="00073A04" w:rsidRDefault="004F0BC3" w:rsidP="00A82EF3">
            <w:pPr>
              <w:keepNext/>
              <w:cnfStyle w:val="100000000000" w:firstRow="1" w:lastRow="0" w:firstColumn="0" w:lastColumn="0" w:oddVBand="0" w:evenVBand="0" w:oddHBand="0" w:evenHBand="0" w:firstRowFirstColumn="0" w:firstRowLastColumn="0" w:lastRowFirstColumn="0" w:lastRowLastColumn="0"/>
            </w:pPr>
            <w:r w:rsidRPr="00073A04">
              <w:t>2014–15</w:t>
            </w:r>
          </w:p>
        </w:tc>
      </w:tr>
      <w:tr w:rsidR="004F0BC3" w:rsidRPr="00073A04" w:rsidTr="00B17918">
        <w:trPr>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4F0BC3" w:rsidRPr="00073A04" w:rsidRDefault="004F0BC3" w:rsidP="00A82EF3">
            <w:pPr>
              <w:keepNext/>
            </w:pPr>
            <w:r w:rsidRPr="00073A04">
              <w:t>Opening tax asset base</w:t>
            </w:r>
          </w:p>
        </w:tc>
        <w:tc>
          <w:tcPr>
            <w:tcW w:w="1256" w:type="dxa"/>
          </w:tcPr>
          <w:p w:rsidR="004F0BC3" w:rsidRPr="00073A04" w:rsidRDefault="004F0BC3" w:rsidP="00A82EF3">
            <w:pPr>
              <w:keepNext/>
              <w:cnfStyle w:val="000000000000" w:firstRow="0" w:lastRow="0" w:firstColumn="0" w:lastColumn="0" w:oddVBand="0" w:evenVBand="0" w:oddHBand="0" w:evenHBand="0" w:firstRowFirstColumn="0" w:firstRowLastColumn="0" w:lastRowFirstColumn="0" w:lastRowLastColumn="0"/>
            </w:pPr>
            <w:r w:rsidRPr="00073A04">
              <w:t>191.6</w:t>
            </w:r>
            <w:r w:rsidRPr="00E420E2">
              <w:rPr>
                <w:rStyle w:val="AERsuperscript"/>
              </w:rPr>
              <w:t>a</w:t>
            </w:r>
          </w:p>
        </w:tc>
        <w:tc>
          <w:tcPr>
            <w:tcW w:w="1257" w:type="dxa"/>
          </w:tcPr>
          <w:p w:rsidR="004F0BC3" w:rsidRPr="00073A04" w:rsidRDefault="004F0BC3" w:rsidP="00A82EF3">
            <w:pPr>
              <w:keepNext/>
              <w:cnfStyle w:val="000000000000" w:firstRow="0" w:lastRow="0" w:firstColumn="0" w:lastColumn="0" w:oddVBand="0" w:evenVBand="0" w:oddHBand="0" w:evenHBand="0" w:firstRowFirstColumn="0" w:firstRowLastColumn="0" w:lastRowFirstColumn="0" w:lastRowLastColumn="0"/>
            </w:pPr>
            <w:r w:rsidRPr="00073A04">
              <w:t>195.8</w:t>
            </w:r>
          </w:p>
        </w:tc>
        <w:tc>
          <w:tcPr>
            <w:tcW w:w="1257" w:type="dxa"/>
          </w:tcPr>
          <w:p w:rsidR="004F0BC3" w:rsidRPr="00073A04" w:rsidRDefault="004F0BC3" w:rsidP="00A82EF3">
            <w:pPr>
              <w:keepNext/>
              <w:cnfStyle w:val="000000000000" w:firstRow="0" w:lastRow="0" w:firstColumn="0" w:lastColumn="0" w:oddVBand="0" w:evenVBand="0" w:oddHBand="0" w:evenHBand="0" w:firstRowFirstColumn="0" w:firstRowLastColumn="0" w:lastRowFirstColumn="0" w:lastRowLastColumn="0"/>
            </w:pPr>
            <w:r w:rsidRPr="00073A04">
              <w:t>201.0</w:t>
            </w:r>
          </w:p>
        </w:tc>
        <w:tc>
          <w:tcPr>
            <w:tcW w:w="1257" w:type="dxa"/>
          </w:tcPr>
          <w:p w:rsidR="004F0BC3" w:rsidRPr="00073A04" w:rsidRDefault="004F0BC3" w:rsidP="00A82EF3">
            <w:pPr>
              <w:keepNext/>
              <w:cnfStyle w:val="000000000000" w:firstRow="0" w:lastRow="0" w:firstColumn="0" w:lastColumn="0" w:oddVBand="0" w:evenVBand="0" w:oddHBand="0" w:evenHBand="0" w:firstRowFirstColumn="0" w:firstRowLastColumn="0" w:lastRowFirstColumn="0" w:lastRowLastColumn="0"/>
            </w:pPr>
            <w:r w:rsidRPr="00073A04">
              <w:t>210.9</w:t>
            </w:r>
          </w:p>
        </w:tc>
        <w:tc>
          <w:tcPr>
            <w:tcW w:w="1257" w:type="dxa"/>
          </w:tcPr>
          <w:p w:rsidR="004F0BC3" w:rsidRPr="00073A04" w:rsidRDefault="004F0BC3" w:rsidP="00A82EF3">
            <w:pPr>
              <w:keepNext/>
              <w:cnfStyle w:val="000000000000" w:firstRow="0" w:lastRow="0" w:firstColumn="0" w:lastColumn="0" w:oddVBand="0" w:evenVBand="0" w:oddHBand="0" w:evenHBand="0" w:firstRowFirstColumn="0" w:firstRowLastColumn="0" w:lastRowFirstColumn="0" w:lastRowLastColumn="0"/>
            </w:pPr>
            <w:r w:rsidRPr="00073A04">
              <w:t>218.7</w:t>
            </w:r>
          </w:p>
        </w:tc>
      </w:tr>
      <w:tr w:rsidR="004F0BC3" w:rsidRPr="00073A04" w:rsidTr="00B17918">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4F0BC3" w:rsidRPr="00073A04" w:rsidRDefault="004F0BC3" w:rsidP="00A82EF3">
            <w:pPr>
              <w:keepNext/>
            </w:pPr>
            <w:r w:rsidRPr="00073A04">
              <w:t>Capex</w:t>
            </w:r>
          </w:p>
        </w:tc>
        <w:tc>
          <w:tcPr>
            <w:tcW w:w="1256" w:type="dxa"/>
          </w:tcPr>
          <w:p w:rsidR="004F0BC3" w:rsidRPr="00073A04" w:rsidRDefault="004F0BC3" w:rsidP="00A82EF3">
            <w:pPr>
              <w:keepNext/>
              <w:cnfStyle w:val="000000010000" w:firstRow="0" w:lastRow="0" w:firstColumn="0" w:lastColumn="0" w:oddVBand="0" w:evenVBand="0" w:oddHBand="0" w:evenHBand="1" w:firstRowFirstColumn="0" w:firstRowLastColumn="0" w:lastRowFirstColumn="0" w:lastRowLastColumn="0"/>
            </w:pPr>
            <w:r w:rsidRPr="00073A04">
              <w:t>12.8</w:t>
            </w:r>
          </w:p>
        </w:tc>
        <w:tc>
          <w:tcPr>
            <w:tcW w:w="1257" w:type="dxa"/>
          </w:tcPr>
          <w:p w:rsidR="004F0BC3" w:rsidRPr="00073A04" w:rsidRDefault="004F0BC3" w:rsidP="00A82EF3">
            <w:pPr>
              <w:keepNext/>
              <w:cnfStyle w:val="000000010000" w:firstRow="0" w:lastRow="0" w:firstColumn="0" w:lastColumn="0" w:oddVBand="0" w:evenVBand="0" w:oddHBand="0" w:evenHBand="1" w:firstRowFirstColumn="0" w:firstRowLastColumn="0" w:lastRowFirstColumn="0" w:lastRowLastColumn="0"/>
            </w:pPr>
            <w:r w:rsidRPr="00073A04">
              <w:t>14.3</w:t>
            </w:r>
          </w:p>
        </w:tc>
        <w:tc>
          <w:tcPr>
            <w:tcW w:w="1257" w:type="dxa"/>
          </w:tcPr>
          <w:p w:rsidR="004F0BC3" w:rsidRPr="00073A04" w:rsidRDefault="004F0BC3" w:rsidP="00A82EF3">
            <w:pPr>
              <w:keepNext/>
              <w:cnfStyle w:val="000000010000" w:firstRow="0" w:lastRow="0" w:firstColumn="0" w:lastColumn="0" w:oddVBand="0" w:evenVBand="0" w:oddHBand="0" w:evenHBand="1" w:firstRowFirstColumn="0" w:firstRowLastColumn="0" w:lastRowFirstColumn="0" w:lastRowLastColumn="0"/>
            </w:pPr>
            <w:r w:rsidRPr="00073A04">
              <w:t>19.4</w:t>
            </w:r>
          </w:p>
        </w:tc>
        <w:tc>
          <w:tcPr>
            <w:tcW w:w="1257" w:type="dxa"/>
          </w:tcPr>
          <w:p w:rsidR="004F0BC3" w:rsidRPr="00073A04" w:rsidRDefault="004F0BC3" w:rsidP="00A82EF3">
            <w:pPr>
              <w:keepNext/>
              <w:cnfStyle w:val="000000010000" w:firstRow="0" w:lastRow="0" w:firstColumn="0" w:lastColumn="0" w:oddVBand="0" w:evenVBand="0" w:oddHBand="0" w:evenHBand="1" w:firstRowFirstColumn="0" w:firstRowLastColumn="0" w:lastRowFirstColumn="0" w:lastRowLastColumn="0"/>
            </w:pPr>
            <w:r w:rsidRPr="00073A04">
              <w:t>17.8</w:t>
            </w:r>
          </w:p>
        </w:tc>
        <w:tc>
          <w:tcPr>
            <w:tcW w:w="1257" w:type="dxa"/>
          </w:tcPr>
          <w:p w:rsidR="004F0BC3" w:rsidRPr="00073A04" w:rsidRDefault="004F0BC3" w:rsidP="00A82EF3">
            <w:pPr>
              <w:keepNext/>
              <w:cnfStyle w:val="000000010000" w:firstRow="0" w:lastRow="0" w:firstColumn="0" w:lastColumn="0" w:oddVBand="0" w:evenVBand="0" w:oddHBand="0" w:evenHBand="1" w:firstRowFirstColumn="0" w:firstRowLastColumn="0" w:lastRowFirstColumn="0" w:lastRowLastColumn="0"/>
            </w:pPr>
            <w:r w:rsidRPr="00073A04">
              <w:t>23.</w:t>
            </w:r>
            <w:r w:rsidR="00CA5984">
              <w:t>5</w:t>
            </w:r>
          </w:p>
        </w:tc>
      </w:tr>
      <w:tr w:rsidR="004F0BC3" w:rsidRPr="00073A04" w:rsidTr="00B17918">
        <w:trPr>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4F0BC3" w:rsidRPr="00073A04" w:rsidRDefault="004F0BC3" w:rsidP="00A82EF3">
            <w:pPr>
              <w:keepNext/>
            </w:pPr>
            <w:r w:rsidRPr="00073A04">
              <w:t>Tax depreciation</w:t>
            </w:r>
          </w:p>
        </w:tc>
        <w:tc>
          <w:tcPr>
            <w:tcW w:w="1256" w:type="dxa"/>
          </w:tcPr>
          <w:p w:rsidR="004F0BC3" w:rsidRPr="00073A04" w:rsidRDefault="004F0BC3" w:rsidP="00A82EF3">
            <w:pPr>
              <w:keepNext/>
              <w:cnfStyle w:val="000000000000" w:firstRow="0" w:lastRow="0" w:firstColumn="0" w:lastColumn="0" w:oddVBand="0" w:evenVBand="0" w:oddHBand="0" w:evenHBand="0" w:firstRowFirstColumn="0" w:firstRowLastColumn="0" w:lastRowFirstColumn="0" w:lastRowLastColumn="0"/>
            </w:pPr>
            <w:r w:rsidRPr="00073A04">
              <w:t>–8.6</w:t>
            </w:r>
          </w:p>
        </w:tc>
        <w:tc>
          <w:tcPr>
            <w:tcW w:w="1257" w:type="dxa"/>
          </w:tcPr>
          <w:p w:rsidR="004F0BC3" w:rsidRPr="00073A04" w:rsidRDefault="004F0BC3" w:rsidP="00A82EF3">
            <w:pPr>
              <w:keepNext/>
              <w:cnfStyle w:val="000000000000" w:firstRow="0" w:lastRow="0" w:firstColumn="0" w:lastColumn="0" w:oddVBand="0" w:evenVBand="0" w:oddHBand="0" w:evenHBand="0" w:firstRowFirstColumn="0" w:firstRowLastColumn="0" w:lastRowFirstColumn="0" w:lastRowLastColumn="0"/>
            </w:pPr>
            <w:r w:rsidRPr="00073A04">
              <w:t>–9.1</w:t>
            </w:r>
          </w:p>
        </w:tc>
        <w:tc>
          <w:tcPr>
            <w:tcW w:w="1257" w:type="dxa"/>
          </w:tcPr>
          <w:p w:rsidR="004F0BC3" w:rsidRPr="00073A04" w:rsidRDefault="004F0BC3" w:rsidP="00A82EF3">
            <w:pPr>
              <w:keepNext/>
              <w:cnfStyle w:val="000000000000" w:firstRow="0" w:lastRow="0" w:firstColumn="0" w:lastColumn="0" w:oddVBand="0" w:evenVBand="0" w:oddHBand="0" w:evenHBand="0" w:firstRowFirstColumn="0" w:firstRowLastColumn="0" w:lastRowFirstColumn="0" w:lastRowLastColumn="0"/>
            </w:pPr>
            <w:r w:rsidRPr="00073A04">
              <w:t>–9.5</w:t>
            </w:r>
          </w:p>
        </w:tc>
        <w:tc>
          <w:tcPr>
            <w:tcW w:w="1257" w:type="dxa"/>
          </w:tcPr>
          <w:p w:rsidR="004F0BC3" w:rsidRPr="00073A04" w:rsidRDefault="004F0BC3" w:rsidP="00A82EF3">
            <w:pPr>
              <w:keepNext/>
              <w:cnfStyle w:val="000000000000" w:firstRow="0" w:lastRow="0" w:firstColumn="0" w:lastColumn="0" w:oddVBand="0" w:evenVBand="0" w:oddHBand="0" w:evenHBand="0" w:firstRowFirstColumn="0" w:firstRowLastColumn="0" w:lastRowFirstColumn="0" w:lastRowLastColumn="0"/>
            </w:pPr>
            <w:r w:rsidRPr="00073A04">
              <w:t>–10.0</w:t>
            </w:r>
          </w:p>
        </w:tc>
        <w:tc>
          <w:tcPr>
            <w:tcW w:w="1257" w:type="dxa"/>
          </w:tcPr>
          <w:p w:rsidR="004F0BC3" w:rsidRPr="00073A04" w:rsidRDefault="004F0BC3" w:rsidP="00A82EF3">
            <w:pPr>
              <w:keepNext/>
              <w:cnfStyle w:val="000000000000" w:firstRow="0" w:lastRow="0" w:firstColumn="0" w:lastColumn="0" w:oddVBand="0" w:evenVBand="0" w:oddHBand="0" w:evenHBand="0" w:firstRowFirstColumn="0" w:firstRowLastColumn="0" w:lastRowFirstColumn="0" w:lastRowLastColumn="0"/>
            </w:pPr>
            <w:r w:rsidRPr="00073A04">
              <w:t>–10.5</w:t>
            </w:r>
          </w:p>
        </w:tc>
      </w:tr>
      <w:tr w:rsidR="004F0BC3" w:rsidRPr="00073A04" w:rsidTr="00B17918">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4F0BC3" w:rsidRPr="00073A04" w:rsidRDefault="004F0BC3" w:rsidP="00A82EF3">
            <w:pPr>
              <w:keepNext/>
            </w:pPr>
            <w:r w:rsidRPr="00073A04">
              <w:t>Closing tax asset base</w:t>
            </w:r>
          </w:p>
        </w:tc>
        <w:tc>
          <w:tcPr>
            <w:tcW w:w="1256" w:type="dxa"/>
          </w:tcPr>
          <w:p w:rsidR="004F0BC3" w:rsidRPr="00073A04" w:rsidRDefault="004F0BC3" w:rsidP="00A82EF3">
            <w:pPr>
              <w:keepNext/>
              <w:cnfStyle w:val="000000010000" w:firstRow="0" w:lastRow="0" w:firstColumn="0" w:lastColumn="0" w:oddVBand="0" w:evenVBand="0" w:oddHBand="0" w:evenHBand="1" w:firstRowFirstColumn="0" w:firstRowLastColumn="0" w:lastRowFirstColumn="0" w:lastRowLastColumn="0"/>
            </w:pPr>
            <w:r w:rsidRPr="00073A04">
              <w:t>195.8</w:t>
            </w:r>
          </w:p>
        </w:tc>
        <w:tc>
          <w:tcPr>
            <w:tcW w:w="1257" w:type="dxa"/>
          </w:tcPr>
          <w:p w:rsidR="004F0BC3" w:rsidRPr="00073A04" w:rsidRDefault="004F0BC3" w:rsidP="00A82EF3">
            <w:pPr>
              <w:keepNext/>
              <w:cnfStyle w:val="000000010000" w:firstRow="0" w:lastRow="0" w:firstColumn="0" w:lastColumn="0" w:oddVBand="0" w:evenVBand="0" w:oddHBand="0" w:evenHBand="1" w:firstRowFirstColumn="0" w:firstRowLastColumn="0" w:lastRowFirstColumn="0" w:lastRowLastColumn="0"/>
            </w:pPr>
            <w:r w:rsidRPr="00073A04">
              <w:t>201.0</w:t>
            </w:r>
          </w:p>
        </w:tc>
        <w:tc>
          <w:tcPr>
            <w:tcW w:w="1257" w:type="dxa"/>
          </w:tcPr>
          <w:p w:rsidR="004F0BC3" w:rsidRPr="00073A04" w:rsidRDefault="004F0BC3" w:rsidP="00A82EF3">
            <w:pPr>
              <w:keepNext/>
              <w:cnfStyle w:val="000000010000" w:firstRow="0" w:lastRow="0" w:firstColumn="0" w:lastColumn="0" w:oddVBand="0" w:evenVBand="0" w:oddHBand="0" w:evenHBand="1" w:firstRowFirstColumn="0" w:firstRowLastColumn="0" w:lastRowFirstColumn="0" w:lastRowLastColumn="0"/>
            </w:pPr>
            <w:r w:rsidRPr="00073A04">
              <w:t>210.9</w:t>
            </w:r>
          </w:p>
        </w:tc>
        <w:tc>
          <w:tcPr>
            <w:tcW w:w="1257" w:type="dxa"/>
          </w:tcPr>
          <w:p w:rsidR="004F0BC3" w:rsidRPr="00073A04" w:rsidRDefault="004F0BC3" w:rsidP="00A82EF3">
            <w:pPr>
              <w:keepNext/>
              <w:cnfStyle w:val="000000010000" w:firstRow="0" w:lastRow="0" w:firstColumn="0" w:lastColumn="0" w:oddVBand="0" w:evenVBand="0" w:oddHBand="0" w:evenHBand="1" w:firstRowFirstColumn="0" w:firstRowLastColumn="0" w:lastRowFirstColumn="0" w:lastRowLastColumn="0"/>
            </w:pPr>
            <w:r w:rsidRPr="00073A04">
              <w:t>218.7</w:t>
            </w:r>
          </w:p>
        </w:tc>
        <w:tc>
          <w:tcPr>
            <w:tcW w:w="1257" w:type="dxa"/>
          </w:tcPr>
          <w:p w:rsidR="004F0BC3" w:rsidRPr="00073A04" w:rsidRDefault="004F0BC3" w:rsidP="00A82EF3">
            <w:pPr>
              <w:keepNext/>
              <w:cnfStyle w:val="000000010000" w:firstRow="0" w:lastRow="0" w:firstColumn="0" w:lastColumn="0" w:oddVBand="0" w:evenVBand="0" w:oddHBand="0" w:evenHBand="1" w:firstRowFirstColumn="0" w:firstRowLastColumn="0" w:lastRowFirstColumn="0" w:lastRowLastColumn="0"/>
            </w:pPr>
            <w:r w:rsidRPr="00073A04">
              <w:t>231.</w:t>
            </w:r>
            <w:r w:rsidR="00CA5984">
              <w:t>7</w:t>
            </w:r>
          </w:p>
        </w:tc>
      </w:tr>
    </w:tbl>
    <w:p w:rsidR="004F0BC3" w:rsidRDefault="004F0BC3" w:rsidP="00A82EF3">
      <w:pPr>
        <w:pStyle w:val="AERtablesource"/>
        <w:keepNext/>
      </w:pPr>
      <w:r w:rsidRPr="00896D81">
        <w:t xml:space="preserve">Source: </w:t>
      </w:r>
      <w:r w:rsidRPr="00896D81">
        <w:tab/>
      </w:r>
      <w:r>
        <w:t>AER analysis</w:t>
      </w:r>
      <w:r w:rsidRPr="00896D81">
        <w:t>.</w:t>
      </w:r>
    </w:p>
    <w:p w:rsidR="004F0BC3" w:rsidRPr="00161AC4" w:rsidRDefault="004F0BC3" w:rsidP="00A82EF3">
      <w:pPr>
        <w:pStyle w:val="AERtablesource"/>
        <w:keepNext/>
      </w:pPr>
      <w:r>
        <w:t>(a)</w:t>
      </w:r>
      <w:r>
        <w:tab/>
        <w:t>The approved opening TAB as at 1 July 2010 has been adjusted for the difference between the actual and forecast capex for 2009–10.</w:t>
      </w:r>
    </w:p>
    <w:p w:rsidR="004F0BC3" w:rsidRPr="00145C2B" w:rsidRDefault="004F0BC3" w:rsidP="00CD4C9C">
      <w:pPr>
        <w:pStyle w:val="Heading3"/>
      </w:pPr>
      <w:bookmarkStart w:id="35" w:name="_Toc451760238"/>
      <w:r>
        <w:t>Standard tax asset lives</w:t>
      </w:r>
      <w:bookmarkEnd w:id="35"/>
    </w:p>
    <w:p w:rsidR="004F0BC3" w:rsidRPr="004F0BC3" w:rsidRDefault="00CD4C9C" w:rsidP="00CD4C9C">
      <w:r>
        <w:t>Consistent with our draft decision, w</w:t>
      </w:r>
      <w:r w:rsidR="004F0BC3">
        <w:t>e</w:t>
      </w:r>
      <w:r w:rsidR="004F0BC3" w:rsidRPr="004F0BC3">
        <w:t xml:space="preserve"> approve ActewAGL’s proposed standard tax asset lives assigned to each of its asset classes for 2015–16 and the </w:t>
      </w:r>
      <w:r w:rsidR="004F0BC3" w:rsidRPr="004F0BC3">
        <w:rPr>
          <w:rStyle w:val="AERbody"/>
        </w:rPr>
        <w:t xml:space="preserve">2016–21 </w:t>
      </w:r>
      <w:r w:rsidR="004F0BC3" w:rsidRPr="004F0BC3">
        <w:t xml:space="preserve">access arrangement period. This is because they are consistent with the statutory cap on the effective life of gas transmission assets under the </w:t>
      </w:r>
      <w:r w:rsidR="004F0BC3" w:rsidRPr="004F0BC3">
        <w:rPr>
          <w:rStyle w:val="AERtextitalic"/>
        </w:rPr>
        <w:t xml:space="preserve">Income Tax Assessment Act (ITAA) </w:t>
      </w:r>
      <w:r w:rsidR="004F0BC3" w:rsidRPr="004F0BC3">
        <w:t>1997, and with the standard tax asset lives prescribed in t</w:t>
      </w:r>
      <w:r>
        <w:t xml:space="preserve">he Tax Ruling </w:t>
      </w:r>
      <w:r w:rsidR="004F0BC3" w:rsidRPr="004F0BC3">
        <w:t>2015/2.</w:t>
      </w:r>
      <w:r w:rsidR="004F0BC3" w:rsidRPr="004F0BC3">
        <w:rPr>
          <w:rStyle w:val="FootnoteReference"/>
        </w:rPr>
        <w:footnoteReference w:id="7"/>
      </w:r>
      <w:r w:rsidR="004F0BC3" w:rsidRPr="004F0BC3">
        <w:t xml:space="preserve"> The </w:t>
      </w:r>
      <w:r w:rsidR="00821486">
        <w:t xml:space="preserve">revised </w:t>
      </w:r>
      <w:r w:rsidR="004F0BC3" w:rsidRPr="004F0BC3">
        <w:t>proposed standard tax asset lives are also consistent with the approved standard tax asset lives in the 2010–15 access arrangement.</w:t>
      </w:r>
      <w:r w:rsidR="004F0BC3" w:rsidRPr="004F0BC3">
        <w:rPr>
          <w:rStyle w:val="FootnoteReference"/>
        </w:rPr>
        <w:footnoteReference w:id="8"/>
      </w:r>
      <w:r w:rsidR="004F0BC3" w:rsidRPr="004F0BC3">
        <w:t xml:space="preserve"> </w:t>
      </w:r>
    </w:p>
    <w:p w:rsidR="004F0BC3" w:rsidRDefault="00CD4C9C" w:rsidP="00CD4C9C">
      <w:r>
        <w:t>In our draft decision we created</w:t>
      </w:r>
      <w:r w:rsidR="004F0BC3" w:rsidRPr="004F0BC3">
        <w:t xml:space="preserve"> a ‘Land and easement’ asset class for ActewAGL’s forecast land capex in 2015–16 and the 2016–21 access arrangement </w:t>
      </w:r>
      <w:proofErr w:type="gramStart"/>
      <w:r w:rsidR="004F0BC3" w:rsidRPr="004F0BC3">
        <w:t>period</w:t>
      </w:r>
      <w:proofErr w:type="gramEnd"/>
      <w:r w:rsidR="004F0BC3" w:rsidRPr="004F0BC3">
        <w:t>.</w:t>
      </w:r>
      <w:r w:rsidR="002E6A41">
        <w:rPr>
          <w:rStyle w:val="FootnoteReference"/>
        </w:rPr>
        <w:footnoteReference w:id="9"/>
      </w:r>
      <w:r w:rsidR="004F0BC3" w:rsidRPr="004F0BC3">
        <w:t xml:space="preserve"> </w:t>
      </w:r>
      <w:r w:rsidR="002E6A41">
        <w:t>W</w:t>
      </w:r>
      <w:r w:rsidR="004F0BC3" w:rsidRPr="004F0BC3">
        <w:t xml:space="preserve">e </w:t>
      </w:r>
      <w:r w:rsidR="002E6A41">
        <w:t>did</w:t>
      </w:r>
      <w:r w:rsidR="004F0BC3" w:rsidRPr="004F0BC3">
        <w:t xml:space="preserve"> not appl</w:t>
      </w:r>
      <w:r w:rsidR="002E6A41">
        <w:t>y</w:t>
      </w:r>
      <w:r w:rsidR="004F0BC3" w:rsidRPr="004F0BC3">
        <w:t xml:space="preserve"> a standard tax asset life to this new asset class for tax depreciation purposes (“n/a” is assigned for tax depreciation modelling purposes in the PTRM). This is because land and easement are non–depreciating assets, and therefore should not have a standard tax asset life for tax depreciation purposes. This approach is consistent with Australian accounting standards and ATO’s treatment for such assets.</w:t>
      </w:r>
      <w:r w:rsidR="004F0BC3" w:rsidRPr="004F0BC3">
        <w:rPr>
          <w:rStyle w:val="FootnoteReference"/>
        </w:rPr>
        <w:footnoteReference w:id="10"/>
      </w:r>
      <w:r w:rsidR="004F0BC3" w:rsidRPr="004F0BC3">
        <w:t xml:space="preserve"> </w:t>
      </w:r>
      <w:r>
        <w:t>ActewAGL's revised proposal adopted our draft decision on the 'Land and easement' asset class.</w:t>
      </w:r>
      <w:r>
        <w:rPr>
          <w:rStyle w:val="FootnoteReference"/>
        </w:rPr>
        <w:footnoteReference w:id="11"/>
      </w:r>
    </w:p>
    <w:p w:rsidR="002E6A41" w:rsidRPr="004F0BC3" w:rsidRDefault="002E6A41" w:rsidP="00CD4C9C">
      <w:r>
        <w:fldChar w:fldCharType="begin"/>
      </w:r>
      <w:r>
        <w:instrText xml:space="preserve"> REF _Ref432674818 \h </w:instrText>
      </w:r>
      <w:r>
        <w:fldChar w:fldCharType="separate"/>
      </w:r>
      <w:r w:rsidR="00A82EF3" w:rsidRPr="00896D81">
        <w:t xml:space="preserve">Table </w:t>
      </w:r>
      <w:r w:rsidR="00A82EF3">
        <w:rPr>
          <w:noProof/>
        </w:rPr>
        <w:t>8</w:t>
      </w:r>
      <w:r w:rsidR="00A82EF3">
        <w:t>.</w:t>
      </w:r>
      <w:r w:rsidR="00A82EF3">
        <w:rPr>
          <w:noProof/>
        </w:rPr>
        <w:t>5</w:t>
      </w:r>
      <w:r>
        <w:fldChar w:fldCharType="end"/>
      </w:r>
      <w:r>
        <w:t xml:space="preserve"> sets out our final decision on the standard tax asset lives for ActewAGL.</w:t>
      </w:r>
    </w:p>
    <w:p w:rsidR="004F0BC3" w:rsidRPr="004F0BC3" w:rsidRDefault="004F0BC3" w:rsidP="00CD4C9C">
      <w:pPr>
        <w:pStyle w:val="Heading3"/>
      </w:pPr>
      <w:bookmarkStart w:id="36" w:name="_Toc451760239"/>
      <w:r>
        <w:t>Remaining tax asset lives as at 1 July 2015</w:t>
      </w:r>
      <w:bookmarkEnd w:id="36"/>
    </w:p>
    <w:p w:rsidR="00561E8A" w:rsidRDefault="00DF7214" w:rsidP="00DF7214">
      <w:r>
        <w:t>Consistent with our draft decision</w:t>
      </w:r>
      <w:r w:rsidR="00F033FD">
        <w:t>, w</w:t>
      </w:r>
      <w:r w:rsidR="004F0BC3">
        <w:t>e accept ActewAGL’s</w:t>
      </w:r>
      <w:r w:rsidR="00821486">
        <w:t xml:space="preserve"> </w:t>
      </w:r>
      <w:r w:rsidR="004F0BC3">
        <w:t>proposed weighted average method to calculate the remaining t</w:t>
      </w:r>
      <w:r w:rsidR="004F0BC3" w:rsidRPr="004F0BC3">
        <w:t>ax asset lives as at 1 July 2015. In accepting the weighted average method, we have updated ActewAGL’s remaining tax asset lives as at 1 July 2015</w:t>
      </w:r>
      <w:r w:rsidR="00134E8C">
        <w:t xml:space="preserve"> for this final decision</w:t>
      </w:r>
      <w:r w:rsidR="00CF18ED">
        <w:t xml:space="preserve">. </w:t>
      </w:r>
    </w:p>
    <w:p w:rsidR="008879BA" w:rsidRDefault="003D1406" w:rsidP="00C449F7">
      <w:r>
        <w:t>In the draft decision, we changed some formulae in the tax asset lives roll forward calculation in ActewAGL's RFM</w:t>
      </w:r>
      <w:r w:rsidRPr="00642532">
        <w:t xml:space="preserve"> </w:t>
      </w:r>
      <w:r>
        <w:t xml:space="preserve">to incorporate 2009–10 actual capex. We noted </w:t>
      </w:r>
      <w:r w:rsidRPr="0024222B">
        <w:t xml:space="preserve">that the remaining </w:t>
      </w:r>
      <w:r>
        <w:t xml:space="preserve">tax </w:t>
      </w:r>
      <w:r w:rsidRPr="0024222B">
        <w:t xml:space="preserve">asset lives would be updated </w:t>
      </w:r>
      <w:r>
        <w:t>for the final decision because ActewAGL'</w:t>
      </w:r>
      <w:r w:rsidRPr="0024222B">
        <w:t xml:space="preserve">s </w:t>
      </w:r>
      <w:bookmarkStart w:id="37" w:name="_GoBack"/>
      <w:r w:rsidRPr="0024222B">
        <w:t xml:space="preserve">revised proposal </w:t>
      </w:r>
      <w:r>
        <w:t>would i</w:t>
      </w:r>
      <w:r w:rsidRPr="0024222B">
        <w:t>nclude revisions for 201</w:t>
      </w:r>
      <w:r>
        <w:t>4</w:t>
      </w:r>
      <w:r w:rsidRPr="0024222B">
        <w:t>–1</w:t>
      </w:r>
      <w:r>
        <w:t>5</w:t>
      </w:r>
      <w:r w:rsidRPr="0024222B">
        <w:t xml:space="preserve"> </w:t>
      </w:r>
      <w:r>
        <w:t>actual</w:t>
      </w:r>
      <w:r w:rsidRPr="0024222B">
        <w:t xml:space="preserve"> capex. This is because the capex </w:t>
      </w:r>
      <w:r>
        <w:t>is</w:t>
      </w:r>
      <w:r w:rsidRPr="0024222B">
        <w:t xml:space="preserve"> used </w:t>
      </w:r>
      <w:r>
        <w:t xml:space="preserve">as an input </w:t>
      </w:r>
      <w:r w:rsidRPr="0024222B">
        <w:t xml:space="preserve">to calculate </w:t>
      </w:r>
      <w:r>
        <w:t>the weighted average</w:t>
      </w:r>
      <w:r w:rsidRPr="0024222B">
        <w:t xml:space="preserve"> remaining </w:t>
      </w:r>
      <w:r>
        <w:t xml:space="preserve">tax </w:t>
      </w:r>
      <w:r w:rsidRPr="0024222B">
        <w:t xml:space="preserve">asset lives. </w:t>
      </w:r>
    </w:p>
    <w:p w:rsidR="00A8205B" w:rsidRDefault="008879BA" w:rsidP="00C449F7">
      <w:r w:rsidRPr="008879BA">
        <w:t xml:space="preserve">We note that </w:t>
      </w:r>
      <w:proofErr w:type="spellStart"/>
      <w:r w:rsidRPr="008879BA">
        <w:t>ActewAGL's</w:t>
      </w:r>
      <w:proofErr w:type="spellEnd"/>
      <w:r w:rsidRPr="008879BA">
        <w:t xml:space="preserve"> revised proposal adopted our draft decision changes to some formulae in the tax asset lives roll forward. It also corrected an error in its RFM for the reported allocation of actual capex between </w:t>
      </w:r>
      <w:r w:rsidR="00CF18ED">
        <w:t>the 'contract meters' and 'tariff meters'</w:t>
      </w:r>
      <w:r w:rsidRPr="008879BA">
        <w:t xml:space="preserve"> asset class, which causes a minor change to the remaining tax asset lives from the draft decision.</w:t>
      </w:r>
      <w:r>
        <w:t xml:space="preserve"> </w:t>
      </w:r>
      <w:r w:rsidR="00A8205B">
        <w:t>We accept this change as this is for correcting a previous error in the RFM.</w:t>
      </w:r>
    </w:p>
    <w:p w:rsidR="00C449F7" w:rsidRDefault="00A8205B" w:rsidP="00C449F7">
      <w:r>
        <w:t>Also, a</w:t>
      </w:r>
      <w:r w:rsidR="003D1406">
        <w:t xml:space="preserve">s discussed in section </w:t>
      </w:r>
      <w:r w:rsidR="003D1406">
        <w:fldChar w:fldCharType="begin"/>
      </w:r>
      <w:r w:rsidR="003D1406">
        <w:instrText xml:space="preserve"> REF _Ref445303282 \r \h </w:instrText>
      </w:r>
      <w:r w:rsidR="003D1406">
        <w:fldChar w:fldCharType="separate"/>
      </w:r>
      <w:r w:rsidR="00A82EF3">
        <w:t>8.4.1</w:t>
      </w:r>
      <w:r w:rsidR="003D1406">
        <w:fldChar w:fldCharType="end"/>
      </w:r>
      <w:r w:rsidR="003D1406">
        <w:t xml:space="preserve">, </w:t>
      </w:r>
      <w:r w:rsidR="008879BA">
        <w:t xml:space="preserve">ActewAGL has updated its revised proposed actual capex for 2014–15 and </w:t>
      </w:r>
      <w:r w:rsidR="003D1406">
        <w:t xml:space="preserve">we have accepted </w:t>
      </w:r>
      <w:r w:rsidR="008879BA">
        <w:t xml:space="preserve">the updated value as conforming capex. </w:t>
      </w:r>
      <w:r w:rsidR="004B03E0" w:rsidRPr="004B03E0">
        <w:rPr>
          <w:rStyle w:val="AERbody"/>
        </w:rPr>
        <w:t xml:space="preserve">Our amendment to </w:t>
      </w:r>
      <w:proofErr w:type="spellStart"/>
      <w:r w:rsidR="004B03E0" w:rsidRPr="004B03E0">
        <w:rPr>
          <w:rStyle w:val="AERbody"/>
        </w:rPr>
        <w:t>ActewAGL's</w:t>
      </w:r>
      <w:proofErr w:type="spellEnd"/>
      <w:r w:rsidR="004B03E0" w:rsidRPr="004B03E0">
        <w:rPr>
          <w:rStyle w:val="AERbody"/>
        </w:rPr>
        <w:t xml:space="preserve"> revised proposed </w:t>
      </w:r>
      <w:r w:rsidR="004B03E0">
        <w:rPr>
          <w:rStyle w:val="AERbody"/>
        </w:rPr>
        <w:t>remaining tax asset lives</w:t>
      </w:r>
      <w:r w:rsidR="004B03E0" w:rsidRPr="004B03E0">
        <w:rPr>
          <w:rStyle w:val="AERbody"/>
        </w:rPr>
        <w:t xml:space="preserve"> reflects </w:t>
      </w:r>
      <w:r>
        <w:rPr>
          <w:rStyle w:val="AERbody"/>
        </w:rPr>
        <w:t>the conforming capex for 2014–15</w:t>
      </w:r>
      <w:r w:rsidR="004B03E0" w:rsidRPr="004B03E0">
        <w:rPr>
          <w:rStyle w:val="AERbody"/>
        </w:rPr>
        <w:t>.</w:t>
      </w:r>
      <w:r w:rsidR="003D1406">
        <w:t xml:space="preserve"> </w:t>
      </w:r>
    </w:p>
    <w:p w:rsidR="004F0BC3" w:rsidRPr="004F0BC3" w:rsidRDefault="004F0BC3" w:rsidP="00DF7214">
      <w:r>
        <w:t xml:space="preserve">Our </w:t>
      </w:r>
      <w:r w:rsidR="00821486">
        <w:t>final</w:t>
      </w:r>
      <w:r>
        <w:t xml:space="preserve"> decision on ActewAGL’s standard tax asset lives and remaining tax asset lives for each of its asset classes for </w:t>
      </w:r>
      <w:r w:rsidRPr="004F0BC3">
        <w:t xml:space="preserve">2015–16 and the </w:t>
      </w:r>
      <w:r w:rsidRPr="004F0BC3">
        <w:rPr>
          <w:rStyle w:val="AERbody"/>
        </w:rPr>
        <w:t xml:space="preserve">2016–21 </w:t>
      </w:r>
      <w:r w:rsidRPr="004F0BC3">
        <w:t xml:space="preserve">access arrangement </w:t>
      </w:r>
      <w:proofErr w:type="gramStart"/>
      <w:r w:rsidRPr="004F0BC3">
        <w:t>period</w:t>
      </w:r>
      <w:proofErr w:type="gramEnd"/>
      <w:r w:rsidRPr="004F0BC3">
        <w:t xml:space="preserve"> is set out in </w:t>
      </w:r>
      <w:r w:rsidRPr="004F0BC3">
        <w:fldChar w:fldCharType="begin"/>
      </w:r>
      <w:r w:rsidRPr="004F0BC3">
        <w:instrText xml:space="preserve"> REF _Ref432674818 \h </w:instrText>
      </w:r>
      <w:r w:rsidRPr="004F0BC3">
        <w:fldChar w:fldCharType="separate"/>
      </w:r>
      <w:r w:rsidR="00A82EF3" w:rsidRPr="00896D81">
        <w:t xml:space="preserve">Table </w:t>
      </w:r>
      <w:r w:rsidR="00A82EF3">
        <w:rPr>
          <w:noProof/>
        </w:rPr>
        <w:t>8</w:t>
      </w:r>
      <w:r w:rsidR="00A82EF3">
        <w:t>.</w:t>
      </w:r>
      <w:r w:rsidR="00A82EF3">
        <w:rPr>
          <w:noProof/>
        </w:rPr>
        <w:t>5</w:t>
      </w:r>
      <w:r w:rsidRPr="004F0BC3">
        <w:fldChar w:fldCharType="end"/>
      </w:r>
      <w:r w:rsidRPr="004F0BC3">
        <w:t xml:space="preserve">. </w:t>
      </w:r>
    </w:p>
    <w:p w:rsidR="004F0BC3" w:rsidRPr="00EF647F" w:rsidRDefault="004F0BC3" w:rsidP="00215947">
      <w:pPr>
        <w:pStyle w:val="Caption"/>
      </w:pPr>
      <w:bookmarkStart w:id="38" w:name="_Ref432674818"/>
      <w:bookmarkEnd w:id="37"/>
      <w:proofErr w:type="gramStart"/>
      <w:r w:rsidRPr="00896D81">
        <w:t xml:space="preserve">Table </w:t>
      </w:r>
      <w:proofErr w:type="gramEnd"/>
      <w:r w:rsidR="0006379C">
        <w:fldChar w:fldCharType="begin"/>
      </w:r>
      <w:r w:rsidR="0006379C">
        <w:instrText xml:space="preserve"> STYLEREF 1 \s </w:instrText>
      </w:r>
      <w:r w:rsidR="0006379C">
        <w:fldChar w:fldCharType="separate"/>
      </w:r>
      <w:r w:rsidR="00A82EF3">
        <w:rPr>
          <w:noProof/>
        </w:rPr>
        <w:t>8</w:t>
      </w:r>
      <w:r w:rsidR="0006379C">
        <w:rPr>
          <w:noProof/>
        </w:rPr>
        <w:fldChar w:fldCharType="end"/>
      </w:r>
      <w:proofErr w:type="gramStart"/>
      <w:r w:rsidR="00DF5916">
        <w:t>.</w:t>
      </w:r>
      <w:proofErr w:type="gramEnd"/>
      <w:r w:rsidR="00DF5916">
        <w:fldChar w:fldCharType="begin"/>
      </w:r>
      <w:r w:rsidR="00DF5916">
        <w:instrText xml:space="preserve"> SEQ Table \* ARABIC \s 1 </w:instrText>
      </w:r>
      <w:r w:rsidR="00DF5916">
        <w:fldChar w:fldCharType="separate"/>
      </w:r>
      <w:r w:rsidR="00A82EF3">
        <w:rPr>
          <w:noProof/>
        </w:rPr>
        <w:t>5</w:t>
      </w:r>
      <w:r w:rsidR="00DF5916">
        <w:fldChar w:fldCharType="end"/>
      </w:r>
      <w:bookmarkEnd w:id="38"/>
      <w:r>
        <w:tab/>
        <w:t>AER’</w:t>
      </w:r>
      <w:r w:rsidRPr="003124D9">
        <w:t xml:space="preserve">s </w:t>
      </w:r>
      <w:r w:rsidR="00821486">
        <w:t>final</w:t>
      </w:r>
      <w:r w:rsidRPr="003124D9">
        <w:t xml:space="preserve"> decision on </w:t>
      </w:r>
      <w:r>
        <w:t>ActewAGL</w:t>
      </w:r>
      <w:r w:rsidRPr="003124D9">
        <w:t>’s standard tax asset lives and remaining tax asset lives</w:t>
      </w:r>
      <w:r>
        <w:t xml:space="preserve"> as at 1 July 2015</w:t>
      </w:r>
      <w:r w:rsidRPr="003124D9">
        <w:t xml:space="preserve"> for </w:t>
      </w:r>
      <w:r>
        <w:t xml:space="preserve">2015–16 and </w:t>
      </w:r>
      <w:r w:rsidRPr="003124D9">
        <w:t xml:space="preserve">the </w:t>
      </w:r>
      <w:r w:rsidRPr="00463AB3">
        <w:t>201</w:t>
      </w:r>
      <w:r>
        <w:t>6–21</w:t>
      </w:r>
      <w:r w:rsidRPr="00463AB3">
        <w:t xml:space="preserve"> </w:t>
      </w:r>
      <w:r w:rsidRPr="003124D9">
        <w:t>access arrangement period</w:t>
      </w:r>
      <w:r>
        <w:t xml:space="preserve"> (years)</w:t>
      </w:r>
    </w:p>
    <w:tbl>
      <w:tblPr>
        <w:tblStyle w:val="AERtable-numbers"/>
        <w:tblW w:w="8711" w:type="dxa"/>
        <w:tblLayout w:type="fixed"/>
        <w:tblLook w:val="04A0" w:firstRow="1" w:lastRow="0" w:firstColumn="1" w:lastColumn="0" w:noHBand="0" w:noVBand="1"/>
      </w:tblPr>
      <w:tblGrid>
        <w:gridCol w:w="2943"/>
        <w:gridCol w:w="2127"/>
        <w:gridCol w:w="3641"/>
      </w:tblGrid>
      <w:tr w:rsidR="004F0BC3" w:rsidRPr="00ED7876" w:rsidTr="002D36AC">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943" w:type="dxa"/>
            <w:noWrap/>
          </w:tcPr>
          <w:p w:rsidR="004F0BC3" w:rsidRPr="00ED7876" w:rsidRDefault="004F0BC3" w:rsidP="00A82EF3">
            <w:pPr>
              <w:keepNext/>
            </w:pPr>
            <w:r w:rsidRPr="00ED7876">
              <w:t>Tax asset class</w:t>
            </w:r>
          </w:p>
        </w:tc>
        <w:tc>
          <w:tcPr>
            <w:tcW w:w="2127" w:type="dxa"/>
            <w:noWrap/>
          </w:tcPr>
          <w:p w:rsidR="004F0BC3" w:rsidRPr="00ED7876" w:rsidRDefault="004F0BC3" w:rsidP="00A82EF3">
            <w:pPr>
              <w:keepNext/>
              <w:cnfStyle w:val="100000000000" w:firstRow="1" w:lastRow="0" w:firstColumn="0" w:lastColumn="0" w:oddVBand="0" w:evenVBand="0" w:oddHBand="0" w:evenHBand="0" w:firstRowFirstColumn="0" w:firstRowLastColumn="0" w:lastRowFirstColumn="0" w:lastRowLastColumn="0"/>
            </w:pPr>
            <w:r w:rsidRPr="00ED7876">
              <w:t>Standard tax asset life</w:t>
            </w:r>
          </w:p>
        </w:tc>
        <w:tc>
          <w:tcPr>
            <w:tcW w:w="3641" w:type="dxa"/>
            <w:noWrap/>
          </w:tcPr>
          <w:p w:rsidR="004F0BC3" w:rsidRPr="00ED7876" w:rsidRDefault="004F0BC3" w:rsidP="00A82EF3">
            <w:pPr>
              <w:keepNext/>
              <w:cnfStyle w:val="100000000000" w:firstRow="1" w:lastRow="0" w:firstColumn="0" w:lastColumn="0" w:oddVBand="0" w:evenVBand="0" w:oddHBand="0" w:evenHBand="0" w:firstRowFirstColumn="0" w:firstRowLastColumn="0" w:lastRowFirstColumn="0" w:lastRowLastColumn="0"/>
            </w:pPr>
            <w:r w:rsidRPr="00ED7876">
              <w:t>Remaining tax asset life as at 1 July 2015</w:t>
            </w:r>
          </w:p>
        </w:tc>
      </w:tr>
      <w:tr w:rsidR="003F0B4A" w:rsidRPr="00ED7876" w:rsidTr="00E420E2">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3F0B4A" w:rsidRPr="003F0B4A" w:rsidRDefault="003F0B4A" w:rsidP="00A82EF3">
            <w:pPr>
              <w:keepNext/>
            </w:pPr>
            <w:bookmarkStart w:id="39" w:name="RANGE!G7"/>
            <w:r w:rsidRPr="003F0B4A">
              <w:t>HP mains</w:t>
            </w:r>
            <w:bookmarkEnd w:id="39"/>
          </w:p>
        </w:tc>
        <w:tc>
          <w:tcPr>
            <w:tcW w:w="2127" w:type="dxa"/>
            <w:noWrap/>
            <w:vAlign w:val="bottom"/>
          </w:tcPr>
          <w:p w:rsidR="003F0B4A" w:rsidRPr="003F0B4A" w:rsidRDefault="003F0B4A" w:rsidP="00A82EF3">
            <w:pPr>
              <w:keepNext/>
              <w:cnfStyle w:val="000000000000" w:firstRow="0" w:lastRow="0" w:firstColumn="0" w:lastColumn="0" w:oddVBand="0" w:evenVBand="0" w:oddHBand="0" w:evenHBand="0" w:firstRowFirstColumn="0" w:firstRowLastColumn="0" w:lastRowFirstColumn="0" w:lastRowLastColumn="0"/>
            </w:pPr>
            <w:bookmarkStart w:id="40" w:name="RANGE!U7"/>
            <w:r w:rsidRPr="003F0B4A">
              <w:t>50</w:t>
            </w:r>
            <w:bookmarkEnd w:id="40"/>
          </w:p>
        </w:tc>
        <w:tc>
          <w:tcPr>
            <w:tcW w:w="3641" w:type="dxa"/>
            <w:noWrap/>
          </w:tcPr>
          <w:p w:rsidR="003F0B4A" w:rsidRPr="003F0B4A" w:rsidRDefault="003F0B4A" w:rsidP="00A82EF3">
            <w:pPr>
              <w:keepNext/>
              <w:cnfStyle w:val="000000000000" w:firstRow="0" w:lastRow="0" w:firstColumn="0" w:lastColumn="0" w:oddVBand="0" w:evenVBand="0" w:oddHBand="0" w:evenHBand="0" w:firstRowFirstColumn="0" w:firstRowLastColumn="0" w:lastRowFirstColumn="0" w:lastRowLastColumn="0"/>
            </w:pPr>
            <w:r w:rsidRPr="003F0B4A">
              <w:t>42.6</w:t>
            </w:r>
          </w:p>
        </w:tc>
      </w:tr>
      <w:tr w:rsidR="003F0B4A" w:rsidRPr="00ED7876" w:rsidTr="00E420E2">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3F0B4A" w:rsidRPr="003F0B4A" w:rsidRDefault="003F0B4A" w:rsidP="00A82EF3">
            <w:pPr>
              <w:keepNext/>
            </w:pPr>
            <w:bookmarkStart w:id="41" w:name="RANGE!G8"/>
            <w:r w:rsidRPr="003F0B4A">
              <w:t>HP services</w:t>
            </w:r>
            <w:bookmarkEnd w:id="41"/>
          </w:p>
        </w:tc>
        <w:tc>
          <w:tcPr>
            <w:tcW w:w="2127" w:type="dxa"/>
            <w:noWrap/>
            <w:vAlign w:val="bottom"/>
          </w:tcPr>
          <w:p w:rsidR="003F0B4A" w:rsidRPr="003F0B4A" w:rsidRDefault="003F0B4A" w:rsidP="00A82EF3">
            <w:pPr>
              <w:keepNext/>
              <w:cnfStyle w:val="000000010000" w:firstRow="0" w:lastRow="0" w:firstColumn="0" w:lastColumn="0" w:oddVBand="0" w:evenVBand="0" w:oddHBand="0" w:evenHBand="1" w:firstRowFirstColumn="0" w:firstRowLastColumn="0" w:lastRowFirstColumn="0" w:lastRowLastColumn="0"/>
            </w:pPr>
            <w:bookmarkStart w:id="42" w:name="RANGE!U8"/>
            <w:r w:rsidRPr="003F0B4A">
              <w:t>50</w:t>
            </w:r>
            <w:bookmarkEnd w:id="42"/>
          </w:p>
        </w:tc>
        <w:tc>
          <w:tcPr>
            <w:tcW w:w="3641" w:type="dxa"/>
            <w:noWrap/>
          </w:tcPr>
          <w:p w:rsidR="003F0B4A" w:rsidRPr="003F0B4A" w:rsidRDefault="003F0B4A" w:rsidP="00A82EF3">
            <w:pPr>
              <w:keepNext/>
              <w:cnfStyle w:val="000000010000" w:firstRow="0" w:lastRow="0" w:firstColumn="0" w:lastColumn="0" w:oddVBand="0" w:evenVBand="0" w:oddHBand="0" w:evenHBand="1" w:firstRowFirstColumn="0" w:firstRowLastColumn="0" w:lastRowFirstColumn="0" w:lastRowLastColumn="0"/>
            </w:pPr>
            <w:r w:rsidRPr="003F0B4A">
              <w:t>29.4</w:t>
            </w:r>
          </w:p>
        </w:tc>
      </w:tr>
      <w:tr w:rsidR="003F0B4A" w:rsidRPr="00ED7876" w:rsidTr="00E420E2">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3F0B4A" w:rsidRPr="003F0B4A" w:rsidRDefault="003F0B4A" w:rsidP="00A82EF3">
            <w:pPr>
              <w:keepNext/>
            </w:pPr>
            <w:bookmarkStart w:id="43" w:name="RANGE!G9"/>
            <w:r w:rsidRPr="003F0B4A">
              <w:t>MP mains</w:t>
            </w:r>
            <w:bookmarkEnd w:id="43"/>
          </w:p>
        </w:tc>
        <w:tc>
          <w:tcPr>
            <w:tcW w:w="2127" w:type="dxa"/>
            <w:noWrap/>
            <w:vAlign w:val="bottom"/>
          </w:tcPr>
          <w:p w:rsidR="003F0B4A" w:rsidRPr="003F0B4A" w:rsidRDefault="003F0B4A" w:rsidP="00A82EF3">
            <w:pPr>
              <w:keepNext/>
              <w:cnfStyle w:val="000000000000" w:firstRow="0" w:lastRow="0" w:firstColumn="0" w:lastColumn="0" w:oddVBand="0" w:evenVBand="0" w:oddHBand="0" w:evenHBand="0" w:firstRowFirstColumn="0" w:firstRowLastColumn="0" w:lastRowFirstColumn="0" w:lastRowLastColumn="0"/>
            </w:pPr>
            <w:bookmarkStart w:id="44" w:name="RANGE!U9"/>
            <w:r w:rsidRPr="003F0B4A">
              <w:t>50</w:t>
            </w:r>
            <w:bookmarkEnd w:id="44"/>
          </w:p>
        </w:tc>
        <w:tc>
          <w:tcPr>
            <w:tcW w:w="3641" w:type="dxa"/>
            <w:noWrap/>
          </w:tcPr>
          <w:p w:rsidR="003F0B4A" w:rsidRPr="003F0B4A" w:rsidRDefault="003F0B4A" w:rsidP="00A82EF3">
            <w:pPr>
              <w:keepNext/>
              <w:cnfStyle w:val="000000000000" w:firstRow="0" w:lastRow="0" w:firstColumn="0" w:lastColumn="0" w:oddVBand="0" w:evenVBand="0" w:oddHBand="0" w:evenHBand="0" w:firstRowFirstColumn="0" w:firstRowLastColumn="0" w:lastRowFirstColumn="0" w:lastRowLastColumn="0"/>
            </w:pPr>
            <w:r w:rsidRPr="003F0B4A">
              <w:t>29.5</w:t>
            </w:r>
          </w:p>
        </w:tc>
      </w:tr>
      <w:tr w:rsidR="003F0B4A" w:rsidRPr="00ED7876" w:rsidTr="00E420E2">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3F0B4A" w:rsidRPr="003F0B4A" w:rsidRDefault="003F0B4A" w:rsidP="00A82EF3">
            <w:pPr>
              <w:keepNext/>
            </w:pPr>
            <w:bookmarkStart w:id="45" w:name="RANGE!G10"/>
            <w:r w:rsidRPr="003F0B4A">
              <w:t>MP services</w:t>
            </w:r>
            <w:bookmarkEnd w:id="45"/>
          </w:p>
        </w:tc>
        <w:tc>
          <w:tcPr>
            <w:tcW w:w="2127" w:type="dxa"/>
            <w:noWrap/>
            <w:vAlign w:val="bottom"/>
          </w:tcPr>
          <w:p w:rsidR="003F0B4A" w:rsidRPr="003F0B4A" w:rsidRDefault="003F0B4A" w:rsidP="00A82EF3">
            <w:pPr>
              <w:keepNext/>
              <w:cnfStyle w:val="000000010000" w:firstRow="0" w:lastRow="0" w:firstColumn="0" w:lastColumn="0" w:oddVBand="0" w:evenVBand="0" w:oddHBand="0" w:evenHBand="1" w:firstRowFirstColumn="0" w:firstRowLastColumn="0" w:lastRowFirstColumn="0" w:lastRowLastColumn="0"/>
            </w:pPr>
            <w:bookmarkStart w:id="46" w:name="RANGE!U10"/>
            <w:r w:rsidRPr="003F0B4A">
              <w:t>30</w:t>
            </w:r>
            <w:bookmarkEnd w:id="46"/>
          </w:p>
        </w:tc>
        <w:tc>
          <w:tcPr>
            <w:tcW w:w="3641" w:type="dxa"/>
            <w:noWrap/>
          </w:tcPr>
          <w:p w:rsidR="003F0B4A" w:rsidRPr="003F0B4A" w:rsidRDefault="003F0B4A" w:rsidP="00A82EF3">
            <w:pPr>
              <w:keepNext/>
              <w:cnfStyle w:val="000000010000" w:firstRow="0" w:lastRow="0" w:firstColumn="0" w:lastColumn="0" w:oddVBand="0" w:evenVBand="0" w:oddHBand="0" w:evenHBand="1" w:firstRowFirstColumn="0" w:firstRowLastColumn="0" w:lastRowFirstColumn="0" w:lastRowLastColumn="0"/>
            </w:pPr>
            <w:r w:rsidRPr="003F0B4A">
              <w:t>24.9</w:t>
            </w:r>
          </w:p>
        </w:tc>
      </w:tr>
      <w:tr w:rsidR="003F0B4A" w:rsidRPr="00ED7876" w:rsidTr="00E420E2">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3F0B4A" w:rsidRPr="003F0B4A" w:rsidRDefault="003F0B4A" w:rsidP="00A82EF3">
            <w:pPr>
              <w:keepNext/>
            </w:pPr>
            <w:bookmarkStart w:id="47" w:name="RANGE!G11"/>
            <w:r w:rsidRPr="003F0B4A">
              <w:t>TRS and DRS—valves and regulators</w:t>
            </w:r>
            <w:bookmarkEnd w:id="47"/>
          </w:p>
        </w:tc>
        <w:tc>
          <w:tcPr>
            <w:tcW w:w="2127" w:type="dxa"/>
            <w:noWrap/>
            <w:vAlign w:val="bottom"/>
          </w:tcPr>
          <w:p w:rsidR="003F0B4A" w:rsidRPr="003F0B4A" w:rsidRDefault="003F0B4A" w:rsidP="00A82EF3">
            <w:pPr>
              <w:keepNext/>
              <w:cnfStyle w:val="000000000000" w:firstRow="0" w:lastRow="0" w:firstColumn="0" w:lastColumn="0" w:oddVBand="0" w:evenVBand="0" w:oddHBand="0" w:evenHBand="0" w:firstRowFirstColumn="0" w:firstRowLastColumn="0" w:lastRowFirstColumn="0" w:lastRowLastColumn="0"/>
            </w:pPr>
            <w:bookmarkStart w:id="48" w:name="RANGE!U11"/>
            <w:r w:rsidRPr="003F0B4A">
              <w:t>40</w:t>
            </w:r>
            <w:bookmarkEnd w:id="48"/>
          </w:p>
        </w:tc>
        <w:tc>
          <w:tcPr>
            <w:tcW w:w="3641" w:type="dxa"/>
            <w:noWrap/>
          </w:tcPr>
          <w:p w:rsidR="003F0B4A" w:rsidRPr="003F0B4A" w:rsidRDefault="003F0B4A" w:rsidP="00A82EF3">
            <w:pPr>
              <w:keepNext/>
              <w:cnfStyle w:val="000000000000" w:firstRow="0" w:lastRow="0" w:firstColumn="0" w:lastColumn="0" w:oddVBand="0" w:evenVBand="0" w:oddHBand="0" w:evenHBand="0" w:firstRowFirstColumn="0" w:firstRowLastColumn="0" w:lastRowFirstColumn="0" w:lastRowLastColumn="0"/>
            </w:pPr>
            <w:r w:rsidRPr="003F0B4A">
              <w:t>38.3</w:t>
            </w:r>
          </w:p>
        </w:tc>
      </w:tr>
      <w:tr w:rsidR="003F0B4A" w:rsidRPr="00ED7876" w:rsidTr="00E420E2">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3F0B4A" w:rsidRPr="003F0B4A" w:rsidRDefault="003F0B4A" w:rsidP="00A82EF3">
            <w:pPr>
              <w:keepNext/>
            </w:pPr>
            <w:bookmarkStart w:id="49" w:name="RANGE!G12"/>
            <w:r w:rsidRPr="003F0B4A">
              <w:t>Contract meters</w:t>
            </w:r>
            <w:bookmarkEnd w:id="49"/>
          </w:p>
        </w:tc>
        <w:tc>
          <w:tcPr>
            <w:tcW w:w="2127" w:type="dxa"/>
            <w:noWrap/>
            <w:vAlign w:val="bottom"/>
          </w:tcPr>
          <w:p w:rsidR="003F0B4A" w:rsidRPr="003F0B4A" w:rsidRDefault="003F0B4A" w:rsidP="00A82EF3">
            <w:pPr>
              <w:keepNext/>
              <w:cnfStyle w:val="000000010000" w:firstRow="0" w:lastRow="0" w:firstColumn="0" w:lastColumn="0" w:oddVBand="0" w:evenVBand="0" w:oddHBand="0" w:evenHBand="1" w:firstRowFirstColumn="0" w:firstRowLastColumn="0" w:lastRowFirstColumn="0" w:lastRowLastColumn="0"/>
            </w:pPr>
            <w:bookmarkStart w:id="50" w:name="RANGE!U12"/>
            <w:r w:rsidRPr="003F0B4A">
              <w:t>15</w:t>
            </w:r>
            <w:bookmarkEnd w:id="50"/>
          </w:p>
        </w:tc>
        <w:tc>
          <w:tcPr>
            <w:tcW w:w="3641" w:type="dxa"/>
            <w:noWrap/>
          </w:tcPr>
          <w:p w:rsidR="003F0B4A" w:rsidRPr="003F0B4A" w:rsidRDefault="003F0B4A" w:rsidP="00A82EF3">
            <w:pPr>
              <w:keepNext/>
              <w:cnfStyle w:val="000000010000" w:firstRow="0" w:lastRow="0" w:firstColumn="0" w:lastColumn="0" w:oddVBand="0" w:evenVBand="0" w:oddHBand="0" w:evenHBand="1" w:firstRowFirstColumn="0" w:firstRowLastColumn="0" w:lastRowFirstColumn="0" w:lastRowLastColumn="0"/>
            </w:pPr>
            <w:r w:rsidRPr="003F0B4A">
              <w:t>2.4</w:t>
            </w:r>
          </w:p>
        </w:tc>
      </w:tr>
      <w:tr w:rsidR="003F0B4A" w:rsidRPr="00ED7876" w:rsidTr="00E420E2">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3F0B4A" w:rsidRPr="003F0B4A" w:rsidRDefault="003F0B4A" w:rsidP="00A82EF3">
            <w:pPr>
              <w:keepNext/>
            </w:pPr>
            <w:bookmarkStart w:id="51" w:name="RANGE!G13"/>
            <w:r w:rsidRPr="003F0B4A">
              <w:t>Tariff meters</w:t>
            </w:r>
            <w:bookmarkEnd w:id="51"/>
          </w:p>
        </w:tc>
        <w:tc>
          <w:tcPr>
            <w:tcW w:w="2127" w:type="dxa"/>
            <w:noWrap/>
            <w:vAlign w:val="bottom"/>
          </w:tcPr>
          <w:p w:rsidR="003F0B4A" w:rsidRPr="003F0B4A" w:rsidRDefault="003F0B4A" w:rsidP="00A82EF3">
            <w:pPr>
              <w:keepNext/>
              <w:cnfStyle w:val="000000000000" w:firstRow="0" w:lastRow="0" w:firstColumn="0" w:lastColumn="0" w:oddVBand="0" w:evenVBand="0" w:oddHBand="0" w:evenHBand="0" w:firstRowFirstColumn="0" w:firstRowLastColumn="0" w:lastRowFirstColumn="0" w:lastRowLastColumn="0"/>
            </w:pPr>
            <w:bookmarkStart w:id="52" w:name="RANGE!U13"/>
            <w:r w:rsidRPr="003F0B4A">
              <w:t>15</w:t>
            </w:r>
            <w:bookmarkEnd w:id="52"/>
          </w:p>
        </w:tc>
        <w:tc>
          <w:tcPr>
            <w:tcW w:w="3641" w:type="dxa"/>
            <w:noWrap/>
          </w:tcPr>
          <w:p w:rsidR="003F0B4A" w:rsidRPr="003F0B4A" w:rsidRDefault="003F0B4A" w:rsidP="00A82EF3">
            <w:pPr>
              <w:keepNext/>
              <w:cnfStyle w:val="000000000000" w:firstRow="0" w:lastRow="0" w:firstColumn="0" w:lastColumn="0" w:oddVBand="0" w:evenVBand="0" w:oddHBand="0" w:evenHBand="0" w:firstRowFirstColumn="0" w:firstRowLastColumn="0" w:lastRowFirstColumn="0" w:lastRowLastColumn="0"/>
            </w:pPr>
            <w:r w:rsidRPr="003F0B4A">
              <w:t>13.2</w:t>
            </w:r>
          </w:p>
        </w:tc>
      </w:tr>
      <w:tr w:rsidR="003F0B4A" w:rsidRPr="00ED7876" w:rsidTr="00E420E2">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3F0B4A" w:rsidRPr="003F0B4A" w:rsidRDefault="003F0B4A" w:rsidP="00A82EF3">
            <w:pPr>
              <w:keepNext/>
            </w:pPr>
            <w:bookmarkStart w:id="53" w:name="RANGE!G14"/>
            <w:r w:rsidRPr="003F0B4A">
              <w:t>Regulatory costs</w:t>
            </w:r>
            <w:bookmarkEnd w:id="53"/>
          </w:p>
        </w:tc>
        <w:tc>
          <w:tcPr>
            <w:tcW w:w="2127" w:type="dxa"/>
            <w:noWrap/>
            <w:vAlign w:val="bottom"/>
          </w:tcPr>
          <w:p w:rsidR="003F0B4A" w:rsidRPr="003F0B4A" w:rsidRDefault="003F0B4A" w:rsidP="00A82EF3">
            <w:pPr>
              <w:keepNext/>
              <w:cnfStyle w:val="000000010000" w:firstRow="0" w:lastRow="0" w:firstColumn="0" w:lastColumn="0" w:oddVBand="0" w:evenVBand="0" w:oddHBand="0" w:evenHBand="1" w:firstRowFirstColumn="0" w:firstRowLastColumn="0" w:lastRowFirstColumn="0" w:lastRowLastColumn="0"/>
            </w:pPr>
            <w:bookmarkStart w:id="54" w:name="RANGE!U14"/>
            <w:r w:rsidRPr="003F0B4A">
              <w:t>5</w:t>
            </w:r>
            <w:bookmarkEnd w:id="54"/>
          </w:p>
        </w:tc>
        <w:tc>
          <w:tcPr>
            <w:tcW w:w="3641" w:type="dxa"/>
            <w:noWrap/>
          </w:tcPr>
          <w:p w:rsidR="003F0B4A" w:rsidRPr="003F0B4A" w:rsidRDefault="003F0B4A" w:rsidP="00A82EF3">
            <w:pPr>
              <w:keepNext/>
              <w:cnfStyle w:val="000000010000" w:firstRow="0" w:lastRow="0" w:firstColumn="0" w:lastColumn="0" w:oddVBand="0" w:evenVBand="0" w:oddHBand="0" w:evenHBand="1" w:firstRowFirstColumn="0" w:firstRowLastColumn="0" w:lastRowFirstColumn="0" w:lastRowLastColumn="0"/>
            </w:pPr>
            <w:r w:rsidRPr="003F0B4A">
              <w:t>n/a</w:t>
            </w:r>
          </w:p>
        </w:tc>
      </w:tr>
      <w:tr w:rsidR="003F0B4A" w:rsidRPr="00ED7876" w:rsidTr="00E420E2">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3F0B4A" w:rsidRPr="003F0B4A" w:rsidRDefault="003F0B4A" w:rsidP="00A82EF3">
            <w:pPr>
              <w:keepNext/>
            </w:pPr>
            <w:bookmarkStart w:id="55" w:name="RANGE!G15"/>
            <w:r w:rsidRPr="003F0B4A">
              <w:t>IT system</w:t>
            </w:r>
            <w:bookmarkEnd w:id="55"/>
            <w:r w:rsidRPr="003F0B4A">
              <w:rPr>
                <w:rStyle w:val="AERsuperscript"/>
              </w:rPr>
              <w:t>a</w:t>
            </w:r>
          </w:p>
        </w:tc>
        <w:tc>
          <w:tcPr>
            <w:tcW w:w="2127" w:type="dxa"/>
            <w:noWrap/>
            <w:vAlign w:val="bottom"/>
          </w:tcPr>
          <w:p w:rsidR="003F0B4A" w:rsidRPr="003F0B4A" w:rsidRDefault="003F0B4A" w:rsidP="00A82EF3">
            <w:pPr>
              <w:keepNext/>
              <w:cnfStyle w:val="000000000000" w:firstRow="0" w:lastRow="0" w:firstColumn="0" w:lastColumn="0" w:oddVBand="0" w:evenVBand="0" w:oddHBand="0" w:evenHBand="0" w:firstRowFirstColumn="0" w:firstRowLastColumn="0" w:lastRowFirstColumn="0" w:lastRowLastColumn="0"/>
            </w:pPr>
            <w:bookmarkStart w:id="56" w:name="RANGE!U15"/>
            <w:r w:rsidRPr="003F0B4A">
              <w:t>5</w:t>
            </w:r>
            <w:bookmarkEnd w:id="56"/>
          </w:p>
        </w:tc>
        <w:tc>
          <w:tcPr>
            <w:tcW w:w="3641" w:type="dxa"/>
            <w:noWrap/>
          </w:tcPr>
          <w:p w:rsidR="003F0B4A" w:rsidRPr="003F0B4A" w:rsidRDefault="003F0B4A" w:rsidP="00A82EF3">
            <w:pPr>
              <w:keepNext/>
              <w:cnfStyle w:val="000000000000" w:firstRow="0" w:lastRow="0" w:firstColumn="0" w:lastColumn="0" w:oddVBand="0" w:evenVBand="0" w:oddHBand="0" w:evenHBand="0" w:firstRowFirstColumn="0" w:firstRowLastColumn="0" w:lastRowFirstColumn="0" w:lastRowLastColumn="0"/>
            </w:pPr>
            <w:r w:rsidRPr="003F0B4A">
              <w:t>1.0</w:t>
            </w:r>
          </w:p>
        </w:tc>
      </w:tr>
      <w:tr w:rsidR="003F0B4A" w:rsidRPr="00ED7876" w:rsidTr="00E420E2">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3F0B4A" w:rsidRPr="003F0B4A" w:rsidRDefault="003F0B4A" w:rsidP="00A82EF3">
            <w:pPr>
              <w:keepNext/>
            </w:pPr>
            <w:r w:rsidRPr="003F0B4A">
              <w:t>Land and easement</w:t>
            </w:r>
          </w:p>
        </w:tc>
        <w:tc>
          <w:tcPr>
            <w:tcW w:w="2127" w:type="dxa"/>
            <w:noWrap/>
            <w:vAlign w:val="bottom"/>
          </w:tcPr>
          <w:p w:rsidR="003F0B4A" w:rsidRPr="003F0B4A" w:rsidRDefault="003F0B4A" w:rsidP="00A82EF3">
            <w:pPr>
              <w:keepNext/>
              <w:cnfStyle w:val="000000010000" w:firstRow="0" w:lastRow="0" w:firstColumn="0" w:lastColumn="0" w:oddVBand="0" w:evenVBand="0" w:oddHBand="0" w:evenHBand="1" w:firstRowFirstColumn="0" w:firstRowLastColumn="0" w:lastRowFirstColumn="0" w:lastRowLastColumn="0"/>
            </w:pPr>
            <w:r w:rsidRPr="003F0B4A">
              <w:t>n/a</w:t>
            </w:r>
          </w:p>
        </w:tc>
        <w:tc>
          <w:tcPr>
            <w:tcW w:w="3641" w:type="dxa"/>
            <w:noWrap/>
          </w:tcPr>
          <w:p w:rsidR="003F0B4A" w:rsidRPr="003F0B4A" w:rsidRDefault="003F0B4A" w:rsidP="00A82EF3">
            <w:pPr>
              <w:keepNext/>
              <w:cnfStyle w:val="000000010000" w:firstRow="0" w:lastRow="0" w:firstColumn="0" w:lastColumn="0" w:oddVBand="0" w:evenVBand="0" w:oddHBand="0" w:evenHBand="1" w:firstRowFirstColumn="0" w:firstRowLastColumn="0" w:lastRowFirstColumn="0" w:lastRowLastColumn="0"/>
            </w:pPr>
            <w:r w:rsidRPr="003F0B4A">
              <w:t>n/a</w:t>
            </w:r>
          </w:p>
        </w:tc>
      </w:tr>
    </w:tbl>
    <w:p w:rsidR="004F0BC3" w:rsidRDefault="004F0BC3" w:rsidP="00A82EF3">
      <w:pPr>
        <w:pStyle w:val="AERtablesource"/>
        <w:keepNext/>
      </w:pPr>
      <w:r w:rsidRPr="00EA0E36">
        <w:t xml:space="preserve">Source: </w:t>
      </w:r>
      <w:r w:rsidRPr="00EA0E36">
        <w:tab/>
        <w:t>AER analysis.</w:t>
      </w:r>
    </w:p>
    <w:p w:rsidR="004F0BC3" w:rsidRDefault="004F0BC3" w:rsidP="00A82EF3">
      <w:pPr>
        <w:pStyle w:val="AERtablesource"/>
        <w:keepNext/>
      </w:pPr>
      <w:r>
        <w:t>(a)</w:t>
      </w:r>
      <w:r>
        <w:tab/>
        <w:t xml:space="preserve">The remaining </w:t>
      </w:r>
      <w:r w:rsidR="00566E2E">
        <w:t xml:space="preserve">tax </w:t>
      </w:r>
      <w:r>
        <w:t xml:space="preserve">asset life as at 1 July 2015 for the ‘IT system’ asset class is set to </w:t>
      </w:r>
      <w:r w:rsidR="009130B7">
        <w:t>one</w:t>
      </w:r>
      <w:r>
        <w:t xml:space="preserve"> year in order to fully depreciate the small residual TAB value for this asset class within 2015–16 and the 2016–21 access arrangement period.</w:t>
      </w:r>
      <w:r>
        <w:tab/>
      </w:r>
    </w:p>
    <w:p w:rsidR="004F0BC3" w:rsidRDefault="004F0BC3" w:rsidP="00A82EF3">
      <w:pPr>
        <w:pStyle w:val="AERtablesource"/>
        <w:keepNext/>
      </w:pPr>
      <w:proofErr w:type="gramStart"/>
      <w:r>
        <w:t>n/a</w:t>
      </w:r>
      <w:proofErr w:type="gramEnd"/>
      <w:r>
        <w:tab/>
        <w:t>Not applicable</w:t>
      </w:r>
      <w:r w:rsidR="009E2B0D">
        <w:t>.</w:t>
      </w:r>
    </w:p>
    <w:sectPr w:rsidR="004F0BC3"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F63" w:rsidRPr="00290C63" w:rsidRDefault="00616F63" w:rsidP="00290C63">
      <w:r>
        <w:separator/>
      </w:r>
    </w:p>
    <w:p w:rsidR="00616F63" w:rsidRDefault="00616F63"/>
  </w:endnote>
  <w:endnote w:type="continuationSeparator" w:id="0">
    <w:p w:rsidR="00616F63" w:rsidRPr="00290C63" w:rsidRDefault="00616F63" w:rsidP="00290C63">
      <w:r>
        <w:continuationSeparator/>
      </w:r>
    </w:p>
    <w:p w:rsidR="00616F63" w:rsidRDefault="00616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63" w:rsidRDefault="00616F6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616F63" w:rsidRDefault="00616F63">
    <w:pPr>
      <w:pStyle w:val="Footer"/>
    </w:pPr>
  </w:p>
  <w:p w:rsidR="00616F63" w:rsidRDefault="00616F63">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616F63" w:rsidRPr="00CA52A2" w:rsidRDefault="00616F63" w:rsidP="00CA52A2">
        <w:pPr>
          <w:pStyle w:val="Footer"/>
        </w:pPr>
        <w:r w:rsidRPr="00CA52A2">
          <w:fldChar w:fldCharType="begin"/>
        </w:r>
        <w:r>
          <w:instrText xml:space="preserve"> PAGE   \* MERGEFORMAT </w:instrText>
        </w:r>
        <w:r w:rsidRPr="00CA52A2">
          <w:fldChar w:fldCharType="separate"/>
        </w:r>
        <w:r w:rsidR="0006379C">
          <w:rPr>
            <w:noProof/>
          </w:rPr>
          <w:t>8-12</w:t>
        </w:r>
        <w:r w:rsidRPr="00CA52A2">
          <w:fldChar w:fldCharType="end"/>
        </w:r>
        <w:r w:rsidRPr="00CA52A2">
          <w:t xml:space="preserve">          Attachment </w:t>
        </w:r>
        <w:r>
          <w:t xml:space="preserve">8 </w:t>
        </w:r>
        <w:r w:rsidRPr="00CA52A2">
          <w:t xml:space="preserve">– </w:t>
        </w:r>
        <w:r>
          <w:t xml:space="preserve">Corporate income tax </w:t>
        </w:r>
        <w:r w:rsidRPr="00CA52A2">
          <w:t xml:space="preserve">| </w:t>
        </w:r>
        <w:r>
          <w:t>Final decision: ActewAGL Distribution Access Arrangement 2016</w:t>
        </w:r>
        <w:r w:rsidRPr="00CA52A2">
          <w:t>–</w:t>
        </w:r>
        <w:r>
          <w:t>21</w:t>
        </w:r>
      </w:p>
    </w:sdtContent>
  </w:sdt>
  <w:p w:rsidR="00616F63" w:rsidRDefault="00616F63">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F63" w:rsidRPr="00290C63" w:rsidRDefault="00616F63" w:rsidP="00290C63">
      <w:r>
        <w:separator/>
      </w:r>
    </w:p>
    <w:p w:rsidR="00616F63" w:rsidRDefault="00616F63"/>
  </w:footnote>
  <w:footnote w:type="continuationSeparator" w:id="0">
    <w:p w:rsidR="00616F63" w:rsidRPr="00290C63" w:rsidRDefault="00616F63" w:rsidP="00290C63">
      <w:r>
        <w:continuationSeparator/>
      </w:r>
    </w:p>
    <w:p w:rsidR="00616F63" w:rsidRDefault="00616F63"/>
  </w:footnote>
  <w:footnote w:id="1">
    <w:p w:rsidR="00616F63" w:rsidRDefault="00616F63" w:rsidP="004F0BC3">
      <w:pPr>
        <w:pStyle w:val="FootnoteText"/>
      </w:pPr>
      <w:r>
        <w:rPr>
          <w:rStyle w:val="FootnoteReference"/>
        </w:rPr>
        <w:footnoteRef/>
      </w:r>
      <w:r>
        <w:t xml:space="preserve"> </w:t>
      </w:r>
      <w:r>
        <w:tab/>
      </w:r>
      <w:proofErr w:type="gramStart"/>
      <w:r>
        <w:t>NGR, r. 76(c).</w:t>
      </w:r>
      <w:proofErr w:type="gramEnd"/>
    </w:p>
  </w:footnote>
  <w:footnote w:id="2">
    <w:p w:rsidR="00616F63" w:rsidRDefault="00616F63" w:rsidP="004F0BC3">
      <w:pPr>
        <w:pStyle w:val="FootnoteText"/>
      </w:pPr>
      <w:r>
        <w:rPr>
          <w:rStyle w:val="FootnoteReference"/>
        </w:rPr>
        <w:footnoteRef/>
      </w:r>
      <w:r>
        <w:t xml:space="preserve"> </w:t>
      </w:r>
      <w:r>
        <w:tab/>
        <w:t>ActewAGL</w:t>
      </w:r>
      <w:r w:rsidRPr="00F406F0">
        <w:t xml:space="preserve">, </w:t>
      </w:r>
      <w:r w:rsidRPr="00B13853">
        <w:rPr>
          <w:rStyle w:val="AERtextitalic"/>
        </w:rPr>
        <w:t>Response to the AER's draft decision - 2</w:t>
      </w:r>
      <w:r>
        <w:rPr>
          <w:rStyle w:val="AERtextitalic"/>
        </w:rPr>
        <w:t>016–21 ACT, Queanbeyan and Palerang access arrangement,</w:t>
      </w:r>
      <w:r>
        <w:t xml:space="preserve"> January 2016  </w:t>
      </w:r>
      <w:r w:rsidRPr="00F406F0">
        <w:t xml:space="preserve">p. </w:t>
      </w:r>
      <w:r>
        <w:t>30</w:t>
      </w:r>
      <w:r w:rsidRPr="00F406F0">
        <w:t>.</w:t>
      </w:r>
    </w:p>
  </w:footnote>
  <w:footnote w:id="3">
    <w:p w:rsidR="00616F63" w:rsidRDefault="00616F63" w:rsidP="00CF125B">
      <w:pPr>
        <w:pStyle w:val="FootnoteText"/>
      </w:pPr>
      <w:r>
        <w:rPr>
          <w:rStyle w:val="FootnoteReference"/>
        </w:rPr>
        <w:footnoteRef/>
      </w:r>
      <w:r>
        <w:t xml:space="preserve"> </w:t>
      </w:r>
      <w:r>
        <w:tab/>
        <w:t>Changes to other building block costs affect revenues, which also impact the tax calculation.</w:t>
      </w:r>
    </w:p>
  </w:footnote>
  <w:footnote w:id="4">
    <w:p w:rsidR="00C349AC" w:rsidRDefault="00C349AC">
      <w:pPr>
        <w:pStyle w:val="FootnoteText"/>
      </w:pPr>
      <w:r>
        <w:rPr>
          <w:rStyle w:val="FootnoteReference"/>
        </w:rPr>
        <w:footnoteRef/>
      </w:r>
      <w:r>
        <w:t xml:space="preserve"> </w:t>
      </w:r>
      <w:r>
        <w:tab/>
        <w:t>ActewAGL</w:t>
      </w:r>
      <w:r w:rsidRPr="00F406F0">
        <w:t xml:space="preserve">, </w:t>
      </w:r>
      <w:r w:rsidRPr="00B13853">
        <w:rPr>
          <w:rStyle w:val="AERtextitalic"/>
        </w:rPr>
        <w:t>Response to the AER's draft decision - 2</w:t>
      </w:r>
      <w:r>
        <w:rPr>
          <w:rStyle w:val="AERtextitalic"/>
        </w:rPr>
        <w:t xml:space="preserve">016–21 ACT, Queanbeyan and </w:t>
      </w:r>
      <w:proofErr w:type="spellStart"/>
      <w:r>
        <w:rPr>
          <w:rStyle w:val="AERtextitalic"/>
        </w:rPr>
        <w:t>Palerang</w:t>
      </w:r>
      <w:proofErr w:type="spellEnd"/>
      <w:r>
        <w:rPr>
          <w:rStyle w:val="AERtextitalic"/>
        </w:rPr>
        <w:t xml:space="preserve"> access arrangement,</w:t>
      </w:r>
      <w:r>
        <w:t xml:space="preserve"> January 2016  </w:t>
      </w:r>
      <w:r w:rsidRPr="00F406F0">
        <w:t xml:space="preserve">p. </w:t>
      </w:r>
      <w:r>
        <w:t>91</w:t>
      </w:r>
      <w:r w:rsidRPr="00F406F0">
        <w:t>.</w:t>
      </w:r>
    </w:p>
  </w:footnote>
  <w:footnote w:id="5">
    <w:p w:rsidR="00616F63" w:rsidRDefault="00616F63" w:rsidP="00732428">
      <w:pPr>
        <w:pStyle w:val="FootnoteText"/>
      </w:pPr>
      <w:r>
        <w:rPr>
          <w:rStyle w:val="FootnoteReference"/>
        </w:rPr>
        <w:footnoteRef/>
      </w:r>
      <w:r>
        <w:t xml:space="preserve"> </w:t>
      </w:r>
      <w:r>
        <w:tab/>
        <w:t xml:space="preserve">AER, </w:t>
      </w:r>
      <w:r w:rsidRPr="00404CCD">
        <w:rPr>
          <w:rStyle w:val="AERtextitalic"/>
        </w:rPr>
        <w:t>Draft decision</w:t>
      </w:r>
      <w:r w:rsidR="00604AED">
        <w:rPr>
          <w:rStyle w:val="AERtextitalic"/>
        </w:rPr>
        <w:t>: ActewAGL Distribution access arrangement 2016–21</w:t>
      </w:r>
      <w:r w:rsidRPr="00404CCD">
        <w:rPr>
          <w:rStyle w:val="AERtextitalic"/>
        </w:rPr>
        <w:t>, attachment 8</w:t>
      </w:r>
      <w:r>
        <w:t>, November 2015, pp. 8-11.</w:t>
      </w:r>
    </w:p>
  </w:footnote>
  <w:footnote w:id="6">
    <w:p w:rsidR="00616F63" w:rsidRDefault="00616F63" w:rsidP="00890C70">
      <w:pPr>
        <w:pStyle w:val="FootnoteText"/>
      </w:pPr>
      <w:r>
        <w:rPr>
          <w:rStyle w:val="FootnoteReference"/>
        </w:rPr>
        <w:footnoteRef/>
      </w:r>
      <w:r>
        <w:tab/>
      </w:r>
      <w:proofErr w:type="gramStart"/>
      <w:r>
        <w:t>NGR, r. 87A.</w:t>
      </w:r>
      <w:proofErr w:type="gramEnd"/>
    </w:p>
  </w:footnote>
  <w:footnote w:id="7">
    <w:p w:rsidR="00616F63" w:rsidRDefault="00616F63" w:rsidP="004F0BC3">
      <w:pPr>
        <w:pStyle w:val="FootnoteText"/>
      </w:pPr>
      <w:r>
        <w:rPr>
          <w:rStyle w:val="FootnoteReference"/>
        </w:rPr>
        <w:footnoteRef/>
      </w:r>
      <w:r>
        <w:t xml:space="preserve"> </w:t>
      </w:r>
      <w:r>
        <w:tab/>
      </w:r>
      <w:proofErr w:type="gramStart"/>
      <w:r w:rsidRPr="0019550D">
        <w:rPr>
          <w:rStyle w:val="AERtextitalic"/>
        </w:rPr>
        <w:t>ITAA</w:t>
      </w:r>
      <w:r w:rsidRPr="0019550D">
        <w:t xml:space="preserve"> </w:t>
      </w:r>
      <w:r w:rsidRPr="0019550D">
        <w:rPr>
          <w:rStyle w:val="AERtextitalic"/>
        </w:rPr>
        <w:t>1997</w:t>
      </w:r>
      <w:r>
        <w:t xml:space="preserve">, s. 40.102(5); Australian Taxation Office, </w:t>
      </w:r>
      <w:r w:rsidRPr="00896D81">
        <w:rPr>
          <w:rStyle w:val="AERtextitalic"/>
        </w:rPr>
        <w:t>Taxation Ruling Income tax: effective life of depreciating assets (applicable from 1 July 201</w:t>
      </w:r>
      <w:r>
        <w:rPr>
          <w:rStyle w:val="AERtextitalic"/>
        </w:rPr>
        <w:t>5</w:t>
      </w:r>
      <w:r w:rsidRPr="00896D81">
        <w:rPr>
          <w:rStyle w:val="AERtextitalic"/>
        </w:rPr>
        <w:t>)</w:t>
      </w:r>
      <w:r>
        <w:t xml:space="preserve">: </w:t>
      </w:r>
      <w:hyperlink r:id="rId1" w:history="1">
        <w:r w:rsidRPr="00821798">
          <w:rPr>
            <w:rStyle w:val="Hyperlink"/>
            <w:sz w:val="16"/>
          </w:rPr>
          <w:t>http://law.ato.gov.au/atolaw/view.htm?docid=%22TXR%2FTR20152%2FNAT%2FATO%2F00001%22</w:t>
        </w:r>
      </w:hyperlink>
      <w:r w:rsidRPr="001A6E43">
        <w:t>.</w:t>
      </w:r>
      <w:proofErr w:type="gramEnd"/>
    </w:p>
  </w:footnote>
  <w:footnote w:id="8">
    <w:p w:rsidR="00616F63" w:rsidRDefault="00616F63" w:rsidP="004F0BC3">
      <w:pPr>
        <w:pStyle w:val="FootnoteText"/>
      </w:pPr>
      <w:r>
        <w:rPr>
          <w:rStyle w:val="FootnoteReference"/>
        </w:rPr>
        <w:footnoteRef/>
      </w:r>
      <w:r>
        <w:t xml:space="preserve"> </w:t>
      </w:r>
      <w:r>
        <w:tab/>
        <w:t>AER</w:t>
      </w:r>
      <w:r w:rsidRPr="001A6E43">
        <w:t xml:space="preserve">, </w:t>
      </w:r>
      <w:r w:rsidRPr="00B2085D">
        <w:rPr>
          <w:rStyle w:val="AERtextitalic"/>
        </w:rPr>
        <w:t>F</w:t>
      </w:r>
      <w:r>
        <w:rPr>
          <w:rStyle w:val="AERtextitalic"/>
        </w:rPr>
        <w:t>inal decision PTRM for ActewAGL (Tribunal varied)</w:t>
      </w:r>
      <w:r w:rsidRPr="001A6E43">
        <w:t xml:space="preserve">, </w:t>
      </w:r>
      <w:r>
        <w:t>June 2010</w:t>
      </w:r>
      <w:r w:rsidRPr="001A6E43">
        <w:t>.</w:t>
      </w:r>
    </w:p>
  </w:footnote>
  <w:footnote w:id="9">
    <w:p w:rsidR="00616F63" w:rsidRDefault="00616F63">
      <w:pPr>
        <w:pStyle w:val="FootnoteText"/>
      </w:pPr>
      <w:r>
        <w:rPr>
          <w:rStyle w:val="FootnoteReference"/>
        </w:rPr>
        <w:footnoteRef/>
      </w:r>
      <w:r>
        <w:t xml:space="preserve"> </w:t>
      </w:r>
      <w:r>
        <w:tab/>
      </w:r>
      <w:proofErr w:type="gramStart"/>
      <w:r>
        <w:t xml:space="preserve">AER, </w:t>
      </w:r>
      <w:r w:rsidRPr="00E0231E">
        <w:rPr>
          <w:rStyle w:val="AERtextitalic"/>
        </w:rPr>
        <w:t>Draft decision, attachment 8</w:t>
      </w:r>
      <w:r>
        <w:t>, November 2015, p.6.</w:t>
      </w:r>
      <w:proofErr w:type="gramEnd"/>
    </w:p>
  </w:footnote>
  <w:footnote w:id="10">
    <w:p w:rsidR="00616F63" w:rsidRDefault="00616F63" w:rsidP="004F0BC3">
      <w:pPr>
        <w:pStyle w:val="FootnoteText"/>
      </w:pPr>
      <w:r>
        <w:rPr>
          <w:rStyle w:val="FootnoteReference"/>
        </w:rPr>
        <w:footnoteRef/>
      </w:r>
      <w:r>
        <w:t xml:space="preserve"> </w:t>
      </w:r>
      <w:r>
        <w:tab/>
        <w:t xml:space="preserve">Australian accounting standard board, </w:t>
      </w:r>
      <w:proofErr w:type="gramStart"/>
      <w:r w:rsidRPr="00A5787D">
        <w:rPr>
          <w:i/>
        </w:rPr>
        <w:t>Accounting</w:t>
      </w:r>
      <w:proofErr w:type="gramEnd"/>
      <w:r w:rsidRPr="00A5787D">
        <w:rPr>
          <w:i/>
        </w:rPr>
        <w:t xml:space="preserve"> standard AASB1021: Depreciation, August 1997</w:t>
      </w:r>
      <w:r>
        <w:t xml:space="preserve">, pp. 10–11; ATO, </w:t>
      </w:r>
      <w:r w:rsidRPr="00A5787D">
        <w:rPr>
          <w:i/>
        </w:rPr>
        <w:t>Guide to depreciating assets 2011</w:t>
      </w:r>
      <w:r>
        <w:t>, 2011, p. 3.</w:t>
      </w:r>
    </w:p>
  </w:footnote>
  <w:footnote w:id="11">
    <w:p w:rsidR="00616F63" w:rsidRDefault="00616F63">
      <w:pPr>
        <w:pStyle w:val="FootnoteText"/>
      </w:pPr>
      <w:r>
        <w:rPr>
          <w:rStyle w:val="FootnoteReference"/>
        </w:rPr>
        <w:footnoteRef/>
      </w:r>
      <w:r>
        <w:t xml:space="preserve"> </w:t>
      </w:r>
      <w:r>
        <w:tab/>
        <w:t xml:space="preserve">ActewAGL, </w:t>
      </w:r>
      <w:r w:rsidRPr="009B1193">
        <w:rPr>
          <w:rStyle w:val="AERtextitalic"/>
        </w:rPr>
        <w:t>Response to the AER's draft decision</w:t>
      </w:r>
      <w:r w:rsidR="00CF18ED">
        <w:rPr>
          <w:rStyle w:val="AERtextitalic"/>
        </w:rPr>
        <w:t>:</w:t>
      </w:r>
      <w:r w:rsidRPr="009B1193">
        <w:rPr>
          <w:rStyle w:val="AERtextitalic"/>
        </w:rPr>
        <w:t xml:space="preserve"> 2016</w:t>
      </w:r>
      <w:r w:rsidRPr="009B1193">
        <w:rPr>
          <w:rStyle w:val="AERtextitalic"/>
        </w:rPr>
        <w:softHyphen/>
        <w:t xml:space="preserve">–21 Queanbeyan and </w:t>
      </w:r>
      <w:proofErr w:type="spellStart"/>
      <w:r w:rsidRPr="009B1193">
        <w:rPr>
          <w:rStyle w:val="AERtextitalic"/>
        </w:rPr>
        <w:t>Palerang</w:t>
      </w:r>
      <w:proofErr w:type="spellEnd"/>
      <w:r w:rsidRPr="009B1193">
        <w:rPr>
          <w:rStyle w:val="AERtextitalic"/>
        </w:rPr>
        <w:t xml:space="preserve"> Gas Network Access Arrangement,</w:t>
      </w:r>
      <w:r>
        <w:t xml:space="preserve"> January 2016</w:t>
      </w:r>
      <w:r w:rsidR="00CF18ED">
        <w:t>.</w:t>
      </w:r>
      <w:r>
        <w:t xml:space="preserve"> </w:t>
      </w:r>
      <w:proofErr w:type="gramStart"/>
      <w:r>
        <w:t>p.</w:t>
      </w:r>
      <w:r w:rsidR="00CF18ED">
        <w:t xml:space="preserve"> 91.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63" w:rsidRDefault="0006379C">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616F63">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63" w:rsidRDefault="0006379C">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F7B8DD34"/>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AC6DD7"/>
    <w:multiLevelType w:val="multilevel"/>
    <w:tmpl w:val="950A1C52"/>
    <w:lvl w:ilvl="0">
      <w:start w:val="1"/>
      <w:numFmt w:val="none"/>
      <w:lvlText w:val="%1"/>
      <w:lvlJc w:val="left"/>
      <w:pPr>
        <w:tabs>
          <w:tab w:val="num" w:pos="0"/>
        </w:tabs>
        <w:ind w:left="0" w:firstLine="0"/>
      </w:pPr>
      <w:rPr>
        <w:rFonts w:hint="default"/>
      </w:rPr>
    </w:lvl>
    <w:lvl w:ilvl="1">
      <w:start w:val="8"/>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7">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Nzf77CAu5Y0c8FPV+4e6gL1XQ+io4txywIpZo84q+54=" w:saltValue="ihNG/wkITdgu0EBXljbrU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784\AER15 4325  AER - Final decision Amadeus Gas Pipeline Access Arrangement - Attachment 8 - Corporate income tax - April 2016.DOCX"/>
  </w:docVars>
  <w:rsids>
    <w:rsidRoot w:val="00961A4A"/>
    <w:rsid w:val="00004633"/>
    <w:rsid w:val="00010286"/>
    <w:rsid w:val="00017DA6"/>
    <w:rsid w:val="00021202"/>
    <w:rsid w:val="00021C2B"/>
    <w:rsid w:val="0002517F"/>
    <w:rsid w:val="00026303"/>
    <w:rsid w:val="00026495"/>
    <w:rsid w:val="0003578C"/>
    <w:rsid w:val="000401AF"/>
    <w:rsid w:val="00041DDA"/>
    <w:rsid w:val="000459AB"/>
    <w:rsid w:val="00063247"/>
    <w:rsid w:val="0006379C"/>
    <w:rsid w:val="00063A92"/>
    <w:rsid w:val="00070F9F"/>
    <w:rsid w:val="0007137B"/>
    <w:rsid w:val="00073A04"/>
    <w:rsid w:val="00074CBA"/>
    <w:rsid w:val="00085663"/>
    <w:rsid w:val="00085EBF"/>
    <w:rsid w:val="00085F93"/>
    <w:rsid w:val="00091B15"/>
    <w:rsid w:val="000A1E7C"/>
    <w:rsid w:val="000A3020"/>
    <w:rsid w:val="000A4698"/>
    <w:rsid w:val="000A6C7B"/>
    <w:rsid w:val="000B0360"/>
    <w:rsid w:val="000C2B40"/>
    <w:rsid w:val="000D01F4"/>
    <w:rsid w:val="000D06C1"/>
    <w:rsid w:val="000D122C"/>
    <w:rsid w:val="000D3016"/>
    <w:rsid w:val="000D64F2"/>
    <w:rsid w:val="000D7F32"/>
    <w:rsid w:val="000E1819"/>
    <w:rsid w:val="000E4821"/>
    <w:rsid w:val="000E6C72"/>
    <w:rsid w:val="000F0B2B"/>
    <w:rsid w:val="000F1198"/>
    <w:rsid w:val="000F3E72"/>
    <w:rsid w:val="000F48B1"/>
    <w:rsid w:val="000F723D"/>
    <w:rsid w:val="00100D27"/>
    <w:rsid w:val="00103A67"/>
    <w:rsid w:val="00116EB2"/>
    <w:rsid w:val="00124609"/>
    <w:rsid w:val="00126A4C"/>
    <w:rsid w:val="00134E8C"/>
    <w:rsid w:val="00142AB6"/>
    <w:rsid w:val="0014573B"/>
    <w:rsid w:val="00147E70"/>
    <w:rsid w:val="00156DCC"/>
    <w:rsid w:val="001573E4"/>
    <w:rsid w:val="00160756"/>
    <w:rsid w:val="0017232E"/>
    <w:rsid w:val="00174102"/>
    <w:rsid w:val="0017480F"/>
    <w:rsid w:val="001754EE"/>
    <w:rsid w:val="00180157"/>
    <w:rsid w:val="00182467"/>
    <w:rsid w:val="00185CB9"/>
    <w:rsid w:val="00186F77"/>
    <w:rsid w:val="001926A4"/>
    <w:rsid w:val="00192AD5"/>
    <w:rsid w:val="001B3F62"/>
    <w:rsid w:val="001B45A0"/>
    <w:rsid w:val="001B45C0"/>
    <w:rsid w:val="001B521E"/>
    <w:rsid w:val="001B6F2E"/>
    <w:rsid w:val="001B7D00"/>
    <w:rsid w:val="001C17E7"/>
    <w:rsid w:val="001D055E"/>
    <w:rsid w:val="001D1216"/>
    <w:rsid w:val="001E009C"/>
    <w:rsid w:val="001E5FE2"/>
    <w:rsid w:val="001E6071"/>
    <w:rsid w:val="001F05A4"/>
    <w:rsid w:val="001F492E"/>
    <w:rsid w:val="001F6DA3"/>
    <w:rsid w:val="002010BC"/>
    <w:rsid w:val="002016E7"/>
    <w:rsid w:val="00201F98"/>
    <w:rsid w:val="00202E03"/>
    <w:rsid w:val="0020478D"/>
    <w:rsid w:val="0020492C"/>
    <w:rsid w:val="00205A33"/>
    <w:rsid w:val="00215947"/>
    <w:rsid w:val="0022444D"/>
    <w:rsid w:val="00224DB9"/>
    <w:rsid w:val="00227DCE"/>
    <w:rsid w:val="00231109"/>
    <w:rsid w:val="0023276C"/>
    <w:rsid w:val="00233775"/>
    <w:rsid w:val="00242349"/>
    <w:rsid w:val="00250039"/>
    <w:rsid w:val="00251745"/>
    <w:rsid w:val="00263AC0"/>
    <w:rsid w:val="00264264"/>
    <w:rsid w:val="0026772D"/>
    <w:rsid w:val="00277554"/>
    <w:rsid w:val="00286874"/>
    <w:rsid w:val="00290C63"/>
    <w:rsid w:val="00296B65"/>
    <w:rsid w:val="0029724D"/>
    <w:rsid w:val="002A6688"/>
    <w:rsid w:val="002A7DEF"/>
    <w:rsid w:val="002B1003"/>
    <w:rsid w:val="002B573C"/>
    <w:rsid w:val="002C233C"/>
    <w:rsid w:val="002D36AC"/>
    <w:rsid w:val="002D72E8"/>
    <w:rsid w:val="002E6A41"/>
    <w:rsid w:val="002E7B22"/>
    <w:rsid w:val="002F7986"/>
    <w:rsid w:val="00301B40"/>
    <w:rsid w:val="00301F1F"/>
    <w:rsid w:val="003029A5"/>
    <w:rsid w:val="003029EE"/>
    <w:rsid w:val="0030370B"/>
    <w:rsid w:val="00305CC8"/>
    <w:rsid w:val="00307F6D"/>
    <w:rsid w:val="003130C9"/>
    <w:rsid w:val="003177A2"/>
    <w:rsid w:val="00320869"/>
    <w:rsid w:val="00326B1D"/>
    <w:rsid w:val="003271B5"/>
    <w:rsid w:val="00327A1E"/>
    <w:rsid w:val="00331264"/>
    <w:rsid w:val="003338A2"/>
    <w:rsid w:val="00334C8D"/>
    <w:rsid w:val="0033516A"/>
    <w:rsid w:val="0033548E"/>
    <w:rsid w:val="003431E2"/>
    <w:rsid w:val="00343A18"/>
    <w:rsid w:val="00344473"/>
    <w:rsid w:val="00344D08"/>
    <w:rsid w:val="003457F9"/>
    <w:rsid w:val="00347114"/>
    <w:rsid w:val="003518B3"/>
    <w:rsid w:val="00353CC4"/>
    <w:rsid w:val="003578CD"/>
    <w:rsid w:val="00362FA1"/>
    <w:rsid w:val="003666F2"/>
    <w:rsid w:val="00370C6C"/>
    <w:rsid w:val="003717D8"/>
    <w:rsid w:val="003846F1"/>
    <w:rsid w:val="003903D4"/>
    <w:rsid w:val="00391BF0"/>
    <w:rsid w:val="003931A7"/>
    <w:rsid w:val="00393646"/>
    <w:rsid w:val="00397DD7"/>
    <w:rsid w:val="003A0666"/>
    <w:rsid w:val="003B3693"/>
    <w:rsid w:val="003B484F"/>
    <w:rsid w:val="003B7FBA"/>
    <w:rsid w:val="003D1406"/>
    <w:rsid w:val="003F0B4A"/>
    <w:rsid w:val="003F174D"/>
    <w:rsid w:val="003F2DE2"/>
    <w:rsid w:val="003F572D"/>
    <w:rsid w:val="003F7442"/>
    <w:rsid w:val="00415F31"/>
    <w:rsid w:val="004215DD"/>
    <w:rsid w:val="0042205D"/>
    <w:rsid w:val="00423A77"/>
    <w:rsid w:val="00436ECD"/>
    <w:rsid w:val="00452473"/>
    <w:rsid w:val="0045777E"/>
    <w:rsid w:val="00461B0F"/>
    <w:rsid w:val="00461C29"/>
    <w:rsid w:val="00462BED"/>
    <w:rsid w:val="00464A8A"/>
    <w:rsid w:val="00474EC7"/>
    <w:rsid w:val="00480B4B"/>
    <w:rsid w:val="00485DC4"/>
    <w:rsid w:val="004A0A5E"/>
    <w:rsid w:val="004A2854"/>
    <w:rsid w:val="004A43D1"/>
    <w:rsid w:val="004B03E0"/>
    <w:rsid w:val="004B355D"/>
    <w:rsid w:val="004B4412"/>
    <w:rsid w:val="004C0C43"/>
    <w:rsid w:val="004C17F5"/>
    <w:rsid w:val="004C348C"/>
    <w:rsid w:val="004C6A30"/>
    <w:rsid w:val="004D1A96"/>
    <w:rsid w:val="004D55BA"/>
    <w:rsid w:val="004E22EC"/>
    <w:rsid w:val="004E2A4C"/>
    <w:rsid w:val="004F0BC3"/>
    <w:rsid w:val="004F3129"/>
    <w:rsid w:val="004F6A0E"/>
    <w:rsid w:val="00530128"/>
    <w:rsid w:val="00532467"/>
    <w:rsid w:val="00535CFC"/>
    <w:rsid w:val="00537FD6"/>
    <w:rsid w:val="00561E8A"/>
    <w:rsid w:val="00564A4D"/>
    <w:rsid w:val="0056588A"/>
    <w:rsid w:val="00566E2E"/>
    <w:rsid w:val="00567BA5"/>
    <w:rsid w:val="00571B35"/>
    <w:rsid w:val="00571D57"/>
    <w:rsid w:val="00574E6D"/>
    <w:rsid w:val="00577A09"/>
    <w:rsid w:val="005829C2"/>
    <w:rsid w:val="00584D8F"/>
    <w:rsid w:val="00585A4E"/>
    <w:rsid w:val="00586819"/>
    <w:rsid w:val="005963A0"/>
    <w:rsid w:val="0059704C"/>
    <w:rsid w:val="0059769E"/>
    <w:rsid w:val="00597E7B"/>
    <w:rsid w:val="005A404D"/>
    <w:rsid w:val="005B1056"/>
    <w:rsid w:val="005B1E3C"/>
    <w:rsid w:val="005B3FB7"/>
    <w:rsid w:val="005B4D33"/>
    <w:rsid w:val="005B704A"/>
    <w:rsid w:val="005C0A7F"/>
    <w:rsid w:val="005C26CC"/>
    <w:rsid w:val="005C4C9C"/>
    <w:rsid w:val="005C620F"/>
    <w:rsid w:val="005C6218"/>
    <w:rsid w:val="005C6FF6"/>
    <w:rsid w:val="005C7908"/>
    <w:rsid w:val="005D03B1"/>
    <w:rsid w:val="005D7BA2"/>
    <w:rsid w:val="005E36C2"/>
    <w:rsid w:val="005F0183"/>
    <w:rsid w:val="005F727F"/>
    <w:rsid w:val="006007DE"/>
    <w:rsid w:val="00601638"/>
    <w:rsid w:val="00604AED"/>
    <w:rsid w:val="00610EF9"/>
    <w:rsid w:val="00611766"/>
    <w:rsid w:val="00612F4F"/>
    <w:rsid w:val="00615C6B"/>
    <w:rsid w:val="00616F63"/>
    <w:rsid w:val="00620DC3"/>
    <w:rsid w:val="00621DCE"/>
    <w:rsid w:val="0062277E"/>
    <w:rsid w:val="00632329"/>
    <w:rsid w:val="00632548"/>
    <w:rsid w:val="00632D6D"/>
    <w:rsid w:val="00640812"/>
    <w:rsid w:val="00642C3E"/>
    <w:rsid w:val="00651C3A"/>
    <w:rsid w:val="00651CB2"/>
    <w:rsid w:val="006560CA"/>
    <w:rsid w:val="0066104A"/>
    <w:rsid w:val="00663DAD"/>
    <w:rsid w:val="00665649"/>
    <w:rsid w:val="00666E20"/>
    <w:rsid w:val="006672AA"/>
    <w:rsid w:val="00675E20"/>
    <w:rsid w:val="00676679"/>
    <w:rsid w:val="006812E7"/>
    <w:rsid w:val="00683C89"/>
    <w:rsid w:val="00684C16"/>
    <w:rsid w:val="00691D9A"/>
    <w:rsid w:val="006A23EA"/>
    <w:rsid w:val="006A7CB9"/>
    <w:rsid w:val="006A7D76"/>
    <w:rsid w:val="006B2395"/>
    <w:rsid w:val="006B45A4"/>
    <w:rsid w:val="006B4CF9"/>
    <w:rsid w:val="006B785B"/>
    <w:rsid w:val="006B7AC8"/>
    <w:rsid w:val="006C1736"/>
    <w:rsid w:val="006C1D08"/>
    <w:rsid w:val="006C4798"/>
    <w:rsid w:val="006C774D"/>
    <w:rsid w:val="006D22F2"/>
    <w:rsid w:val="006D550F"/>
    <w:rsid w:val="006E3F76"/>
    <w:rsid w:val="006F1F83"/>
    <w:rsid w:val="006F3AD1"/>
    <w:rsid w:val="006F3FC8"/>
    <w:rsid w:val="006F6183"/>
    <w:rsid w:val="0070011E"/>
    <w:rsid w:val="00701CAB"/>
    <w:rsid w:val="00707563"/>
    <w:rsid w:val="00707E54"/>
    <w:rsid w:val="00712D78"/>
    <w:rsid w:val="007164A7"/>
    <w:rsid w:val="0072348C"/>
    <w:rsid w:val="007247B2"/>
    <w:rsid w:val="00724A37"/>
    <w:rsid w:val="00727137"/>
    <w:rsid w:val="007303C3"/>
    <w:rsid w:val="00732428"/>
    <w:rsid w:val="00741C46"/>
    <w:rsid w:val="00741E23"/>
    <w:rsid w:val="007429BE"/>
    <w:rsid w:val="00743223"/>
    <w:rsid w:val="00746E01"/>
    <w:rsid w:val="00747EEA"/>
    <w:rsid w:val="00752C8D"/>
    <w:rsid w:val="00757364"/>
    <w:rsid w:val="00757BDF"/>
    <w:rsid w:val="007609D0"/>
    <w:rsid w:val="00763618"/>
    <w:rsid w:val="00763E5D"/>
    <w:rsid w:val="00767740"/>
    <w:rsid w:val="00777A2C"/>
    <w:rsid w:val="00777A3A"/>
    <w:rsid w:val="00777EE6"/>
    <w:rsid w:val="00782EEA"/>
    <w:rsid w:val="00796635"/>
    <w:rsid w:val="007A7002"/>
    <w:rsid w:val="007A7136"/>
    <w:rsid w:val="007A7F63"/>
    <w:rsid w:val="007B011C"/>
    <w:rsid w:val="007B186E"/>
    <w:rsid w:val="007B2C72"/>
    <w:rsid w:val="007B6C52"/>
    <w:rsid w:val="007C1C53"/>
    <w:rsid w:val="007C74BB"/>
    <w:rsid w:val="007D3941"/>
    <w:rsid w:val="007D456E"/>
    <w:rsid w:val="007E42F4"/>
    <w:rsid w:val="007E4904"/>
    <w:rsid w:val="007E4CB5"/>
    <w:rsid w:val="007F066B"/>
    <w:rsid w:val="007F213A"/>
    <w:rsid w:val="007F75C4"/>
    <w:rsid w:val="008033C4"/>
    <w:rsid w:val="008057DE"/>
    <w:rsid w:val="00806C88"/>
    <w:rsid w:val="00810070"/>
    <w:rsid w:val="0081034E"/>
    <w:rsid w:val="008105F6"/>
    <w:rsid w:val="00812B03"/>
    <w:rsid w:val="00815CAC"/>
    <w:rsid w:val="008168E7"/>
    <w:rsid w:val="00820A85"/>
    <w:rsid w:val="00821004"/>
    <w:rsid w:val="00821486"/>
    <w:rsid w:val="008221F2"/>
    <w:rsid w:val="00825985"/>
    <w:rsid w:val="008301A7"/>
    <w:rsid w:val="008301B2"/>
    <w:rsid w:val="00833F00"/>
    <w:rsid w:val="008344F6"/>
    <w:rsid w:val="0083510F"/>
    <w:rsid w:val="00835B50"/>
    <w:rsid w:val="008408C5"/>
    <w:rsid w:val="008414FC"/>
    <w:rsid w:val="00842660"/>
    <w:rsid w:val="00847887"/>
    <w:rsid w:val="00851209"/>
    <w:rsid w:val="0085722A"/>
    <w:rsid w:val="00862B19"/>
    <w:rsid w:val="00864B35"/>
    <w:rsid w:val="00866D99"/>
    <w:rsid w:val="00867CF6"/>
    <w:rsid w:val="008749E0"/>
    <w:rsid w:val="00874CD0"/>
    <w:rsid w:val="00882481"/>
    <w:rsid w:val="008837AC"/>
    <w:rsid w:val="008879BA"/>
    <w:rsid w:val="00890C70"/>
    <w:rsid w:val="00895536"/>
    <w:rsid w:val="008A587D"/>
    <w:rsid w:val="008B35CD"/>
    <w:rsid w:val="008B5FCC"/>
    <w:rsid w:val="008B7544"/>
    <w:rsid w:val="008C3374"/>
    <w:rsid w:val="008C39F0"/>
    <w:rsid w:val="008C5486"/>
    <w:rsid w:val="008C63DF"/>
    <w:rsid w:val="008C708B"/>
    <w:rsid w:val="008D1661"/>
    <w:rsid w:val="008D6800"/>
    <w:rsid w:val="008E7031"/>
    <w:rsid w:val="008E77DE"/>
    <w:rsid w:val="008F07A3"/>
    <w:rsid w:val="008F0E12"/>
    <w:rsid w:val="008F16B3"/>
    <w:rsid w:val="008F34DD"/>
    <w:rsid w:val="009001B6"/>
    <w:rsid w:val="00900E1B"/>
    <w:rsid w:val="00901C3C"/>
    <w:rsid w:val="009023FB"/>
    <w:rsid w:val="009024ED"/>
    <w:rsid w:val="009038ED"/>
    <w:rsid w:val="009130B7"/>
    <w:rsid w:val="009233EE"/>
    <w:rsid w:val="00923CFC"/>
    <w:rsid w:val="00923FA9"/>
    <w:rsid w:val="009272AD"/>
    <w:rsid w:val="009277DC"/>
    <w:rsid w:val="009460AA"/>
    <w:rsid w:val="0094641C"/>
    <w:rsid w:val="00951978"/>
    <w:rsid w:val="00961115"/>
    <w:rsid w:val="00961A4A"/>
    <w:rsid w:val="009661DE"/>
    <w:rsid w:val="00966ACA"/>
    <w:rsid w:val="00983C25"/>
    <w:rsid w:val="00985047"/>
    <w:rsid w:val="009856B7"/>
    <w:rsid w:val="00985C86"/>
    <w:rsid w:val="00996BAF"/>
    <w:rsid w:val="009972D8"/>
    <w:rsid w:val="009A21F3"/>
    <w:rsid w:val="009A4FAA"/>
    <w:rsid w:val="009A5113"/>
    <w:rsid w:val="009A539D"/>
    <w:rsid w:val="009A5FC3"/>
    <w:rsid w:val="009B1193"/>
    <w:rsid w:val="009B5DC8"/>
    <w:rsid w:val="009B6F84"/>
    <w:rsid w:val="009B7343"/>
    <w:rsid w:val="009B74B0"/>
    <w:rsid w:val="009C691D"/>
    <w:rsid w:val="009D1450"/>
    <w:rsid w:val="009D2B38"/>
    <w:rsid w:val="009D3906"/>
    <w:rsid w:val="009D6B46"/>
    <w:rsid w:val="009E2B0D"/>
    <w:rsid w:val="009F4940"/>
    <w:rsid w:val="009F5817"/>
    <w:rsid w:val="009F5BA1"/>
    <w:rsid w:val="00A02A88"/>
    <w:rsid w:val="00A0562E"/>
    <w:rsid w:val="00A06085"/>
    <w:rsid w:val="00A0726D"/>
    <w:rsid w:val="00A16596"/>
    <w:rsid w:val="00A20AE0"/>
    <w:rsid w:val="00A2303E"/>
    <w:rsid w:val="00A32FBB"/>
    <w:rsid w:val="00A428EE"/>
    <w:rsid w:val="00A4478A"/>
    <w:rsid w:val="00A44852"/>
    <w:rsid w:val="00A4650A"/>
    <w:rsid w:val="00A50502"/>
    <w:rsid w:val="00A57D04"/>
    <w:rsid w:val="00A60A26"/>
    <w:rsid w:val="00A61598"/>
    <w:rsid w:val="00A8205B"/>
    <w:rsid w:val="00A82EF3"/>
    <w:rsid w:val="00A84A99"/>
    <w:rsid w:val="00A84F46"/>
    <w:rsid w:val="00A871F4"/>
    <w:rsid w:val="00A87AC3"/>
    <w:rsid w:val="00A90AA4"/>
    <w:rsid w:val="00A923BF"/>
    <w:rsid w:val="00AB47E1"/>
    <w:rsid w:val="00AC1B2C"/>
    <w:rsid w:val="00AC3264"/>
    <w:rsid w:val="00AC549D"/>
    <w:rsid w:val="00AD3884"/>
    <w:rsid w:val="00AD7B56"/>
    <w:rsid w:val="00AE1BF1"/>
    <w:rsid w:val="00AF0DD2"/>
    <w:rsid w:val="00AF2A5C"/>
    <w:rsid w:val="00B0209D"/>
    <w:rsid w:val="00B02961"/>
    <w:rsid w:val="00B04908"/>
    <w:rsid w:val="00B04B4C"/>
    <w:rsid w:val="00B07CEA"/>
    <w:rsid w:val="00B13048"/>
    <w:rsid w:val="00B13853"/>
    <w:rsid w:val="00B14EEC"/>
    <w:rsid w:val="00B1716D"/>
    <w:rsid w:val="00B17918"/>
    <w:rsid w:val="00B17A1D"/>
    <w:rsid w:val="00B207A0"/>
    <w:rsid w:val="00B37801"/>
    <w:rsid w:val="00B40CAA"/>
    <w:rsid w:val="00B514DD"/>
    <w:rsid w:val="00B51F3F"/>
    <w:rsid w:val="00B52AF0"/>
    <w:rsid w:val="00B561BD"/>
    <w:rsid w:val="00B56E03"/>
    <w:rsid w:val="00B61EDF"/>
    <w:rsid w:val="00B67E9E"/>
    <w:rsid w:val="00B74AC5"/>
    <w:rsid w:val="00B757A6"/>
    <w:rsid w:val="00B8080B"/>
    <w:rsid w:val="00B82223"/>
    <w:rsid w:val="00B87BA5"/>
    <w:rsid w:val="00B87C39"/>
    <w:rsid w:val="00B9562D"/>
    <w:rsid w:val="00BA0731"/>
    <w:rsid w:val="00BA4665"/>
    <w:rsid w:val="00BA47EE"/>
    <w:rsid w:val="00BB19F0"/>
    <w:rsid w:val="00BB2FB2"/>
    <w:rsid w:val="00BB3304"/>
    <w:rsid w:val="00BB3FD7"/>
    <w:rsid w:val="00BB6848"/>
    <w:rsid w:val="00BB7528"/>
    <w:rsid w:val="00BC18DE"/>
    <w:rsid w:val="00BC2FAF"/>
    <w:rsid w:val="00BC42EF"/>
    <w:rsid w:val="00BD0920"/>
    <w:rsid w:val="00BD0C45"/>
    <w:rsid w:val="00BD1A74"/>
    <w:rsid w:val="00BD310B"/>
    <w:rsid w:val="00BD3446"/>
    <w:rsid w:val="00BE1F1B"/>
    <w:rsid w:val="00BE47B5"/>
    <w:rsid w:val="00BF0C8F"/>
    <w:rsid w:val="00BF0CD7"/>
    <w:rsid w:val="00C02A46"/>
    <w:rsid w:val="00C04223"/>
    <w:rsid w:val="00C15EA4"/>
    <w:rsid w:val="00C25FA6"/>
    <w:rsid w:val="00C275C4"/>
    <w:rsid w:val="00C30637"/>
    <w:rsid w:val="00C349AC"/>
    <w:rsid w:val="00C36F19"/>
    <w:rsid w:val="00C42125"/>
    <w:rsid w:val="00C42ACA"/>
    <w:rsid w:val="00C449F7"/>
    <w:rsid w:val="00C5122C"/>
    <w:rsid w:val="00C538A9"/>
    <w:rsid w:val="00C53B5A"/>
    <w:rsid w:val="00C54F5A"/>
    <w:rsid w:val="00C55343"/>
    <w:rsid w:val="00C569B4"/>
    <w:rsid w:val="00C56A01"/>
    <w:rsid w:val="00C56A3E"/>
    <w:rsid w:val="00C67A92"/>
    <w:rsid w:val="00C7497E"/>
    <w:rsid w:val="00C74D43"/>
    <w:rsid w:val="00C81568"/>
    <w:rsid w:val="00C84560"/>
    <w:rsid w:val="00C84F52"/>
    <w:rsid w:val="00C86679"/>
    <w:rsid w:val="00C95E67"/>
    <w:rsid w:val="00C97CDF"/>
    <w:rsid w:val="00CA1BCA"/>
    <w:rsid w:val="00CA2ABF"/>
    <w:rsid w:val="00CA2C1D"/>
    <w:rsid w:val="00CA489E"/>
    <w:rsid w:val="00CA52A2"/>
    <w:rsid w:val="00CA5984"/>
    <w:rsid w:val="00CB0279"/>
    <w:rsid w:val="00CB666B"/>
    <w:rsid w:val="00CC0429"/>
    <w:rsid w:val="00CC7F1D"/>
    <w:rsid w:val="00CD16D3"/>
    <w:rsid w:val="00CD19EE"/>
    <w:rsid w:val="00CD4C9C"/>
    <w:rsid w:val="00CE484B"/>
    <w:rsid w:val="00CE4900"/>
    <w:rsid w:val="00CF0DEE"/>
    <w:rsid w:val="00CF125B"/>
    <w:rsid w:val="00CF18ED"/>
    <w:rsid w:val="00CF1D53"/>
    <w:rsid w:val="00CF2C05"/>
    <w:rsid w:val="00CF6EDE"/>
    <w:rsid w:val="00D006AE"/>
    <w:rsid w:val="00D01CF0"/>
    <w:rsid w:val="00D01EFD"/>
    <w:rsid w:val="00D0442A"/>
    <w:rsid w:val="00D06055"/>
    <w:rsid w:val="00D066B7"/>
    <w:rsid w:val="00D17683"/>
    <w:rsid w:val="00D33A98"/>
    <w:rsid w:val="00D36FCC"/>
    <w:rsid w:val="00D41E80"/>
    <w:rsid w:val="00D45694"/>
    <w:rsid w:val="00D608F6"/>
    <w:rsid w:val="00D60EFF"/>
    <w:rsid w:val="00D61388"/>
    <w:rsid w:val="00D61A54"/>
    <w:rsid w:val="00D64275"/>
    <w:rsid w:val="00D64DEA"/>
    <w:rsid w:val="00D7168E"/>
    <w:rsid w:val="00D71E57"/>
    <w:rsid w:val="00D72F88"/>
    <w:rsid w:val="00D75AA2"/>
    <w:rsid w:val="00D7645E"/>
    <w:rsid w:val="00D80893"/>
    <w:rsid w:val="00D84854"/>
    <w:rsid w:val="00D848B4"/>
    <w:rsid w:val="00D86B06"/>
    <w:rsid w:val="00D92CF1"/>
    <w:rsid w:val="00D92D38"/>
    <w:rsid w:val="00D931CB"/>
    <w:rsid w:val="00D950F5"/>
    <w:rsid w:val="00DA0BCC"/>
    <w:rsid w:val="00DA4752"/>
    <w:rsid w:val="00DA61F3"/>
    <w:rsid w:val="00DA6B93"/>
    <w:rsid w:val="00DA6F94"/>
    <w:rsid w:val="00DB0F93"/>
    <w:rsid w:val="00DB1A67"/>
    <w:rsid w:val="00DB4B35"/>
    <w:rsid w:val="00DB5074"/>
    <w:rsid w:val="00DB5B21"/>
    <w:rsid w:val="00DC363D"/>
    <w:rsid w:val="00DC7981"/>
    <w:rsid w:val="00DD1C15"/>
    <w:rsid w:val="00DE1093"/>
    <w:rsid w:val="00DE4EFA"/>
    <w:rsid w:val="00DE5520"/>
    <w:rsid w:val="00DE563D"/>
    <w:rsid w:val="00DE5E2E"/>
    <w:rsid w:val="00DE772C"/>
    <w:rsid w:val="00DF1D9A"/>
    <w:rsid w:val="00DF312A"/>
    <w:rsid w:val="00DF5916"/>
    <w:rsid w:val="00DF7214"/>
    <w:rsid w:val="00E0231E"/>
    <w:rsid w:val="00E04818"/>
    <w:rsid w:val="00E06442"/>
    <w:rsid w:val="00E06BCF"/>
    <w:rsid w:val="00E1001C"/>
    <w:rsid w:val="00E23993"/>
    <w:rsid w:val="00E24D0A"/>
    <w:rsid w:val="00E257D6"/>
    <w:rsid w:val="00E25B8C"/>
    <w:rsid w:val="00E3544F"/>
    <w:rsid w:val="00E420E2"/>
    <w:rsid w:val="00E51D65"/>
    <w:rsid w:val="00E6200B"/>
    <w:rsid w:val="00E65C85"/>
    <w:rsid w:val="00E66199"/>
    <w:rsid w:val="00E711C7"/>
    <w:rsid w:val="00E7494F"/>
    <w:rsid w:val="00E755EC"/>
    <w:rsid w:val="00E7624D"/>
    <w:rsid w:val="00E97242"/>
    <w:rsid w:val="00EA13FF"/>
    <w:rsid w:val="00EA38F3"/>
    <w:rsid w:val="00EA3D42"/>
    <w:rsid w:val="00EA6B1B"/>
    <w:rsid w:val="00EB489D"/>
    <w:rsid w:val="00EB5BC8"/>
    <w:rsid w:val="00EB606C"/>
    <w:rsid w:val="00EC04F1"/>
    <w:rsid w:val="00EC1B2B"/>
    <w:rsid w:val="00EC32E5"/>
    <w:rsid w:val="00ED0EC2"/>
    <w:rsid w:val="00ED3474"/>
    <w:rsid w:val="00ED7323"/>
    <w:rsid w:val="00ED7876"/>
    <w:rsid w:val="00EE28F3"/>
    <w:rsid w:val="00EE2F11"/>
    <w:rsid w:val="00EE4582"/>
    <w:rsid w:val="00EE50D1"/>
    <w:rsid w:val="00EE77FA"/>
    <w:rsid w:val="00EE7A83"/>
    <w:rsid w:val="00EF1B7A"/>
    <w:rsid w:val="00EF5110"/>
    <w:rsid w:val="00F02030"/>
    <w:rsid w:val="00F0334E"/>
    <w:rsid w:val="00F033FD"/>
    <w:rsid w:val="00F07967"/>
    <w:rsid w:val="00F10411"/>
    <w:rsid w:val="00F15882"/>
    <w:rsid w:val="00F171E0"/>
    <w:rsid w:val="00F20BD3"/>
    <w:rsid w:val="00F2526A"/>
    <w:rsid w:val="00F35081"/>
    <w:rsid w:val="00F373A5"/>
    <w:rsid w:val="00F42E08"/>
    <w:rsid w:val="00F47559"/>
    <w:rsid w:val="00F55B91"/>
    <w:rsid w:val="00F57907"/>
    <w:rsid w:val="00F61176"/>
    <w:rsid w:val="00F62A30"/>
    <w:rsid w:val="00F64C7B"/>
    <w:rsid w:val="00F65B25"/>
    <w:rsid w:val="00F676DD"/>
    <w:rsid w:val="00F71667"/>
    <w:rsid w:val="00F73895"/>
    <w:rsid w:val="00F75A26"/>
    <w:rsid w:val="00F76706"/>
    <w:rsid w:val="00F768C8"/>
    <w:rsid w:val="00F81B8D"/>
    <w:rsid w:val="00F83FAD"/>
    <w:rsid w:val="00F8653A"/>
    <w:rsid w:val="00F91F55"/>
    <w:rsid w:val="00F92349"/>
    <w:rsid w:val="00F93B21"/>
    <w:rsid w:val="00F952A0"/>
    <w:rsid w:val="00FA050E"/>
    <w:rsid w:val="00FA3C7F"/>
    <w:rsid w:val="00FB1BF3"/>
    <w:rsid w:val="00FB2530"/>
    <w:rsid w:val="00FB4402"/>
    <w:rsid w:val="00FB60FE"/>
    <w:rsid w:val="00FB74E2"/>
    <w:rsid w:val="00FC71DC"/>
    <w:rsid w:val="00FD2ED2"/>
    <w:rsid w:val="00FD5614"/>
    <w:rsid w:val="00FD5E78"/>
    <w:rsid w:val="00FE0BE1"/>
    <w:rsid w:val="00FE1DE9"/>
    <w:rsid w:val="00FE36AF"/>
    <w:rsid w:val="00FE39C2"/>
    <w:rsid w:val="00FE3C32"/>
    <w:rsid w:val="00FE64AE"/>
    <w:rsid w:val="00FF12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65011789">
      <w:bodyDiv w:val="1"/>
      <w:marLeft w:val="0"/>
      <w:marRight w:val="0"/>
      <w:marTop w:val="0"/>
      <w:marBottom w:val="0"/>
      <w:divBdr>
        <w:top w:val="none" w:sz="0" w:space="0" w:color="auto"/>
        <w:left w:val="none" w:sz="0" w:space="0" w:color="auto"/>
        <w:bottom w:val="none" w:sz="0" w:space="0" w:color="auto"/>
        <w:right w:val="none" w:sz="0" w:space="0" w:color="auto"/>
      </w:divBdr>
    </w:div>
    <w:div w:id="197409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law.ato.gov.au/atolaw/view.htm?docid=%22TXR%2FTR20152%2FNAT%2FATO%2F00001%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F15594-4632-4D65-82BE-1DFB4598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87172699</Template>
  <TotalTime>0</TotalTime>
  <Pages>13</Pages>
  <Words>2427</Words>
  <Characters>13840</Characters>
  <Application>Microsoft Office Word</Application>
  <DocSecurity>0</DocSecurity>
  <Lines>115</Lines>
  <Paragraphs>32</Paragraphs>
  <ScaleCrop>false</ScaleCrop>
  <Company/>
  <LinksUpToDate>false</LinksUpToDate>
  <CharactersWithSpaces>16235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2016-05-22T23:48:00Z</dcterms:created>
  <dcterms:modified xsi:type="dcterms:W3CDTF">2016-05-22T23:48:00Z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8575933</vt:lpwstr>
  </property>
</Properties>
</file>