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A4074" w:rsidRPr="00CA4074" w:rsidRDefault="00AC0236" w:rsidP="00C52D60">
      <w:pPr>
        <w:pStyle w:val="AERfactsheetsubtitle"/>
        <w:widowControl w:val="0"/>
        <w:spacing w:before="120"/>
      </w:pPr>
      <w:r w:rsidRPr="00B0183D">
        <w:rPr>
          <w:noProof/>
          <w:sz w:val="18"/>
          <w:lang w:eastAsia="en-AU"/>
        </w:rPr>
        <mc:AlternateContent>
          <mc:Choice Requires="wpg">
            <w:drawing>
              <wp:anchor distT="0" distB="0" distL="114300" distR="114300" simplePos="0" relativeHeight="251657216" behindDoc="0" locked="0" layoutInCell="1" allowOverlap="1" wp14:anchorId="1A04EF0B" wp14:editId="4A5349B2">
                <wp:simplePos x="0" y="0"/>
                <wp:positionH relativeFrom="column">
                  <wp:posOffset>-457200</wp:posOffset>
                </wp:positionH>
                <wp:positionV relativeFrom="paragraph">
                  <wp:posOffset>-38100</wp:posOffset>
                </wp:positionV>
                <wp:extent cx="7631430" cy="16859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7631430" cy="1685925"/>
                          <a:chOff x="0" y="0"/>
                          <a:chExt cx="7632015" cy="1686080"/>
                        </a:xfrm>
                      </wpg:grpSpPr>
                      <wps:wsp>
                        <wps:cNvPr id="2" name="Text Box 2"/>
                        <wps:cNvSpPr txBox="1">
                          <a:spLocks noChangeArrowheads="1"/>
                        </wps:cNvSpPr>
                        <wps:spPr bwMode="auto">
                          <a:xfrm>
                            <a:off x="0" y="787180"/>
                            <a:ext cx="7632015" cy="898900"/>
                          </a:xfrm>
                          <a:prstGeom prst="rect">
                            <a:avLst/>
                          </a:prstGeom>
                          <a:solidFill>
                            <a:srgbClr val="006A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7DC" w:rsidRPr="00C52D60" w:rsidRDefault="00A377DC"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p>
                            <w:p w:rsidR="00A377DC" w:rsidRPr="00225391" w:rsidRDefault="00A377DC"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ActewAGL</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Distribution access arrangement </w:t>
                              </w:r>
                              <w:r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6–21</w:t>
                              </w:r>
                              <w:r w:rsidRPr="00C52D60">
                                <w:rPr>
                                  <w:rFonts w:ascii="MS Reference Sans Serif" w:hAnsi="MS Reference Sans Serif" w:cs="Tunga"/>
                                  <w:color w:val="FFFFFF"/>
                                  <w:spacing w:val="10"/>
                                  <w:w w:val="99"/>
                                  <w:kern w:val="44"/>
                                  <w:sz w:val="40"/>
                                  <w:szCs w:val="40"/>
                                </w:rPr>
                                <w:t xml:space="preserve"> </w:t>
                              </w:r>
                            </w:p>
                            <w:p w:rsidR="00A377DC" w:rsidRPr="00E83166" w:rsidRDefault="00A377DC" w:rsidP="001D49FD">
                              <w:pPr>
                                <w:ind w:left="567" w:right="681"/>
                                <w:jc w:val="right"/>
                                <w:rPr>
                                  <w:rFonts w:ascii="MS Reference Sans Serif" w:hAnsi="MS Reference Sans Serif" w:cs="Tunga"/>
                                  <w:color w:val="FFFFFF"/>
                                </w:rPr>
                              </w:pPr>
                            </w:p>
                            <w:p w:rsidR="00A377DC" w:rsidRPr="00390BEB" w:rsidRDefault="00A377DC" w:rsidP="001D49FD">
                              <w:pPr>
                                <w:ind w:left="567" w:right="941"/>
                                <w:jc w:val="right"/>
                                <w:rPr>
                                  <w:rFonts w:cs="Calibri"/>
                                  <w:b/>
                                  <w:color w:val="FFFFFF"/>
                                </w:rPr>
                              </w:pPr>
                            </w:p>
                          </w:txbxContent>
                        </wps:txbx>
                        <wps:bodyPr rot="0" vert="horz" wrap="square" lIns="91440" tIns="45720" rIns="91440" bIns="45720" anchor="b" anchorCtr="0" upright="1">
                          <a:noAutofit/>
                        </wps:bodyPr>
                      </wps:wsp>
                      <pic:pic xmlns:pic="http://schemas.openxmlformats.org/drawingml/2006/picture">
                        <pic:nvPicPr>
                          <pic:cNvPr id="4" name="Picture 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16835" y="0"/>
                            <a:ext cx="2361537" cy="667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36pt;margin-top:-3pt;width:600.9pt;height:132.75pt;z-index:251657216;mso-width-relative:margin;mso-height-relative:margin" coordsize="76320,16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">
                <v:shapetype id="_x0000_t202" coordsize="21600,21600" o:spt="202" path="m,l,21600r21600,l21600,xe">
                  <v:stroke joinstyle="miter"/>
                  <v:path gradientshapeok="t" o:connecttype="rect"/>
                </v:shapetype>
                <v:shape id="_x0000_s1027" type="#_x0000_t202" style="position:absolute;top:7871;width:76320;height:898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bMZ8IA&#10;AADaAAAADwAAAGRycy9kb3ducmV2LnhtbESPT2vCQBTE74LfYXmF3nRTD1VTV6kWwYsH/9DzI/ua&#10;DWbfhuwzpv30XUHwOMzMb5jFqve16qiNVWADb+MMFHERbMWlgfNpO5qBioJssQ5MBn4pwmo5HCww&#10;t+HGB+qOUqoE4ZijASfS5FrHwpHHOA4NcfJ+QutRkmxLbVu8Jbiv9STL3rXHitOCw4Y2jorL8eoN&#10;yParu8Ry//c938m0Pmg31fu1Ma8v/ecHKKFenuFHe2cNTOB+Jd0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sxnwgAAANoAAAAPAAAAAAAAAAAAAAAAAJgCAABkcnMvZG93&#10;bnJldi54bWxQSwUGAAAAAAQABAD1AAAAhwMAAAAA&#10;" fillcolor="#006a99" stroked="f">
                  <v:textbox>
                    <w:txbxContent>
                      <w:p w:rsidR="00A377DC" w:rsidRPr="00C52D60" w:rsidRDefault="00A377DC" w:rsidP="00C52D60">
                        <w:pPr>
                          <w:spacing w:before="120"/>
                          <w:ind w:left="567"/>
                          <w:rPr>
                            <w:rFonts w:ascii="MS Reference Sans Serif" w:hAnsi="MS Reference Sans Serif" w:cs="Tunga"/>
                            <w:color w:val="FFFFFF"/>
                            <w:spacing w:val="10"/>
                            <w:w w:val="99"/>
                            <w:kern w:val="44"/>
                            <w:sz w:val="40"/>
                            <w:szCs w:val="40"/>
                          </w:rPr>
                        </w:pPr>
                        <w:r>
                          <w:rPr>
                            <w:rFonts w:ascii="MS Reference Sans Serif" w:hAnsi="MS Reference Sans Serif" w:cs="Tunga"/>
                            <w:color w:val="FFFFFF"/>
                            <w:spacing w:val="10"/>
                            <w:w w:val="99"/>
                            <w:kern w:val="44"/>
                            <w:sz w:val="40"/>
                            <w:szCs w:val="40"/>
                          </w:rPr>
                          <w:t>Final</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decision</w:t>
                        </w:r>
                        <w:r w:rsidRPr="00C52D60">
                          <w:rPr>
                            <w:rFonts w:ascii="MS Reference Sans Serif" w:hAnsi="MS Reference Sans Serif" w:cs="Tunga"/>
                            <w:color w:val="FFFFFF"/>
                            <w:spacing w:val="10"/>
                            <w:w w:val="99"/>
                            <w:kern w:val="44"/>
                            <w:sz w:val="40"/>
                            <w:szCs w:val="40"/>
                          </w:rPr>
                          <w:t>:</w:t>
                        </w:r>
                      </w:p>
                      <w:p w:rsidR="00A377DC" w:rsidRPr="00225391" w:rsidRDefault="00A377DC" w:rsidP="004D1DC0">
                        <w:pPr>
                          <w:ind w:left="567"/>
                          <w:rPr>
                            <w:rFonts w:ascii="MS Reference Sans Serif" w:hAnsi="MS Reference Sans Serif" w:cs="Tunga"/>
                            <w:color w:val="FFFFFF"/>
                            <w:spacing w:val="10"/>
                            <w:w w:val="99"/>
                            <w:kern w:val="44"/>
                            <w:sz w:val="48"/>
                          </w:rPr>
                        </w:pPr>
                        <w:r>
                          <w:rPr>
                            <w:rFonts w:ascii="MS Reference Sans Serif" w:hAnsi="MS Reference Sans Serif" w:cs="Tunga"/>
                            <w:color w:val="FFFFFF"/>
                            <w:spacing w:val="10"/>
                            <w:w w:val="99"/>
                            <w:kern w:val="44"/>
                            <w:sz w:val="40"/>
                            <w:szCs w:val="40"/>
                          </w:rPr>
                          <w:t>ActewAGL</w:t>
                        </w:r>
                        <w:r w:rsidRPr="00C52D60">
                          <w:rPr>
                            <w:rFonts w:ascii="MS Reference Sans Serif" w:hAnsi="MS Reference Sans Serif" w:cs="Tunga"/>
                            <w:color w:val="FFFFFF"/>
                            <w:spacing w:val="10"/>
                            <w:w w:val="99"/>
                            <w:kern w:val="44"/>
                            <w:sz w:val="40"/>
                            <w:szCs w:val="40"/>
                          </w:rPr>
                          <w:t xml:space="preserve"> </w:t>
                        </w:r>
                        <w:r>
                          <w:rPr>
                            <w:rFonts w:ascii="MS Reference Sans Serif" w:hAnsi="MS Reference Sans Serif" w:cs="Tunga"/>
                            <w:color w:val="FFFFFF"/>
                            <w:spacing w:val="10"/>
                            <w:w w:val="99"/>
                            <w:kern w:val="44"/>
                            <w:sz w:val="40"/>
                            <w:szCs w:val="40"/>
                          </w:rPr>
                          <w:t xml:space="preserve">Distribution access arrangement </w:t>
                        </w:r>
                        <w:r w:rsidRPr="00C52D60">
                          <w:rPr>
                            <w:rFonts w:ascii="MS Reference Sans Serif" w:hAnsi="MS Reference Sans Serif" w:cs="Tunga"/>
                            <w:color w:val="FFFFFF"/>
                            <w:spacing w:val="10"/>
                            <w:w w:val="99"/>
                            <w:kern w:val="44"/>
                            <w:sz w:val="40"/>
                            <w:szCs w:val="40"/>
                          </w:rPr>
                          <w:t>201</w:t>
                        </w:r>
                        <w:r>
                          <w:rPr>
                            <w:rFonts w:ascii="MS Reference Sans Serif" w:hAnsi="MS Reference Sans Serif" w:cs="Tunga"/>
                            <w:color w:val="FFFFFF"/>
                            <w:spacing w:val="10"/>
                            <w:w w:val="99"/>
                            <w:kern w:val="44"/>
                            <w:sz w:val="40"/>
                            <w:szCs w:val="40"/>
                          </w:rPr>
                          <w:t>6–21</w:t>
                        </w:r>
                        <w:r w:rsidRPr="00C52D60">
                          <w:rPr>
                            <w:rFonts w:ascii="MS Reference Sans Serif" w:hAnsi="MS Reference Sans Serif" w:cs="Tunga"/>
                            <w:color w:val="FFFFFF"/>
                            <w:spacing w:val="10"/>
                            <w:w w:val="99"/>
                            <w:kern w:val="44"/>
                            <w:sz w:val="40"/>
                            <w:szCs w:val="40"/>
                          </w:rPr>
                          <w:t xml:space="preserve"> </w:t>
                        </w:r>
                      </w:p>
                      <w:p w:rsidR="00A377DC" w:rsidRPr="00E83166" w:rsidRDefault="00A377DC" w:rsidP="001D49FD">
                        <w:pPr>
                          <w:ind w:left="567" w:right="681"/>
                          <w:jc w:val="right"/>
                          <w:rPr>
                            <w:rFonts w:ascii="MS Reference Sans Serif" w:hAnsi="MS Reference Sans Serif" w:cs="Tunga"/>
                            <w:color w:val="FFFFFF"/>
                          </w:rPr>
                        </w:pPr>
                      </w:p>
                      <w:p w:rsidR="00A377DC" w:rsidRPr="00390BEB" w:rsidRDefault="00A377DC" w:rsidP="001D49FD">
                        <w:pPr>
                          <w:ind w:left="567" w:right="941"/>
                          <w:jc w:val="right"/>
                          <w:rPr>
                            <w:rFonts w:cs="Calibri"/>
                            <w:b/>
                            <w:color w:val="FFFFFF"/>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5168;width:23615;height:66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B3kbEAAAA2gAAAA8AAABkcnMvZG93bnJldi54bWxEj09rwkAUxO8Fv8PyBG91o7ai0VWk0FKK&#10;F/+AHp/ZZzYk+zZktzF++65Q8DjMzG+Y5bqzlWip8YVjBaNhAoI4c7rgXMHx8Pk6A+EDssbKMSm4&#10;k4f1qveyxFS7G++o3YdcRAj7FBWYEOpUSp8ZsuiHriaO3tU1FkOUTS51g7cIt5UcJ8lUWiw4Lhis&#10;6cNQVu5/rYL2ej6+l5ufy+E+357Kydx8uWSn1KDfbRYgAnXhGf5vf2sFb/C4Em+AXP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B3kbEAAAA2gAAAA8AAAAAAAAAAAAAAAAA&#10;nwIAAGRycy9kb3ducmV2LnhtbFBLBQYAAAAABAAEAPcAAACQAwAAAAA=&#10;">
                  <v:imagedata r:id="rId10" o:title=""/>
                  <v:path arrowok="t"/>
                </v:shape>
                <w10:wrap type="topAndBottom"/>
              </v:group>
            </w:pict>
          </mc:Fallback>
        </mc:AlternateContent>
      </w:r>
      <w:r w:rsidR="00751069">
        <w:t xml:space="preserve">We have made a </w:t>
      </w:r>
      <w:r w:rsidR="00A377DC">
        <w:t>final</w:t>
      </w:r>
      <w:r w:rsidR="00597148">
        <w:t xml:space="preserve"> </w:t>
      </w:r>
      <w:r w:rsidR="00470A19">
        <w:t>decision</w:t>
      </w:r>
      <w:r w:rsidR="00751069">
        <w:t xml:space="preserve"> </w:t>
      </w:r>
      <w:r w:rsidR="00957A23">
        <w:t xml:space="preserve">on the access arrangement </w:t>
      </w:r>
      <w:r w:rsidR="00751069">
        <w:t>for</w:t>
      </w:r>
      <w:r w:rsidR="009F2A09">
        <w:t xml:space="preserve"> </w:t>
      </w:r>
      <w:r w:rsidR="00321421">
        <w:t xml:space="preserve">ActewAGL </w:t>
      </w:r>
      <w:r w:rsidR="00597148">
        <w:t>Distribution (ActewAGL).</w:t>
      </w:r>
      <w:r w:rsidR="009F2A09">
        <w:t xml:space="preserve"> </w:t>
      </w:r>
      <w:r w:rsidR="00597148" w:rsidRPr="000E5C99">
        <w:t>ActewAGL</w:t>
      </w:r>
      <w:r w:rsidR="00597148">
        <w:t>'s</w:t>
      </w:r>
      <w:r w:rsidR="00597148" w:rsidRPr="000E5C99">
        <w:t xml:space="preserve"> </w:t>
      </w:r>
      <w:r w:rsidR="00597148">
        <w:t>gas distribution network provides services to customers in the Australian Capital Territory (ACT)</w:t>
      </w:r>
      <w:r w:rsidR="00597148" w:rsidRPr="000E5C99">
        <w:t xml:space="preserve">. </w:t>
      </w:r>
      <w:r w:rsidR="00597148">
        <w:t>Its network also extends into NSW where it supplies gas to Queanbeyan and the Palerang Shire.</w:t>
      </w:r>
      <w:r w:rsidR="00751069">
        <w:t xml:space="preserve"> </w:t>
      </w:r>
      <w:r w:rsidR="00245AD1">
        <w:t xml:space="preserve">Our </w:t>
      </w:r>
      <w:r w:rsidR="00A377DC">
        <w:t>final</w:t>
      </w:r>
      <w:r w:rsidR="00597148">
        <w:t xml:space="preserve"> </w:t>
      </w:r>
      <w:r w:rsidR="00470A19">
        <w:t>decision</w:t>
      </w:r>
      <w:r w:rsidR="00751069">
        <w:t xml:space="preserve"> </w:t>
      </w:r>
      <w:r w:rsidR="001A3D6B">
        <w:t>allows</w:t>
      </w:r>
      <w:r w:rsidR="00C34B06">
        <w:t xml:space="preserve"> </w:t>
      </w:r>
      <w:r w:rsidR="00321421">
        <w:t>ActewAGL</w:t>
      </w:r>
      <w:r w:rsidR="004609FA">
        <w:t xml:space="preserve"> </w:t>
      </w:r>
      <w:r w:rsidR="001A3D6B">
        <w:t xml:space="preserve">to </w:t>
      </w:r>
      <w:r w:rsidR="00751069" w:rsidRPr="008C5C62">
        <w:t xml:space="preserve">recover </w:t>
      </w:r>
      <w:r w:rsidR="00751069" w:rsidRPr="003515EA">
        <w:t>$</w:t>
      </w:r>
      <w:r w:rsidR="00620EC9">
        <w:t>301</w:t>
      </w:r>
      <w:r w:rsidR="004379A4">
        <w:t>.4</w:t>
      </w:r>
      <w:r w:rsidR="00AD72C0">
        <w:t xml:space="preserve"> </w:t>
      </w:r>
      <w:r w:rsidR="00751069" w:rsidRPr="003515EA">
        <w:t>million</w:t>
      </w:r>
      <w:r w:rsidR="00751069" w:rsidRPr="008C5C62">
        <w:t xml:space="preserve"> </w:t>
      </w:r>
      <w:r w:rsidR="000F75F1" w:rsidRPr="008C5C62">
        <w:t>($</w:t>
      </w:r>
      <w:r w:rsidR="000F75F1">
        <w:t xml:space="preserve">nominal) </w:t>
      </w:r>
      <w:r w:rsidR="00751069">
        <w:t>from its customers</w:t>
      </w:r>
      <w:r w:rsidR="00AE4C05">
        <w:t xml:space="preserve"> over </w:t>
      </w:r>
      <w:r w:rsidR="00AD7419">
        <w:t>five</w:t>
      </w:r>
      <w:r w:rsidR="00AE4C05">
        <w:t xml:space="preserve"> years</w:t>
      </w:r>
      <w:r w:rsidR="00751069">
        <w:t xml:space="preserve"> </w:t>
      </w:r>
      <w:r w:rsidR="00C81134">
        <w:t>commencing</w:t>
      </w:r>
      <w:r w:rsidR="00751069">
        <w:t xml:space="preserve"> 1 </w:t>
      </w:r>
      <w:r w:rsidR="00597148">
        <w:t xml:space="preserve">July </w:t>
      </w:r>
      <w:r w:rsidR="006D59E9">
        <w:t>2016</w:t>
      </w:r>
      <w:r w:rsidR="00C81134">
        <w:t xml:space="preserve">. </w:t>
      </w:r>
    </w:p>
    <w:p w:rsidR="00130DB2" w:rsidRPr="00130DB2" w:rsidRDefault="00130DB2" w:rsidP="000E1E87">
      <w:pPr>
        <w:jc w:val="both"/>
        <w:rPr>
          <w:lang w:val="en"/>
        </w:rPr>
        <w:sectPr w:rsidR="00130DB2" w:rsidRPr="00130DB2" w:rsidSect="00BE5A7F">
          <w:footerReference w:type="default" r:id="rId11"/>
          <w:pgSz w:w="11906" w:h="16838"/>
          <w:pgMar w:top="720" w:right="720" w:bottom="720" w:left="720" w:header="708" w:footer="708" w:gutter="0"/>
          <w:cols w:space="284"/>
          <w:docGrid w:linePitch="360"/>
        </w:sectPr>
      </w:pPr>
    </w:p>
    <w:p w:rsidR="00AC0236" w:rsidRPr="00697FF1" w:rsidRDefault="0057269F" w:rsidP="004A076A">
      <w:pPr>
        <w:pStyle w:val="AERFactsheetHeading1"/>
        <w:keepNext w:val="0"/>
        <w:widowControl w:val="0"/>
        <w:spacing w:before="0" w:after="0"/>
        <w:jc w:val="both"/>
      </w:pPr>
      <w:r>
        <w:lastRenderedPageBreak/>
        <w:t>Overview</w:t>
      </w:r>
    </w:p>
    <w:p w:rsidR="002013CA" w:rsidRDefault="002013CA" w:rsidP="003F62E8">
      <w:pPr>
        <w:pStyle w:val="AERfactsheetbodytext"/>
        <w:widowControl w:val="0"/>
        <w:jc w:val="both"/>
      </w:pPr>
      <w:r>
        <w:t>T</w:t>
      </w:r>
      <w:r w:rsidRPr="0057178D">
        <w:t>he Australian Energy Regulator (AER</w:t>
      </w:r>
      <w:r>
        <w:t xml:space="preserve">) </w:t>
      </w:r>
      <w:r w:rsidR="00957A23">
        <w:t>approves access arrangements for</w:t>
      </w:r>
      <w:r w:rsidR="00136B9B">
        <w:t xml:space="preserve"> </w:t>
      </w:r>
      <w:r w:rsidR="00321421">
        <w:t>ActewAGL</w:t>
      </w:r>
      <w:r w:rsidR="00957A23">
        <w:t xml:space="preserve"> and other major gas networks in eastern and southern Australia under the National Gas Law (NGL) and National Gas Rules (NGR).</w:t>
      </w:r>
    </w:p>
    <w:p w:rsidR="00136B9B" w:rsidRDefault="008C5C62" w:rsidP="003F62E8">
      <w:pPr>
        <w:pStyle w:val="AERfactsheetbodytext"/>
        <w:widowControl w:val="0"/>
        <w:jc w:val="both"/>
      </w:pPr>
      <w:r w:rsidRPr="008C5C62">
        <w:t xml:space="preserve">Our </w:t>
      </w:r>
      <w:r w:rsidR="00A377DC">
        <w:t>final</w:t>
      </w:r>
      <w:r w:rsidR="00597148" w:rsidRPr="008C5C62">
        <w:t xml:space="preserve"> </w:t>
      </w:r>
      <w:r w:rsidR="00DF0ABD">
        <w:t>de</w:t>
      </w:r>
      <w:r w:rsidR="00470A19">
        <w:t>cision</w:t>
      </w:r>
      <w:r w:rsidRPr="008C5C62">
        <w:t xml:space="preserve"> allows </w:t>
      </w:r>
      <w:r w:rsidR="00321421">
        <w:t>ActewAGL</w:t>
      </w:r>
      <w:r w:rsidR="004609FA" w:rsidRPr="008C5C62">
        <w:t xml:space="preserve"> </w:t>
      </w:r>
      <w:r w:rsidRPr="008C5C62">
        <w:t xml:space="preserve">to </w:t>
      </w:r>
      <w:r w:rsidRPr="003515EA">
        <w:t>recover $</w:t>
      </w:r>
      <w:r w:rsidR="00564E1B">
        <w:t>301</w:t>
      </w:r>
      <w:r w:rsidR="004379A4">
        <w:t>.4</w:t>
      </w:r>
      <w:r w:rsidRPr="003515EA">
        <w:t xml:space="preserve"> million</w:t>
      </w:r>
      <w:r w:rsidRPr="008C5C62">
        <w:t xml:space="preserve"> ($nominal) from its customers over five years commencing 1 </w:t>
      </w:r>
      <w:r w:rsidR="00597148">
        <w:t>July</w:t>
      </w:r>
      <w:r w:rsidR="00597148" w:rsidRPr="008C5C62">
        <w:t xml:space="preserve"> </w:t>
      </w:r>
      <w:r w:rsidRPr="008C5C62">
        <w:t>201</w:t>
      </w:r>
      <w:r w:rsidR="00DF0ABD">
        <w:t>6</w:t>
      </w:r>
      <w:r w:rsidR="007F292B">
        <w:t>.</w:t>
      </w:r>
      <w:r w:rsidR="001D71FF">
        <w:t xml:space="preserve"> </w:t>
      </w:r>
      <w:r w:rsidR="00CA4074" w:rsidRPr="008C5C62">
        <w:t xml:space="preserve">If we had accepted </w:t>
      </w:r>
      <w:r w:rsidR="00321421">
        <w:t>ActewAGL</w:t>
      </w:r>
      <w:r w:rsidR="00957A23">
        <w:t xml:space="preserve">’s </w:t>
      </w:r>
      <w:r w:rsidR="00A377DC">
        <w:t xml:space="preserve">revised </w:t>
      </w:r>
      <w:r w:rsidR="00CA4074" w:rsidRPr="008C5C62">
        <w:t xml:space="preserve">proposal, it would have </w:t>
      </w:r>
      <w:r w:rsidR="0099246A">
        <w:t xml:space="preserve">been permitted to </w:t>
      </w:r>
      <w:r w:rsidR="0099246A" w:rsidRPr="003515EA">
        <w:t>recover</w:t>
      </w:r>
      <w:r w:rsidR="00CA4074" w:rsidRPr="003515EA">
        <w:t xml:space="preserve"> $</w:t>
      </w:r>
      <w:r w:rsidR="004379A4">
        <w:t>382.6</w:t>
      </w:r>
      <w:r w:rsidR="004609FA" w:rsidRPr="003515EA">
        <w:t xml:space="preserve"> </w:t>
      </w:r>
      <w:r w:rsidR="00CA4074" w:rsidRPr="003515EA">
        <w:t>million</w:t>
      </w:r>
      <w:r w:rsidR="00CA4074" w:rsidRPr="008C5C62">
        <w:t xml:space="preserve"> ($nominal) over the 201</w:t>
      </w:r>
      <w:r w:rsidR="00DF0ABD">
        <w:t>6</w:t>
      </w:r>
      <w:r w:rsidR="001D6E6F" w:rsidRPr="008C5C62">
        <w:rPr>
          <w:rFonts w:ascii="Arial" w:hAnsi="Arial" w:cs="Arial"/>
        </w:rPr>
        <w:t>−</w:t>
      </w:r>
      <w:r w:rsidR="00957A23">
        <w:t>21</w:t>
      </w:r>
      <w:r w:rsidR="00CA4074" w:rsidRPr="008C5C62">
        <w:t xml:space="preserve"> </w:t>
      </w:r>
      <w:r w:rsidR="00597148">
        <w:t>access arrangement</w:t>
      </w:r>
      <w:r w:rsidR="00CA4074" w:rsidRPr="008C5C62">
        <w:t xml:space="preserve"> period. </w:t>
      </w:r>
      <w:r w:rsidR="009B6398" w:rsidRPr="008C5C62">
        <w:t xml:space="preserve">Our </w:t>
      </w:r>
      <w:r w:rsidR="00A377DC">
        <w:t>final</w:t>
      </w:r>
      <w:r w:rsidR="00597148" w:rsidRPr="008C5C62">
        <w:t xml:space="preserve"> </w:t>
      </w:r>
      <w:r w:rsidR="000B4299">
        <w:t>decision</w:t>
      </w:r>
      <w:r w:rsidR="009B6398" w:rsidRPr="008C5C62">
        <w:t xml:space="preserve"> is </w:t>
      </w:r>
      <w:r w:rsidR="009B6398" w:rsidRPr="003515EA">
        <w:t xml:space="preserve">for </w:t>
      </w:r>
      <w:r w:rsidR="004379A4">
        <w:t>2</w:t>
      </w:r>
      <w:r w:rsidR="00564E1B">
        <w:t>1</w:t>
      </w:r>
      <w:r w:rsidR="004379A4">
        <w:t>.</w:t>
      </w:r>
      <w:r w:rsidR="00564E1B">
        <w:t>2</w:t>
      </w:r>
      <w:r w:rsidR="00470A19">
        <w:t xml:space="preserve"> </w:t>
      </w:r>
      <w:r w:rsidR="009B6398" w:rsidRPr="008C5C62">
        <w:t>per cent less reven</w:t>
      </w:r>
      <w:r w:rsidR="009B6398">
        <w:t xml:space="preserve">ue than </w:t>
      </w:r>
      <w:r w:rsidR="00321421">
        <w:t>ActewAGL</w:t>
      </w:r>
      <w:r w:rsidR="00957A23">
        <w:t>’s</w:t>
      </w:r>
      <w:r w:rsidR="004609FA">
        <w:t xml:space="preserve"> </w:t>
      </w:r>
      <w:r w:rsidR="00A377DC">
        <w:t xml:space="preserve">revised </w:t>
      </w:r>
      <w:r w:rsidR="009B6398">
        <w:t>proposal.</w:t>
      </w:r>
    </w:p>
    <w:p w:rsidR="0057269F" w:rsidRDefault="00136B9B" w:rsidP="003F62E8">
      <w:pPr>
        <w:pStyle w:val="AERfactsheetbodytext"/>
        <w:widowControl w:val="0"/>
        <w:jc w:val="both"/>
      </w:pPr>
      <w:r>
        <w:t xml:space="preserve">The figure below shows the difference between </w:t>
      </w:r>
      <w:r w:rsidR="00321421">
        <w:t>ActewAGL</w:t>
      </w:r>
      <w:r w:rsidR="00957A23">
        <w:t>’s</w:t>
      </w:r>
      <w:r w:rsidR="004609FA">
        <w:t xml:space="preserve"> </w:t>
      </w:r>
      <w:r>
        <w:t xml:space="preserve">proposed revenue and </w:t>
      </w:r>
      <w:r w:rsidR="00BD4AC2">
        <w:t xml:space="preserve">our </w:t>
      </w:r>
      <w:r w:rsidR="00A377DC">
        <w:t>final</w:t>
      </w:r>
      <w:r w:rsidR="00BD4AC2">
        <w:t xml:space="preserve"> decision</w:t>
      </w:r>
      <w:r w:rsidR="006265AD" w:rsidRPr="0057178D">
        <w:t>.</w:t>
      </w:r>
      <w:r w:rsidR="00F821BB">
        <w:t xml:space="preserve"> </w:t>
      </w:r>
    </w:p>
    <w:p w:rsidR="00EE150F" w:rsidRDefault="00EE150F" w:rsidP="000E1E87">
      <w:pPr>
        <w:pStyle w:val="AERfactsheetbodytext"/>
        <w:widowControl w:val="0"/>
        <w:jc w:val="both"/>
        <w:rPr>
          <w:rStyle w:val="AERtextbold"/>
        </w:rPr>
      </w:pPr>
    </w:p>
    <w:p w:rsidR="00F943EE" w:rsidRDefault="00321421" w:rsidP="000E1E87">
      <w:pPr>
        <w:pStyle w:val="AERfactsheetbodytext"/>
        <w:widowControl w:val="0"/>
        <w:jc w:val="both"/>
      </w:pPr>
      <w:r>
        <w:rPr>
          <w:rStyle w:val="AERtextbold"/>
        </w:rPr>
        <w:t>ActewAGL</w:t>
      </w:r>
      <w:r w:rsidR="00957A23">
        <w:rPr>
          <w:rStyle w:val="AERtextbold"/>
        </w:rPr>
        <w:t>’s</w:t>
      </w:r>
      <w:r w:rsidR="004609FA" w:rsidRPr="0057178D">
        <w:rPr>
          <w:rStyle w:val="AERtextbold"/>
        </w:rPr>
        <w:t xml:space="preserve"> </w:t>
      </w:r>
      <w:r w:rsidR="00F943EE" w:rsidRPr="0057178D">
        <w:rPr>
          <w:rStyle w:val="AERtextbold"/>
        </w:rPr>
        <w:t xml:space="preserve">past </w:t>
      </w:r>
      <w:r w:rsidR="004A076A">
        <w:rPr>
          <w:rStyle w:val="AERtextbold"/>
        </w:rPr>
        <w:t xml:space="preserve">and </w:t>
      </w:r>
      <w:r w:rsidR="00F943EE" w:rsidRPr="0057178D">
        <w:rPr>
          <w:rStyle w:val="AERtextbold"/>
        </w:rPr>
        <w:t xml:space="preserve">proposed total revenue and AER </w:t>
      </w:r>
      <w:r w:rsidR="00A377DC">
        <w:rPr>
          <w:rStyle w:val="AERtextbold"/>
        </w:rPr>
        <w:t>final</w:t>
      </w:r>
      <w:r w:rsidR="00597148" w:rsidRPr="0057178D">
        <w:rPr>
          <w:rStyle w:val="AERtextbold"/>
        </w:rPr>
        <w:t xml:space="preserve"> </w:t>
      </w:r>
      <w:r w:rsidR="000B4299">
        <w:rPr>
          <w:rStyle w:val="AERtextbold"/>
        </w:rPr>
        <w:t>decision</w:t>
      </w:r>
      <w:r w:rsidR="000B4299" w:rsidRPr="0057178D">
        <w:rPr>
          <w:rStyle w:val="AERtextbold"/>
        </w:rPr>
        <w:t xml:space="preserve"> </w:t>
      </w:r>
      <w:r w:rsidR="00F943EE" w:rsidRPr="0057178D">
        <w:rPr>
          <w:rStyle w:val="AERtextbold"/>
        </w:rPr>
        <w:t xml:space="preserve">revenue allowance ($million, </w:t>
      </w:r>
      <w:r w:rsidR="00F943EE" w:rsidRPr="004A076A">
        <w:rPr>
          <w:rStyle w:val="AERtextbold"/>
        </w:rPr>
        <w:t>20</w:t>
      </w:r>
      <w:r w:rsidR="002E3496">
        <w:rPr>
          <w:rStyle w:val="AERtextbold"/>
        </w:rPr>
        <w:t>14–</w:t>
      </w:r>
      <w:r w:rsidR="00F943EE" w:rsidRPr="004A076A">
        <w:rPr>
          <w:rStyle w:val="AERtextbold"/>
        </w:rPr>
        <w:t>1</w:t>
      </w:r>
      <w:r w:rsidR="00AD5597">
        <w:rPr>
          <w:rStyle w:val="AERtextbold"/>
        </w:rPr>
        <w:t>5</w:t>
      </w:r>
      <w:r w:rsidR="00F943EE" w:rsidRPr="0057178D">
        <w:rPr>
          <w:rStyle w:val="AERtextbold"/>
        </w:rPr>
        <w:t>)</w:t>
      </w:r>
    </w:p>
    <w:p w:rsidR="00EE150F" w:rsidRDefault="00564E1B" w:rsidP="004379A4">
      <w:pPr>
        <w:pStyle w:val="AERfactsheetbodytext"/>
        <w:widowControl w:val="0"/>
        <w:jc w:val="both"/>
        <w:rPr>
          <w:rFonts w:ascii="Tunga" w:eastAsia="Times New Roman" w:hAnsi="Tunga" w:cs="Tunga"/>
          <w:b/>
          <w:iCs/>
          <w:color w:val="006799"/>
          <w:kern w:val="24"/>
          <w:sz w:val="24"/>
          <w:szCs w:val="24"/>
        </w:rPr>
      </w:pPr>
      <w:r>
        <w:rPr>
          <w:rFonts w:ascii="Tunga" w:eastAsia="Times New Roman" w:hAnsi="Tunga" w:cs="Tunga"/>
          <w:b/>
          <w:iCs/>
          <w:noProof/>
          <w:color w:val="006799"/>
          <w:kern w:val="24"/>
          <w:sz w:val="24"/>
          <w:szCs w:val="24"/>
          <w:lang w:eastAsia="en-AU"/>
        </w:rPr>
        <w:drawing>
          <wp:inline distT="0" distB="0" distL="0" distR="0" wp14:anchorId="4EB2B6A6" wp14:editId="3915E28F">
            <wp:extent cx="3217333" cy="2081209"/>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797" cy="2082803"/>
                    </a:xfrm>
                    <a:prstGeom prst="rect">
                      <a:avLst/>
                    </a:prstGeom>
                    <a:noFill/>
                  </pic:spPr>
                </pic:pic>
              </a:graphicData>
            </a:graphic>
          </wp:inline>
        </w:drawing>
      </w:r>
    </w:p>
    <w:p w:rsidR="0010549E" w:rsidRPr="002B1F46" w:rsidRDefault="005844C1" w:rsidP="004379A4">
      <w:pPr>
        <w:pStyle w:val="AERfactsheetbodytext"/>
        <w:widowControl w:val="0"/>
        <w:jc w:val="both"/>
        <w:rPr>
          <w:rFonts w:ascii="Tunga" w:eastAsia="Times New Roman" w:hAnsi="Tunga" w:cs="Tunga"/>
          <w:b/>
          <w:iCs/>
          <w:color w:val="006799"/>
          <w:kern w:val="24"/>
          <w:sz w:val="24"/>
          <w:szCs w:val="24"/>
        </w:rPr>
      </w:pPr>
      <w:r>
        <w:rPr>
          <w:rFonts w:ascii="Tunga" w:eastAsia="Times New Roman" w:hAnsi="Tunga" w:cs="Tunga"/>
          <w:b/>
          <w:iCs/>
          <w:color w:val="006799"/>
          <w:kern w:val="24"/>
          <w:sz w:val="24"/>
          <w:szCs w:val="24"/>
        </w:rPr>
        <w:t>Key elements of our decision</w:t>
      </w:r>
    </w:p>
    <w:p w:rsidR="00AD2301" w:rsidRDefault="00C8062D" w:rsidP="00CB7576">
      <w:pPr>
        <w:pStyle w:val="AERfactsheetbodytext"/>
        <w:widowControl w:val="0"/>
        <w:spacing w:before="120"/>
        <w:jc w:val="both"/>
      </w:pPr>
      <w:r>
        <w:t>As a covered pipeline ActewAGL’s gas distribution network is</w:t>
      </w:r>
      <w:r w:rsidR="00AD2301">
        <w:t xml:space="preserve"> subject to full regulation, which require</w:t>
      </w:r>
      <w:r>
        <w:t>s</w:t>
      </w:r>
      <w:r w:rsidR="00AD2301">
        <w:t xml:space="preserve"> the service provider to submit an initial access arrangement to the regulator for approval, and revise it periodically. An access arrangement sets out the terms and conditions under which third parties </w:t>
      </w:r>
      <w:r w:rsidR="00AD2301">
        <w:lastRenderedPageBreak/>
        <w:t>can use a pipeline. It must specify at least one reference service likely to be sought by a significant part of the market, and a reference tariff for that service.</w:t>
      </w:r>
    </w:p>
    <w:p w:rsidR="006265AD" w:rsidRPr="007E0179" w:rsidRDefault="00B50A30" w:rsidP="00CB7576">
      <w:pPr>
        <w:pStyle w:val="AERfactsheetbodytext"/>
        <w:widowControl w:val="0"/>
        <w:spacing w:before="120"/>
        <w:jc w:val="both"/>
      </w:pPr>
      <w:r>
        <w:t>We based o</w:t>
      </w:r>
      <w:r w:rsidR="0075318C">
        <w:t xml:space="preserve">ur assessment of </w:t>
      </w:r>
      <w:r w:rsidR="00321421">
        <w:t>ActewAGL</w:t>
      </w:r>
      <w:r w:rsidR="00957A23">
        <w:t>’s</w:t>
      </w:r>
      <w:r w:rsidR="004609FA">
        <w:t xml:space="preserve"> </w:t>
      </w:r>
      <w:r w:rsidR="0075318C">
        <w:t xml:space="preserve">proposed revenue </w:t>
      </w:r>
      <w:r w:rsidR="00C8062D">
        <w:t xml:space="preserve">for its reference service </w:t>
      </w:r>
      <w:r w:rsidR="0075318C">
        <w:t>on a number of components. These include expenditure</w:t>
      </w:r>
      <w:r w:rsidR="0099246A">
        <w:t>s</w:t>
      </w:r>
      <w:r w:rsidR="0075318C">
        <w:t xml:space="preserve"> to maintain and operate the network</w:t>
      </w:r>
      <w:r w:rsidR="0083733F">
        <w:t>,</w:t>
      </w:r>
      <w:r w:rsidR="0075318C">
        <w:t xml:space="preserve"> and the return to shareholders on their investment. Together, these determine the revenue </w:t>
      </w:r>
      <w:r w:rsidR="00321421">
        <w:t>ActewAGL</w:t>
      </w:r>
      <w:r w:rsidR="004609FA">
        <w:t xml:space="preserve"> </w:t>
      </w:r>
      <w:r w:rsidR="008C5C62">
        <w:t>may recover from its</w:t>
      </w:r>
      <w:r w:rsidR="0075318C">
        <w:t xml:space="preserve"> customers. </w:t>
      </w:r>
    </w:p>
    <w:p w:rsidR="00D068AD" w:rsidRDefault="00A946DF" w:rsidP="009B6398">
      <w:pPr>
        <w:pStyle w:val="AERfactsheetbodytext"/>
        <w:widowControl w:val="0"/>
        <w:spacing w:after="0"/>
        <w:jc w:val="both"/>
        <w:rPr>
          <w:noProof/>
          <w:lang w:eastAsia="en-AU"/>
        </w:rPr>
      </w:pPr>
      <w:r>
        <w:t>We discuss each of these below.</w:t>
      </w:r>
    </w:p>
    <w:p w:rsidR="004A076A" w:rsidRDefault="004A076A" w:rsidP="006A41BC">
      <w:pPr>
        <w:pStyle w:val="AERfactsheetbodytext"/>
        <w:keepNext/>
        <w:widowControl w:val="0"/>
        <w:spacing w:before="120"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Rate of return</w:t>
      </w:r>
    </w:p>
    <w:p w:rsidR="00A2351C" w:rsidRPr="0026147D" w:rsidRDefault="00A2351C" w:rsidP="003F62E8">
      <w:pPr>
        <w:pStyle w:val="AERfactsheetbodytext"/>
        <w:jc w:val="both"/>
      </w:pPr>
      <w:r w:rsidRPr="00B671F0">
        <w:t>Significant investment is required to build a</w:t>
      </w:r>
      <w:r w:rsidR="00957A23">
        <w:t>nd maintain a gas</w:t>
      </w:r>
      <w:r w:rsidRPr="00B671F0">
        <w:t xml:space="preserve"> distribution network. The return </w:t>
      </w:r>
      <w:r w:rsidR="00597148">
        <w:t xml:space="preserve">ActewAGL </w:t>
      </w:r>
      <w:r w:rsidRPr="00B671F0">
        <w:t xml:space="preserve">must pay lenders and investors is referred to as the rate of return. Even a small difference in the rate of return can have a big impact on </w:t>
      </w:r>
      <w:r w:rsidRPr="0026147D">
        <w:t xml:space="preserve">revenues. </w:t>
      </w:r>
    </w:p>
    <w:p w:rsidR="002B1F46" w:rsidRPr="00B671F0" w:rsidRDefault="004A076A" w:rsidP="003F62E8">
      <w:pPr>
        <w:pStyle w:val="AERfactsheetbodytext"/>
        <w:widowControl w:val="0"/>
        <w:jc w:val="both"/>
      </w:pPr>
      <w:r w:rsidRPr="0026147D">
        <w:t xml:space="preserve">Our </w:t>
      </w:r>
      <w:r w:rsidR="00A377DC" w:rsidRPr="0026147D">
        <w:t>final</w:t>
      </w:r>
      <w:r w:rsidR="00597148" w:rsidRPr="0026147D">
        <w:t xml:space="preserve"> </w:t>
      </w:r>
      <w:r w:rsidR="000B4299" w:rsidRPr="0026147D">
        <w:t xml:space="preserve">decision </w:t>
      </w:r>
      <w:r w:rsidRPr="0026147D">
        <w:t xml:space="preserve">sets the allowed rate of return (or ‘cost of capital’) at </w:t>
      </w:r>
      <w:r w:rsidR="00FA529F" w:rsidRPr="0026147D">
        <w:t>6.0</w:t>
      </w:r>
      <w:r w:rsidR="004379A4" w:rsidRPr="0026147D">
        <w:t>1</w:t>
      </w:r>
      <w:r w:rsidR="00470A19" w:rsidRPr="0026147D">
        <w:t xml:space="preserve"> </w:t>
      </w:r>
      <w:r w:rsidR="00A946DF" w:rsidRPr="0026147D">
        <w:t>per cent</w:t>
      </w:r>
      <w:r w:rsidR="004379A4" w:rsidRPr="0026147D">
        <w:t xml:space="preserve"> for 2015-16</w:t>
      </w:r>
      <w:r w:rsidR="00114F21" w:rsidRPr="0026147D">
        <w:t xml:space="preserve">. </w:t>
      </w:r>
      <w:r w:rsidR="00A946DF" w:rsidRPr="0026147D">
        <w:t xml:space="preserve">We have not accepted </w:t>
      </w:r>
      <w:r w:rsidR="00321421" w:rsidRPr="0026147D">
        <w:t>ActewAGL</w:t>
      </w:r>
      <w:r w:rsidR="00957A23" w:rsidRPr="0026147D">
        <w:t>’s</w:t>
      </w:r>
      <w:r w:rsidR="004609FA" w:rsidRPr="0026147D">
        <w:t xml:space="preserve"> </w:t>
      </w:r>
      <w:r w:rsidR="00A377DC" w:rsidRPr="0026147D">
        <w:t xml:space="preserve">revised </w:t>
      </w:r>
      <w:r w:rsidR="00A946DF" w:rsidRPr="0026147D">
        <w:t xml:space="preserve">proposed </w:t>
      </w:r>
      <w:r w:rsidR="00A377DC" w:rsidRPr="0026147D">
        <w:t xml:space="preserve">rate of return of </w:t>
      </w:r>
      <w:r w:rsidR="00C8062D" w:rsidRPr="0026147D">
        <w:t>8.64</w:t>
      </w:r>
      <w:r w:rsidR="00A946DF" w:rsidRPr="0026147D">
        <w:t xml:space="preserve"> per</w:t>
      </w:r>
      <w:r w:rsidR="00A946DF">
        <w:t xml:space="preserve"> cent.</w:t>
      </w:r>
    </w:p>
    <w:p w:rsidR="008C5C62" w:rsidRDefault="00777750" w:rsidP="002C5AD0">
      <w:pPr>
        <w:pStyle w:val="AERfactsheetbodytext"/>
        <w:keepNext/>
        <w:widowControl w:val="0"/>
        <w:jc w:val="both"/>
      </w:pPr>
      <w:r>
        <w:t>T</w:t>
      </w:r>
      <w:r w:rsidR="00A946DF">
        <w:t>he investment environment has improved</w:t>
      </w:r>
      <w:r w:rsidR="0083733F">
        <w:t xml:space="preserve"> </w:t>
      </w:r>
      <w:r w:rsidR="00A946DF">
        <w:t xml:space="preserve">since our previous </w:t>
      </w:r>
      <w:r w:rsidR="000B4299">
        <w:t>decision</w:t>
      </w:r>
      <w:r w:rsidR="00A946DF">
        <w:t xml:space="preserve">, which was made during the </w:t>
      </w:r>
      <w:r w:rsidR="00AF4D31">
        <w:t>period</w:t>
      </w:r>
      <w:r w:rsidR="00A946DF">
        <w:t xml:space="preserve"> of uncertainty surrounding the global financial crisis. This improved investment environment translates to lower financing costs necessary to attract efficient </w:t>
      </w:r>
      <w:r w:rsidR="00A2351C">
        <w:t>investment</w:t>
      </w:r>
      <w:r w:rsidR="00A946DF">
        <w:t>.</w:t>
      </w:r>
      <w:r w:rsidR="008C5C62">
        <w:t xml:space="preserve"> We consider that </w:t>
      </w:r>
      <w:r w:rsidR="00597148">
        <w:t>ActewAGL</w:t>
      </w:r>
      <w:r w:rsidR="004609FA">
        <w:t xml:space="preserve"> </w:t>
      </w:r>
      <w:r w:rsidR="008C5C62">
        <w:t>has sought a rate of return that is higher than necessary given the current investment environment.</w:t>
      </w:r>
    </w:p>
    <w:p w:rsidR="004A076A" w:rsidRDefault="0099246A" w:rsidP="008C5C62">
      <w:pPr>
        <w:pStyle w:val="AERfactsheetbodytext"/>
        <w:widowControl w:val="0"/>
        <w:jc w:val="both"/>
      </w:pPr>
      <w:r>
        <w:t xml:space="preserve">We have not </w:t>
      </w:r>
      <w:r w:rsidR="008C5C62">
        <w:t>accept</w:t>
      </w:r>
      <w:r>
        <w:t>ed</w:t>
      </w:r>
      <w:r w:rsidR="008C5C62">
        <w:t xml:space="preserve"> the methodology proposed by </w:t>
      </w:r>
      <w:r w:rsidR="00321421">
        <w:t>ActewAGL</w:t>
      </w:r>
      <w:r w:rsidR="004609FA">
        <w:t xml:space="preserve"> </w:t>
      </w:r>
      <w:r w:rsidR="008C5C62">
        <w:t xml:space="preserve">to set its rate of return. </w:t>
      </w:r>
      <w:r w:rsidR="009D1833">
        <w:t>Instead, we have used the methodology we developed through</w:t>
      </w:r>
      <w:r w:rsidR="008C5C62">
        <w:t xml:space="preserve"> extensive consultation during our Better Regulation program in 2013. We consider that our approach provides for a rate of return that better reflects the allowed rate of return objective.</w:t>
      </w:r>
    </w:p>
    <w:p w:rsidR="00777750" w:rsidRDefault="00777750" w:rsidP="009B6398">
      <w:pPr>
        <w:pStyle w:val="AERfactsheetbodytext"/>
        <w:widowControl w:val="0"/>
        <w:spacing w:after="0"/>
        <w:jc w:val="both"/>
      </w:pPr>
      <w:r>
        <w:t xml:space="preserve">The lower rate of return in this decision will reduce </w:t>
      </w:r>
      <w:r w:rsidR="00321421">
        <w:t>ActewAGL</w:t>
      </w:r>
      <w:r w:rsidR="00AD2301">
        <w:t>’s</w:t>
      </w:r>
      <w:r w:rsidR="004609FA">
        <w:t xml:space="preserve"> </w:t>
      </w:r>
      <w:r>
        <w:t xml:space="preserve">average annual </w:t>
      </w:r>
      <w:r w:rsidR="00F4399C">
        <w:t xml:space="preserve">revenue </w:t>
      </w:r>
      <w:r>
        <w:t xml:space="preserve">requirement compared to the </w:t>
      </w:r>
      <w:r w:rsidR="000E4E9B">
        <w:t xml:space="preserve">previous </w:t>
      </w:r>
      <w:r w:rsidR="00597148">
        <w:t xml:space="preserve">access arrangement </w:t>
      </w:r>
      <w:r w:rsidR="000E4E9B">
        <w:t>period</w:t>
      </w:r>
      <w:r>
        <w:t xml:space="preserve">. </w:t>
      </w:r>
    </w:p>
    <w:p w:rsidR="00EE150F" w:rsidRDefault="00EE150F" w:rsidP="006A41BC">
      <w:pPr>
        <w:pStyle w:val="AERFactsheetHeading1"/>
        <w:keepNext w:val="0"/>
        <w:widowControl w:val="0"/>
        <w:spacing w:before="120" w:after="0" w:line="252" w:lineRule="auto"/>
        <w:jc w:val="both"/>
        <w:outlineLvl w:val="9"/>
      </w:pPr>
    </w:p>
    <w:p w:rsidR="006564F0" w:rsidRPr="00697FF1" w:rsidRDefault="00A946DF" w:rsidP="006A41BC">
      <w:pPr>
        <w:pStyle w:val="AERFactsheetHeading1"/>
        <w:keepNext w:val="0"/>
        <w:widowControl w:val="0"/>
        <w:spacing w:before="120" w:after="0" w:line="252" w:lineRule="auto"/>
        <w:jc w:val="both"/>
        <w:outlineLvl w:val="9"/>
      </w:pPr>
      <w:r>
        <w:lastRenderedPageBreak/>
        <w:t>Ope</w:t>
      </w:r>
      <w:r w:rsidR="006564F0">
        <w:t>rating expenditure</w:t>
      </w:r>
    </w:p>
    <w:p w:rsidR="00A2351C" w:rsidRDefault="00A2351C" w:rsidP="003F62E8">
      <w:pPr>
        <w:pStyle w:val="AERfactsheetbodytext"/>
        <w:widowControl w:val="0"/>
        <w:jc w:val="both"/>
      </w:pPr>
      <w:r>
        <w:t xml:space="preserve">Opex includes forecast operating, maintenance and other non-capital costs incurred in the provision of </w:t>
      </w:r>
      <w:r w:rsidR="00AD2301">
        <w:t xml:space="preserve">gas </w:t>
      </w:r>
      <w:r>
        <w:t xml:space="preserve">distribution services. It includes labour and other non-capital costs that </w:t>
      </w:r>
      <w:r w:rsidR="00321421">
        <w:t>ActewAGL</w:t>
      </w:r>
      <w:r w:rsidR="004609FA">
        <w:t xml:space="preserve"> </w:t>
      </w:r>
      <w:r>
        <w:t>is likely to require during the 201</w:t>
      </w:r>
      <w:r w:rsidR="006D77A8">
        <w:t>6</w:t>
      </w:r>
      <w:r>
        <w:rPr>
          <w:rFonts w:ascii="Arial" w:hAnsi="Arial" w:cs="Arial"/>
        </w:rPr>
        <w:t>−</w:t>
      </w:r>
      <w:r w:rsidR="00AD2301">
        <w:t>21</w:t>
      </w:r>
      <w:r>
        <w:t xml:space="preserve"> </w:t>
      </w:r>
      <w:r w:rsidR="00597148">
        <w:t>access arrangement</w:t>
      </w:r>
      <w:r>
        <w:t xml:space="preserve"> period for the efficient operation of its network.</w:t>
      </w:r>
    </w:p>
    <w:p w:rsidR="000F01EE" w:rsidRPr="0026147D" w:rsidRDefault="000F01EE" w:rsidP="000F01EE">
      <w:pPr>
        <w:pStyle w:val="AERfactsheetbodytext"/>
        <w:widowControl w:val="0"/>
        <w:jc w:val="both"/>
        <w:rPr>
          <w:rFonts w:cs="Arial"/>
        </w:rPr>
      </w:pPr>
      <w:r w:rsidRPr="00FC7080">
        <w:rPr>
          <w:noProof/>
          <w:lang w:eastAsia="en-AU"/>
        </w:rPr>
        <w:drawing>
          <wp:anchor distT="0" distB="0" distL="114300" distR="114300" simplePos="0" relativeHeight="251711488" behindDoc="0" locked="0" layoutInCell="1" allowOverlap="1" wp14:anchorId="0FDE7FBE" wp14:editId="65D75AA9">
            <wp:simplePos x="0" y="0"/>
            <wp:positionH relativeFrom="column">
              <wp:posOffset>-728345</wp:posOffset>
            </wp:positionH>
            <wp:positionV relativeFrom="page">
              <wp:posOffset>10212070</wp:posOffset>
            </wp:positionV>
            <wp:extent cx="15687675" cy="492125"/>
            <wp:effectExtent l="0" t="0" r="9525" b="3175"/>
            <wp:wrapNone/>
            <wp:docPr id="1" name="Picture 1" descr="Title: Blue end box - Description: Blue end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tle: Blue end box - Description: Blue end box"/>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87675" cy="4921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t xml:space="preserve">We must be satisfied that the level of opex reflects costs that would be incurred by a prudent service provider acting efficiently, in accordance with accepted good industry practice, to achieve the lowest sustainable cost of delivering </w:t>
      </w:r>
      <w:r w:rsidRPr="0026147D">
        <w:rPr>
          <w:noProof/>
          <w:lang w:eastAsia="en-AU"/>
        </w:rPr>
        <w:t>pipeline services.</w:t>
      </w:r>
    </w:p>
    <w:p w:rsidR="004A076A" w:rsidRDefault="004A076A" w:rsidP="003F62E8">
      <w:pPr>
        <w:pStyle w:val="AERfactsheetbodytext"/>
        <w:widowControl w:val="0"/>
        <w:jc w:val="both"/>
      </w:pPr>
      <w:r w:rsidRPr="0026147D">
        <w:t xml:space="preserve">Our </w:t>
      </w:r>
      <w:r w:rsidR="00A377DC" w:rsidRPr="0026147D">
        <w:t>final</w:t>
      </w:r>
      <w:r w:rsidR="00597148" w:rsidRPr="0026147D">
        <w:t xml:space="preserve"> </w:t>
      </w:r>
      <w:r w:rsidR="000B4299" w:rsidRPr="0026147D">
        <w:t>decision</w:t>
      </w:r>
      <w:r w:rsidRPr="0026147D">
        <w:t xml:space="preserve"> allows </w:t>
      </w:r>
      <w:r w:rsidR="00321421" w:rsidRPr="0026147D">
        <w:t>ActewAGL</w:t>
      </w:r>
      <w:r w:rsidR="004609FA" w:rsidRPr="0026147D">
        <w:t xml:space="preserve"> </w:t>
      </w:r>
      <w:r w:rsidRPr="0026147D">
        <w:t>to recover $</w:t>
      </w:r>
      <w:r w:rsidR="00C8062D" w:rsidRPr="0026147D">
        <w:t>156.9</w:t>
      </w:r>
      <w:r w:rsidRPr="0026147D">
        <w:t xml:space="preserve"> million ($201</w:t>
      </w:r>
      <w:r w:rsidR="006D77A8" w:rsidRPr="0026147D">
        <w:t>5</w:t>
      </w:r>
      <w:r w:rsidR="00FA529F" w:rsidRPr="0026147D">
        <w:t>–16</w:t>
      </w:r>
      <w:r w:rsidRPr="0026147D">
        <w:t xml:space="preserve">) for </w:t>
      </w:r>
      <w:r w:rsidR="00AB6AEC" w:rsidRPr="0026147D">
        <w:t>opex</w:t>
      </w:r>
      <w:r w:rsidRPr="0026147D">
        <w:t xml:space="preserve">. This is </w:t>
      </w:r>
      <w:r w:rsidR="00C8062D" w:rsidRPr="0026147D">
        <w:t>3</w:t>
      </w:r>
      <w:r w:rsidR="00513CA8" w:rsidRPr="0026147D">
        <w:t> </w:t>
      </w:r>
      <w:r w:rsidRPr="0026147D">
        <w:t>per</w:t>
      </w:r>
      <w:r w:rsidR="00513CA8" w:rsidRPr="0026147D">
        <w:t> </w:t>
      </w:r>
      <w:r w:rsidRPr="0026147D">
        <w:t xml:space="preserve">cent </w:t>
      </w:r>
      <w:r w:rsidR="009B6398" w:rsidRPr="0026147D">
        <w:t xml:space="preserve">lower than </w:t>
      </w:r>
      <w:r w:rsidRPr="0026147D">
        <w:t>the $</w:t>
      </w:r>
      <w:r w:rsidR="00C8062D" w:rsidRPr="0026147D">
        <w:t>162.2</w:t>
      </w:r>
      <w:r w:rsidRPr="0026147D">
        <w:t xml:space="preserve"> million </w:t>
      </w:r>
      <w:r w:rsidR="00321421" w:rsidRPr="0026147D">
        <w:t>ActewAGL</w:t>
      </w:r>
      <w:r w:rsidR="004609FA" w:rsidRPr="0026147D">
        <w:t xml:space="preserve"> </w:t>
      </w:r>
      <w:r w:rsidRPr="0026147D">
        <w:t>proposed.</w:t>
      </w:r>
      <w:r w:rsidR="0018267B" w:rsidRPr="0026147D">
        <w:t xml:space="preserve"> This difference is primarily driven</w:t>
      </w:r>
      <w:r w:rsidR="0018267B">
        <w:t xml:space="preserve"> by our decision to reject a number of ActewAGL’s proposed step changes.</w:t>
      </w:r>
    </w:p>
    <w:p w:rsidR="00C101CD" w:rsidRDefault="00C101CD" w:rsidP="00C101CD">
      <w:pPr>
        <w:pStyle w:val="AERfactsheetbodytext"/>
        <w:keepNext/>
        <w:rPr>
          <w:rStyle w:val="Strong"/>
        </w:rPr>
      </w:pPr>
      <w:r w:rsidRPr="00346F85">
        <w:rPr>
          <w:rStyle w:val="Strong"/>
        </w:rPr>
        <w:t xml:space="preserve">AER </w:t>
      </w:r>
      <w:r w:rsidR="00A377DC">
        <w:rPr>
          <w:rStyle w:val="Strong"/>
        </w:rPr>
        <w:t>final</w:t>
      </w:r>
      <w:r w:rsidRPr="00346F85">
        <w:rPr>
          <w:rStyle w:val="Strong"/>
        </w:rPr>
        <w:t xml:space="preserve"> </w:t>
      </w:r>
      <w:r>
        <w:rPr>
          <w:rStyle w:val="Strong"/>
        </w:rPr>
        <w:t>decision</w:t>
      </w:r>
      <w:r w:rsidRPr="00346F85">
        <w:rPr>
          <w:rStyle w:val="Strong"/>
        </w:rPr>
        <w:t xml:space="preserve"> compared to </w:t>
      </w:r>
      <w:r>
        <w:rPr>
          <w:rStyle w:val="Strong"/>
        </w:rPr>
        <w:t>ActewAGL’s</w:t>
      </w:r>
      <w:r w:rsidRPr="00346F85">
        <w:rPr>
          <w:rStyle w:val="Strong"/>
        </w:rPr>
        <w:t xml:space="preserve"> past and proposed opex ($million, </w:t>
      </w:r>
      <w:r w:rsidRPr="00BF14B8">
        <w:rPr>
          <w:rStyle w:val="Strong"/>
        </w:rPr>
        <w:t>201</w:t>
      </w:r>
      <w:r>
        <w:rPr>
          <w:rStyle w:val="Strong"/>
        </w:rPr>
        <w:t>5</w:t>
      </w:r>
      <w:r w:rsidR="002E3496">
        <w:rPr>
          <w:rStyle w:val="Strong"/>
        </w:rPr>
        <w:t>–16</w:t>
      </w:r>
      <w:r w:rsidRPr="00346F85">
        <w:rPr>
          <w:rStyle w:val="Strong"/>
        </w:rPr>
        <w:t>)</w:t>
      </w:r>
    </w:p>
    <w:p w:rsidR="00C101CD" w:rsidRDefault="00C8062D" w:rsidP="00C101CD">
      <w:pPr>
        <w:pStyle w:val="AERfactsheetbodytext"/>
        <w:rPr>
          <w:noProof/>
          <w:lang w:eastAsia="en-AU"/>
        </w:rPr>
      </w:pPr>
      <w:r>
        <w:rPr>
          <w:noProof/>
          <w:lang w:eastAsia="en-AU"/>
        </w:rPr>
        <w:drawing>
          <wp:inline distT="0" distB="0" distL="0" distR="0" wp14:anchorId="2C3607E2" wp14:editId="2FD94198">
            <wp:extent cx="3215005" cy="257553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5005" cy="2575531"/>
                    </a:xfrm>
                    <a:prstGeom prst="rect">
                      <a:avLst/>
                    </a:prstGeom>
                    <a:noFill/>
                  </pic:spPr>
                </pic:pic>
              </a:graphicData>
            </a:graphic>
          </wp:inline>
        </w:drawing>
      </w:r>
    </w:p>
    <w:p w:rsidR="00A946DF" w:rsidRPr="00C059E5" w:rsidRDefault="00A946DF" w:rsidP="00B727C2">
      <w:pPr>
        <w:pStyle w:val="AERfactsheetbodytext"/>
        <w:widowControl w:val="0"/>
        <w:jc w:val="both"/>
      </w:pPr>
      <w:r w:rsidRPr="00DE12B1">
        <w:rPr>
          <w:rFonts w:ascii="Tunga" w:eastAsia="Times New Roman" w:hAnsi="Tunga" w:cs="Tunga"/>
          <w:b/>
          <w:iCs/>
          <w:color w:val="006A99"/>
          <w:kern w:val="24"/>
          <w:sz w:val="24"/>
          <w:szCs w:val="24"/>
        </w:rPr>
        <w:t>Capital expenditure</w:t>
      </w:r>
    </w:p>
    <w:p w:rsidR="00A2351C" w:rsidRDefault="00A2351C" w:rsidP="00AB4AEB">
      <w:pPr>
        <w:pStyle w:val="AERfactsheetbodytext"/>
        <w:keepNext/>
        <w:jc w:val="both"/>
      </w:pPr>
      <w:r>
        <w:t>Capex refers to the cost of building new facilities or replacing existing infrastructure. Factors that influence our required level of capex include</w:t>
      </w:r>
      <w:r w:rsidR="00AD2301">
        <w:t xml:space="preserve"> expected growth in the network, and</w:t>
      </w:r>
      <w:r>
        <w:t xml:space="preserve"> the age and condition of existing assets. </w:t>
      </w:r>
    </w:p>
    <w:p w:rsidR="00777750" w:rsidRDefault="00597148" w:rsidP="003F62E8">
      <w:pPr>
        <w:pStyle w:val="AERfactsheetbodytext"/>
        <w:jc w:val="both"/>
      </w:pPr>
      <w:r>
        <w:t>W</w:t>
      </w:r>
      <w:r w:rsidR="00777750">
        <w:t xml:space="preserve">e must be satisfied that the level of capex proposed by </w:t>
      </w:r>
      <w:r w:rsidR="00321421">
        <w:t>ActewAGL</w:t>
      </w:r>
      <w:r w:rsidR="00522DD1">
        <w:t xml:space="preserve"> </w:t>
      </w:r>
      <w:r>
        <w:t xml:space="preserve">is justified, and </w:t>
      </w:r>
      <w:r w:rsidR="00777750">
        <w:t xml:space="preserve">reflects </w:t>
      </w:r>
      <w:r>
        <w:rPr>
          <w:noProof/>
          <w:lang w:eastAsia="en-AU"/>
        </w:rPr>
        <w:t>costs that would be incurred by a prudent service provider acting efficiently, in accordance with accepted good industry</w:t>
      </w:r>
      <w:r w:rsidR="00777750">
        <w:t xml:space="preserve"> </w:t>
      </w:r>
      <w:r>
        <w:rPr>
          <w:noProof/>
          <w:lang w:eastAsia="en-AU"/>
        </w:rPr>
        <w:t>practice, to achieve the lowest sustainable cost of delivering pipeline services.</w:t>
      </w:r>
    </w:p>
    <w:p w:rsidR="00A946DF" w:rsidRDefault="002013CA" w:rsidP="003F62E8">
      <w:pPr>
        <w:pStyle w:val="AERfactsheetbodytext"/>
        <w:jc w:val="both"/>
      </w:pPr>
      <w:r>
        <w:t xml:space="preserve">We have estimated total </w:t>
      </w:r>
      <w:r w:rsidRPr="0040653E">
        <w:t xml:space="preserve">forecast </w:t>
      </w:r>
      <w:r w:rsidR="001A132D">
        <w:t xml:space="preserve">net </w:t>
      </w:r>
      <w:r w:rsidRPr="0040653E">
        <w:t xml:space="preserve">capex of </w:t>
      </w:r>
      <w:r w:rsidRPr="003515EA">
        <w:t>$</w:t>
      </w:r>
      <w:r w:rsidR="00C8062D">
        <w:t>80.7</w:t>
      </w:r>
      <w:r w:rsidRPr="0040653E">
        <w:t xml:space="preserve"> million ($201</w:t>
      </w:r>
      <w:r w:rsidR="0014418F">
        <w:t>5</w:t>
      </w:r>
      <w:r w:rsidR="003C5C9A">
        <w:rPr>
          <w:rFonts w:ascii="Arial" w:hAnsi="Arial" w:cs="Arial"/>
          <w:lang w:bidi="he-IL"/>
        </w:rPr>
        <w:t>–16</w:t>
      </w:r>
      <w:r w:rsidRPr="0040653E">
        <w:t xml:space="preserve">) for </w:t>
      </w:r>
      <w:r w:rsidR="00321421">
        <w:t>ActewAGL</w:t>
      </w:r>
      <w:r w:rsidR="00AD2301">
        <w:t>’s</w:t>
      </w:r>
      <w:r w:rsidR="00522DD1" w:rsidRPr="0040653E">
        <w:t xml:space="preserve"> </w:t>
      </w:r>
      <w:r w:rsidRPr="0040653E">
        <w:t>201</w:t>
      </w:r>
      <w:r w:rsidR="0014418F">
        <w:t>6</w:t>
      </w:r>
      <w:r w:rsidRPr="0040653E">
        <w:rPr>
          <w:rFonts w:ascii="Arial" w:hAnsi="Arial" w:cs="Arial"/>
        </w:rPr>
        <w:t>−</w:t>
      </w:r>
      <w:r w:rsidRPr="0040653E">
        <w:t>2</w:t>
      </w:r>
      <w:r w:rsidR="00AD2301">
        <w:t>1</w:t>
      </w:r>
      <w:r w:rsidRPr="0040653E">
        <w:t xml:space="preserve"> </w:t>
      </w:r>
      <w:r w:rsidR="00597148">
        <w:t>access arrangement</w:t>
      </w:r>
      <w:r w:rsidRPr="0040653E">
        <w:t xml:space="preserve"> period. </w:t>
      </w:r>
      <w:r w:rsidR="009B6398" w:rsidRPr="0040653E">
        <w:t xml:space="preserve">This </w:t>
      </w:r>
      <w:r w:rsidR="009B6398" w:rsidRPr="003515EA">
        <w:t xml:space="preserve">is </w:t>
      </w:r>
      <w:r w:rsidR="00C8062D">
        <w:t>13.5</w:t>
      </w:r>
      <w:r w:rsidR="00B727C2" w:rsidRPr="003515EA">
        <w:t xml:space="preserve"> </w:t>
      </w:r>
      <w:r w:rsidR="009B6398" w:rsidRPr="003515EA">
        <w:t>per</w:t>
      </w:r>
      <w:r w:rsidR="009B6398" w:rsidRPr="0040653E">
        <w:t xml:space="preserve"> cent lower than </w:t>
      </w:r>
      <w:r w:rsidR="009B6398" w:rsidRPr="003515EA">
        <w:t>the $</w:t>
      </w:r>
      <w:r w:rsidR="00C8062D">
        <w:t>93.2</w:t>
      </w:r>
      <w:r w:rsidR="009B6398" w:rsidRPr="0040653E">
        <w:t xml:space="preserve"> million</w:t>
      </w:r>
      <w:r w:rsidR="009B6398">
        <w:t xml:space="preserve"> </w:t>
      </w:r>
      <w:r w:rsidR="00597148">
        <w:t>ActewAGL</w:t>
      </w:r>
      <w:r w:rsidR="00522DD1">
        <w:t xml:space="preserve"> </w:t>
      </w:r>
      <w:r w:rsidR="009B6398">
        <w:t>proposed</w:t>
      </w:r>
      <w:r w:rsidR="00A54BB1">
        <w:t>.</w:t>
      </w:r>
    </w:p>
    <w:p w:rsidR="0018267B" w:rsidRPr="0018267B" w:rsidRDefault="0018267B" w:rsidP="00EE150F">
      <w:pPr>
        <w:pStyle w:val="AERfactsheetbodytext"/>
        <w:jc w:val="both"/>
      </w:pPr>
      <w:r>
        <w:t xml:space="preserve">The key difference between our substitute capex forecast and ActewAGL’s revised proposal </w:t>
      </w:r>
      <w:r w:rsidR="00EE150F">
        <w:t xml:space="preserve">is </w:t>
      </w:r>
      <w:r w:rsidRPr="0018267B">
        <w:t>augmentation capex—a reduction of $8.4 million (or 58.3 per cent) to ActewAGL's proposed $14.4 million. Our final decision is that a prudent operator, acting efficiently, would not require ActewAGL's forecast capex associated with the Molonglo Primary and Molonglo Secondary</w:t>
      </w:r>
      <w:r w:rsidRPr="00655A95">
        <w:t xml:space="preserve"> </w:t>
      </w:r>
      <w:r w:rsidRPr="0018267B">
        <w:t>network expansions during the 2016–21 access arrangement period.</w:t>
      </w:r>
    </w:p>
    <w:p w:rsidR="00A946DF" w:rsidRPr="002C0A83" w:rsidRDefault="00A946DF" w:rsidP="00A946DF">
      <w:pPr>
        <w:pStyle w:val="AERfactsheetbodytext"/>
        <w:rPr>
          <w:rStyle w:val="Strong"/>
        </w:rPr>
      </w:pPr>
      <w:r w:rsidRPr="002C0A83">
        <w:rPr>
          <w:rStyle w:val="Strong"/>
        </w:rPr>
        <w:lastRenderedPageBreak/>
        <w:t xml:space="preserve">AER </w:t>
      </w:r>
      <w:r w:rsidR="00A37074">
        <w:rPr>
          <w:rStyle w:val="Strong"/>
        </w:rPr>
        <w:t>final</w:t>
      </w:r>
      <w:r w:rsidR="00597148" w:rsidRPr="002C0A83">
        <w:rPr>
          <w:rStyle w:val="Strong"/>
        </w:rPr>
        <w:t xml:space="preserve"> </w:t>
      </w:r>
      <w:r w:rsidR="000B4299">
        <w:rPr>
          <w:rStyle w:val="Strong"/>
        </w:rPr>
        <w:t>decision</w:t>
      </w:r>
      <w:r w:rsidRPr="002C0A83">
        <w:rPr>
          <w:rStyle w:val="Strong"/>
        </w:rPr>
        <w:t xml:space="preserve"> compared to </w:t>
      </w:r>
      <w:r w:rsidR="00321421">
        <w:rPr>
          <w:rStyle w:val="Strong"/>
        </w:rPr>
        <w:t>ActewAGL</w:t>
      </w:r>
      <w:r w:rsidR="00AD2301">
        <w:rPr>
          <w:rStyle w:val="Strong"/>
        </w:rPr>
        <w:t>’s</w:t>
      </w:r>
      <w:r w:rsidR="00522DD1" w:rsidRPr="002C0A83">
        <w:rPr>
          <w:rStyle w:val="Strong"/>
        </w:rPr>
        <w:t xml:space="preserve"> </w:t>
      </w:r>
      <w:r w:rsidRPr="002C0A83">
        <w:rPr>
          <w:rStyle w:val="Strong"/>
        </w:rPr>
        <w:t xml:space="preserve">past and proposed capex ($million, </w:t>
      </w:r>
      <w:r w:rsidRPr="004A076A">
        <w:rPr>
          <w:rStyle w:val="Strong"/>
        </w:rPr>
        <w:t>201</w:t>
      </w:r>
      <w:r w:rsidR="00C66475">
        <w:rPr>
          <w:rStyle w:val="Strong"/>
        </w:rPr>
        <w:t>5</w:t>
      </w:r>
      <w:r w:rsidR="002E3496">
        <w:rPr>
          <w:rStyle w:val="Strong"/>
        </w:rPr>
        <w:t>–16</w:t>
      </w:r>
      <w:r w:rsidRPr="002C0A83">
        <w:rPr>
          <w:rStyle w:val="Strong"/>
        </w:rPr>
        <w:t xml:space="preserve">) </w:t>
      </w:r>
    </w:p>
    <w:p w:rsidR="00A946DF" w:rsidRDefault="0018267B" w:rsidP="00A946DF">
      <w:pPr>
        <w:pStyle w:val="AERfactsheetbodytext"/>
        <w:widowControl w:val="0"/>
        <w:jc w:val="both"/>
        <w:rPr>
          <w:noProof/>
          <w:lang w:eastAsia="en-AU"/>
        </w:rPr>
      </w:pPr>
      <w:r w:rsidRPr="0044164D">
        <w:rPr>
          <w:noProof/>
          <w:lang w:eastAsia="en-AU"/>
        </w:rPr>
        <w:drawing>
          <wp:inline distT="0" distB="0" distL="0" distR="0" wp14:anchorId="124E07D3" wp14:editId="568ED902">
            <wp:extent cx="3215005" cy="1802633"/>
            <wp:effectExtent l="0" t="0" r="444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5005" cy="1802633"/>
                    </a:xfrm>
                    <a:prstGeom prst="rect">
                      <a:avLst/>
                    </a:prstGeom>
                    <a:noFill/>
                    <a:ln>
                      <a:noFill/>
                    </a:ln>
                  </pic:spPr>
                </pic:pic>
              </a:graphicData>
            </a:graphic>
          </wp:inline>
        </w:drawing>
      </w:r>
    </w:p>
    <w:p w:rsidR="00595459" w:rsidRPr="00F762F3" w:rsidRDefault="00A37074" w:rsidP="00A946DF">
      <w:pPr>
        <w:pStyle w:val="AERfactsheetbodytext"/>
        <w:widowControl w:val="0"/>
        <w:spacing w:after="0"/>
        <w:jc w:val="both"/>
        <w:rPr>
          <w:rFonts w:ascii="Tunga" w:eastAsia="Times New Roman" w:hAnsi="Tunga" w:cs="Tunga"/>
          <w:b/>
          <w:iCs/>
          <w:color w:val="006A99"/>
          <w:spacing w:val="0"/>
          <w:kern w:val="24"/>
          <w:sz w:val="24"/>
          <w:szCs w:val="24"/>
        </w:rPr>
      </w:pPr>
      <w:r>
        <w:rPr>
          <w:rFonts w:ascii="Tunga" w:eastAsia="Times New Roman" w:hAnsi="Tunga" w:cs="Tunga"/>
          <w:b/>
          <w:iCs/>
          <w:color w:val="006A99"/>
          <w:spacing w:val="0"/>
          <w:kern w:val="24"/>
          <w:sz w:val="24"/>
          <w:szCs w:val="24"/>
        </w:rPr>
        <w:t>For m</w:t>
      </w:r>
      <w:r w:rsidR="00595459" w:rsidRPr="00595459">
        <w:rPr>
          <w:rFonts w:ascii="Tunga" w:eastAsia="Times New Roman" w:hAnsi="Tunga" w:cs="Tunga"/>
          <w:b/>
          <w:iCs/>
          <w:color w:val="006A99"/>
          <w:spacing w:val="0"/>
          <w:kern w:val="24"/>
          <w:sz w:val="24"/>
          <w:szCs w:val="24"/>
        </w:rPr>
        <w:t>ore information</w:t>
      </w:r>
      <w:r>
        <w:rPr>
          <w:rFonts w:ascii="Tunga" w:eastAsia="Times New Roman" w:hAnsi="Tunga" w:cs="Tunga"/>
          <w:b/>
          <w:iCs/>
          <w:color w:val="006A99"/>
          <w:spacing w:val="0"/>
          <w:kern w:val="24"/>
          <w:sz w:val="24"/>
          <w:szCs w:val="24"/>
        </w:rPr>
        <w:t>:</w:t>
      </w:r>
      <w:r w:rsidR="000A3CF4">
        <w:rPr>
          <w:rFonts w:ascii="Tunga" w:eastAsia="Times New Roman" w:hAnsi="Tunga" w:cs="Tunga"/>
          <w:b/>
          <w:iCs/>
          <w:color w:val="006A99"/>
          <w:spacing w:val="0"/>
          <w:kern w:val="24"/>
          <w:sz w:val="24"/>
          <w:szCs w:val="24"/>
        </w:rPr>
        <w:t xml:space="preserve"> </w:t>
      </w:r>
    </w:p>
    <w:p w:rsidR="00A37074" w:rsidRPr="00B671F0" w:rsidRDefault="00A37074" w:rsidP="00A37074">
      <w:pPr>
        <w:pStyle w:val="AERfactsheetbodytext"/>
        <w:jc w:val="both"/>
      </w:pPr>
      <w:r>
        <w:rPr>
          <w:rStyle w:val="Hyperlink"/>
          <w:color w:val="auto"/>
          <w:u w:val="none"/>
        </w:rPr>
        <w:t xml:space="preserve">More information on our final decision can be found on our website: </w:t>
      </w:r>
      <w:hyperlink r:id="rId16" w:history="1">
        <w:r w:rsidRPr="00F53595">
          <w:rPr>
            <w:rStyle w:val="Hyperlink"/>
          </w:rPr>
          <w:t>www.aer.gov.au</w:t>
        </w:r>
      </w:hyperlink>
      <w:r>
        <w:rPr>
          <w:rStyle w:val="Hyperlink"/>
          <w:color w:val="auto"/>
          <w:u w:val="none"/>
        </w:rPr>
        <w:t xml:space="preserve">. </w:t>
      </w:r>
    </w:p>
    <w:sectPr w:rsidR="00A37074" w:rsidRPr="00B671F0" w:rsidSect="001152BD">
      <w:type w:val="continuous"/>
      <w:pgSz w:w="11906" w:h="16838"/>
      <w:pgMar w:top="993" w:right="720" w:bottom="851" w:left="720" w:header="709" w:footer="709"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7DC" w:rsidRDefault="00A377DC" w:rsidP="00A24D2E">
      <w:r>
        <w:separator/>
      </w:r>
    </w:p>
  </w:endnote>
  <w:endnote w:type="continuationSeparator" w:id="0">
    <w:p w:rsidR="00A377DC" w:rsidRDefault="00A377DC" w:rsidP="00A2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DINOT-Regular">
    <w:altName w:val="DINOT-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7DC" w:rsidRDefault="00A377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7DC" w:rsidRDefault="00A377DC" w:rsidP="00A24D2E">
      <w:r>
        <w:separator/>
      </w:r>
    </w:p>
  </w:footnote>
  <w:footnote w:type="continuationSeparator" w:id="0">
    <w:p w:rsidR="00A377DC" w:rsidRDefault="00A377DC" w:rsidP="00A24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5DE252A"/>
    <w:multiLevelType w:val="hybridMultilevel"/>
    <w:tmpl w:val="C67288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3D32CE"/>
    <w:multiLevelType w:val="hybridMultilevel"/>
    <w:tmpl w:val="64CEB9F0"/>
    <w:lvl w:ilvl="0" w:tplc="C9C406E8">
      <w:start w:val="1"/>
      <w:numFmt w:val="bullet"/>
      <w:pStyle w:val="AERfactsheetbulletlist"/>
      <w:lvlText w:val=""/>
      <w:lvlJc w:val="left"/>
      <w:pPr>
        <w:ind w:left="578" w:hanging="360"/>
      </w:pPr>
      <w:rPr>
        <w:rFonts w:ascii="Wingdings" w:hAnsi="Wingdings" w:hint="default"/>
        <w:b w:val="0"/>
        <w:i w:val="0"/>
        <w:sz w:val="22"/>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
    <w:nsid w:val="3A2E3ACB"/>
    <w:multiLevelType w:val="hybridMultilevel"/>
    <w:tmpl w:val="58D666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B5B40A8"/>
    <w:multiLevelType w:val="hybridMultilevel"/>
    <w:tmpl w:val="7BFCF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39575BF"/>
    <w:multiLevelType w:val="hybridMultilevel"/>
    <w:tmpl w:val="520AAE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44E1809"/>
    <w:multiLevelType w:val="hybridMultilevel"/>
    <w:tmpl w:val="8B549D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E346E8D"/>
    <w:multiLevelType w:val="hybridMultilevel"/>
    <w:tmpl w:val="CC36CC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1487971"/>
    <w:multiLevelType w:val="multilevel"/>
    <w:tmpl w:val="B1FCC85A"/>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5C04619A"/>
    <w:multiLevelType w:val="hybridMultilevel"/>
    <w:tmpl w:val="56C09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386215F"/>
    <w:multiLevelType w:val="hybridMultilevel"/>
    <w:tmpl w:val="780E4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8D14182"/>
    <w:multiLevelType w:val="hybridMultilevel"/>
    <w:tmpl w:val="7BA04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103D40"/>
    <w:multiLevelType w:val="hybridMultilevel"/>
    <w:tmpl w:val="734CB160"/>
    <w:lvl w:ilvl="0" w:tplc="4A8C60E4">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D271BCA"/>
    <w:multiLevelType w:val="hybridMultilevel"/>
    <w:tmpl w:val="710A2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E2819EC"/>
    <w:multiLevelType w:val="multilevel"/>
    <w:tmpl w:val="1250F3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
  </w:num>
  <w:num w:numId="3">
    <w:abstractNumId w:val="2"/>
  </w:num>
  <w:num w:numId="4">
    <w:abstractNumId w:val="2"/>
  </w:num>
  <w:num w:numId="5">
    <w:abstractNumId w:val="9"/>
  </w:num>
  <w:num w:numId="6">
    <w:abstractNumId w:val="5"/>
  </w:num>
  <w:num w:numId="7">
    <w:abstractNumId w:val="4"/>
  </w:num>
  <w:num w:numId="8">
    <w:abstractNumId w:val="6"/>
  </w:num>
  <w:num w:numId="9">
    <w:abstractNumId w:val="3"/>
  </w:num>
  <w:num w:numId="10">
    <w:abstractNumId w:val="0"/>
  </w:num>
  <w:num w:numId="11">
    <w:abstractNumId w:val="14"/>
  </w:num>
  <w:num w:numId="12">
    <w:abstractNumId w:val="10"/>
  </w:num>
  <w:num w:numId="13">
    <w:abstractNumId w:val="11"/>
  </w:num>
  <w:num w:numId="14">
    <w:abstractNumId w:val="13"/>
  </w:num>
  <w:num w:numId="15">
    <w:abstractNumId w:val="7"/>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11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www.aer.gov.au/system/files/AER - Fact sheet - Draft decision - ActewAGL Distribution access arrangement - November 2015.DOCX"/>
  </w:docVars>
  <w:rsids>
    <w:rsidRoot w:val="00021F03"/>
    <w:rsid w:val="000002DF"/>
    <w:rsid w:val="00012AC9"/>
    <w:rsid w:val="00014437"/>
    <w:rsid w:val="000173D5"/>
    <w:rsid w:val="000175A4"/>
    <w:rsid w:val="000211A7"/>
    <w:rsid w:val="00021F03"/>
    <w:rsid w:val="00022077"/>
    <w:rsid w:val="00025FB1"/>
    <w:rsid w:val="00027076"/>
    <w:rsid w:val="00033439"/>
    <w:rsid w:val="00033EC8"/>
    <w:rsid w:val="00035993"/>
    <w:rsid w:val="000437AC"/>
    <w:rsid w:val="000454A0"/>
    <w:rsid w:val="000466AF"/>
    <w:rsid w:val="000519B9"/>
    <w:rsid w:val="00057D2B"/>
    <w:rsid w:val="00064272"/>
    <w:rsid w:val="00073789"/>
    <w:rsid w:val="000742B2"/>
    <w:rsid w:val="0007657B"/>
    <w:rsid w:val="00082625"/>
    <w:rsid w:val="00084C36"/>
    <w:rsid w:val="000864DB"/>
    <w:rsid w:val="00097937"/>
    <w:rsid w:val="000A13A8"/>
    <w:rsid w:val="000A3CF4"/>
    <w:rsid w:val="000B05F7"/>
    <w:rsid w:val="000B4299"/>
    <w:rsid w:val="000C025A"/>
    <w:rsid w:val="000C07AD"/>
    <w:rsid w:val="000C5089"/>
    <w:rsid w:val="000C712D"/>
    <w:rsid w:val="000D3B8F"/>
    <w:rsid w:val="000D4524"/>
    <w:rsid w:val="000D4877"/>
    <w:rsid w:val="000D5AD6"/>
    <w:rsid w:val="000E1E87"/>
    <w:rsid w:val="000E2D55"/>
    <w:rsid w:val="000E4995"/>
    <w:rsid w:val="000E4E9B"/>
    <w:rsid w:val="000E50A8"/>
    <w:rsid w:val="000F01EE"/>
    <w:rsid w:val="000F1C65"/>
    <w:rsid w:val="000F4E95"/>
    <w:rsid w:val="000F75F1"/>
    <w:rsid w:val="0010059A"/>
    <w:rsid w:val="00100E7B"/>
    <w:rsid w:val="0010549E"/>
    <w:rsid w:val="00113361"/>
    <w:rsid w:val="00114F21"/>
    <w:rsid w:val="0011527B"/>
    <w:rsid w:val="001152BD"/>
    <w:rsid w:val="001152E2"/>
    <w:rsid w:val="00117167"/>
    <w:rsid w:val="001233E2"/>
    <w:rsid w:val="00124754"/>
    <w:rsid w:val="00130988"/>
    <w:rsid w:val="00130DB2"/>
    <w:rsid w:val="00131C78"/>
    <w:rsid w:val="00134644"/>
    <w:rsid w:val="001364E9"/>
    <w:rsid w:val="00136B9B"/>
    <w:rsid w:val="00140E1A"/>
    <w:rsid w:val="00140E62"/>
    <w:rsid w:val="0014418F"/>
    <w:rsid w:val="001501EF"/>
    <w:rsid w:val="0016071A"/>
    <w:rsid w:val="00161050"/>
    <w:rsid w:val="00161423"/>
    <w:rsid w:val="00163E50"/>
    <w:rsid w:val="0016401A"/>
    <w:rsid w:val="00166AE3"/>
    <w:rsid w:val="00166FEF"/>
    <w:rsid w:val="00177190"/>
    <w:rsid w:val="00180ECE"/>
    <w:rsid w:val="0018267B"/>
    <w:rsid w:val="00193770"/>
    <w:rsid w:val="00193867"/>
    <w:rsid w:val="00194A45"/>
    <w:rsid w:val="001A041D"/>
    <w:rsid w:val="001A132D"/>
    <w:rsid w:val="001A231A"/>
    <w:rsid w:val="001A23C5"/>
    <w:rsid w:val="001A3711"/>
    <w:rsid w:val="001A3D6B"/>
    <w:rsid w:val="001A476E"/>
    <w:rsid w:val="001A49DA"/>
    <w:rsid w:val="001A5BC1"/>
    <w:rsid w:val="001B10C7"/>
    <w:rsid w:val="001B2780"/>
    <w:rsid w:val="001B2A48"/>
    <w:rsid w:val="001B5680"/>
    <w:rsid w:val="001B5D44"/>
    <w:rsid w:val="001C00E4"/>
    <w:rsid w:val="001C0E10"/>
    <w:rsid w:val="001C6507"/>
    <w:rsid w:val="001C7EA5"/>
    <w:rsid w:val="001D3D87"/>
    <w:rsid w:val="001D49FD"/>
    <w:rsid w:val="001D6E6F"/>
    <w:rsid w:val="001D71FF"/>
    <w:rsid w:val="001E42DA"/>
    <w:rsid w:val="001F15F8"/>
    <w:rsid w:val="001F2550"/>
    <w:rsid w:val="001F5023"/>
    <w:rsid w:val="002013CA"/>
    <w:rsid w:val="00206513"/>
    <w:rsid w:val="002106B5"/>
    <w:rsid w:val="00211FD6"/>
    <w:rsid w:val="00216967"/>
    <w:rsid w:val="00221E6A"/>
    <w:rsid w:val="00223084"/>
    <w:rsid w:val="00225391"/>
    <w:rsid w:val="0022594B"/>
    <w:rsid w:val="0023200B"/>
    <w:rsid w:val="00234EA7"/>
    <w:rsid w:val="00235775"/>
    <w:rsid w:val="00235852"/>
    <w:rsid w:val="00235EBD"/>
    <w:rsid w:val="002365E1"/>
    <w:rsid w:val="00236E3C"/>
    <w:rsid w:val="00240C5B"/>
    <w:rsid w:val="002425E7"/>
    <w:rsid w:val="002426F1"/>
    <w:rsid w:val="00244D7A"/>
    <w:rsid w:val="00245AD1"/>
    <w:rsid w:val="0024600E"/>
    <w:rsid w:val="002544F5"/>
    <w:rsid w:val="00257B6D"/>
    <w:rsid w:val="00260768"/>
    <w:rsid w:val="0026147D"/>
    <w:rsid w:val="00263811"/>
    <w:rsid w:val="00266275"/>
    <w:rsid w:val="00266F18"/>
    <w:rsid w:val="00277437"/>
    <w:rsid w:val="00285C21"/>
    <w:rsid w:val="002942E5"/>
    <w:rsid w:val="002952EB"/>
    <w:rsid w:val="002A473F"/>
    <w:rsid w:val="002B1F46"/>
    <w:rsid w:val="002B5A61"/>
    <w:rsid w:val="002B7BBC"/>
    <w:rsid w:val="002C0A83"/>
    <w:rsid w:val="002C4380"/>
    <w:rsid w:val="002C451E"/>
    <w:rsid w:val="002C5AD0"/>
    <w:rsid w:val="002D0A13"/>
    <w:rsid w:val="002D6A6B"/>
    <w:rsid w:val="002E328E"/>
    <w:rsid w:val="002E3496"/>
    <w:rsid w:val="002E3F5B"/>
    <w:rsid w:val="002E57B4"/>
    <w:rsid w:val="002E7F4D"/>
    <w:rsid w:val="002F5CD2"/>
    <w:rsid w:val="002F62A0"/>
    <w:rsid w:val="00302FC9"/>
    <w:rsid w:val="00305687"/>
    <w:rsid w:val="003118DF"/>
    <w:rsid w:val="0031269F"/>
    <w:rsid w:val="003171C2"/>
    <w:rsid w:val="00320979"/>
    <w:rsid w:val="00321421"/>
    <w:rsid w:val="003224AC"/>
    <w:rsid w:val="00327E8A"/>
    <w:rsid w:val="003326F9"/>
    <w:rsid w:val="00333650"/>
    <w:rsid w:val="003408CD"/>
    <w:rsid w:val="00342DB1"/>
    <w:rsid w:val="00346F63"/>
    <w:rsid w:val="00346F85"/>
    <w:rsid w:val="00350B92"/>
    <w:rsid w:val="003515EA"/>
    <w:rsid w:val="00354991"/>
    <w:rsid w:val="00355463"/>
    <w:rsid w:val="00356833"/>
    <w:rsid w:val="00360C93"/>
    <w:rsid w:val="00361D9D"/>
    <w:rsid w:val="00363D63"/>
    <w:rsid w:val="00365A4D"/>
    <w:rsid w:val="003851C0"/>
    <w:rsid w:val="00385BB9"/>
    <w:rsid w:val="003861C5"/>
    <w:rsid w:val="003870D8"/>
    <w:rsid w:val="003876E1"/>
    <w:rsid w:val="00390127"/>
    <w:rsid w:val="0039070F"/>
    <w:rsid w:val="00391B7D"/>
    <w:rsid w:val="00392D55"/>
    <w:rsid w:val="003A2EB7"/>
    <w:rsid w:val="003A683A"/>
    <w:rsid w:val="003B202F"/>
    <w:rsid w:val="003B2359"/>
    <w:rsid w:val="003B46EA"/>
    <w:rsid w:val="003C1E21"/>
    <w:rsid w:val="003C5C9A"/>
    <w:rsid w:val="003F527A"/>
    <w:rsid w:val="003F62E8"/>
    <w:rsid w:val="00404570"/>
    <w:rsid w:val="0040653E"/>
    <w:rsid w:val="00420648"/>
    <w:rsid w:val="00422BE8"/>
    <w:rsid w:val="0042329B"/>
    <w:rsid w:val="00424125"/>
    <w:rsid w:val="004310E5"/>
    <w:rsid w:val="00431C84"/>
    <w:rsid w:val="004379A4"/>
    <w:rsid w:val="004407B3"/>
    <w:rsid w:val="00441A76"/>
    <w:rsid w:val="004429B7"/>
    <w:rsid w:val="00446186"/>
    <w:rsid w:val="004514C8"/>
    <w:rsid w:val="0045172C"/>
    <w:rsid w:val="00453DBE"/>
    <w:rsid w:val="004548EF"/>
    <w:rsid w:val="004579EB"/>
    <w:rsid w:val="00457E3A"/>
    <w:rsid w:val="004609FA"/>
    <w:rsid w:val="00466975"/>
    <w:rsid w:val="00470A19"/>
    <w:rsid w:val="00474754"/>
    <w:rsid w:val="004765E6"/>
    <w:rsid w:val="00483560"/>
    <w:rsid w:val="00483901"/>
    <w:rsid w:val="004842F6"/>
    <w:rsid w:val="004971B8"/>
    <w:rsid w:val="004A076A"/>
    <w:rsid w:val="004A08FC"/>
    <w:rsid w:val="004A5A86"/>
    <w:rsid w:val="004A6F3A"/>
    <w:rsid w:val="004B0368"/>
    <w:rsid w:val="004B2EDB"/>
    <w:rsid w:val="004B40E2"/>
    <w:rsid w:val="004B680E"/>
    <w:rsid w:val="004C029B"/>
    <w:rsid w:val="004C0E3D"/>
    <w:rsid w:val="004C1027"/>
    <w:rsid w:val="004C19B8"/>
    <w:rsid w:val="004C2E85"/>
    <w:rsid w:val="004C3EF6"/>
    <w:rsid w:val="004C5F9A"/>
    <w:rsid w:val="004D0450"/>
    <w:rsid w:val="004D1DC0"/>
    <w:rsid w:val="004D1FEB"/>
    <w:rsid w:val="004D52BB"/>
    <w:rsid w:val="004E03D0"/>
    <w:rsid w:val="004E0C30"/>
    <w:rsid w:val="004E0FF6"/>
    <w:rsid w:val="004E1208"/>
    <w:rsid w:val="004E1E2E"/>
    <w:rsid w:val="004E29CE"/>
    <w:rsid w:val="004E2EA6"/>
    <w:rsid w:val="004E4F29"/>
    <w:rsid w:val="004E5204"/>
    <w:rsid w:val="004E62EB"/>
    <w:rsid w:val="004F139D"/>
    <w:rsid w:val="004F2276"/>
    <w:rsid w:val="004F2A9E"/>
    <w:rsid w:val="00502E7D"/>
    <w:rsid w:val="0050430D"/>
    <w:rsid w:val="005064D7"/>
    <w:rsid w:val="00511B82"/>
    <w:rsid w:val="00513058"/>
    <w:rsid w:val="00513CA8"/>
    <w:rsid w:val="00513FFD"/>
    <w:rsid w:val="00522DD1"/>
    <w:rsid w:val="00526663"/>
    <w:rsid w:val="00526C37"/>
    <w:rsid w:val="0052745D"/>
    <w:rsid w:val="005324C6"/>
    <w:rsid w:val="00544345"/>
    <w:rsid w:val="00545A8C"/>
    <w:rsid w:val="00547E18"/>
    <w:rsid w:val="005524C5"/>
    <w:rsid w:val="00554698"/>
    <w:rsid w:val="00554E14"/>
    <w:rsid w:val="0055584F"/>
    <w:rsid w:val="00564E1B"/>
    <w:rsid w:val="00566B12"/>
    <w:rsid w:val="0057178D"/>
    <w:rsid w:val="0057269F"/>
    <w:rsid w:val="005746F0"/>
    <w:rsid w:val="0057606C"/>
    <w:rsid w:val="005844C1"/>
    <w:rsid w:val="00585B4E"/>
    <w:rsid w:val="005936A7"/>
    <w:rsid w:val="00595459"/>
    <w:rsid w:val="00597148"/>
    <w:rsid w:val="005A1CBA"/>
    <w:rsid w:val="005A2688"/>
    <w:rsid w:val="005A26FD"/>
    <w:rsid w:val="005A468C"/>
    <w:rsid w:val="005A5E2A"/>
    <w:rsid w:val="005B07A5"/>
    <w:rsid w:val="005B532F"/>
    <w:rsid w:val="005B6DAC"/>
    <w:rsid w:val="005C144C"/>
    <w:rsid w:val="005C2225"/>
    <w:rsid w:val="005D2EBB"/>
    <w:rsid w:val="005D66B5"/>
    <w:rsid w:val="005D69ED"/>
    <w:rsid w:val="005E0762"/>
    <w:rsid w:val="005E1E92"/>
    <w:rsid w:val="005E3842"/>
    <w:rsid w:val="005E4018"/>
    <w:rsid w:val="005F2DC5"/>
    <w:rsid w:val="005F4DFA"/>
    <w:rsid w:val="006030C0"/>
    <w:rsid w:val="0061155D"/>
    <w:rsid w:val="00617335"/>
    <w:rsid w:val="00617C6D"/>
    <w:rsid w:val="006204C6"/>
    <w:rsid w:val="00620EC9"/>
    <w:rsid w:val="00622206"/>
    <w:rsid w:val="006246A9"/>
    <w:rsid w:val="006265AD"/>
    <w:rsid w:val="00637A50"/>
    <w:rsid w:val="0064571A"/>
    <w:rsid w:val="00650D15"/>
    <w:rsid w:val="00651ED2"/>
    <w:rsid w:val="00652BED"/>
    <w:rsid w:val="006564F0"/>
    <w:rsid w:val="00660308"/>
    <w:rsid w:val="00661A9B"/>
    <w:rsid w:val="00662BB4"/>
    <w:rsid w:val="00664010"/>
    <w:rsid w:val="0066415A"/>
    <w:rsid w:val="006658A5"/>
    <w:rsid w:val="006710DB"/>
    <w:rsid w:val="006721DC"/>
    <w:rsid w:val="00677DA8"/>
    <w:rsid w:val="00684BCF"/>
    <w:rsid w:val="0069021E"/>
    <w:rsid w:val="006919E7"/>
    <w:rsid w:val="00697FF1"/>
    <w:rsid w:val="006A07F6"/>
    <w:rsid w:val="006A41BC"/>
    <w:rsid w:val="006B1A2B"/>
    <w:rsid w:val="006B322A"/>
    <w:rsid w:val="006B39DB"/>
    <w:rsid w:val="006B52B4"/>
    <w:rsid w:val="006B6050"/>
    <w:rsid w:val="006B73DD"/>
    <w:rsid w:val="006C4CC5"/>
    <w:rsid w:val="006D0E7F"/>
    <w:rsid w:val="006D137A"/>
    <w:rsid w:val="006D59E9"/>
    <w:rsid w:val="006D5C4C"/>
    <w:rsid w:val="006D6030"/>
    <w:rsid w:val="006D63E8"/>
    <w:rsid w:val="006D77A8"/>
    <w:rsid w:val="006E2F2F"/>
    <w:rsid w:val="006F2E4F"/>
    <w:rsid w:val="006F47BA"/>
    <w:rsid w:val="00701628"/>
    <w:rsid w:val="00702500"/>
    <w:rsid w:val="00704EDA"/>
    <w:rsid w:val="00705299"/>
    <w:rsid w:val="00705895"/>
    <w:rsid w:val="00705FD3"/>
    <w:rsid w:val="007101C1"/>
    <w:rsid w:val="007132F5"/>
    <w:rsid w:val="0071669F"/>
    <w:rsid w:val="0071791A"/>
    <w:rsid w:val="00726CCA"/>
    <w:rsid w:val="00731173"/>
    <w:rsid w:val="007325CC"/>
    <w:rsid w:val="00742DF1"/>
    <w:rsid w:val="00747F9D"/>
    <w:rsid w:val="00751069"/>
    <w:rsid w:val="0075318C"/>
    <w:rsid w:val="00753DF7"/>
    <w:rsid w:val="00754FD0"/>
    <w:rsid w:val="00761697"/>
    <w:rsid w:val="007673B4"/>
    <w:rsid w:val="00776ACC"/>
    <w:rsid w:val="00777750"/>
    <w:rsid w:val="007853FF"/>
    <w:rsid w:val="00785986"/>
    <w:rsid w:val="00792075"/>
    <w:rsid w:val="00792091"/>
    <w:rsid w:val="00792BC5"/>
    <w:rsid w:val="00794A3A"/>
    <w:rsid w:val="007952B3"/>
    <w:rsid w:val="007A0EEB"/>
    <w:rsid w:val="007A6497"/>
    <w:rsid w:val="007A6E32"/>
    <w:rsid w:val="007B591B"/>
    <w:rsid w:val="007B6947"/>
    <w:rsid w:val="007C2B2C"/>
    <w:rsid w:val="007C3C57"/>
    <w:rsid w:val="007C5329"/>
    <w:rsid w:val="007C54FB"/>
    <w:rsid w:val="007C7AF6"/>
    <w:rsid w:val="007D4099"/>
    <w:rsid w:val="007D6E55"/>
    <w:rsid w:val="007E0179"/>
    <w:rsid w:val="007E7EC2"/>
    <w:rsid w:val="007F1DB9"/>
    <w:rsid w:val="007F292B"/>
    <w:rsid w:val="007F437A"/>
    <w:rsid w:val="007F7B29"/>
    <w:rsid w:val="00807259"/>
    <w:rsid w:val="00815B7E"/>
    <w:rsid w:val="00823290"/>
    <w:rsid w:val="0082631D"/>
    <w:rsid w:val="008343B5"/>
    <w:rsid w:val="0083733F"/>
    <w:rsid w:val="008472A8"/>
    <w:rsid w:val="00847F79"/>
    <w:rsid w:val="0085345D"/>
    <w:rsid w:val="008535C7"/>
    <w:rsid w:val="00856D44"/>
    <w:rsid w:val="00856EC2"/>
    <w:rsid w:val="008665CD"/>
    <w:rsid w:val="0087003A"/>
    <w:rsid w:val="00871903"/>
    <w:rsid w:val="00877259"/>
    <w:rsid w:val="00877A69"/>
    <w:rsid w:val="00880946"/>
    <w:rsid w:val="008837A0"/>
    <w:rsid w:val="00892A31"/>
    <w:rsid w:val="00893B2B"/>
    <w:rsid w:val="008A049C"/>
    <w:rsid w:val="008A1608"/>
    <w:rsid w:val="008A2314"/>
    <w:rsid w:val="008A70C9"/>
    <w:rsid w:val="008A7F44"/>
    <w:rsid w:val="008B28DF"/>
    <w:rsid w:val="008B33C3"/>
    <w:rsid w:val="008B3DF3"/>
    <w:rsid w:val="008B4DBF"/>
    <w:rsid w:val="008C1F3B"/>
    <w:rsid w:val="008C32AF"/>
    <w:rsid w:val="008C5689"/>
    <w:rsid w:val="008C5C62"/>
    <w:rsid w:val="008D1861"/>
    <w:rsid w:val="008D2A86"/>
    <w:rsid w:val="008D349A"/>
    <w:rsid w:val="008D722A"/>
    <w:rsid w:val="008D7941"/>
    <w:rsid w:val="008D7E62"/>
    <w:rsid w:val="008E0A6B"/>
    <w:rsid w:val="008E1DEB"/>
    <w:rsid w:val="008F3C8F"/>
    <w:rsid w:val="008F6C14"/>
    <w:rsid w:val="009032EB"/>
    <w:rsid w:val="00907326"/>
    <w:rsid w:val="00916002"/>
    <w:rsid w:val="0092057B"/>
    <w:rsid w:val="00921442"/>
    <w:rsid w:val="00922AE8"/>
    <w:rsid w:val="00930D72"/>
    <w:rsid w:val="0093250A"/>
    <w:rsid w:val="00935936"/>
    <w:rsid w:val="00935CAA"/>
    <w:rsid w:val="00937101"/>
    <w:rsid w:val="009462FA"/>
    <w:rsid w:val="00957A23"/>
    <w:rsid w:val="00960E54"/>
    <w:rsid w:val="009612A1"/>
    <w:rsid w:val="00961CCC"/>
    <w:rsid w:val="00963F5A"/>
    <w:rsid w:val="00974FE1"/>
    <w:rsid w:val="00975746"/>
    <w:rsid w:val="00985B60"/>
    <w:rsid w:val="009862C3"/>
    <w:rsid w:val="0099246A"/>
    <w:rsid w:val="00993D60"/>
    <w:rsid w:val="009A202A"/>
    <w:rsid w:val="009A2BB4"/>
    <w:rsid w:val="009A702D"/>
    <w:rsid w:val="009B2454"/>
    <w:rsid w:val="009B26BA"/>
    <w:rsid w:val="009B3201"/>
    <w:rsid w:val="009B4D12"/>
    <w:rsid w:val="009B505E"/>
    <w:rsid w:val="009B60B7"/>
    <w:rsid w:val="009B6398"/>
    <w:rsid w:val="009B6DEB"/>
    <w:rsid w:val="009C0036"/>
    <w:rsid w:val="009C7308"/>
    <w:rsid w:val="009D1833"/>
    <w:rsid w:val="009D246A"/>
    <w:rsid w:val="009D2CBF"/>
    <w:rsid w:val="009D3F78"/>
    <w:rsid w:val="009D52E7"/>
    <w:rsid w:val="009E0E68"/>
    <w:rsid w:val="009E7CD2"/>
    <w:rsid w:val="009F2A09"/>
    <w:rsid w:val="009F664C"/>
    <w:rsid w:val="009F6F78"/>
    <w:rsid w:val="009F6FCF"/>
    <w:rsid w:val="009F7619"/>
    <w:rsid w:val="00A02015"/>
    <w:rsid w:val="00A02437"/>
    <w:rsid w:val="00A0352C"/>
    <w:rsid w:val="00A11F62"/>
    <w:rsid w:val="00A13058"/>
    <w:rsid w:val="00A1351A"/>
    <w:rsid w:val="00A16F47"/>
    <w:rsid w:val="00A17707"/>
    <w:rsid w:val="00A20119"/>
    <w:rsid w:val="00A20962"/>
    <w:rsid w:val="00A20B7E"/>
    <w:rsid w:val="00A2351C"/>
    <w:rsid w:val="00A244AB"/>
    <w:rsid w:val="00A24D2E"/>
    <w:rsid w:val="00A24D5C"/>
    <w:rsid w:val="00A2725A"/>
    <w:rsid w:val="00A274AF"/>
    <w:rsid w:val="00A277E2"/>
    <w:rsid w:val="00A30414"/>
    <w:rsid w:val="00A304A9"/>
    <w:rsid w:val="00A32825"/>
    <w:rsid w:val="00A364BA"/>
    <w:rsid w:val="00A37074"/>
    <w:rsid w:val="00A372B2"/>
    <w:rsid w:val="00A377DC"/>
    <w:rsid w:val="00A427A5"/>
    <w:rsid w:val="00A43B3F"/>
    <w:rsid w:val="00A43FE2"/>
    <w:rsid w:val="00A45346"/>
    <w:rsid w:val="00A5063D"/>
    <w:rsid w:val="00A50ACB"/>
    <w:rsid w:val="00A51CCA"/>
    <w:rsid w:val="00A54BB1"/>
    <w:rsid w:val="00A603AC"/>
    <w:rsid w:val="00A62140"/>
    <w:rsid w:val="00A62E9C"/>
    <w:rsid w:val="00A805D8"/>
    <w:rsid w:val="00A93E42"/>
    <w:rsid w:val="00A940F1"/>
    <w:rsid w:val="00A946DF"/>
    <w:rsid w:val="00A95A1E"/>
    <w:rsid w:val="00A95AD6"/>
    <w:rsid w:val="00A964D1"/>
    <w:rsid w:val="00AA1677"/>
    <w:rsid w:val="00AA3341"/>
    <w:rsid w:val="00AA408F"/>
    <w:rsid w:val="00AA4694"/>
    <w:rsid w:val="00AA4D6F"/>
    <w:rsid w:val="00AA7208"/>
    <w:rsid w:val="00AB2954"/>
    <w:rsid w:val="00AB4AEB"/>
    <w:rsid w:val="00AB6AEC"/>
    <w:rsid w:val="00AC0236"/>
    <w:rsid w:val="00AC2166"/>
    <w:rsid w:val="00AC5FBF"/>
    <w:rsid w:val="00AD2301"/>
    <w:rsid w:val="00AD2EBC"/>
    <w:rsid w:val="00AD53EF"/>
    <w:rsid w:val="00AD5597"/>
    <w:rsid w:val="00AD6C23"/>
    <w:rsid w:val="00AD72C0"/>
    <w:rsid w:val="00AD7419"/>
    <w:rsid w:val="00AE4C05"/>
    <w:rsid w:val="00AE5222"/>
    <w:rsid w:val="00AE5F05"/>
    <w:rsid w:val="00AF076F"/>
    <w:rsid w:val="00AF4D31"/>
    <w:rsid w:val="00B0183D"/>
    <w:rsid w:val="00B03811"/>
    <w:rsid w:val="00B2084F"/>
    <w:rsid w:val="00B218D2"/>
    <w:rsid w:val="00B221EC"/>
    <w:rsid w:val="00B237E5"/>
    <w:rsid w:val="00B26737"/>
    <w:rsid w:val="00B31FA9"/>
    <w:rsid w:val="00B3667B"/>
    <w:rsid w:val="00B36F51"/>
    <w:rsid w:val="00B4272E"/>
    <w:rsid w:val="00B44E20"/>
    <w:rsid w:val="00B45334"/>
    <w:rsid w:val="00B464E6"/>
    <w:rsid w:val="00B50A30"/>
    <w:rsid w:val="00B54743"/>
    <w:rsid w:val="00B54816"/>
    <w:rsid w:val="00B55CE5"/>
    <w:rsid w:val="00B608C6"/>
    <w:rsid w:val="00B64AAB"/>
    <w:rsid w:val="00B671F0"/>
    <w:rsid w:val="00B727C2"/>
    <w:rsid w:val="00B73353"/>
    <w:rsid w:val="00B74064"/>
    <w:rsid w:val="00B74543"/>
    <w:rsid w:val="00B74C3C"/>
    <w:rsid w:val="00B77430"/>
    <w:rsid w:val="00B77BFA"/>
    <w:rsid w:val="00B80182"/>
    <w:rsid w:val="00B805D0"/>
    <w:rsid w:val="00B847CF"/>
    <w:rsid w:val="00B87130"/>
    <w:rsid w:val="00B932CF"/>
    <w:rsid w:val="00B94E17"/>
    <w:rsid w:val="00BA0682"/>
    <w:rsid w:val="00BA3177"/>
    <w:rsid w:val="00BA42E7"/>
    <w:rsid w:val="00BB5A5D"/>
    <w:rsid w:val="00BB6ACB"/>
    <w:rsid w:val="00BB7E86"/>
    <w:rsid w:val="00BB7E90"/>
    <w:rsid w:val="00BC450B"/>
    <w:rsid w:val="00BC47C6"/>
    <w:rsid w:val="00BD076A"/>
    <w:rsid w:val="00BD4AC2"/>
    <w:rsid w:val="00BE018F"/>
    <w:rsid w:val="00BE470F"/>
    <w:rsid w:val="00BE5708"/>
    <w:rsid w:val="00BE5A7F"/>
    <w:rsid w:val="00BE7864"/>
    <w:rsid w:val="00BF14B8"/>
    <w:rsid w:val="00BF24CD"/>
    <w:rsid w:val="00BF463A"/>
    <w:rsid w:val="00BF5D39"/>
    <w:rsid w:val="00BF6A4B"/>
    <w:rsid w:val="00C0165F"/>
    <w:rsid w:val="00C034EE"/>
    <w:rsid w:val="00C039EB"/>
    <w:rsid w:val="00C059E5"/>
    <w:rsid w:val="00C101CD"/>
    <w:rsid w:val="00C11E06"/>
    <w:rsid w:val="00C12C1F"/>
    <w:rsid w:val="00C13A11"/>
    <w:rsid w:val="00C162C3"/>
    <w:rsid w:val="00C258B0"/>
    <w:rsid w:val="00C34B06"/>
    <w:rsid w:val="00C410E6"/>
    <w:rsid w:val="00C410F4"/>
    <w:rsid w:val="00C52D60"/>
    <w:rsid w:val="00C5335F"/>
    <w:rsid w:val="00C66475"/>
    <w:rsid w:val="00C70125"/>
    <w:rsid w:val="00C71947"/>
    <w:rsid w:val="00C722CD"/>
    <w:rsid w:val="00C73523"/>
    <w:rsid w:val="00C76528"/>
    <w:rsid w:val="00C8062D"/>
    <w:rsid w:val="00C81134"/>
    <w:rsid w:val="00C81213"/>
    <w:rsid w:val="00C866CD"/>
    <w:rsid w:val="00C87AC3"/>
    <w:rsid w:val="00C919E6"/>
    <w:rsid w:val="00C92E99"/>
    <w:rsid w:val="00C938FC"/>
    <w:rsid w:val="00C93C9E"/>
    <w:rsid w:val="00C93D3E"/>
    <w:rsid w:val="00C949E3"/>
    <w:rsid w:val="00C95BF3"/>
    <w:rsid w:val="00C97E4C"/>
    <w:rsid w:val="00CA0863"/>
    <w:rsid w:val="00CA171E"/>
    <w:rsid w:val="00CA3879"/>
    <w:rsid w:val="00CA4074"/>
    <w:rsid w:val="00CA4673"/>
    <w:rsid w:val="00CB3718"/>
    <w:rsid w:val="00CB3B02"/>
    <w:rsid w:val="00CB7576"/>
    <w:rsid w:val="00CB7F3A"/>
    <w:rsid w:val="00CD3EA8"/>
    <w:rsid w:val="00CD4560"/>
    <w:rsid w:val="00CE16B5"/>
    <w:rsid w:val="00CF228C"/>
    <w:rsid w:val="00CF3FBE"/>
    <w:rsid w:val="00CF44C4"/>
    <w:rsid w:val="00CF5427"/>
    <w:rsid w:val="00D015A2"/>
    <w:rsid w:val="00D02EF5"/>
    <w:rsid w:val="00D04E24"/>
    <w:rsid w:val="00D068AD"/>
    <w:rsid w:val="00D0705E"/>
    <w:rsid w:val="00D113E9"/>
    <w:rsid w:val="00D17FF1"/>
    <w:rsid w:val="00D202AC"/>
    <w:rsid w:val="00D22A87"/>
    <w:rsid w:val="00D23092"/>
    <w:rsid w:val="00D23CBD"/>
    <w:rsid w:val="00D243F1"/>
    <w:rsid w:val="00D25A56"/>
    <w:rsid w:val="00D25B65"/>
    <w:rsid w:val="00D30B52"/>
    <w:rsid w:val="00D403E1"/>
    <w:rsid w:val="00D421A7"/>
    <w:rsid w:val="00D52BA7"/>
    <w:rsid w:val="00D53B60"/>
    <w:rsid w:val="00D53ED7"/>
    <w:rsid w:val="00D5558F"/>
    <w:rsid w:val="00D6180B"/>
    <w:rsid w:val="00D61CE8"/>
    <w:rsid w:val="00D67257"/>
    <w:rsid w:val="00D71B40"/>
    <w:rsid w:val="00D74296"/>
    <w:rsid w:val="00D80C2B"/>
    <w:rsid w:val="00D94B4D"/>
    <w:rsid w:val="00DA03CB"/>
    <w:rsid w:val="00DA1E63"/>
    <w:rsid w:val="00DA2F78"/>
    <w:rsid w:val="00DA34C6"/>
    <w:rsid w:val="00DA4F7E"/>
    <w:rsid w:val="00DA5EFF"/>
    <w:rsid w:val="00DA69C9"/>
    <w:rsid w:val="00DB3619"/>
    <w:rsid w:val="00DB74EF"/>
    <w:rsid w:val="00DC20AA"/>
    <w:rsid w:val="00DC270F"/>
    <w:rsid w:val="00DC27B8"/>
    <w:rsid w:val="00DC5603"/>
    <w:rsid w:val="00DC5F2B"/>
    <w:rsid w:val="00DC7296"/>
    <w:rsid w:val="00DD18BD"/>
    <w:rsid w:val="00DD2DC0"/>
    <w:rsid w:val="00DD531B"/>
    <w:rsid w:val="00DD5448"/>
    <w:rsid w:val="00DD7D2E"/>
    <w:rsid w:val="00DE12B1"/>
    <w:rsid w:val="00DE54CB"/>
    <w:rsid w:val="00DE5EEE"/>
    <w:rsid w:val="00DE6285"/>
    <w:rsid w:val="00DF0ABD"/>
    <w:rsid w:val="00DF28BC"/>
    <w:rsid w:val="00DF58E0"/>
    <w:rsid w:val="00DF61F2"/>
    <w:rsid w:val="00DF7134"/>
    <w:rsid w:val="00E02013"/>
    <w:rsid w:val="00E0500A"/>
    <w:rsid w:val="00E0551D"/>
    <w:rsid w:val="00E07EAC"/>
    <w:rsid w:val="00E10FF6"/>
    <w:rsid w:val="00E1275F"/>
    <w:rsid w:val="00E16101"/>
    <w:rsid w:val="00E2470B"/>
    <w:rsid w:val="00E26825"/>
    <w:rsid w:val="00E273E5"/>
    <w:rsid w:val="00E32544"/>
    <w:rsid w:val="00E342E9"/>
    <w:rsid w:val="00E3457B"/>
    <w:rsid w:val="00E36170"/>
    <w:rsid w:val="00E43302"/>
    <w:rsid w:val="00E472EA"/>
    <w:rsid w:val="00E51A4A"/>
    <w:rsid w:val="00E54B7A"/>
    <w:rsid w:val="00E551B1"/>
    <w:rsid w:val="00E55E88"/>
    <w:rsid w:val="00E61AE2"/>
    <w:rsid w:val="00E63B8E"/>
    <w:rsid w:val="00E67143"/>
    <w:rsid w:val="00E673A3"/>
    <w:rsid w:val="00E674FC"/>
    <w:rsid w:val="00E679DD"/>
    <w:rsid w:val="00E71288"/>
    <w:rsid w:val="00E76F9A"/>
    <w:rsid w:val="00E86ED3"/>
    <w:rsid w:val="00E8783E"/>
    <w:rsid w:val="00E91EBB"/>
    <w:rsid w:val="00E939E0"/>
    <w:rsid w:val="00EA61F6"/>
    <w:rsid w:val="00EB7906"/>
    <w:rsid w:val="00EC0CD5"/>
    <w:rsid w:val="00EC1F29"/>
    <w:rsid w:val="00EC43B5"/>
    <w:rsid w:val="00EC50E9"/>
    <w:rsid w:val="00ED33CE"/>
    <w:rsid w:val="00ED6886"/>
    <w:rsid w:val="00EE150F"/>
    <w:rsid w:val="00EE1BA4"/>
    <w:rsid w:val="00EE2A87"/>
    <w:rsid w:val="00EE5F2A"/>
    <w:rsid w:val="00EF1802"/>
    <w:rsid w:val="00EF2D77"/>
    <w:rsid w:val="00EF4789"/>
    <w:rsid w:val="00EF5B47"/>
    <w:rsid w:val="00EF68F5"/>
    <w:rsid w:val="00F06269"/>
    <w:rsid w:val="00F06A11"/>
    <w:rsid w:val="00F0776A"/>
    <w:rsid w:val="00F1050B"/>
    <w:rsid w:val="00F12886"/>
    <w:rsid w:val="00F12DB4"/>
    <w:rsid w:val="00F13827"/>
    <w:rsid w:val="00F17869"/>
    <w:rsid w:val="00F209E0"/>
    <w:rsid w:val="00F21BD7"/>
    <w:rsid w:val="00F26297"/>
    <w:rsid w:val="00F27ABE"/>
    <w:rsid w:val="00F31EAA"/>
    <w:rsid w:val="00F4399C"/>
    <w:rsid w:val="00F44A65"/>
    <w:rsid w:val="00F4505F"/>
    <w:rsid w:val="00F51620"/>
    <w:rsid w:val="00F52FF0"/>
    <w:rsid w:val="00F5532A"/>
    <w:rsid w:val="00F56BC0"/>
    <w:rsid w:val="00F56E65"/>
    <w:rsid w:val="00F62290"/>
    <w:rsid w:val="00F675D7"/>
    <w:rsid w:val="00F7252E"/>
    <w:rsid w:val="00F731C3"/>
    <w:rsid w:val="00F73642"/>
    <w:rsid w:val="00F762F3"/>
    <w:rsid w:val="00F815B2"/>
    <w:rsid w:val="00F821BB"/>
    <w:rsid w:val="00F833BC"/>
    <w:rsid w:val="00F85337"/>
    <w:rsid w:val="00F91200"/>
    <w:rsid w:val="00F924B4"/>
    <w:rsid w:val="00F943EE"/>
    <w:rsid w:val="00FA406F"/>
    <w:rsid w:val="00FA529F"/>
    <w:rsid w:val="00FB1910"/>
    <w:rsid w:val="00FB7D9A"/>
    <w:rsid w:val="00FC5AB0"/>
    <w:rsid w:val="00FC7080"/>
    <w:rsid w:val="00FD34FF"/>
    <w:rsid w:val="00FD6465"/>
    <w:rsid w:val="00FE03E9"/>
    <w:rsid w:val="00FE6C69"/>
    <w:rsid w:val="00FF040D"/>
    <w:rsid w:val="00FF12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1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3CBD"/>
  </w:style>
  <w:style w:type="paragraph" w:styleId="Heading4">
    <w:name w:val="heading 4"/>
    <w:basedOn w:val="Normal"/>
    <w:next w:val="Normal"/>
    <w:link w:val="Heading4Char"/>
    <w:uiPriority w:val="9"/>
    <w:qFormat/>
    <w:rsid w:val="00697FF1"/>
    <w:pPr>
      <w:keepNext/>
      <w:spacing w:after="240" w:line="288" w:lineRule="auto"/>
      <w:jc w:val="both"/>
      <w:outlineLvl w:val="3"/>
    </w:pPr>
    <w:rPr>
      <w:rFonts w:ascii="Gautami" w:eastAsia="Times New Roman" w:hAnsi="Gautami"/>
      <w:b/>
      <w:iCs/>
      <w:color w:val="365F9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ERtextitalic">
    <w:name w:val="AER text italic"/>
    <w:rsid w:val="00AC0236"/>
    <w:rPr>
      <w:i/>
    </w:rPr>
  </w:style>
  <w:style w:type="character" w:customStyle="1" w:styleId="Heading4Char">
    <w:name w:val="Heading 4 Char"/>
    <w:link w:val="Heading4"/>
    <w:uiPriority w:val="9"/>
    <w:rsid w:val="00697FF1"/>
    <w:rPr>
      <w:rFonts w:ascii="Gautami" w:eastAsia="Times New Roman" w:hAnsi="Gautami"/>
      <w:b/>
      <w:iCs/>
      <w:color w:val="365F91"/>
      <w:sz w:val="24"/>
      <w:szCs w:val="24"/>
    </w:rPr>
  </w:style>
  <w:style w:type="character" w:customStyle="1" w:styleId="AERtextbold">
    <w:name w:val="AER text bold"/>
    <w:qFormat/>
    <w:rsid w:val="00AC0236"/>
    <w:rPr>
      <w:b/>
    </w:rPr>
  </w:style>
  <w:style w:type="paragraph" w:customStyle="1" w:styleId="AERbodytextnospace">
    <w:name w:val="AER body text no space"/>
    <w:basedOn w:val="Normal"/>
    <w:rsid w:val="00AC0236"/>
    <w:pPr>
      <w:spacing w:line="288" w:lineRule="auto"/>
      <w:jc w:val="both"/>
    </w:pPr>
    <w:rPr>
      <w:rFonts w:ascii="Gautami" w:eastAsia="Times New Roman" w:hAnsi="Gautami"/>
      <w:szCs w:val="24"/>
    </w:rPr>
  </w:style>
  <w:style w:type="paragraph" w:customStyle="1" w:styleId="AERbodytext">
    <w:name w:val="AER body text"/>
    <w:link w:val="AERbodytextChar"/>
    <w:qFormat/>
    <w:rsid w:val="00AC0236"/>
    <w:pPr>
      <w:numPr>
        <w:numId w:val="2"/>
      </w:numPr>
      <w:spacing w:after="240" w:line="288" w:lineRule="auto"/>
      <w:jc w:val="both"/>
    </w:pPr>
    <w:rPr>
      <w:rFonts w:ascii="Gautami" w:eastAsia="Times New Roman" w:hAnsi="Gautami"/>
      <w:szCs w:val="24"/>
    </w:rPr>
  </w:style>
  <w:style w:type="paragraph" w:customStyle="1" w:styleId="AERnumberedlistfirststyle">
    <w:name w:val="AER numbered list (first style)"/>
    <w:basedOn w:val="AERbodytext"/>
    <w:qFormat/>
    <w:rsid w:val="00AC0236"/>
    <w:pPr>
      <w:numPr>
        <w:ilvl w:val="1"/>
      </w:numPr>
      <w:spacing w:after="200"/>
    </w:pPr>
  </w:style>
  <w:style w:type="paragraph" w:customStyle="1" w:styleId="AERnumberedlistsecondstyle">
    <w:name w:val="AER numbered list (second style)"/>
    <w:basedOn w:val="AERnumberedlistfirststyle"/>
    <w:qFormat/>
    <w:rsid w:val="00AC0236"/>
    <w:pPr>
      <w:numPr>
        <w:ilvl w:val="2"/>
      </w:numPr>
    </w:pPr>
  </w:style>
  <w:style w:type="paragraph" w:customStyle="1" w:styleId="AERnumberedlistthirdstyle">
    <w:name w:val="AER numbered list (third style)"/>
    <w:basedOn w:val="AERnumberedlistsecondstyle"/>
    <w:qFormat/>
    <w:rsid w:val="00AC0236"/>
    <w:pPr>
      <w:numPr>
        <w:ilvl w:val="3"/>
      </w:numPr>
    </w:pPr>
  </w:style>
  <w:style w:type="paragraph" w:customStyle="1" w:styleId="Default">
    <w:name w:val="Default"/>
    <w:rsid w:val="00AC0236"/>
    <w:pPr>
      <w:autoSpaceDE w:val="0"/>
      <w:autoSpaceDN w:val="0"/>
      <w:adjustRightInd w:val="0"/>
    </w:pPr>
    <w:rPr>
      <w:rFonts w:ascii="DINOT-Regular" w:eastAsia="Times New Roman" w:hAnsi="DINOT-Regular" w:cs="DINOT-Regular"/>
      <w:color w:val="000000"/>
      <w:sz w:val="24"/>
      <w:szCs w:val="24"/>
    </w:rPr>
  </w:style>
  <w:style w:type="paragraph" w:styleId="NormalWeb">
    <w:name w:val="Normal (Web)"/>
    <w:basedOn w:val="Normal"/>
    <w:uiPriority w:val="99"/>
    <w:unhideWhenUsed/>
    <w:rsid w:val="005324C6"/>
    <w:pPr>
      <w:spacing w:before="100" w:beforeAutospacing="1" w:after="100" w:afterAutospacing="1"/>
    </w:pPr>
    <w:rPr>
      <w:rFonts w:ascii="Times New Roman" w:eastAsia="Times New Roman" w:hAnsi="Times New Roman"/>
      <w:sz w:val="24"/>
      <w:szCs w:val="24"/>
      <w:lang w:eastAsia="en-AU"/>
    </w:rPr>
  </w:style>
  <w:style w:type="character" w:styleId="Hyperlink">
    <w:name w:val="Hyperlink"/>
    <w:uiPriority w:val="99"/>
    <w:unhideWhenUsed/>
    <w:rsid w:val="005324C6"/>
    <w:rPr>
      <w:color w:val="0000FF"/>
      <w:u w:val="single"/>
    </w:rPr>
  </w:style>
  <w:style w:type="paragraph" w:styleId="BalloonText">
    <w:name w:val="Balloon Text"/>
    <w:basedOn w:val="Normal"/>
    <w:link w:val="BalloonTextChar"/>
    <w:uiPriority w:val="99"/>
    <w:semiHidden/>
    <w:unhideWhenUsed/>
    <w:rsid w:val="001D49FD"/>
    <w:rPr>
      <w:rFonts w:ascii="Tahoma" w:hAnsi="Tahoma" w:cs="Tahoma"/>
      <w:sz w:val="16"/>
      <w:szCs w:val="16"/>
    </w:rPr>
  </w:style>
  <w:style w:type="character" w:customStyle="1" w:styleId="BalloonTextChar">
    <w:name w:val="Balloon Text Char"/>
    <w:basedOn w:val="DefaultParagraphFont"/>
    <w:link w:val="BalloonText"/>
    <w:uiPriority w:val="99"/>
    <w:semiHidden/>
    <w:rsid w:val="001D49FD"/>
    <w:rPr>
      <w:rFonts w:ascii="Tahoma" w:hAnsi="Tahoma" w:cs="Tahoma"/>
      <w:sz w:val="16"/>
      <w:szCs w:val="16"/>
    </w:rPr>
  </w:style>
  <w:style w:type="character" w:styleId="CommentReference">
    <w:name w:val="annotation reference"/>
    <w:basedOn w:val="DefaultParagraphFont"/>
    <w:uiPriority w:val="99"/>
    <w:unhideWhenUsed/>
    <w:rsid w:val="008472A8"/>
    <w:rPr>
      <w:sz w:val="16"/>
      <w:szCs w:val="16"/>
    </w:rPr>
  </w:style>
  <w:style w:type="paragraph" w:styleId="CommentText">
    <w:name w:val="annotation text"/>
    <w:basedOn w:val="Normal"/>
    <w:link w:val="CommentTextChar"/>
    <w:uiPriority w:val="99"/>
    <w:unhideWhenUsed/>
    <w:rsid w:val="008472A8"/>
  </w:style>
  <w:style w:type="character" w:customStyle="1" w:styleId="CommentTextChar">
    <w:name w:val="Comment Text Char"/>
    <w:basedOn w:val="DefaultParagraphFont"/>
    <w:link w:val="CommentText"/>
    <w:uiPriority w:val="99"/>
    <w:semiHidden/>
    <w:rsid w:val="008472A8"/>
    <w:rPr>
      <w:sz w:val="20"/>
      <w:szCs w:val="20"/>
    </w:rPr>
  </w:style>
  <w:style w:type="paragraph" w:styleId="CommentSubject">
    <w:name w:val="annotation subject"/>
    <w:basedOn w:val="CommentText"/>
    <w:next w:val="CommentText"/>
    <w:link w:val="CommentSubjectChar"/>
    <w:uiPriority w:val="99"/>
    <w:semiHidden/>
    <w:unhideWhenUsed/>
    <w:rsid w:val="008472A8"/>
    <w:rPr>
      <w:b/>
      <w:bCs/>
    </w:rPr>
  </w:style>
  <w:style w:type="character" w:customStyle="1" w:styleId="CommentSubjectChar">
    <w:name w:val="Comment Subject Char"/>
    <w:basedOn w:val="CommentTextChar"/>
    <w:link w:val="CommentSubject"/>
    <w:uiPriority w:val="99"/>
    <w:semiHidden/>
    <w:rsid w:val="008472A8"/>
    <w:rPr>
      <w:b/>
      <w:bCs/>
      <w:sz w:val="20"/>
      <w:szCs w:val="20"/>
    </w:rPr>
  </w:style>
  <w:style w:type="paragraph" w:customStyle="1" w:styleId="AERfactsheetsubtitle">
    <w:name w:val="AER factsheet subtitle"/>
    <w:basedOn w:val="Subtitle"/>
    <w:next w:val="Normal"/>
    <w:qFormat/>
    <w:rsid w:val="00697FF1"/>
    <w:pPr>
      <w:spacing w:after="0"/>
    </w:pPr>
    <w:rPr>
      <w:rFonts w:ascii="Tunga" w:eastAsia="Times New Roman" w:hAnsi="Tunga" w:cs="Tunga"/>
      <w:i w:val="0"/>
      <w:color w:val="000000"/>
      <w:spacing w:val="16"/>
      <w:kern w:val="20"/>
      <w:szCs w:val="28"/>
    </w:rPr>
  </w:style>
  <w:style w:type="paragraph" w:styleId="Subtitle">
    <w:name w:val="Subtitle"/>
    <w:basedOn w:val="Normal"/>
    <w:next w:val="Normal"/>
    <w:link w:val="SubtitleChar"/>
    <w:uiPriority w:val="11"/>
    <w:qFormat/>
    <w:rsid w:val="00697FF1"/>
    <w:pPr>
      <w:numPr>
        <w:ilvl w:val="1"/>
      </w:numPr>
      <w:spacing w:after="200" w:line="276" w:lineRule="auto"/>
    </w:pPr>
    <w:rPr>
      <w:rFonts w:ascii="Cambria" w:eastAsiaTheme="majorEastAsia" w:hAnsi="Cambria" w:cstheme="majorBidi"/>
      <w:i/>
      <w:iCs/>
      <w:color w:val="4F81BD"/>
      <w:spacing w:val="15"/>
      <w:sz w:val="24"/>
      <w:szCs w:val="24"/>
    </w:rPr>
  </w:style>
  <w:style w:type="character" w:customStyle="1" w:styleId="SubtitleChar">
    <w:name w:val="Subtitle Char"/>
    <w:link w:val="Subtitle"/>
    <w:uiPriority w:val="11"/>
    <w:rsid w:val="00697FF1"/>
    <w:rPr>
      <w:rFonts w:ascii="Cambria" w:eastAsiaTheme="majorEastAsia" w:hAnsi="Cambria" w:cstheme="majorBidi"/>
      <w:i/>
      <w:iCs/>
      <w:color w:val="4F81BD"/>
      <w:spacing w:val="15"/>
      <w:sz w:val="24"/>
      <w:szCs w:val="24"/>
    </w:rPr>
  </w:style>
  <w:style w:type="paragraph" w:customStyle="1" w:styleId="AERFactsheetHeading1">
    <w:name w:val="AER Factsheet Heading 1"/>
    <w:basedOn w:val="Heading4"/>
    <w:qFormat/>
    <w:rsid w:val="00697FF1"/>
    <w:pPr>
      <w:spacing w:before="240" w:after="120" w:line="240" w:lineRule="auto"/>
      <w:jc w:val="left"/>
    </w:pPr>
    <w:rPr>
      <w:rFonts w:ascii="Tunga" w:hAnsi="Tunga" w:cs="Tunga"/>
      <w:color w:val="006A99"/>
      <w:kern w:val="24"/>
    </w:rPr>
  </w:style>
  <w:style w:type="paragraph" w:customStyle="1" w:styleId="AERfactsheetbodytext">
    <w:name w:val="AER factsheet body text"/>
    <w:basedOn w:val="Normal"/>
    <w:qFormat/>
    <w:rsid w:val="00697FF1"/>
    <w:pPr>
      <w:spacing w:after="120" w:line="252" w:lineRule="auto"/>
    </w:pPr>
    <w:rPr>
      <w:rFonts w:ascii="MS Reference Sans Serif" w:hAnsi="MS Reference Sans Serif" w:cs="Shruti"/>
      <w:spacing w:val="-10"/>
      <w:sz w:val="18"/>
      <w:szCs w:val="22"/>
    </w:rPr>
  </w:style>
  <w:style w:type="paragraph" w:customStyle="1" w:styleId="AERfactsheetbulletlist">
    <w:name w:val="AER factsheet bullet list"/>
    <w:basedOn w:val="AERbodytextnospace"/>
    <w:qFormat/>
    <w:rsid w:val="00697FF1"/>
    <w:pPr>
      <w:numPr>
        <w:numId w:val="1"/>
      </w:numPr>
      <w:spacing w:after="120" w:line="252" w:lineRule="auto"/>
      <w:ind w:left="284" w:hanging="284"/>
      <w:jc w:val="left"/>
    </w:pPr>
    <w:rPr>
      <w:rFonts w:ascii="MS Reference Sans Serif" w:hAnsi="MS Reference Sans Serif" w:cs="Shruti"/>
      <w:spacing w:val="-10"/>
      <w:sz w:val="18"/>
    </w:rPr>
  </w:style>
  <w:style w:type="paragraph" w:styleId="ListParagraph">
    <w:name w:val="List Paragraph"/>
    <w:basedOn w:val="Normal"/>
    <w:uiPriority w:val="34"/>
    <w:qFormat/>
    <w:rsid w:val="00697FF1"/>
    <w:pPr>
      <w:spacing w:after="200" w:line="276" w:lineRule="auto"/>
      <w:ind w:left="720"/>
      <w:contextualSpacing/>
    </w:pPr>
    <w:rPr>
      <w:sz w:val="22"/>
      <w:szCs w:val="22"/>
    </w:rPr>
  </w:style>
  <w:style w:type="paragraph" w:styleId="Caption">
    <w:name w:val="caption"/>
    <w:basedOn w:val="Normal"/>
    <w:next w:val="Normal"/>
    <w:uiPriority w:val="35"/>
    <w:qFormat/>
    <w:rsid w:val="004D1DC0"/>
    <w:pPr>
      <w:keepNext/>
      <w:tabs>
        <w:tab w:val="left" w:pos="1440"/>
      </w:tabs>
      <w:spacing w:before="120" w:after="120" w:line="288" w:lineRule="auto"/>
      <w:ind w:left="1440" w:hanging="1440"/>
      <w:jc w:val="both"/>
    </w:pPr>
    <w:rPr>
      <w:rFonts w:ascii="Gautami" w:eastAsia="Times New Roman" w:hAnsi="Gautami"/>
      <w:b/>
      <w:bCs/>
      <w:szCs w:val="18"/>
    </w:rPr>
  </w:style>
  <w:style w:type="character" w:styleId="FollowedHyperlink">
    <w:name w:val="FollowedHyperlink"/>
    <w:basedOn w:val="DefaultParagraphFont"/>
    <w:uiPriority w:val="99"/>
    <w:semiHidden/>
    <w:unhideWhenUsed/>
    <w:rsid w:val="008D2A86"/>
    <w:rPr>
      <w:color w:val="800080" w:themeColor="followedHyperlink"/>
      <w:u w:val="single"/>
    </w:rPr>
  </w:style>
  <w:style w:type="paragraph" w:styleId="Revision">
    <w:name w:val="Revision"/>
    <w:hidden/>
    <w:uiPriority w:val="99"/>
    <w:semiHidden/>
    <w:rsid w:val="00163E50"/>
  </w:style>
  <w:style w:type="paragraph" w:styleId="Header">
    <w:name w:val="header"/>
    <w:basedOn w:val="Normal"/>
    <w:link w:val="HeaderChar"/>
    <w:uiPriority w:val="99"/>
    <w:unhideWhenUsed/>
    <w:rsid w:val="00DE12B1"/>
    <w:pPr>
      <w:tabs>
        <w:tab w:val="center" w:pos="4513"/>
        <w:tab w:val="right" w:pos="9026"/>
      </w:tabs>
    </w:pPr>
  </w:style>
  <w:style w:type="character" w:customStyle="1" w:styleId="HeaderChar">
    <w:name w:val="Header Char"/>
    <w:basedOn w:val="DefaultParagraphFont"/>
    <w:link w:val="Header"/>
    <w:uiPriority w:val="99"/>
    <w:rsid w:val="00DE12B1"/>
  </w:style>
  <w:style w:type="paragraph" w:styleId="Footer">
    <w:name w:val="footer"/>
    <w:basedOn w:val="Normal"/>
    <w:link w:val="FooterChar"/>
    <w:uiPriority w:val="99"/>
    <w:unhideWhenUsed/>
    <w:rsid w:val="00DE12B1"/>
    <w:pPr>
      <w:tabs>
        <w:tab w:val="center" w:pos="4513"/>
        <w:tab w:val="right" w:pos="9026"/>
      </w:tabs>
    </w:pPr>
  </w:style>
  <w:style w:type="character" w:customStyle="1" w:styleId="FooterChar">
    <w:name w:val="Footer Char"/>
    <w:basedOn w:val="DefaultParagraphFont"/>
    <w:link w:val="Footer"/>
    <w:uiPriority w:val="99"/>
    <w:rsid w:val="00DE12B1"/>
  </w:style>
  <w:style w:type="character" w:customStyle="1" w:styleId="AERbodytextChar">
    <w:name w:val="AER body text Char"/>
    <w:basedOn w:val="DefaultParagraphFont"/>
    <w:link w:val="AERbodytext"/>
    <w:rsid w:val="003B2359"/>
    <w:rPr>
      <w:rFonts w:ascii="Gautami" w:eastAsia="Times New Roman" w:hAnsi="Gautami"/>
      <w:szCs w:val="24"/>
    </w:rPr>
  </w:style>
  <w:style w:type="numbering" w:customStyle="1" w:styleId="AERnumberedlist">
    <w:name w:val="AER numbered list"/>
    <w:uiPriority w:val="99"/>
    <w:rsid w:val="003B2359"/>
  </w:style>
  <w:style w:type="paragraph" w:customStyle="1" w:styleId="AERnumberedlist2first">
    <w:name w:val="AER numbered list 2 first"/>
    <w:basedOn w:val="AERbodytext"/>
    <w:qFormat/>
    <w:rsid w:val="003B2359"/>
    <w:pPr>
      <w:numPr>
        <w:numId w:val="0"/>
      </w:numPr>
      <w:tabs>
        <w:tab w:val="num" w:pos="360"/>
      </w:tabs>
      <w:ind w:left="357" w:hanging="357"/>
    </w:pPr>
  </w:style>
  <w:style w:type="paragraph" w:customStyle="1" w:styleId="AERnumberedlist2second">
    <w:name w:val="AER numbered list 2 second"/>
    <w:basedOn w:val="AERnumberedlist2first"/>
    <w:qFormat/>
    <w:rsid w:val="003B2359"/>
    <w:pPr>
      <w:ind w:left="720" w:hanging="363"/>
    </w:pPr>
  </w:style>
  <w:style w:type="paragraph" w:customStyle="1" w:styleId="AERnumberedlist2third">
    <w:name w:val="AER numbered list 2 third"/>
    <w:basedOn w:val="AERnumberedlist2second"/>
    <w:qFormat/>
    <w:rsid w:val="003B2359"/>
    <w:pPr>
      <w:ind w:left="1077" w:hanging="357"/>
    </w:pPr>
  </w:style>
  <w:style w:type="character" w:customStyle="1" w:styleId="AERsuperscript">
    <w:name w:val="AER superscript"/>
    <w:qFormat/>
    <w:rsid w:val="003B2359"/>
    <w:rPr>
      <w:rFonts w:ascii="Gautami" w:hAnsi="Gautami"/>
      <w:vertAlign w:val="superscript"/>
    </w:rPr>
  </w:style>
  <w:style w:type="paragraph" w:customStyle="1" w:styleId="AERtabletextleft">
    <w:name w:val="AER table text left"/>
    <w:qFormat/>
    <w:rsid w:val="003B2359"/>
    <w:pPr>
      <w:spacing w:before="80" w:after="120" w:line="288" w:lineRule="auto"/>
    </w:pPr>
    <w:rPr>
      <w:rFonts w:ascii="Gautami" w:eastAsia="Times New Roman" w:hAnsi="Gautami"/>
      <w:sz w:val="16"/>
      <w:szCs w:val="24"/>
    </w:rPr>
  </w:style>
  <w:style w:type="paragraph" w:customStyle="1" w:styleId="AERtabletextright">
    <w:name w:val="AER table text right"/>
    <w:basedOn w:val="AERtabletextleft"/>
    <w:qFormat/>
    <w:rsid w:val="003B2359"/>
    <w:pPr>
      <w:spacing w:before="120" w:after="80"/>
      <w:jc w:val="right"/>
    </w:pPr>
  </w:style>
  <w:style w:type="character" w:styleId="Strong">
    <w:name w:val="Strong"/>
    <w:basedOn w:val="DefaultParagraphFont"/>
    <w:uiPriority w:val="22"/>
    <w:qFormat/>
    <w:rsid w:val="00346F85"/>
    <w:rPr>
      <w:b/>
      <w:bCs/>
    </w:rPr>
  </w:style>
  <w:style w:type="character" w:customStyle="1" w:styleId="AERbody">
    <w:name w:val="AER body"/>
    <w:basedOn w:val="DefaultParagraphFont"/>
    <w:qFormat/>
    <w:rsid w:val="00EE1BA4"/>
    <w:rPr>
      <w:rFonts w:ascii="Gautami" w:hAnsi="Gautami"/>
      <w:color w:val="auto"/>
      <w:sz w:val="20"/>
    </w:rPr>
  </w:style>
  <w:style w:type="paragraph" w:customStyle="1" w:styleId="AERbulletlistfirststyle">
    <w:name w:val="AER bullet list (first style)"/>
    <w:basedOn w:val="ListBullet"/>
    <w:qFormat/>
    <w:rsid w:val="001D6E6F"/>
    <w:pPr>
      <w:tabs>
        <w:tab w:val="num" w:pos="0"/>
        <w:tab w:val="left" w:pos="340"/>
      </w:tabs>
      <w:spacing w:before="120" w:line="276" w:lineRule="auto"/>
      <w:ind w:left="357" w:hanging="357"/>
      <w:contextualSpacing w:val="0"/>
    </w:pPr>
    <w:rPr>
      <w:rFonts w:ascii="Arial" w:eastAsiaTheme="minorHAnsi" w:hAnsi="Arial"/>
      <w:sz w:val="22"/>
      <w:szCs w:val="22"/>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1D6E6F"/>
    <w:pPr>
      <w:tabs>
        <w:tab w:val="left" w:pos="340"/>
      </w:tabs>
      <w:spacing w:line="240" w:lineRule="exact"/>
      <w:ind w:left="340" w:hanging="340"/>
    </w:pPr>
    <w:rPr>
      <w:rFonts w:ascii="Arial" w:eastAsiaTheme="minorHAnsi" w:hAnsi="Arial" w:cstheme="minorBidi"/>
      <w:sz w:val="16"/>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1D6E6F"/>
    <w:rPr>
      <w:rFonts w:ascii="Arial" w:eastAsiaTheme="minorHAnsi" w:hAnsi="Arial" w:cstheme="minorBidi"/>
      <w:sz w:val="16"/>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1D6E6F"/>
    <w:rPr>
      <w:vertAlign w:val="superscript"/>
    </w:rPr>
  </w:style>
  <w:style w:type="paragraph" w:styleId="ListBullet">
    <w:name w:val="List Bullet"/>
    <w:basedOn w:val="Normal"/>
    <w:uiPriority w:val="99"/>
    <w:semiHidden/>
    <w:unhideWhenUsed/>
    <w:rsid w:val="001D6E6F"/>
    <w:pPr>
      <w:ind w:left="360" w:hanging="360"/>
      <w:contextualSpacing/>
    </w:pPr>
  </w:style>
  <w:style w:type="paragraph" w:styleId="EndnoteText">
    <w:name w:val="endnote text"/>
    <w:basedOn w:val="Normal"/>
    <w:link w:val="EndnoteTextChar"/>
    <w:uiPriority w:val="99"/>
    <w:semiHidden/>
    <w:unhideWhenUsed/>
    <w:rsid w:val="00777750"/>
  </w:style>
  <w:style w:type="character" w:customStyle="1" w:styleId="EndnoteTextChar">
    <w:name w:val="Endnote Text Char"/>
    <w:basedOn w:val="DefaultParagraphFont"/>
    <w:link w:val="EndnoteText"/>
    <w:uiPriority w:val="99"/>
    <w:semiHidden/>
    <w:rsid w:val="00777750"/>
  </w:style>
  <w:style w:type="character" w:styleId="EndnoteReference">
    <w:name w:val="endnote reference"/>
    <w:basedOn w:val="DefaultParagraphFont"/>
    <w:uiPriority w:val="99"/>
    <w:semiHidden/>
    <w:unhideWhenUsed/>
    <w:rsid w:val="007777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242">
      <w:bodyDiv w:val="1"/>
      <w:marLeft w:val="0"/>
      <w:marRight w:val="0"/>
      <w:marTop w:val="0"/>
      <w:marBottom w:val="0"/>
      <w:divBdr>
        <w:top w:val="none" w:sz="0" w:space="0" w:color="auto"/>
        <w:left w:val="none" w:sz="0" w:space="0" w:color="auto"/>
        <w:bottom w:val="none" w:sz="0" w:space="0" w:color="auto"/>
        <w:right w:val="none" w:sz="0" w:space="0" w:color="auto"/>
      </w:divBdr>
    </w:div>
    <w:div w:id="722948943">
      <w:bodyDiv w:val="1"/>
      <w:marLeft w:val="0"/>
      <w:marRight w:val="0"/>
      <w:marTop w:val="0"/>
      <w:marBottom w:val="0"/>
      <w:divBdr>
        <w:top w:val="none" w:sz="0" w:space="0" w:color="auto"/>
        <w:left w:val="none" w:sz="0" w:space="0" w:color="auto"/>
        <w:bottom w:val="none" w:sz="0" w:space="0" w:color="auto"/>
        <w:right w:val="none" w:sz="0" w:space="0" w:color="auto"/>
      </w:divBdr>
    </w:div>
    <w:div w:id="813718009">
      <w:bodyDiv w:val="1"/>
      <w:marLeft w:val="0"/>
      <w:marRight w:val="0"/>
      <w:marTop w:val="0"/>
      <w:marBottom w:val="0"/>
      <w:divBdr>
        <w:top w:val="none" w:sz="0" w:space="0" w:color="auto"/>
        <w:left w:val="none" w:sz="0" w:space="0" w:color="auto"/>
        <w:bottom w:val="none" w:sz="0" w:space="0" w:color="auto"/>
        <w:right w:val="none" w:sz="0" w:space="0" w:color="auto"/>
      </w:divBdr>
    </w:div>
    <w:div w:id="1452896452">
      <w:bodyDiv w:val="1"/>
      <w:marLeft w:val="0"/>
      <w:marRight w:val="0"/>
      <w:marTop w:val="0"/>
      <w:marBottom w:val="0"/>
      <w:divBdr>
        <w:top w:val="none" w:sz="0" w:space="0" w:color="auto"/>
        <w:left w:val="none" w:sz="0" w:space="0" w:color="auto"/>
        <w:bottom w:val="none" w:sz="0" w:space="0" w:color="auto"/>
        <w:right w:val="none" w:sz="0" w:space="0" w:color="auto"/>
      </w:divBdr>
      <w:divsChild>
        <w:div w:id="303631867">
          <w:marLeft w:val="0"/>
          <w:marRight w:val="0"/>
          <w:marTop w:val="0"/>
          <w:marBottom w:val="0"/>
          <w:divBdr>
            <w:top w:val="none" w:sz="0" w:space="0" w:color="auto"/>
            <w:left w:val="none" w:sz="0" w:space="0" w:color="auto"/>
            <w:bottom w:val="none" w:sz="0" w:space="0" w:color="auto"/>
            <w:right w:val="none" w:sz="0" w:space="0" w:color="auto"/>
          </w:divBdr>
          <w:divsChild>
            <w:div w:id="1918712513">
              <w:marLeft w:val="0"/>
              <w:marRight w:val="0"/>
              <w:marTop w:val="0"/>
              <w:marBottom w:val="0"/>
              <w:divBdr>
                <w:top w:val="none" w:sz="0" w:space="0" w:color="auto"/>
                <w:left w:val="none" w:sz="0" w:space="0" w:color="auto"/>
                <w:bottom w:val="none" w:sz="0" w:space="0" w:color="auto"/>
                <w:right w:val="none" w:sz="0" w:space="0" w:color="auto"/>
              </w:divBdr>
              <w:divsChild>
                <w:div w:id="236206000">
                  <w:marLeft w:val="0"/>
                  <w:marRight w:val="0"/>
                  <w:marTop w:val="0"/>
                  <w:marBottom w:val="0"/>
                  <w:divBdr>
                    <w:top w:val="none" w:sz="0" w:space="0" w:color="auto"/>
                    <w:left w:val="none" w:sz="0" w:space="0" w:color="auto"/>
                    <w:bottom w:val="none" w:sz="0" w:space="0" w:color="auto"/>
                    <w:right w:val="none" w:sz="0" w:space="0" w:color="auto"/>
                  </w:divBdr>
                  <w:divsChild>
                    <w:div w:id="2068411500">
                      <w:marLeft w:val="0"/>
                      <w:marRight w:val="0"/>
                      <w:marTop w:val="0"/>
                      <w:marBottom w:val="0"/>
                      <w:divBdr>
                        <w:top w:val="none" w:sz="0" w:space="0" w:color="auto"/>
                        <w:left w:val="none" w:sz="0" w:space="0" w:color="auto"/>
                        <w:bottom w:val="none" w:sz="0" w:space="0" w:color="auto"/>
                        <w:right w:val="none" w:sz="0" w:space="0" w:color="auto"/>
                      </w:divBdr>
                      <w:divsChild>
                        <w:div w:id="62066969">
                          <w:marLeft w:val="0"/>
                          <w:marRight w:val="0"/>
                          <w:marTop w:val="0"/>
                          <w:marBottom w:val="0"/>
                          <w:divBdr>
                            <w:top w:val="none" w:sz="0" w:space="0" w:color="auto"/>
                            <w:left w:val="none" w:sz="0" w:space="0" w:color="auto"/>
                            <w:bottom w:val="none" w:sz="0" w:space="0" w:color="auto"/>
                            <w:right w:val="none" w:sz="0" w:space="0" w:color="auto"/>
                          </w:divBdr>
                          <w:divsChild>
                            <w:div w:id="767042789">
                              <w:marLeft w:val="0"/>
                              <w:marRight w:val="0"/>
                              <w:marTop w:val="0"/>
                              <w:marBottom w:val="0"/>
                              <w:divBdr>
                                <w:top w:val="none" w:sz="0" w:space="0" w:color="auto"/>
                                <w:left w:val="none" w:sz="0" w:space="0" w:color="auto"/>
                                <w:bottom w:val="none" w:sz="0" w:space="0" w:color="auto"/>
                                <w:right w:val="none" w:sz="0" w:space="0" w:color="auto"/>
                              </w:divBdr>
                              <w:divsChild>
                                <w:div w:id="965504626">
                                  <w:marLeft w:val="0"/>
                                  <w:marRight w:val="0"/>
                                  <w:marTop w:val="0"/>
                                  <w:marBottom w:val="0"/>
                                  <w:divBdr>
                                    <w:top w:val="none" w:sz="0" w:space="0" w:color="auto"/>
                                    <w:left w:val="none" w:sz="0" w:space="0" w:color="auto"/>
                                    <w:bottom w:val="none" w:sz="0" w:space="0" w:color="auto"/>
                                    <w:right w:val="none" w:sz="0" w:space="0" w:color="auto"/>
                                  </w:divBdr>
                                  <w:divsChild>
                                    <w:div w:id="567690350">
                                      <w:marLeft w:val="240"/>
                                      <w:marRight w:val="240"/>
                                      <w:marTop w:val="240"/>
                                      <w:marBottom w:val="0"/>
                                      <w:divBdr>
                                        <w:top w:val="none" w:sz="0" w:space="0" w:color="auto"/>
                                        <w:left w:val="none" w:sz="0" w:space="0" w:color="auto"/>
                                        <w:bottom w:val="none" w:sz="0" w:space="0" w:color="auto"/>
                                        <w:right w:val="none" w:sz="0" w:space="0" w:color="auto"/>
                                      </w:divBdr>
                                      <w:divsChild>
                                        <w:div w:id="302776801">
                                          <w:marLeft w:val="0"/>
                                          <w:marRight w:val="0"/>
                                          <w:marTop w:val="0"/>
                                          <w:marBottom w:val="0"/>
                                          <w:divBdr>
                                            <w:top w:val="none" w:sz="0" w:space="0" w:color="auto"/>
                                            <w:left w:val="none" w:sz="0" w:space="0" w:color="auto"/>
                                            <w:bottom w:val="none" w:sz="0" w:space="0" w:color="auto"/>
                                            <w:right w:val="none" w:sz="0" w:space="0" w:color="auto"/>
                                          </w:divBdr>
                                          <w:divsChild>
                                            <w:div w:id="1606382120">
                                              <w:marLeft w:val="0"/>
                                              <w:marRight w:val="0"/>
                                              <w:marTop w:val="0"/>
                                              <w:marBottom w:val="0"/>
                                              <w:divBdr>
                                                <w:top w:val="none" w:sz="0" w:space="0" w:color="auto"/>
                                                <w:left w:val="none" w:sz="0" w:space="0" w:color="auto"/>
                                                <w:bottom w:val="none" w:sz="0" w:space="0" w:color="auto"/>
                                                <w:right w:val="none" w:sz="0" w:space="0" w:color="auto"/>
                                              </w:divBdr>
                                              <w:divsChild>
                                                <w:div w:id="1830975449">
                                                  <w:marLeft w:val="0"/>
                                                  <w:marRight w:val="0"/>
                                                  <w:marTop w:val="0"/>
                                                  <w:marBottom w:val="0"/>
                                                  <w:divBdr>
                                                    <w:top w:val="none" w:sz="0" w:space="0" w:color="auto"/>
                                                    <w:left w:val="none" w:sz="0" w:space="0" w:color="auto"/>
                                                    <w:bottom w:val="none" w:sz="0" w:space="0" w:color="auto"/>
                                                    <w:right w:val="none" w:sz="0" w:space="0" w:color="auto"/>
                                                  </w:divBdr>
                                                  <w:divsChild>
                                                    <w:div w:id="275675851">
                                                      <w:marLeft w:val="0"/>
                                                      <w:marRight w:val="0"/>
                                                      <w:marTop w:val="0"/>
                                                      <w:marBottom w:val="120"/>
                                                      <w:divBdr>
                                                        <w:top w:val="none" w:sz="0" w:space="0" w:color="auto"/>
                                                        <w:left w:val="none" w:sz="0" w:space="0" w:color="auto"/>
                                                        <w:bottom w:val="none" w:sz="0" w:space="0" w:color="auto"/>
                                                        <w:right w:val="none" w:sz="0" w:space="0" w:color="auto"/>
                                                      </w:divBdr>
                                                      <w:divsChild>
                                                        <w:div w:id="1022050746">
                                                          <w:marLeft w:val="0"/>
                                                          <w:marRight w:val="0"/>
                                                          <w:marTop w:val="0"/>
                                                          <w:marBottom w:val="0"/>
                                                          <w:divBdr>
                                                            <w:top w:val="none" w:sz="0" w:space="0" w:color="auto"/>
                                                            <w:left w:val="none" w:sz="0" w:space="0" w:color="auto"/>
                                                            <w:bottom w:val="none" w:sz="0" w:space="0" w:color="auto"/>
                                                            <w:right w:val="none" w:sz="0" w:space="0" w:color="auto"/>
                                                          </w:divBdr>
                                                          <w:divsChild>
                                                            <w:div w:id="5210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4BA50-8401-4DBA-BCB8-7CAACFBA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93BCF48D</Template>
  <TotalTime>0</TotalTime>
  <Pages>2</Pages>
  <Words>855</Words>
  <Characters>4880</Characters>
  <Application>Microsoft Office Word</Application>
  <DocSecurity>0</DocSecurity>
  <Lines>40</Lines>
  <Paragraphs>11</Paragraphs>
  <ScaleCrop>false</ScaleCrop>
  <LinksUpToDate>false</LinksUpToDate>
  <CharactersWithSpaces>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2016-05-24T03:57:00Z</dcterms:created>
  <dcterms:modified xsi:type="dcterms:W3CDTF">2016-05-24T03:57:00Z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8662405</vt:lpwstr>
  </property>
</Properties>
</file>