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86335C" w:rsidP="0086335C">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15EDDF6B" wp14:editId="61A0C617">
                <wp:simplePos x="0" y="0"/>
                <wp:positionH relativeFrom="column">
                  <wp:posOffset>-457200</wp:posOffset>
                </wp:positionH>
                <wp:positionV relativeFrom="paragraph">
                  <wp:posOffset>236220</wp:posOffset>
                </wp:positionV>
                <wp:extent cx="7559675" cy="1367155"/>
                <wp:effectExtent l="0" t="0" r="3175" b="4445"/>
                <wp:wrapTopAndBottom/>
                <wp:docPr id="5" name="Group 5"/>
                <wp:cNvGraphicFramePr/>
                <a:graphic xmlns:a="http://schemas.openxmlformats.org/drawingml/2006/main">
                  <a:graphicData uri="http://schemas.microsoft.com/office/word/2010/wordprocessingGroup">
                    <wpg:wgp>
                      <wpg:cNvGrpSpPr/>
                      <wpg:grpSpPr>
                        <a:xfrm>
                          <a:off x="0" y="0"/>
                          <a:ext cx="7559675" cy="1367155"/>
                          <a:chOff x="0" y="0"/>
                          <a:chExt cx="7560324" cy="1368465"/>
                        </a:xfrm>
                      </wpg:grpSpPr>
                      <wps:wsp>
                        <wps:cNvPr id="2" name="Text Box 2"/>
                        <wps:cNvSpPr txBox="1">
                          <a:spLocks noChangeArrowheads="1"/>
                        </wps:cNvSpPr>
                        <wps:spPr bwMode="auto">
                          <a:xfrm>
                            <a:off x="0" y="787180"/>
                            <a:ext cx="7560324" cy="581285"/>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86335C" w:rsidRDefault="00466A9B" w:rsidP="00F3093A">
                              <w:pPr>
                                <w:spacing w:before="120"/>
                                <w:ind w:left="567"/>
                                <w:rPr>
                                  <w:rFonts w:ascii="MS Reference Sans Serif" w:hAnsi="MS Reference Sans Serif" w:cs="Tunga"/>
                                  <w:color w:val="FFFFFF"/>
                                  <w:spacing w:val="10"/>
                                  <w:w w:val="99"/>
                                  <w:kern w:val="44"/>
                                  <w:sz w:val="40"/>
                                  <w:szCs w:val="40"/>
                                </w:rPr>
                              </w:pPr>
                              <w:r w:rsidRPr="0086335C">
                                <w:rPr>
                                  <w:rFonts w:ascii="MS Reference Sans Serif" w:hAnsi="MS Reference Sans Serif" w:cs="Tunga"/>
                                  <w:color w:val="FFFFFF"/>
                                  <w:spacing w:val="10"/>
                                  <w:w w:val="99"/>
                                  <w:kern w:val="44"/>
                                  <w:sz w:val="40"/>
                                  <w:szCs w:val="40"/>
                                </w:rPr>
                                <w:t>Final</w:t>
                              </w:r>
                              <w:r w:rsidR="005A26FD" w:rsidRPr="0086335C">
                                <w:rPr>
                                  <w:rFonts w:ascii="MS Reference Sans Serif" w:hAnsi="MS Reference Sans Serif" w:cs="Tunga"/>
                                  <w:color w:val="FFFFFF"/>
                                  <w:spacing w:val="10"/>
                                  <w:w w:val="99"/>
                                  <w:kern w:val="44"/>
                                  <w:sz w:val="40"/>
                                  <w:szCs w:val="40"/>
                                </w:rPr>
                                <w:t xml:space="preserve"> decision:</w:t>
                              </w:r>
                              <w:r w:rsidR="0086335C">
                                <w:rPr>
                                  <w:rFonts w:ascii="MS Reference Sans Serif" w:hAnsi="MS Reference Sans Serif" w:cs="Tunga"/>
                                  <w:color w:val="FFFFFF"/>
                                  <w:spacing w:val="10"/>
                                  <w:w w:val="99"/>
                                  <w:kern w:val="44"/>
                                  <w:sz w:val="40"/>
                                  <w:szCs w:val="40"/>
                                </w:rPr>
                                <w:t xml:space="preserve"> </w:t>
                              </w:r>
                              <w:proofErr w:type="spellStart"/>
                              <w:r w:rsidR="0085345D" w:rsidRPr="0086335C">
                                <w:rPr>
                                  <w:rFonts w:ascii="MS Reference Sans Serif" w:hAnsi="MS Reference Sans Serif" w:cs="Tunga"/>
                                  <w:color w:val="FFFFFF"/>
                                  <w:spacing w:val="10"/>
                                  <w:w w:val="99"/>
                                  <w:kern w:val="44"/>
                                  <w:sz w:val="40"/>
                                  <w:szCs w:val="40"/>
                                </w:rPr>
                                <w:t>ActewAGL</w:t>
                              </w:r>
                              <w:proofErr w:type="spellEnd"/>
                              <w:r w:rsidR="005A26FD" w:rsidRPr="0086335C">
                                <w:rPr>
                                  <w:rFonts w:ascii="MS Reference Sans Serif" w:hAnsi="MS Reference Sans Serif" w:cs="Tunga"/>
                                  <w:color w:val="FFFFFF"/>
                                  <w:spacing w:val="10"/>
                                  <w:w w:val="99"/>
                                  <w:kern w:val="44"/>
                                  <w:sz w:val="40"/>
                                  <w:szCs w:val="40"/>
                                </w:rPr>
                                <w:t xml:space="preserve"> (</w:t>
                              </w:r>
                              <w:r w:rsidR="0016401A" w:rsidRPr="0086335C">
                                <w:rPr>
                                  <w:rFonts w:ascii="MS Reference Sans Serif" w:hAnsi="MS Reference Sans Serif" w:cs="Tunga"/>
                                  <w:color w:val="FFFFFF"/>
                                  <w:spacing w:val="10"/>
                                  <w:w w:val="99"/>
                                  <w:kern w:val="44"/>
                                  <w:sz w:val="40"/>
                                  <w:szCs w:val="40"/>
                                </w:rPr>
                                <w:t>distribution</w:t>
                              </w:r>
                              <w:r w:rsidR="005A26FD" w:rsidRPr="0086335C">
                                <w:rPr>
                                  <w:rFonts w:ascii="MS Reference Sans Serif" w:hAnsi="MS Reference Sans Serif" w:cs="Tunga"/>
                                  <w:color w:val="FFFFFF"/>
                                  <w:spacing w:val="10"/>
                                  <w:w w:val="99"/>
                                  <w:kern w:val="44"/>
                                  <w:sz w:val="40"/>
                                  <w:szCs w:val="40"/>
                                </w:rPr>
                                <w:t>) 201</w:t>
                              </w:r>
                              <w:r w:rsidR="000F75F1" w:rsidRPr="0086335C">
                                <w:rPr>
                                  <w:rFonts w:ascii="MS Reference Sans Serif" w:hAnsi="MS Reference Sans Serif" w:cs="Tunga"/>
                                  <w:color w:val="FFFFFF"/>
                                  <w:spacing w:val="10"/>
                                  <w:w w:val="99"/>
                                  <w:kern w:val="44"/>
                                  <w:sz w:val="40"/>
                                  <w:szCs w:val="40"/>
                                </w:rPr>
                                <w:t>5</w:t>
                              </w:r>
                              <w:r w:rsidR="005A26FD" w:rsidRPr="0086335C">
                                <w:rPr>
                                  <w:rFonts w:ascii="MS Reference Sans Serif" w:hAnsi="MS Reference Sans Serif" w:cs="Tunga"/>
                                  <w:color w:val="FFFFFF"/>
                                  <w:spacing w:val="10"/>
                                  <w:w w:val="99"/>
                                  <w:kern w:val="44"/>
                                  <w:sz w:val="40"/>
                                  <w:szCs w:val="40"/>
                                </w:rPr>
                                <w:t>–1</w:t>
                              </w:r>
                              <w:r w:rsidR="00431C84" w:rsidRPr="0086335C">
                                <w:rPr>
                                  <w:rFonts w:ascii="MS Reference Sans Serif" w:hAnsi="MS Reference Sans Serif" w:cs="Tunga"/>
                                  <w:color w:val="FFFFFF"/>
                                  <w:spacing w:val="10"/>
                                  <w:w w:val="99"/>
                                  <w:kern w:val="44"/>
                                  <w:sz w:val="40"/>
                                  <w:szCs w:val="40"/>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8.6pt;width:595.25pt;height:107.65pt;z-index:251657216;mso-width-relative:margin;mso-height-relative:margin" coordsize="75603,13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">
                <v:shapetype id="_x0000_t202" coordsize="21600,21600" o:spt="202" path="m,l,21600r21600,l21600,xe">
                  <v:stroke joinstyle="miter"/>
                  <v:path gradientshapeok="t" o:connecttype="rect"/>
                </v:shapetype>
                <v:shape id="Text Box 2" o:spid="_x0000_s1027" type="#_x0000_t202" style="position:absolute;top:7871;width:75603;height:581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86335C" w:rsidRDefault="00466A9B" w:rsidP="00F3093A">
                        <w:pPr>
                          <w:spacing w:before="120"/>
                          <w:ind w:left="567"/>
                          <w:rPr>
                            <w:rFonts w:ascii="MS Reference Sans Serif" w:hAnsi="MS Reference Sans Serif" w:cs="Tunga"/>
                            <w:color w:val="FFFFFF"/>
                            <w:spacing w:val="10"/>
                            <w:w w:val="99"/>
                            <w:kern w:val="44"/>
                            <w:sz w:val="40"/>
                            <w:szCs w:val="40"/>
                          </w:rPr>
                        </w:pPr>
                        <w:r w:rsidRPr="0086335C">
                          <w:rPr>
                            <w:rFonts w:ascii="MS Reference Sans Serif" w:hAnsi="MS Reference Sans Serif" w:cs="Tunga"/>
                            <w:color w:val="FFFFFF"/>
                            <w:spacing w:val="10"/>
                            <w:w w:val="99"/>
                            <w:kern w:val="44"/>
                            <w:sz w:val="40"/>
                            <w:szCs w:val="40"/>
                          </w:rPr>
                          <w:t>Final</w:t>
                        </w:r>
                        <w:r w:rsidR="005A26FD" w:rsidRPr="0086335C">
                          <w:rPr>
                            <w:rFonts w:ascii="MS Reference Sans Serif" w:hAnsi="MS Reference Sans Serif" w:cs="Tunga"/>
                            <w:color w:val="FFFFFF"/>
                            <w:spacing w:val="10"/>
                            <w:w w:val="99"/>
                            <w:kern w:val="44"/>
                            <w:sz w:val="40"/>
                            <w:szCs w:val="40"/>
                          </w:rPr>
                          <w:t xml:space="preserve"> decision:</w:t>
                        </w:r>
                        <w:r w:rsidR="0086335C">
                          <w:rPr>
                            <w:rFonts w:ascii="MS Reference Sans Serif" w:hAnsi="MS Reference Sans Serif" w:cs="Tunga"/>
                            <w:color w:val="FFFFFF"/>
                            <w:spacing w:val="10"/>
                            <w:w w:val="99"/>
                            <w:kern w:val="44"/>
                            <w:sz w:val="40"/>
                            <w:szCs w:val="40"/>
                          </w:rPr>
                          <w:t xml:space="preserve"> </w:t>
                        </w:r>
                        <w:proofErr w:type="spellStart"/>
                        <w:r w:rsidR="0085345D" w:rsidRPr="0086335C">
                          <w:rPr>
                            <w:rFonts w:ascii="MS Reference Sans Serif" w:hAnsi="MS Reference Sans Serif" w:cs="Tunga"/>
                            <w:color w:val="FFFFFF"/>
                            <w:spacing w:val="10"/>
                            <w:w w:val="99"/>
                            <w:kern w:val="44"/>
                            <w:sz w:val="40"/>
                            <w:szCs w:val="40"/>
                          </w:rPr>
                          <w:t>ActewAGL</w:t>
                        </w:r>
                        <w:proofErr w:type="spellEnd"/>
                        <w:r w:rsidR="005A26FD" w:rsidRPr="0086335C">
                          <w:rPr>
                            <w:rFonts w:ascii="MS Reference Sans Serif" w:hAnsi="MS Reference Sans Serif" w:cs="Tunga"/>
                            <w:color w:val="FFFFFF"/>
                            <w:spacing w:val="10"/>
                            <w:w w:val="99"/>
                            <w:kern w:val="44"/>
                            <w:sz w:val="40"/>
                            <w:szCs w:val="40"/>
                          </w:rPr>
                          <w:t xml:space="preserve"> (</w:t>
                        </w:r>
                        <w:r w:rsidR="0016401A" w:rsidRPr="0086335C">
                          <w:rPr>
                            <w:rFonts w:ascii="MS Reference Sans Serif" w:hAnsi="MS Reference Sans Serif" w:cs="Tunga"/>
                            <w:color w:val="FFFFFF"/>
                            <w:spacing w:val="10"/>
                            <w:w w:val="99"/>
                            <w:kern w:val="44"/>
                            <w:sz w:val="40"/>
                            <w:szCs w:val="40"/>
                          </w:rPr>
                          <w:t>distribution</w:t>
                        </w:r>
                        <w:r w:rsidR="005A26FD" w:rsidRPr="0086335C">
                          <w:rPr>
                            <w:rFonts w:ascii="MS Reference Sans Serif" w:hAnsi="MS Reference Sans Serif" w:cs="Tunga"/>
                            <w:color w:val="FFFFFF"/>
                            <w:spacing w:val="10"/>
                            <w:w w:val="99"/>
                            <w:kern w:val="44"/>
                            <w:sz w:val="40"/>
                            <w:szCs w:val="40"/>
                          </w:rPr>
                          <w:t>) 201</w:t>
                        </w:r>
                        <w:r w:rsidR="000F75F1" w:rsidRPr="0086335C">
                          <w:rPr>
                            <w:rFonts w:ascii="MS Reference Sans Serif" w:hAnsi="MS Reference Sans Serif" w:cs="Tunga"/>
                            <w:color w:val="FFFFFF"/>
                            <w:spacing w:val="10"/>
                            <w:w w:val="99"/>
                            <w:kern w:val="44"/>
                            <w:sz w:val="40"/>
                            <w:szCs w:val="40"/>
                          </w:rPr>
                          <w:t>5</w:t>
                        </w:r>
                        <w:r w:rsidR="005A26FD" w:rsidRPr="0086335C">
                          <w:rPr>
                            <w:rFonts w:ascii="MS Reference Sans Serif" w:hAnsi="MS Reference Sans Serif" w:cs="Tunga"/>
                            <w:color w:val="FFFFFF"/>
                            <w:spacing w:val="10"/>
                            <w:w w:val="99"/>
                            <w:kern w:val="44"/>
                            <w:sz w:val="40"/>
                            <w:szCs w:val="40"/>
                          </w:rPr>
                          <w:t>–1</w:t>
                        </w:r>
                        <w:r w:rsidR="00431C84" w:rsidRPr="0086335C">
                          <w:rPr>
                            <w:rFonts w:ascii="MS Reference Sans Serif" w:hAnsi="MS Reference Sans Serif" w:cs="Tunga"/>
                            <w:color w:val="FFFFFF"/>
                            <w:spacing w:val="10"/>
                            <w:w w:val="99"/>
                            <w:kern w:val="44"/>
                            <w:sz w:val="40"/>
                            <w:szCs w:val="40"/>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751069">
        <w:t xml:space="preserve">We have made a </w:t>
      </w:r>
      <w:r w:rsidR="00466A9B">
        <w:t>final</w:t>
      </w:r>
      <w:r w:rsidR="001A3D6B">
        <w:t xml:space="preserve"> </w:t>
      </w:r>
      <w:r w:rsidR="00751069">
        <w:t>decision for</w:t>
      </w:r>
      <w:r w:rsidR="009F2A09">
        <w:t xml:space="preserve"> </w:t>
      </w:r>
      <w:proofErr w:type="spellStart"/>
      <w:r w:rsidR="009F2A09">
        <w:t>A</w:t>
      </w:r>
      <w:r w:rsidR="0085345D">
        <w:t>ctewAGL</w:t>
      </w:r>
      <w:proofErr w:type="spellEnd"/>
      <w:r w:rsidR="009F2A09">
        <w:t xml:space="preserve">, </w:t>
      </w:r>
      <w:r w:rsidR="0085345D">
        <w:t>the</w:t>
      </w:r>
      <w:r w:rsidR="00D02EF5">
        <w:t xml:space="preserve"> </w:t>
      </w:r>
      <w:r w:rsidR="0016401A">
        <w:t xml:space="preserve">distribution </w:t>
      </w:r>
      <w:r w:rsidR="00751069">
        <w:t xml:space="preserve">network operator in </w:t>
      </w:r>
      <w:r w:rsidR="0085345D">
        <w:t>the Australian Capital Territory</w:t>
      </w:r>
      <w:r w:rsidR="00751069">
        <w:t xml:space="preserve">. </w:t>
      </w:r>
      <w:r w:rsidR="00245AD1">
        <w:t xml:space="preserve">Our </w:t>
      </w:r>
      <w:r w:rsidR="00466A9B">
        <w:t>final</w:t>
      </w:r>
      <w:r w:rsidR="001A3D6B">
        <w:t xml:space="preserve"> </w:t>
      </w:r>
      <w:r w:rsidR="00245AD1">
        <w:t>decision</w:t>
      </w:r>
      <w:r w:rsidR="00751069">
        <w:t xml:space="preserve"> </w:t>
      </w:r>
      <w:r w:rsidR="001A3D6B">
        <w:t>allows</w:t>
      </w:r>
      <w:r w:rsidR="00751069">
        <w:t xml:space="preserve"> </w:t>
      </w:r>
      <w:proofErr w:type="spellStart"/>
      <w:r w:rsidR="00320979">
        <w:t>ActewAGL</w:t>
      </w:r>
      <w:proofErr w:type="spellEnd"/>
      <w:r w:rsidR="00751069">
        <w:t xml:space="preserve"> </w:t>
      </w:r>
      <w:r w:rsidR="001A3D6B">
        <w:t xml:space="preserve">to </w:t>
      </w:r>
      <w:r w:rsidR="00751069" w:rsidRPr="001D3339">
        <w:t>recover $</w:t>
      </w:r>
      <w:r w:rsidR="005D568C" w:rsidRPr="001D3339">
        <w:t>59</w:t>
      </w:r>
      <w:r w:rsidR="00FF52FF" w:rsidRPr="001D3339">
        <w:t>0</w:t>
      </w:r>
      <w:r w:rsidR="00922AE8" w:rsidRPr="001D3339">
        <w:t>.</w:t>
      </w:r>
      <w:r w:rsidR="007A4F2E" w:rsidRPr="001D3339">
        <w:t>9</w:t>
      </w:r>
      <w:r w:rsidR="007A4F2E">
        <w:t xml:space="preserve"> </w:t>
      </w:r>
      <w:r w:rsidR="00751069">
        <w:t xml:space="preserve">million </w:t>
      </w:r>
      <w:r w:rsidR="000F75F1">
        <w:t xml:space="preserve">($nominal) </w:t>
      </w:r>
      <w:r w:rsidR="00751069">
        <w:t>from its customers</w:t>
      </w:r>
      <w:r w:rsidR="00AE4C05">
        <w:t xml:space="preserve"> over </w:t>
      </w:r>
      <w:r w:rsidR="0057178D">
        <w:t>four</w:t>
      </w:r>
      <w:r w:rsidR="00AE4C05">
        <w:t xml:space="preserve"> years</w:t>
      </w:r>
      <w:r w:rsidR="00751069">
        <w:t xml:space="preserve"> </w:t>
      </w:r>
      <w:r w:rsidR="00C81134">
        <w:t>commencing</w:t>
      </w:r>
      <w:r w:rsidR="00751069">
        <w:t xml:space="preserve"> 1 </w:t>
      </w:r>
      <w:r w:rsidR="000F75F1">
        <w:t>July 2015</w:t>
      </w:r>
      <w:r w:rsidR="00C81134">
        <w:t>.</w:t>
      </w:r>
      <w:r w:rsidR="00CD5026">
        <w:rPr>
          <w:rStyle w:val="EndnoteReference"/>
        </w:rPr>
        <w:endnoteReference w:id="1"/>
      </w:r>
      <w:r w:rsidR="00C81134">
        <w:t xml:space="preserve"> </w:t>
      </w:r>
    </w:p>
    <w:p w:rsidR="00130DB2" w:rsidRPr="00130DB2" w:rsidRDefault="00130DB2" w:rsidP="000E1E87">
      <w:pPr>
        <w:jc w:val="both"/>
        <w:rPr>
          <w:lang w:val="en"/>
        </w:rPr>
        <w:sectPr w:rsidR="00130DB2" w:rsidRPr="00130DB2" w:rsidSect="00BE5A7F">
          <w:headerReference w:type="default" r:id="rId10"/>
          <w:pgSz w:w="11906" w:h="16838"/>
          <w:pgMar w:top="720" w:right="720" w:bottom="720" w:left="720" w:header="708" w:footer="708" w:gutter="0"/>
          <w:cols w:space="284"/>
          <w:docGrid w:linePitch="360"/>
        </w:sectPr>
      </w:pPr>
    </w:p>
    <w:p w:rsidR="00AC0236" w:rsidRPr="00697FF1" w:rsidRDefault="0057269F" w:rsidP="0086335C">
      <w:pPr>
        <w:pStyle w:val="AERFactsheetHeading1"/>
        <w:keepNext w:val="0"/>
        <w:widowControl w:val="0"/>
        <w:spacing w:before="120"/>
        <w:jc w:val="both"/>
      </w:pPr>
      <w:r>
        <w:lastRenderedPageBreak/>
        <w:t>Overview</w:t>
      </w:r>
    </w:p>
    <w:p w:rsidR="00F1050B" w:rsidRDefault="00A30822" w:rsidP="000E1E87">
      <w:pPr>
        <w:pStyle w:val="AERfactsheetbodytext"/>
        <w:widowControl w:val="0"/>
        <w:jc w:val="both"/>
      </w:pPr>
      <w:r>
        <w:t>T</w:t>
      </w:r>
      <w:r w:rsidR="000F75F1" w:rsidRPr="0057178D">
        <w:t>he Australian Energy Regulator (AER) regulate</w:t>
      </w:r>
      <w:r>
        <w:t>s</w:t>
      </w:r>
      <w:r w:rsidR="000F75F1" w:rsidRPr="0057178D">
        <w:t xml:space="preserve"> the revenues of </w:t>
      </w:r>
      <w:proofErr w:type="spellStart"/>
      <w:r w:rsidR="00F821BB">
        <w:t>ActewAGL</w:t>
      </w:r>
      <w:proofErr w:type="spellEnd"/>
      <w:r w:rsidR="000F75F1" w:rsidRPr="0057178D">
        <w:t xml:space="preserve"> </w:t>
      </w:r>
      <w:r w:rsidRPr="0057178D">
        <w:t xml:space="preserve">by setting the </w:t>
      </w:r>
      <w:r>
        <w:t xml:space="preserve">annual </w:t>
      </w:r>
      <w:r w:rsidRPr="0057178D">
        <w:t xml:space="preserve">revenue </w:t>
      </w:r>
      <w:r>
        <w:t>requirement</w:t>
      </w:r>
      <w:r w:rsidRPr="0057178D">
        <w:t xml:space="preserve"> </w:t>
      </w:r>
      <w:r w:rsidR="00F469EF">
        <w:t>it</w:t>
      </w:r>
      <w:r w:rsidR="00F469EF" w:rsidRPr="0057178D">
        <w:t xml:space="preserve"> </w:t>
      </w:r>
      <w:r w:rsidR="00F469EF">
        <w:t>may</w:t>
      </w:r>
      <w:r w:rsidR="00F469EF" w:rsidRPr="0057178D">
        <w:t xml:space="preserve"> </w:t>
      </w:r>
      <w:r w:rsidRPr="0057178D">
        <w:t>recover from customers.</w:t>
      </w:r>
    </w:p>
    <w:p w:rsidR="00CD5026" w:rsidRDefault="00E500D8" w:rsidP="000E1E87">
      <w:pPr>
        <w:pStyle w:val="AERfactsheetbodytext"/>
        <w:widowControl w:val="0"/>
        <w:jc w:val="both"/>
      </w:pPr>
      <w:r w:rsidRPr="00E500D8">
        <w:t xml:space="preserve">Our final decision allows </w:t>
      </w:r>
      <w:proofErr w:type="spellStart"/>
      <w:r w:rsidRPr="00E500D8">
        <w:t>ActewAGL</w:t>
      </w:r>
      <w:proofErr w:type="spellEnd"/>
      <w:r w:rsidRPr="00E500D8">
        <w:t xml:space="preserve"> to recover $590.9 million ($nominal) from its customers over four years commencing 1</w:t>
      </w:r>
      <w:r w:rsidR="003777EE">
        <w:t> </w:t>
      </w:r>
      <w:r w:rsidRPr="00E500D8">
        <w:t>July 2015</w:t>
      </w:r>
      <w:r>
        <w:t xml:space="preserve">. </w:t>
      </w:r>
      <w:r w:rsidR="00A30822" w:rsidRPr="0057178D">
        <w:t xml:space="preserve">If we had accepted </w:t>
      </w:r>
      <w:proofErr w:type="spellStart"/>
      <w:r w:rsidR="00A30822">
        <w:t>ActewAGL</w:t>
      </w:r>
      <w:r w:rsidR="00A30822" w:rsidRPr="0057178D">
        <w:t>’s</w:t>
      </w:r>
      <w:proofErr w:type="spellEnd"/>
      <w:r w:rsidR="00A30822" w:rsidRPr="0057178D">
        <w:t xml:space="preserve"> proposal, it would have recovered </w:t>
      </w:r>
      <w:r w:rsidR="00A30822" w:rsidRPr="001D3339">
        <w:t>$862.</w:t>
      </w:r>
      <w:r w:rsidR="00D30089">
        <w:t>9</w:t>
      </w:r>
      <w:r w:rsidR="007A4F2E" w:rsidRPr="0057178D">
        <w:t xml:space="preserve"> </w:t>
      </w:r>
      <w:r w:rsidR="00A30822" w:rsidRPr="0057178D">
        <w:t xml:space="preserve">million ($ nominal) over the 2015-19 regulatory control period. </w:t>
      </w:r>
      <w:r w:rsidR="00B330F8">
        <w:t xml:space="preserve">Our final decision is for </w:t>
      </w:r>
      <w:r w:rsidR="007A4F2E">
        <w:t>31.5</w:t>
      </w:r>
      <w:r w:rsidR="00CD5026">
        <w:t xml:space="preserve"> per cent less</w:t>
      </w:r>
      <w:r w:rsidR="00B330F8">
        <w:t xml:space="preserve"> revenue </w:t>
      </w:r>
      <w:r w:rsidR="00CD5026">
        <w:t xml:space="preserve">than </w:t>
      </w:r>
      <w:proofErr w:type="spellStart"/>
      <w:r w:rsidR="00CD5026">
        <w:t>ActewAGL</w:t>
      </w:r>
      <w:r w:rsidR="00AB25A0">
        <w:t>’s</w:t>
      </w:r>
      <w:proofErr w:type="spellEnd"/>
      <w:r w:rsidR="00CD5026">
        <w:t xml:space="preserve"> propos</w:t>
      </w:r>
      <w:r w:rsidR="00AB25A0">
        <w:t>al</w:t>
      </w:r>
      <w:r w:rsidR="00CD5026">
        <w:t>.</w:t>
      </w:r>
    </w:p>
    <w:p w:rsidR="00346F85" w:rsidRDefault="00A30822" w:rsidP="000E1E87">
      <w:pPr>
        <w:pStyle w:val="AERfactsheetbodytext"/>
        <w:widowControl w:val="0"/>
        <w:jc w:val="both"/>
      </w:pPr>
      <w:r w:rsidRPr="0057178D">
        <w:t xml:space="preserve">The </w:t>
      </w:r>
      <w:r w:rsidR="00CD5026">
        <w:t xml:space="preserve">figure below shows the </w:t>
      </w:r>
      <w:r w:rsidRPr="0057178D">
        <w:t xml:space="preserve">difference between </w:t>
      </w:r>
      <w:proofErr w:type="spellStart"/>
      <w:r>
        <w:t>ActewAGL</w:t>
      </w:r>
      <w:r w:rsidRPr="0057178D">
        <w:t>’s</w:t>
      </w:r>
      <w:proofErr w:type="spellEnd"/>
      <w:r w:rsidRPr="0057178D">
        <w:t xml:space="preserve"> proposed revenue, and what we have allowed </w:t>
      </w:r>
      <w:r w:rsidR="00CD5026">
        <w:t>for each year of th</w:t>
      </w:r>
      <w:r w:rsidR="006A07A7">
        <w:t>e final</w:t>
      </w:r>
      <w:r w:rsidR="00CD5026">
        <w:t xml:space="preserve"> decision</w:t>
      </w:r>
      <w:r w:rsidRPr="0057178D">
        <w:t>.</w:t>
      </w:r>
      <w:r>
        <w:t xml:space="preserve"> </w:t>
      </w:r>
      <w:bookmarkStart w:id="0" w:name="_GoBack"/>
      <w:bookmarkEnd w:id="0"/>
    </w:p>
    <w:p w:rsidR="00F943EE" w:rsidRDefault="00F943EE" w:rsidP="00840CA9">
      <w:pPr>
        <w:pStyle w:val="AERfactsheetbodytext"/>
        <w:keepNext/>
        <w:widowControl w:val="0"/>
        <w:jc w:val="both"/>
      </w:pPr>
      <w:proofErr w:type="spellStart"/>
      <w:r>
        <w:rPr>
          <w:rStyle w:val="AERtextbold"/>
        </w:rPr>
        <w:t>ActewAGL</w:t>
      </w:r>
      <w:r w:rsidRPr="0057178D">
        <w:rPr>
          <w:rStyle w:val="AERtextbold"/>
        </w:rPr>
        <w:t>'s</w:t>
      </w:r>
      <w:proofErr w:type="spellEnd"/>
      <w:r w:rsidRPr="0057178D">
        <w:rPr>
          <w:rStyle w:val="AERtextbold"/>
        </w:rPr>
        <w:t xml:space="preserve"> past total revenue, proposed total revenue and AER </w:t>
      </w:r>
      <w:r w:rsidR="00466A9B">
        <w:rPr>
          <w:rStyle w:val="AERtextbold"/>
        </w:rPr>
        <w:t>final</w:t>
      </w:r>
      <w:r w:rsidRPr="0057178D">
        <w:rPr>
          <w:rStyle w:val="AERtextbold"/>
        </w:rPr>
        <w:t xml:space="preserve"> decision revenue allowance ($ million, 2013–14)</w:t>
      </w:r>
    </w:p>
    <w:p w:rsidR="00F943EE" w:rsidRDefault="00F943EE" w:rsidP="000E1E87">
      <w:pPr>
        <w:pStyle w:val="AERfactsheetbodytext"/>
        <w:widowControl w:val="0"/>
        <w:jc w:val="both"/>
      </w:pPr>
    </w:p>
    <w:p w:rsidR="00346F85" w:rsidRPr="0016401A" w:rsidRDefault="00917885" w:rsidP="00F833BC">
      <w:pPr>
        <w:pStyle w:val="AERfactsheetbodytext"/>
        <w:widowControl w:val="0"/>
        <w:jc w:val="center"/>
        <w:rPr>
          <w:color w:val="FF0000"/>
        </w:rPr>
      </w:pPr>
      <w:r w:rsidRPr="00F27E1F">
        <w:rPr>
          <w:noProof/>
          <w:lang w:eastAsia="en-AU"/>
        </w:rPr>
        <w:drawing>
          <wp:inline distT="0" distB="0" distL="0" distR="0" wp14:anchorId="0DC8A335" wp14:editId="6529DAE8">
            <wp:extent cx="3215005" cy="1965716"/>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1965716"/>
                    </a:xfrm>
                    <a:prstGeom prst="rect">
                      <a:avLst/>
                    </a:prstGeom>
                    <a:noFill/>
                    <a:ln>
                      <a:noFill/>
                    </a:ln>
                  </pic:spPr>
                </pic:pic>
              </a:graphicData>
            </a:graphic>
          </wp:inline>
        </w:drawing>
      </w:r>
      <w:r w:rsidR="000A3CF4" w:rsidRPr="007E0179">
        <w:rPr>
          <w:noProof/>
          <w:lang w:eastAsia="en-AU"/>
        </w:rPr>
        <w:drawing>
          <wp:anchor distT="0" distB="0" distL="114300" distR="114300" simplePos="0" relativeHeight="251704320" behindDoc="0" locked="0" layoutInCell="1" allowOverlap="1" wp14:anchorId="6AF65137" wp14:editId="0696A62B">
            <wp:simplePos x="0" y="0"/>
            <wp:positionH relativeFrom="column">
              <wp:posOffset>-461748</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A6437A" w:rsidRDefault="004A5A86" w:rsidP="000E1E87">
      <w:pPr>
        <w:pStyle w:val="AERfactsheetbodytext"/>
        <w:widowControl w:val="0"/>
        <w:spacing w:before="120"/>
        <w:jc w:val="both"/>
      </w:pPr>
      <w:r w:rsidRPr="007E0179">
        <w:t xml:space="preserve">The revenue we determine affects the </w:t>
      </w:r>
      <w:r w:rsidR="007E0179" w:rsidRPr="007E0179">
        <w:t>distribution</w:t>
      </w:r>
      <w:r w:rsidRPr="007E0179">
        <w:t xml:space="preserve"> component of a customer’s </w:t>
      </w:r>
      <w:r w:rsidR="002B399D">
        <w:t xml:space="preserve">electricity </w:t>
      </w:r>
      <w:r w:rsidRPr="007E0179">
        <w:t xml:space="preserve">bill. </w:t>
      </w:r>
      <w:r w:rsidR="009F2A09">
        <w:t>D</w:t>
      </w:r>
      <w:r w:rsidR="007E0179" w:rsidRPr="007E0179">
        <w:t>istribution</w:t>
      </w:r>
      <w:r w:rsidRPr="007E0179">
        <w:t xml:space="preserve"> charges make up about </w:t>
      </w:r>
      <w:r w:rsidR="00F821BB">
        <w:t>35</w:t>
      </w:r>
      <w:r w:rsidRPr="007E0179">
        <w:t xml:space="preserve"> per cent </w:t>
      </w:r>
      <w:r w:rsidR="002B399D">
        <w:t>of the bill for one of</w:t>
      </w:r>
      <w:r w:rsidRPr="007E0179">
        <w:t xml:space="preserve"> </w:t>
      </w:r>
      <w:proofErr w:type="spellStart"/>
      <w:r w:rsidR="00F821BB">
        <w:t>ActewAGL</w:t>
      </w:r>
      <w:r w:rsidR="009F2A09">
        <w:t>’s</w:t>
      </w:r>
      <w:proofErr w:type="spellEnd"/>
      <w:r w:rsidRPr="007E0179">
        <w:t xml:space="preserve"> typical residential customer</w:t>
      </w:r>
      <w:r w:rsidR="002B399D">
        <w:t>s</w:t>
      </w:r>
      <w:r w:rsidR="001B5680" w:rsidRPr="007E0179">
        <w:t>.</w:t>
      </w:r>
      <w:r w:rsidRPr="007E0179">
        <w:t xml:space="preserve"> </w:t>
      </w:r>
    </w:p>
    <w:p w:rsidR="004A5A86" w:rsidRPr="007E0179" w:rsidRDefault="00F833BC" w:rsidP="000E1E87">
      <w:pPr>
        <w:pStyle w:val="AERfactsheetbodytext"/>
        <w:widowControl w:val="0"/>
        <w:spacing w:before="120"/>
        <w:jc w:val="both"/>
      </w:pPr>
      <w:r w:rsidRPr="007E0179">
        <w:t>O</w:t>
      </w:r>
      <w:r w:rsidR="004A5A86" w:rsidRPr="007E0179">
        <w:t xml:space="preserve">ther components </w:t>
      </w:r>
      <w:r w:rsidRPr="007E0179">
        <w:t xml:space="preserve">in consumer bills include </w:t>
      </w:r>
      <w:r w:rsidR="004A5A86" w:rsidRPr="007E0179">
        <w:t xml:space="preserve">the cost of generation, </w:t>
      </w:r>
      <w:r w:rsidR="002C0A83" w:rsidRPr="007E0179">
        <w:t>transmission</w:t>
      </w:r>
      <w:r w:rsidR="004A5A86" w:rsidRPr="007E0179">
        <w:t xml:space="preserve"> network charges, and retailer costs.</w:t>
      </w:r>
      <w:r w:rsidR="006A07A7">
        <w:t xml:space="preserve"> The AER does not set retail prices.</w:t>
      </w:r>
      <w:r w:rsidR="001B5680" w:rsidRPr="007E0179">
        <w:t xml:space="preserve"> </w:t>
      </w:r>
    </w:p>
    <w:p w:rsidR="00CD5026" w:rsidRDefault="00A30822" w:rsidP="000E1E87">
      <w:pPr>
        <w:spacing w:after="60" w:line="252" w:lineRule="auto"/>
        <w:jc w:val="both"/>
        <w:rPr>
          <w:rFonts w:ascii="Tunga" w:eastAsia="Times New Roman" w:hAnsi="Tunga" w:cs="Tunga"/>
          <w:b/>
          <w:iCs/>
          <w:color w:val="006A99"/>
          <w:kern w:val="24"/>
          <w:sz w:val="24"/>
          <w:szCs w:val="24"/>
        </w:rPr>
      </w:pPr>
      <w:r>
        <w:rPr>
          <w:noProof/>
          <w:lang w:eastAsia="en-AU"/>
        </w:rPr>
        <w:lastRenderedPageBreak/>
        <mc:AlternateContent>
          <mc:Choice Requires="wps">
            <w:drawing>
              <wp:inline distT="0" distB="0" distL="0" distR="0" wp14:anchorId="5C716469" wp14:editId="0525F11B">
                <wp:extent cx="3214370" cy="2962275"/>
                <wp:effectExtent l="0" t="0" r="2413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962275"/>
                        </a:xfrm>
                        <a:prstGeom prst="rect">
                          <a:avLst/>
                        </a:prstGeom>
                        <a:solidFill>
                          <a:srgbClr val="DBE5F1"/>
                        </a:solidFill>
                        <a:ln w="9525">
                          <a:solidFill>
                            <a:srgbClr val="006A99"/>
                          </a:solidFill>
                          <a:miter lim="800000"/>
                          <a:headEnd/>
                          <a:tailEnd/>
                        </a:ln>
                      </wps:spPr>
                      <wps:txbx>
                        <w:txbxContent>
                          <w:p w:rsidR="006A17D0" w:rsidRDefault="00A6437A" w:rsidP="00A6437A">
                            <w:pPr>
                              <w:pStyle w:val="AERfactsheetbodytext"/>
                              <w:jc w:val="both"/>
                              <w:rPr>
                                <w:rFonts w:ascii="Tunga" w:eastAsia="Times New Roman" w:hAnsi="Tunga" w:cs="Tunga"/>
                                <w:b/>
                                <w:iCs/>
                                <w:color w:val="006A99"/>
                                <w:spacing w:val="0"/>
                                <w:kern w:val="24"/>
                                <w:sz w:val="24"/>
                                <w:szCs w:val="24"/>
                              </w:rPr>
                            </w:pPr>
                            <w:r w:rsidRPr="00860770">
                              <w:rPr>
                                <w:rFonts w:ascii="Tunga" w:eastAsia="Times New Roman" w:hAnsi="Tunga" w:cs="Tunga"/>
                                <w:b/>
                                <w:iCs/>
                                <w:color w:val="006A99"/>
                                <w:spacing w:val="0"/>
                                <w:kern w:val="24"/>
                                <w:sz w:val="24"/>
                                <w:szCs w:val="24"/>
                              </w:rPr>
                              <w:t xml:space="preserve">Estimated </w:t>
                            </w:r>
                            <w:r w:rsidR="00CD5026">
                              <w:rPr>
                                <w:rFonts w:ascii="Tunga" w:eastAsia="Times New Roman" w:hAnsi="Tunga" w:cs="Tunga"/>
                                <w:b/>
                                <w:iCs/>
                                <w:color w:val="006A99"/>
                                <w:spacing w:val="0"/>
                                <w:kern w:val="24"/>
                                <w:sz w:val="24"/>
                                <w:szCs w:val="24"/>
                              </w:rPr>
                              <w:t>bill</w:t>
                            </w:r>
                            <w:r w:rsidR="00CD5026" w:rsidRPr="00860770">
                              <w:rPr>
                                <w:rFonts w:ascii="Tunga" w:eastAsia="Times New Roman" w:hAnsi="Tunga" w:cs="Tunga"/>
                                <w:b/>
                                <w:iCs/>
                                <w:color w:val="006A99"/>
                                <w:spacing w:val="0"/>
                                <w:kern w:val="24"/>
                                <w:sz w:val="24"/>
                                <w:szCs w:val="24"/>
                              </w:rPr>
                              <w:t xml:space="preserve"> </w:t>
                            </w:r>
                            <w:r w:rsidRPr="00860770">
                              <w:rPr>
                                <w:rFonts w:ascii="Tunga" w:eastAsia="Times New Roman" w:hAnsi="Tunga" w:cs="Tunga"/>
                                <w:b/>
                                <w:iCs/>
                                <w:color w:val="006A99"/>
                                <w:spacing w:val="0"/>
                                <w:kern w:val="24"/>
                                <w:sz w:val="24"/>
                                <w:szCs w:val="24"/>
                              </w:rPr>
                              <w:t>impact</w:t>
                            </w:r>
                            <w:r w:rsidR="006A07A7">
                              <w:rPr>
                                <w:rFonts w:ascii="Tunga" w:eastAsia="Times New Roman" w:hAnsi="Tunga" w:cs="Tunga"/>
                                <w:b/>
                                <w:iCs/>
                                <w:color w:val="006A99"/>
                                <w:spacing w:val="0"/>
                                <w:kern w:val="24"/>
                                <w:sz w:val="24"/>
                                <w:szCs w:val="24"/>
                              </w:rPr>
                              <w:t xml:space="preserve"> </w:t>
                            </w:r>
                          </w:p>
                          <w:p w:rsidR="00A6437A" w:rsidRPr="001D3339" w:rsidRDefault="00A6437A" w:rsidP="00A6437A">
                            <w:pPr>
                              <w:pStyle w:val="AERfactsheetbodytext"/>
                              <w:jc w:val="both"/>
                            </w:pPr>
                            <w:r>
                              <w:t xml:space="preserve">Based on the lower distribution charges from our final decision being passed through to customers, we expect </w:t>
                            </w:r>
                            <w:r w:rsidRPr="001D3339">
                              <w:t>average annual electricity bills for residential customers to reduce by $</w:t>
                            </w:r>
                            <w:r w:rsidR="007A4F2E" w:rsidRPr="001D3339">
                              <w:t xml:space="preserve">112 </w:t>
                            </w:r>
                            <w:r w:rsidR="006F270A" w:rsidRPr="001D3339">
                              <w:t xml:space="preserve">(or </w:t>
                            </w:r>
                            <w:r w:rsidR="007A4F2E" w:rsidRPr="001D3339">
                              <w:t>5.8</w:t>
                            </w:r>
                            <w:r w:rsidR="00012227">
                              <w:t xml:space="preserve"> per cent</w:t>
                            </w:r>
                            <w:r w:rsidR="006F270A" w:rsidRPr="001D3339">
                              <w:t xml:space="preserve">) </w:t>
                            </w:r>
                            <w:r w:rsidR="00E62D48">
                              <w:t>in 2015–16, and remain</w:t>
                            </w:r>
                            <w:r w:rsidR="000C213D">
                              <w:t xml:space="preserve"> relatively</w:t>
                            </w:r>
                            <w:r w:rsidR="00E62D48">
                              <w:t xml:space="preserve"> stable </w:t>
                            </w:r>
                            <w:r w:rsidRPr="001D3339">
                              <w:t>over the rest of the period covered by this decision.</w:t>
                            </w:r>
                          </w:p>
                          <w:p w:rsidR="00A6437A" w:rsidRDefault="00A6437A" w:rsidP="00A6437A">
                            <w:pPr>
                              <w:pStyle w:val="AERfactsheetbodytext"/>
                              <w:jc w:val="both"/>
                            </w:pPr>
                            <w:r w:rsidRPr="001D3339">
                              <w:t>For small business customers, we estimate reductions of $</w:t>
                            </w:r>
                            <w:r w:rsidR="007A4F2E" w:rsidRPr="001D3339">
                              <w:t>168 (or 5.8</w:t>
                            </w:r>
                            <w:r w:rsidR="00012227">
                              <w:t xml:space="preserve"> per cent</w:t>
                            </w:r>
                            <w:r w:rsidR="007A4F2E" w:rsidRPr="001D3339">
                              <w:t xml:space="preserve">) </w:t>
                            </w:r>
                            <w:r w:rsidRPr="001D3339">
                              <w:t>in 2015-16</w:t>
                            </w:r>
                            <w:r w:rsidR="0014147F">
                              <w:t xml:space="preserve"> and relatively stable </w:t>
                            </w:r>
                            <w:r w:rsidR="00810AD8">
                              <w:t xml:space="preserve">bills </w:t>
                            </w:r>
                            <w:r w:rsidR="0014147F">
                              <w:t>over the rest of the period covered by this decision</w:t>
                            </w:r>
                            <w:r>
                              <w:t>.</w:t>
                            </w:r>
                          </w:p>
                          <w:p w:rsidR="00A30822" w:rsidRPr="0057178D" w:rsidRDefault="00A6437A" w:rsidP="00860770">
                            <w:pPr>
                              <w:pStyle w:val="AERfactsheetbodytext"/>
                              <w:jc w:val="both"/>
                              <w:rPr>
                                <w:rFonts w:ascii="Times New Roman" w:hAnsi="Times New Roman" w:cs="Times New Roman"/>
                              </w:rPr>
                            </w:pPr>
                            <w:r>
                              <w:t xml:space="preserve">These are only estimates, and are based on the data we have about how much energy customers in the ACT use. There are a number of other factors that also affect a customer’s electricity bill, such as the wholesale price of electricity. You can read more about what makes up the energy prices on customers’ bills on our website: </w:t>
                            </w:r>
                            <w:hyperlink r:id="rId13" w:history="1">
                              <w:r w:rsidRPr="005C61F8">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 id="Text Box 6" o:spid="_x0000_s1029" type="#_x0000_t202" style="width:253.1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" fillcolor="#dbe5f1" strokecolor="#006a99">
                <v:textbox>
                  <w:txbxContent>
                    <w:p w:rsidR="006A17D0" w:rsidRDefault="00A6437A" w:rsidP="00A6437A">
                      <w:pPr>
                        <w:pStyle w:val="AERfactsheetbodytext"/>
                        <w:jc w:val="both"/>
                        <w:rPr>
                          <w:rFonts w:ascii="Tunga" w:eastAsia="Times New Roman" w:hAnsi="Tunga" w:cs="Tunga"/>
                          <w:b/>
                          <w:iCs/>
                          <w:color w:val="006A99"/>
                          <w:spacing w:val="0"/>
                          <w:kern w:val="24"/>
                          <w:sz w:val="24"/>
                          <w:szCs w:val="24"/>
                        </w:rPr>
                      </w:pPr>
                      <w:r w:rsidRPr="00860770">
                        <w:rPr>
                          <w:rFonts w:ascii="Tunga" w:eastAsia="Times New Roman" w:hAnsi="Tunga" w:cs="Tunga"/>
                          <w:b/>
                          <w:iCs/>
                          <w:color w:val="006A99"/>
                          <w:spacing w:val="0"/>
                          <w:kern w:val="24"/>
                          <w:sz w:val="24"/>
                          <w:szCs w:val="24"/>
                        </w:rPr>
                        <w:t xml:space="preserve">Estimated </w:t>
                      </w:r>
                      <w:r w:rsidR="00CD5026">
                        <w:rPr>
                          <w:rFonts w:ascii="Tunga" w:eastAsia="Times New Roman" w:hAnsi="Tunga" w:cs="Tunga"/>
                          <w:b/>
                          <w:iCs/>
                          <w:color w:val="006A99"/>
                          <w:spacing w:val="0"/>
                          <w:kern w:val="24"/>
                          <w:sz w:val="24"/>
                          <w:szCs w:val="24"/>
                        </w:rPr>
                        <w:t>bill</w:t>
                      </w:r>
                      <w:r w:rsidR="00CD5026" w:rsidRPr="00860770">
                        <w:rPr>
                          <w:rFonts w:ascii="Tunga" w:eastAsia="Times New Roman" w:hAnsi="Tunga" w:cs="Tunga"/>
                          <w:b/>
                          <w:iCs/>
                          <w:color w:val="006A99"/>
                          <w:spacing w:val="0"/>
                          <w:kern w:val="24"/>
                          <w:sz w:val="24"/>
                          <w:szCs w:val="24"/>
                        </w:rPr>
                        <w:t xml:space="preserve"> </w:t>
                      </w:r>
                      <w:r w:rsidRPr="00860770">
                        <w:rPr>
                          <w:rFonts w:ascii="Tunga" w:eastAsia="Times New Roman" w:hAnsi="Tunga" w:cs="Tunga"/>
                          <w:b/>
                          <w:iCs/>
                          <w:color w:val="006A99"/>
                          <w:spacing w:val="0"/>
                          <w:kern w:val="24"/>
                          <w:sz w:val="24"/>
                          <w:szCs w:val="24"/>
                        </w:rPr>
                        <w:t>impact</w:t>
                      </w:r>
                      <w:r w:rsidR="006A07A7">
                        <w:rPr>
                          <w:rFonts w:ascii="Tunga" w:eastAsia="Times New Roman" w:hAnsi="Tunga" w:cs="Tunga"/>
                          <w:b/>
                          <w:iCs/>
                          <w:color w:val="006A99"/>
                          <w:spacing w:val="0"/>
                          <w:kern w:val="24"/>
                          <w:sz w:val="24"/>
                          <w:szCs w:val="24"/>
                        </w:rPr>
                        <w:t xml:space="preserve"> </w:t>
                      </w:r>
                    </w:p>
                    <w:p w:rsidR="00A6437A" w:rsidRPr="001D3339" w:rsidRDefault="00A6437A" w:rsidP="00A6437A">
                      <w:pPr>
                        <w:pStyle w:val="AERfactsheetbodytext"/>
                        <w:jc w:val="both"/>
                      </w:pPr>
                      <w:r>
                        <w:t xml:space="preserve">Based on the lower distribution charges from our final decision being passed through to customers, we expect </w:t>
                      </w:r>
                      <w:r w:rsidRPr="001D3339">
                        <w:t>average annual electricity bills for residential customers to reduce by $</w:t>
                      </w:r>
                      <w:r w:rsidR="007A4F2E" w:rsidRPr="001D3339">
                        <w:t xml:space="preserve">112 </w:t>
                      </w:r>
                      <w:r w:rsidR="006F270A" w:rsidRPr="001D3339">
                        <w:t xml:space="preserve">(or </w:t>
                      </w:r>
                      <w:r w:rsidR="007A4F2E" w:rsidRPr="001D3339">
                        <w:t>5.8</w:t>
                      </w:r>
                      <w:r w:rsidR="00012227">
                        <w:t xml:space="preserve"> per cent</w:t>
                      </w:r>
                      <w:r w:rsidR="006F270A" w:rsidRPr="001D3339">
                        <w:t xml:space="preserve">) </w:t>
                      </w:r>
                      <w:r w:rsidR="00E62D48">
                        <w:t>in 2015–16, and remain</w:t>
                      </w:r>
                      <w:r w:rsidR="000C213D">
                        <w:t xml:space="preserve"> relatively</w:t>
                      </w:r>
                      <w:r w:rsidR="00E62D48">
                        <w:t xml:space="preserve"> stable </w:t>
                      </w:r>
                      <w:r w:rsidRPr="001D3339">
                        <w:t>over the rest of the period covered by this decision.</w:t>
                      </w:r>
                    </w:p>
                    <w:p w:rsidR="00A6437A" w:rsidRDefault="00A6437A" w:rsidP="00A6437A">
                      <w:pPr>
                        <w:pStyle w:val="AERfactsheetbodytext"/>
                        <w:jc w:val="both"/>
                      </w:pPr>
                      <w:r w:rsidRPr="001D3339">
                        <w:t>For small business customers, we estimate reductions of $</w:t>
                      </w:r>
                      <w:r w:rsidR="007A4F2E" w:rsidRPr="001D3339">
                        <w:t>168 (or 5.8</w:t>
                      </w:r>
                      <w:r w:rsidR="00012227">
                        <w:t xml:space="preserve"> per cent</w:t>
                      </w:r>
                      <w:r w:rsidR="007A4F2E" w:rsidRPr="001D3339">
                        <w:t xml:space="preserve">) </w:t>
                      </w:r>
                      <w:r w:rsidRPr="001D3339">
                        <w:t>in 2015-16</w:t>
                      </w:r>
                      <w:r w:rsidR="0014147F">
                        <w:t xml:space="preserve"> and relatively stable </w:t>
                      </w:r>
                      <w:r w:rsidR="00810AD8">
                        <w:t xml:space="preserve">bills </w:t>
                      </w:r>
                      <w:r w:rsidR="0014147F">
                        <w:t>over the rest of the period covered by this decision</w:t>
                      </w:r>
                      <w:r>
                        <w:t>.</w:t>
                      </w:r>
                    </w:p>
                    <w:p w:rsidR="00A30822" w:rsidRPr="0057178D" w:rsidRDefault="00A6437A" w:rsidP="00860770">
                      <w:pPr>
                        <w:pStyle w:val="AERfactsheetbodytext"/>
                        <w:jc w:val="both"/>
                        <w:rPr>
                          <w:rFonts w:ascii="Times New Roman" w:hAnsi="Times New Roman" w:cs="Times New Roman"/>
                        </w:rPr>
                      </w:pPr>
                      <w:r>
                        <w:t xml:space="preserve">These are only estimates, and are based on the data we have about how much energy customers in the ACT use. There are a number of other factors that also affect a customer’s electricity bill, such as the wholesale price of electricity. You can read more about what makes up the energy prices on customers’ bills on our website: </w:t>
                      </w:r>
                      <w:hyperlink r:id="rId14" w:history="1">
                        <w:r w:rsidRPr="005C61F8">
                          <w:rPr>
                            <w:rStyle w:val="Hyperlink"/>
                          </w:rPr>
                          <w:t>http://www.aer.gov.au/Consumers</w:t>
                        </w:r>
                      </w:hyperlink>
                      <w:r>
                        <w:t xml:space="preserve">. </w:t>
                      </w:r>
                    </w:p>
                  </w:txbxContent>
                </v:textbox>
                <w10:anchorlock/>
              </v:shape>
            </w:pict>
          </mc:Fallback>
        </mc:AlternateContent>
      </w:r>
    </w:p>
    <w:p w:rsidR="0010549E" w:rsidRPr="00860770" w:rsidRDefault="00A6437A" w:rsidP="000E1E87">
      <w:pPr>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Key elements of o</w:t>
      </w:r>
      <w:r w:rsidR="0010549E" w:rsidRPr="00860770">
        <w:rPr>
          <w:rFonts w:ascii="Tunga" w:eastAsia="Times New Roman" w:hAnsi="Tunga" w:cs="Tunga"/>
          <w:b/>
          <w:iCs/>
          <w:color w:val="006A99"/>
          <w:kern w:val="24"/>
          <w:sz w:val="24"/>
          <w:szCs w:val="24"/>
        </w:rPr>
        <w:t xml:space="preserve">ur </w:t>
      </w:r>
      <w:r>
        <w:rPr>
          <w:rFonts w:ascii="Tunga" w:eastAsia="Times New Roman" w:hAnsi="Tunga" w:cs="Tunga"/>
          <w:b/>
          <w:iCs/>
          <w:color w:val="006A99"/>
          <w:kern w:val="24"/>
          <w:sz w:val="24"/>
          <w:szCs w:val="24"/>
        </w:rPr>
        <w:t>decision</w:t>
      </w:r>
    </w:p>
    <w:p w:rsidR="00A30822" w:rsidRDefault="00A30822" w:rsidP="000E1E87">
      <w:pPr>
        <w:pStyle w:val="AERfactsheetbodytext"/>
        <w:widowControl w:val="0"/>
        <w:spacing w:before="120"/>
        <w:jc w:val="both"/>
      </w:pPr>
      <w:r>
        <w:t>O</w:t>
      </w:r>
      <w:r w:rsidR="00595459" w:rsidRPr="007E0179">
        <w:t>ur</w:t>
      </w:r>
      <w:r w:rsidR="0010549E" w:rsidRPr="007E0179">
        <w:t xml:space="preserve"> assessment</w:t>
      </w:r>
      <w:r>
        <w:t xml:space="preserve"> </w:t>
      </w:r>
      <w:r w:rsidR="00A6437A">
        <w:t xml:space="preserve">of </w:t>
      </w:r>
      <w:proofErr w:type="spellStart"/>
      <w:r>
        <w:t>ActewAGL’s</w:t>
      </w:r>
      <w:proofErr w:type="spellEnd"/>
      <w:r>
        <w:t xml:space="preserve"> proposed revenue is</w:t>
      </w:r>
      <w:r w:rsidR="00595459" w:rsidRPr="007E0179">
        <w:t xml:space="preserve"> </w:t>
      </w:r>
      <w:r w:rsidR="00792091" w:rsidRPr="007E0179">
        <w:t xml:space="preserve">based on </w:t>
      </w:r>
      <w:r w:rsidR="00595459" w:rsidRPr="007E0179">
        <w:t xml:space="preserve">a </w:t>
      </w:r>
      <w:r w:rsidR="0010549E" w:rsidRPr="007E0179">
        <w:t>number of</w:t>
      </w:r>
      <w:r w:rsidR="00A6437A">
        <w:t xml:space="preserve"> components.</w:t>
      </w:r>
      <w:r w:rsidR="00F762F3" w:rsidRPr="007E0179">
        <w:t xml:space="preserve"> </w:t>
      </w:r>
      <w:r>
        <w:t>These</w:t>
      </w:r>
      <w:r w:rsidR="00A6437A">
        <w:t xml:space="preserve"> components</w:t>
      </w:r>
      <w:r>
        <w:t xml:space="preserve"> include expenditure to maintain and operate the network, and the return to </w:t>
      </w:r>
      <w:r w:rsidR="00B330F8">
        <w:t xml:space="preserve">investors </w:t>
      </w:r>
      <w:r>
        <w:t xml:space="preserve">on their investment. </w:t>
      </w:r>
      <w:r w:rsidR="00F1050B" w:rsidRPr="007E0179">
        <w:t xml:space="preserve">Together, </w:t>
      </w:r>
      <w:r>
        <w:t>these</w:t>
      </w:r>
      <w:r w:rsidR="00F1050B" w:rsidRPr="007E0179">
        <w:t xml:space="preserve"> </w:t>
      </w:r>
      <w:r w:rsidR="009F2A09">
        <w:t>determine the revenue</w:t>
      </w:r>
      <w:r w:rsidR="00F1050B" w:rsidRPr="007E0179">
        <w:t xml:space="preserve"> </w:t>
      </w:r>
      <w:proofErr w:type="spellStart"/>
      <w:r w:rsidR="00F821BB">
        <w:t>ActewAGL</w:t>
      </w:r>
      <w:proofErr w:type="spellEnd"/>
      <w:r w:rsidR="00F1050B" w:rsidRPr="007E0179">
        <w:t xml:space="preserve"> </w:t>
      </w:r>
      <w:r w:rsidR="00F469EF">
        <w:t>may recover from its</w:t>
      </w:r>
      <w:r w:rsidR="00F1050B" w:rsidRPr="007E0179">
        <w:t xml:space="preserve"> customers. </w:t>
      </w:r>
    </w:p>
    <w:p w:rsidR="00A6437A" w:rsidRDefault="00A6437A" w:rsidP="000E1E87">
      <w:pPr>
        <w:pStyle w:val="AERfactsheetbodytext"/>
        <w:widowControl w:val="0"/>
        <w:spacing w:before="120"/>
        <w:jc w:val="both"/>
      </w:pPr>
      <w:r w:rsidRPr="00A6437A">
        <w:t xml:space="preserve">Two components of our final decision drive most of the difference between </w:t>
      </w:r>
      <w:proofErr w:type="spellStart"/>
      <w:r>
        <w:t>ActewAGL’s</w:t>
      </w:r>
      <w:proofErr w:type="spellEnd"/>
      <w:r w:rsidRPr="00A6437A">
        <w:t xml:space="preserve"> proposed revenue and our final decision: rate of return and operating expenditure. We discuss each of these below.</w:t>
      </w:r>
    </w:p>
    <w:p w:rsidR="00A6437A" w:rsidRPr="00860770" w:rsidRDefault="00A6437A" w:rsidP="008F1341">
      <w:pPr>
        <w:pStyle w:val="AERfactsheetbodytext"/>
        <w:widowControl w:val="0"/>
        <w:spacing w:before="240"/>
        <w:jc w:val="both"/>
        <w:rPr>
          <w:rFonts w:ascii="Tunga" w:eastAsia="Times New Roman" w:hAnsi="Tunga" w:cs="Tunga"/>
          <w:b/>
          <w:iCs/>
          <w:color w:val="006A99"/>
          <w:spacing w:val="0"/>
          <w:kern w:val="24"/>
          <w:sz w:val="24"/>
          <w:szCs w:val="24"/>
        </w:rPr>
      </w:pPr>
      <w:r w:rsidRPr="00860770">
        <w:rPr>
          <w:rFonts w:ascii="Tunga" w:eastAsia="Times New Roman" w:hAnsi="Tunga" w:cs="Tunga"/>
          <w:b/>
          <w:iCs/>
          <w:color w:val="006A99"/>
          <w:spacing w:val="0"/>
          <w:kern w:val="24"/>
          <w:sz w:val="24"/>
          <w:szCs w:val="24"/>
        </w:rPr>
        <w:t>Rate of return</w:t>
      </w:r>
    </w:p>
    <w:p w:rsidR="00A6437A" w:rsidRDefault="00A6437A" w:rsidP="00A6437A">
      <w:pPr>
        <w:pStyle w:val="AERfactsheetbodytext"/>
        <w:widowControl w:val="0"/>
        <w:jc w:val="both"/>
      </w:pPr>
      <w:r w:rsidRPr="00B671F0">
        <w:t xml:space="preserve">Significant investment is required to build a distribution network. The return </w:t>
      </w:r>
      <w:proofErr w:type="spellStart"/>
      <w:r>
        <w:t>ActewAGL</w:t>
      </w:r>
      <w:proofErr w:type="spellEnd"/>
      <w:r w:rsidRPr="00B671F0">
        <w:t xml:space="preserve"> must pay lenders and investors is referred to as the rate of return. Even a small difference in the rate of return can have a big impact on revenues. </w:t>
      </w:r>
    </w:p>
    <w:p w:rsidR="00A6437A" w:rsidRPr="00B671F0" w:rsidRDefault="00A6437A" w:rsidP="00A6437A">
      <w:pPr>
        <w:pStyle w:val="AERfactsheetbodytext"/>
        <w:widowControl w:val="0"/>
        <w:jc w:val="both"/>
      </w:pPr>
      <w:r w:rsidRPr="00B671F0">
        <w:t>Our final decision sets the allowed rate of retur</w:t>
      </w:r>
      <w:r>
        <w:t xml:space="preserve">n (or ‘cost of capital’) </w:t>
      </w:r>
      <w:r w:rsidRPr="001D3339">
        <w:t>at 6.</w:t>
      </w:r>
      <w:r w:rsidR="0087018B">
        <w:t>3</w:t>
      </w:r>
      <w:r w:rsidR="00CA14B3">
        <w:t>8</w:t>
      </w:r>
      <w:r w:rsidRPr="001D3339">
        <w:t xml:space="preserve"> per cent</w:t>
      </w:r>
      <w:r w:rsidR="0087018B">
        <w:t xml:space="preserve"> for 2015–16</w:t>
      </w:r>
      <w:r w:rsidRPr="001D3339">
        <w:t xml:space="preserve">. We have not accepted </w:t>
      </w:r>
      <w:proofErr w:type="spellStart"/>
      <w:r w:rsidR="00C464FB" w:rsidRPr="001D3339">
        <w:t>ActewAGL</w:t>
      </w:r>
      <w:r w:rsidRPr="001D3339">
        <w:t>’s</w:t>
      </w:r>
      <w:proofErr w:type="spellEnd"/>
      <w:r w:rsidRPr="001D3339">
        <w:t xml:space="preserve"> propos</w:t>
      </w:r>
      <w:r w:rsidR="006F270A" w:rsidRPr="001D3339">
        <w:t xml:space="preserve">al for a </w:t>
      </w:r>
      <w:r w:rsidRPr="001D3339">
        <w:t>rate of return of 8.99</w:t>
      </w:r>
      <w:r>
        <w:t xml:space="preserve"> per cent</w:t>
      </w:r>
      <w:r w:rsidRPr="00B671F0">
        <w:t>.</w:t>
      </w:r>
      <w:r w:rsidR="00CD5026">
        <w:rPr>
          <w:rStyle w:val="EndnoteReference"/>
        </w:rPr>
        <w:endnoteReference w:id="2"/>
      </w:r>
      <w:r w:rsidRPr="00B671F0">
        <w:t xml:space="preserve"> </w:t>
      </w:r>
    </w:p>
    <w:p w:rsidR="008F1341" w:rsidRDefault="008F1341" w:rsidP="00860770">
      <w:pPr>
        <w:pStyle w:val="AERfactsheetbodytext"/>
        <w:widowControl w:val="0"/>
        <w:jc w:val="both"/>
      </w:pPr>
      <w:r>
        <w:br/>
      </w:r>
    </w:p>
    <w:p w:rsidR="00A6437A" w:rsidRDefault="00CD5026" w:rsidP="00860770">
      <w:pPr>
        <w:pStyle w:val="AERfactsheetbodytext"/>
        <w:widowControl w:val="0"/>
        <w:jc w:val="both"/>
      </w:pPr>
      <w:r>
        <w:t>T</w:t>
      </w:r>
      <w:r w:rsidR="00A6437A" w:rsidRPr="00B671F0">
        <w:t xml:space="preserve">he investment environment has improved since our previous decision, which was made during the height of uncertainty surrounding the global financial crisis. </w:t>
      </w:r>
      <w:r w:rsidR="00A6437A">
        <w:t>This improved investment environment translates to lower financing costs necessary to attract efficient investment.</w:t>
      </w:r>
      <w:r w:rsidR="003C151B">
        <w:t xml:space="preserve"> We consider that </w:t>
      </w:r>
      <w:proofErr w:type="spellStart"/>
      <w:r w:rsidR="003C151B">
        <w:t>ActewAGL</w:t>
      </w:r>
      <w:proofErr w:type="spellEnd"/>
      <w:r w:rsidR="003C151B">
        <w:t xml:space="preserve"> has sought a rate of return that is higher than necessary given the current investment environment.</w:t>
      </w:r>
    </w:p>
    <w:p w:rsidR="003C151B" w:rsidRDefault="003C151B" w:rsidP="00860770">
      <w:pPr>
        <w:pStyle w:val="AERfactsheetbodytext"/>
        <w:widowControl w:val="0"/>
        <w:jc w:val="both"/>
      </w:pPr>
      <w:r>
        <w:t xml:space="preserve">In our final decision we did not accept the methodology proposed by </w:t>
      </w:r>
      <w:proofErr w:type="spellStart"/>
      <w:r>
        <w:t>ActewAGL</w:t>
      </w:r>
      <w:proofErr w:type="spellEnd"/>
      <w:r>
        <w:t xml:space="preserve"> to set its rate of return. Instead, we have used our methodology developed with extensive consultation during our Better Regulation program in 2013. We consider that our approach provides for a rate of return that better reflects the allowed rate of return objective. </w:t>
      </w:r>
    </w:p>
    <w:p w:rsidR="00A6437A" w:rsidRDefault="00A6437A" w:rsidP="00860770">
      <w:pPr>
        <w:pStyle w:val="AERfactsheetbodytext"/>
        <w:widowControl w:val="0"/>
        <w:jc w:val="both"/>
      </w:pPr>
      <w:r w:rsidRPr="00B671F0">
        <w:t xml:space="preserve">The lower rate of return in this decision will reduce </w:t>
      </w:r>
      <w:proofErr w:type="spellStart"/>
      <w:r>
        <w:t>ActewAGL</w:t>
      </w:r>
      <w:r w:rsidRPr="00B671F0">
        <w:t>’s</w:t>
      </w:r>
      <w:proofErr w:type="spellEnd"/>
      <w:r w:rsidRPr="00B671F0">
        <w:t xml:space="preserve"> average annual revenue requirements compared to the past. </w:t>
      </w:r>
    </w:p>
    <w:p w:rsidR="00A6437A" w:rsidRPr="00697FF1" w:rsidRDefault="00A6437A" w:rsidP="00A6437A">
      <w:pPr>
        <w:pStyle w:val="AERFactsheetHeading1"/>
        <w:keepNext w:val="0"/>
        <w:widowControl w:val="0"/>
        <w:jc w:val="both"/>
      </w:pPr>
      <w:r>
        <w:t>Operating expenditure</w:t>
      </w:r>
    </w:p>
    <w:p w:rsidR="00A6437A" w:rsidRDefault="00A6437A" w:rsidP="00A6437A">
      <w:pPr>
        <w:pStyle w:val="AERfactsheetbodytext"/>
        <w:widowControl w:val="0"/>
        <w:jc w:val="both"/>
      </w:pPr>
      <w:r>
        <w:t>Operating expenditure (opex) includes</w:t>
      </w:r>
      <w:r w:rsidRPr="009F4C42">
        <w:t xml:space="preserve"> forecast operating, maintenance and other non-capital costs incurred in the provision of network services.</w:t>
      </w:r>
    </w:p>
    <w:p w:rsidR="00A6437A" w:rsidRPr="001D3339" w:rsidRDefault="00A6437A" w:rsidP="00A6437A">
      <w:pPr>
        <w:pStyle w:val="AERfactsheetbodytext"/>
        <w:jc w:val="both"/>
        <w:rPr>
          <w:rFonts w:ascii="Times New Roman" w:hAnsi="Times New Roman" w:cs="Times New Roman"/>
        </w:rPr>
      </w:pPr>
      <w:r w:rsidRPr="009F4C42">
        <w:t>I</w:t>
      </w:r>
      <w:r>
        <w:t>t</w:t>
      </w:r>
      <w:r w:rsidRPr="009F4C42">
        <w:t xml:space="preserve"> includes labour costs</w:t>
      </w:r>
      <w:r>
        <w:t>, maintenance costs,</w:t>
      </w:r>
      <w:r w:rsidRPr="009F4C42">
        <w:t xml:space="preserve"> and other non-capital costs that </w:t>
      </w:r>
      <w:proofErr w:type="spellStart"/>
      <w:r>
        <w:t>ActewAGL</w:t>
      </w:r>
      <w:proofErr w:type="spellEnd"/>
      <w:r w:rsidRPr="009F4C42">
        <w:t xml:space="preserve"> is likely to require during the 2014–1</w:t>
      </w:r>
      <w:r>
        <w:t>9</w:t>
      </w:r>
      <w:r w:rsidRPr="009F4C42">
        <w:t xml:space="preserve"> period for the efficient </w:t>
      </w:r>
      <w:r w:rsidRPr="001D3339">
        <w:t>operation of its network.</w:t>
      </w:r>
    </w:p>
    <w:p w:rsidR="00AA18B0" w:rsidRPr="00B671F0" w:rsidRDefault="00A6437A" w:rsidP="00860770">
      <w:pPr>
        <w:pStyle w:val="AERfactsheetbodytext"/>
        <w:widowControl w:val="0"/>
        <w:jc w:val="both"/>
      </w:pPr>
      <w:r w:rsidRPr="001D3339">
        <w:t xml:space="preserve">We did not accept </w:t>
      </w:r>
      <w:proofErr w:type="spellStart"/>
      <w:r w:rsidRPr="001D3339">
        <w:t>ActewAGL’s</w:t>
      </w:r>
      <w:proofErr w:type="spellEnd"/>
      <w:r w:rsidRPr="001D3339">
        <w:t xml:space="preserve"> proposed $371.2 million ($2013–14) opex forecast. Our final decision allows $240.</w:t>
      </w:r>
      <w:r w:rsidR="007A4F2E" w:rsidRPr="001D3339">
        <w:t>6</w:t>
      </w:r>
      <w:r w:rsidR="009B668C">
        <w:t> </w:t>
      </w:r>
      <w:r w:rsidRPr="001D3339">
        <w:t>million ($2013–14).</w:t>
      </w:r>
      <w:r w:rsidR="00CD5026" w:rsidRPr="001D3339">
        <w:t xml:space="preserve"> This is </w:t>
      </w:r>
      <w:r w:rsidR="007A4F2E" w:rsidRPr="001D3339">
        <w:t>35</w:t>
      </w:r>
      <w:r w:rsidR="009A20AF">
        <w:t xml:space="preserve"> per cent</w:t>
      </w:r>
      <w:r w:rsidR="00CD5026" w:rsidRPr="001D3339">
        <w:t xml:space="preserve"> less than </w:t>
      </w:r>
      <w:proofErr w:type="spellStart"/>
      <w:r w:rsidR="00CD5026" w:rsidRPr="001D3339">
        <w:t>ActewAGL</w:t>
      </w:r>
      <w:r w:rsidR="007744DE" w:rsidRPr="001D3339">
        <w:t>’s</w:t>
      </w:r>
      <w:proofErr w:type="spellEnd"/>
      <w:r w:rsidR="00CD5026">
        <w:t xml:space="preserve"> propos</w:t>
      </w:r>
      <w:r w:rsidR="007744DE">
        <w:t>al</w:t>
      </w:r>
      <w:r w:rsidR="00CD5026">
        <w:t>.</w:t>
      </w:r>
    </w:p>
    <w:p w:rsidR="00AA18B0" w:rsidRDefault="00AA18B0" w:rsidP="00AA18B0">
      <w:pPr>
        <w:pStyle w:val="AERfactsheetbodytext"/>
        <w:rPr>
          <w:rStyle w:val="Strong"/>
        </w:rPr>
      </w:pPr>
      <w:r w:rsidRPr="00346F85">
        <w:rPr>
          <w:rStyle w:val="Strong"/>
        </w:rPr>
        <w:t xml:space="preserve">AER </w:t>
      </w:r>
      <w:r>
        <w:rPr>
          <w:rStyle w:val="Strong"/>
        </w:rPr>
        <w:t>final</w:t>
      </w:r>
      <w:r w:rsidRPr="00346F85">
        <w:rPr>
          <w:rStyle w:val="Strong"/>
        </w:rPr>
        <w:t xml:space="preserve"> decision compared to </w:t>
      </w:r>
      <w:proofErr w:type="spellStart"/>
      <w:r>
        <w:rPr>
          <w:rStyle w:val="Strong"/>
        </w:rPr>
        <w:t>ActewAGL</w:t>
      </w:r>
      <w:r w:rsidRPr="00346F85">
        <w:rPr>
          <w:rStyle w:val="Strong"/>
        </w:rPr>
        <w:t>'s</w:t>
      </w:r>
      <w:proofErr w:type="spellEnd"/>
      <w:r w:rsidRPr="00346F85">
        <w:rPr>
          <w:rStyle w:val="Strong"/>
        </w:rPr>
        <w:t xml:space="preserve"> past and proposed opex ($million, 2013-14)</w:t>
      </w:r>
    </w:p>
    <w:p w:rsidR="00CD6E9A" w:rsidRPr="004C0E3D" w:rsidRDefault="00AA18B0" w:rsidP="00CD6E9A">
      <w:pPr>
        <w:pStyle w:val="AERfactsheetbodytext"/>
      </w:pPr>
      <w:r>
        <w:rPr>
          <w:noProof/>
          <w:lang w:eastAsia="en-AU"/>
        </w:rPr>
        <mc:AlternateContent>
          <mc:Choice Requires="wps">
            <w:drawing>
              <wp:anchor distT="0" distB="0" distL="114300" distR="114300" simplePos="0" relativeHeight="251706368" behindDoc="0" locked="0" layoutInCell="1" allowOverlap="1" wp14:anchorId="3D17E29A" wp14:editId="585D0011">
                <wp:simplePos x="0" y="0"/>
                <wp:positionH relativeFrom="column">
                  <wp:posOffset>-170925</wp:posOffset>
                </wp:positionH>
                <wp:positionV relativeFrom="paragraph">
                  <wp:posOffset>920225</wp:posOffset>
                </wp:positionV>
                <wp:extent cx="436660" cy="270345"/>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8B0" w:rsidRPr="00F762F3" w:rsidRDefault="00AA18B0" w:rsidP="00AA18B0">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3.45pt;margin-top:72.45pt;width:34.4pt;height:2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" fillcolor="white [3201]" stroked="f" strokeweight=".5pt">
                <v:textbox>
                  <w:txbxContent>
                    <w:p w:rsidR="00AA18B0" w:rsidRPr="00F762F3" w:rsidRDefault="00AA18B0" w:rsidP="00AA18B0">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r w:rsidR="00CD6E9A" w:rsidRPr="006B42F5">
        <w:rPr>
          <w:noProof/>
          <w:lang w:eastAsia="en-AU"/>
        </w:rPr>
        <w:drawing>
          <wp:inline distT="0" distB="0" distL="0" distR="0" wp14:anchorId="02D86904" wp14:editId="434173F4">
            <wp:extent cx="3215005" cy="2038853"/>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005" cy="2038853"/>
                    </a:xfrm>
                    <a:prstGeom prst="rect">
                      <a:avLst/>
                    </a:prstGeom>
                    <a:noFill/>
                    <a:ln>
                      <a:noFill/>
                    </a:ln>
                  </pic:spPr>
                </pic:pic>
              </a:graphicData>
            </a:graphic>
          </wp:inline>
        </w:drawing>
      </w:r>
    </w:p>
    <w:p w:rsidR="00AA18B0" w:rsidRDefault="00AA18B0" w:rsidP="00AA18B0">
      <w:pPr>
        <w:pStyle w:val="AERfactsheetbodytext"/>
        <w:widowControl w:val="0"/>
        <w:jc w:val="both"/>
      </w:pPr>
      <w:r w:rsidRPr="00697FF1">
        <w:rPr>
          <w:noProof/>
          <w:lang w:eastAsia="en-AU"/>
        </w:rPr>
        <w:drawing>
          <wp:anchor distT="0" distB="0" distL="114300" distR="114300" simplePos="0" relativeHeight="251708416" behindDoc="0" locked="0" layoutInCell="1" allowOverlap="1" wp14:anchorId="410A25A5" wp14:editId="3D52F8CB">
            <wp:simplePos x="0" y="0"/>
            <wp:positionH relativeFrom="column">
              <wp:posOffset>-461010</wp:posOffset>
            </wp:positionH>
            <wp:positionV relativeFrom="page">
              <wp:posOffset>10203180</wp:posOffset>
            </wp:positionV>
            <wp:extent cx="8310880" cy="492125"/>
            <wp:effectExtent l="0" t="0" r="0" b="3175"/>
            <wp:wrapNone/>
            <wp:docPr id="17" name="Picture 17"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t>We must be satisfied that the level of opex reflects costs that a prudent operator—with efficient costs and a realistic expectation of demand</w:t>
      </w:r>
      <w:r w:rsidR="00CD5026">
        <w:t xml:space="preserve"> and cost inputs</w:t>
      </w:r>
      <w:r>
        <w:t>—would need to operate its network safely and comply with its obligations and service standards.</w:t>
      </w:r>
    </w:p>
    <w:p w:rsidR="00AA18B0" w:rsidRPr="007E0179" w:rsidRDefault="00AA18B0" w:rsidP="00AA18B0">
      <w:pPr>
        <w:pStyle w:val="AERfactsheetbodytext"/>
      </w:pPr>
      <w:r>
        <w:t xml:space="preserve">Our evidence, including from benchmarking and detailed review of </w:t>
      </w:r>
      <w:proofErr w:type="spellStart"/>
      <w:r>
        <w:t>ActewAGL’s</w:t>
      </w:r>
      <w:proofErr w:type="spellEnd"/>
      <w:r>
        <w:t xml:space="preserve"> historical expenditure, shows </w:t>
      </w:r>
      <w:r w:rsidR="00F469EF">
        <w:t xml:space="preserve">its </w:t>
      </w:r>
      <w:r>
        <w:t xml:space="preserve">costs are above what a prudent and efficient operator would incur in delivering services to </w:t>
      </w:r>
      <w:proofErr w:type="spellStart"/>
      <w:r>
        <w:t>ActewAGL’s</w:t>
      </w:r>
      <w:proofErr w:type="spellEnd"/>
      <w:r>
        <w:t xml:space="preserve"> customers. </w:t>
      </w:r>
    </w:p>
    <w:p w:rsidR="00AA18B0" w:rsidRDefault="00AA18B0" w:rsidP="00AA18B0">
      <w:pPr>
        <w:pStyle w:val="AERfactsheetbodytext"/>
      </w:pPr>
      <w:r>
        <w:t xml:space="preserve">We assessed that </w:t>
      </w:r>
      <w:proofErr w:type="spellStart"/>
      <w:r>
        <w:t>ActewAGL’s</w:t>
      </w:r>
      <w:proofErr w:type="spellEnd"/>
      <w:r>
        <w:t xml:space="preserve"> distribution services could be provided at a substantially lower cost while still maintaining safety and complying with reliability obligations. </w:t>
      </w:r>
    </w:p>
    <w:p w:rsidR="0010549E" w:rsidRPr="00C059E5" w:rsidRDefault="0010549E" w:rsidP="003C151B">
      <w:pPr>
        <w:pStyle w:val="AERFactsheetHeading1"/>
        <w:widowControl w:val="0"/>
        <w:jc w:val="both"/>
      </w:pPr>
      <w:r w:rsidRPr="00860770">
        <w:lastRenderedPageBreak/>
        <w:t>Capital expenditure</w:t>
      </w:r>
    </w:p>
    <w:p w:rsidR="00AA18B0" w:rsidRPr="00AA18B0" w:rsidRDefault="00AA18B0" w:rsidP="00860770">
      <w:pPr>
        <w:pStyle w:val="AERfactsheetbodytext"/>
      </w:pPr>
      <w:r w:rsidRPr="00AA18B0">
        <w:t>Capital expenditure (capex) refers to the cost of building new facilities or replacing existing infrastructure. Factors that influence the required level of capex include the age and condition of existing assets.</w:t>
      </w:r>
    </w:p>
    <w:p w:rsidR="00AA18B0" w:rsidRDefault="00AA18B0" w:rsidP="00860770">
      <w:pPr>
        <w:pStyle w:val="AERfactsheetbodytext"/>
      </w:pPr>
      <w:r w:rsidRPr="00AA18B0">
        <w:t xml:space="preserve">Capex is another key component of our final decision. We must be satisfied that the level of capex proposed by </w:t>
      </w:r>
      <w:proofErr w:type="spellStart"/>
      <w:r>
        <w:t>ActewAGL</w:t>
      </w:r>
      <w:proofErr w:type="spellEnd"/>
      <w:r w:rsidRPr="00AA18B0">
        <w:t xml:space="preserve"> reflects the capex criteria: the costs that a prudent operator—with efficient costs and a realistic expectation of demand</w:t>
      </w:r>
      <w:r w:rsidR="006A07A7">
        <w:t xml:space="preserve"> and cost inputs</w:t>
      </w:r>
      <w:r w:rsidRPr="00AA18B0">
        <w:t>—would need to operate its network safely and comply with its obligations and service standards.</w:t>
      </w:r>
    </w:p>
    <w:p w:rsidR="00DC27B8" w:rsidRPr="002C0A83" w:rsidRDefault="0010549E" w:rsidP="00860770">
      <w:pPr>
        <w:pStyle w:val="AERfactsheetbodytext"/>
      </w:pPr>
      <w:r w:rsidRPr="002C0A83">
        <w:t xml:space="preserve">We did not accept </w:t>
      </w:r>
      <w:proofErr w:type="spellStart"/>
      <w:r w:rsidR="00F821BB">
        <w:t>ActewAGL</w:t>
      </w:r>
      <w:r w:rsidRPr="002C0A83">
        <w:t>’s</w:t>
      </w:r>
      <w:proofErr w:type="spellEnd"/>
      <w:r w:rsidRPr="002C0A83">
        <w:t xml:space="preserve"> proposed forecast capex of </w:t>
      </w:r>
      <w:r w:rsidRPr="00860770">
        <w:t>$</w:t>
      </w:r>
      <w:r w:rsidR="00F17869" w:rsidRPr="00860770">
        <w:t>3</w:t>
      </w:r>
      <w:r w:rsidR="002A59BB" w:rsidRPr="00860770">
        <w:t>4</w:t>
      </w:r>
      <w:r w:rsidR="00802052" w:rsidRPr="00860770">
        <w:t>3</w:t>
      </w:r>
      <w:r w:rsidR="00F17869" w:rsidRPr="00860770">
        <w:t>.</w:t>
      </w:r>
      <w:r w:rsidR="00802052">
        <w:t>9</w:t>
      </w:r>
      <w:r w:rsidR="00F17869">
        <w:t xml:space="preserve"> m</w:t>
      </w:r>
      <w:r w:rsidR="002C0A83" w:rsidRPr="002C0A83">
        <w:t>illion</w:t>
      </w:r>
      <w:r w:rsidR="007132F5" w:rsidRPr="002C0A83">
        <w:t xml:space="preserve"> ($2013–14)</w:t>
      </w:r>
      <w:r w:rsidRPr="002C0A83">
        <w:t xml:space="preserve">. </w:t>
      </w:r>
      <w:r w:rsidR="00AA18B0">
        <w:t>Our final decision allows</w:t>
      </w:r>
      <w:r w:rsidRPr="00EC50E9">
        <w:t xml:space="preserve"> </w:t>
      </w:r>
      <w:r w:rsidRPr="00860770">
        <w:t>$</w:t>
      </w:r>
      <w:r w:rsidR="007A4F2E">
        <w:t>310.6</w:t>
      </w:r>
      <w:r w:rsidR="009B668C">
        <w:t> </w:t>
      </w:r>
      <w:r w:rsidR="00F17869">
        <w:t>m</w:t>
      </w:r>
      <w:r w:rsidR="002C0A83" w:rsidRPr="002C0A83">
        <w:t>illion</w:t>
      </w:r>
      <w:r w:rsidR="007132F5" w:rsidRPr="002C0A83">
        <w:t xml:space="preserve"> ($2013–14)</w:t>
      </w:r>
      <w:r w:rsidR="00AA18B0">
        <w:t xml:space="preserve"> or </w:t>
      </w:r>
      <w:r w:rsidR="007A4F2E">
        <w:t>10</w:t>
      </w:r>
      <w:r w:rsidR="00012227">
        <w:t xml:space="preserve"> per cent</w:t>
      </w:r>
      <w:r w:rsidR="00AA18B0">
        <w:t xml:space="preserve"> lower than </w:t>
      </w:r>
      <w:proofErr w:type="spellStart"/>
      <w:r w:rsidR="00AA18B0">
        <w:t>ActewAGL’s</w:t>
      </w:r>
      <w:proofErr w:type="spellEnd"/>
      <w:r w:rsidR="00AA18B0">
        <w:t xml:space="preserve"> proposal</w:t>
      </w:r>
      <w:r w:rsidR="00F833BC" w:rsidRPr="002C0A83">
        <w:t xml:space="preserve">. </w:t>
      </w:r>
    </w:p>
    <w:p w:rsidR="00CA4074" w:rsidRPr="002C0A83" w:rsidRDefault="00CA4074" w:rsidP="00CA4074">
      <w:pPr>
        <w:pStyle w:val="AERfactsheetbodytext"/>
        <w:rPr>
          <w:rStyle w:val="Strong"/>
        </w:rPr>
      </w:pPr>
      <w:r w:rsidRPr="002C0A83">
        <w:rPr>
          <w:rStyle w:val="Strong"/>
        </w:rPr>
        <w:t xml:space="preserve">AER </w:t>
      </w:r>
      <w:r w:rsidR="00466A9B">
        <w:rPr>
          <w:rStyle w:val="Strong"/>
        </w:rPr>
        <w:t>final</w:t>
      </w:r>
      <w:r w:rsidRPr="002C0A83">
        <w:rPr>
          <w:rStyle w:val="Strong"/>
        </w:rPr>
        <w:t xml:space="preserve"> decision compared to </w:t>
      </w:r>
      <w:proofErr w:type="spellStart"/>
      <w:r w:rsidR="00F821BB">
        <w:rPr>
          <w:rStyle w:val="Strong"/>
        </w:rPr>
        <w:t>ActewAGL</w:t>
      </w:r>
      <w:r w:rsidRPr="002C0A83">
        <w:rPr>
          <w:rStyle w:val="Strong"/>
        </w:rPr>
        <w:t>'s</w:t>
      </w:r>
      <w:proofErr w:type="spellEnd"/>
      <w:r w:rsidRPr="002C0A83">
        <w:rPr>
          <w:rStyle w:val="Strong"/>
        </w:rPr>
        <w:t xml:space="preserve"> past and proposed capex ($million, 2013-14) </w:t>
      </w:r>
    </w:p>
    <w:p w:rsidR="00823290" w:rsidRDefault="009B668C" w:rsidP="000E1E87">
      <w:pPr>
        <w:pStyle w:val="AERfactsheetbodytext"/>
        <w:widowControl w:val="0"/>
        <w:jc w:val="both"/>
        <w:rPr>
          <w:noProof/>
          <w:lang w:eastAsia="en-AU"/>
        </w:rPr>
      </w:pPr>
      <w:r w:rsidRPr="004C705F">
        <w:rPr>
          <w:noProof/>
          <w:lang w:eastAsia="en-AU"/>
        </w:rPr>
        <w:drawing>
          <wp:inline distT="0" distB="0" distL="0" distR="0" wp14:anchorId="0FB67993" wp14:editId="6662C920">
            <wp:extent cx="3215005" cy="18682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5005" cy="1868245"/>
                    </a:xfrm>
                    <a:prstGeom prst="rect">
                      <a:avLst/>
                    </a:prstGeom>
                    <a:noFill/>
                    <a:ln>
                      <a:noFill/>
                    </a:ln>
                  </pic:spPr>
                </pic:pic>
              </a:graphicData>
            </a:graphic>
          </wp:inline>
        </w:drawing>
      </w:r>
    </w:p>
    <w:p w:rsidR="001D3339" w:rsidRDefault="001D3339" w:rsidP="001D3339">
      <w:pPr>
        <w:pStyle w:val="AERfactsheetbodytext"/>
      </w:pPr>
      <w:r>
        <w:t xml:space="preserve">The biggest driver of the difference between our final decision and </w:t>
      </w:r>
      <w:proofErr w:type="spellStart"/>
      <w:r>
        <w:t>ActewAGL’s</w:t>
      </w:r>
      <w:proofErr w:type="spellEnd"/>
      <w:r>
        <w:t xml:space="preserve"> proposal is the Molonglo substation. We were not satisfied of the need for this substation to be constructed in the 2015–19 regulatory control period. Our final decision on </w:t>
      </w:r>
      <w:proofErr w:type="spellStart"/>
      <w:r>
        <w:t>ActewAGL’s</w:t>
      </w:r>
      <w:proofErr w:type="spellEnd"/>
      <w:r>
        <w:t xml:space="preserve"> other capex is broadly in line with </w:t>
      </w:r>
      <w:proofErr w:type="spellStart"/>
      <w:r>
        <w:t>ActewAGL’s</w:t>
      </w:r>
      <w:proofErr w:type="spellEnd"/>
      <w:r>
        <w:t xml:space="preserve"> revised proposal. </w:t>
      </w:r>
    </w:p>
    <w:p w:rsidR="00B932CF" w:rsidRDefault="00AA18B0" w:rsidP="000E1E87">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more information:</w:t>
      </w:r>
    </w:p>
    <w:p w:rsidR="00CA4074" w:rsidRDefault="00DC27B8" w:rsidP="001C7EA5">
      <w:pPr>
        <w:pStyle w:val="AERfactsheetbodytext"/>
        <w:widowControl w:val="0"/>
        <w:jc w:val="both"/>
        <w:rPr>
          <w:rStyle w:val="Hyperlink"/>
        </w:rPr>
      </w:pPr>
      <w:r w:rsidRPr="00B671F0">
        <w:t xml:space="preserve">More information on our </w:t>
      </w:r>
      <w:r w:rsidR="00466A9B">
        <w:t>final</w:t>
      </w:r>
      <w:r w:rsidRPr="00B671F0">
        <w:t xml:space="preserve"> decision </w:t>
      </w:r>
      <w:r w:rsidR="007450B3">
        <w:t xml:space="preserve">can be found </w:t>
      </w:r>
      <w:r w:rsidRPr="00B671F0">
        <w:t xml:space="preserve">on our website: </w:t>
      </w:r>
      <w:hyperlink r:id="rId17" w:history="1">
        <w:r w:rsidRPr="00365950">
          <w:rPr>
            <w:rStyle w:val="Hyperlink"/>
          </w:rPr>
          <w:t>www.aer.gov.au</w:t>
        </w:r>
      </w:hyperlink>
      <w:r>
        <w:rPr>
          <w:rStyle w:val="Hyperlink"/>
        </w:rPr>
        <w:t>.</w:t>
      </w:r>
    </w:p>
    <w:sectPr w:rsidR="00CA4074"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CD5026" w:rsidRDefault="00CD5026" w:rsidP="003E5DA1">
      <w:pPr>
        <w:pStyle w:val="AERfactsheetbodytext"/>
        <w:widowControl w:val="0"/>
        <w:jc w:val="both"/>
      </w:pPr>
      <w:r>
        <w:rPr>
          <w:rStyle w:val="EndnoteReference"/>
        </w:rPr>
        <w:endnoteRef/>
      </w:r>
      <w:r>
        <w:t xml:space="preserve"> </w:t>
      </w:r>
      <w:r w:rsidR="007030C8" w:rsidRPr="00A62F68">
        <w:rPr>
          <w:rFonts w:asciiTheme="minorHAnsi" w:hAnsiTheme="minorHAnsi"/>
          <w:sz w:val="16"/>
          <w:szCs w:val="16"/>
        </w:rPr>
        <w:t xml:space="preserve">In November 2012 major changes were introduced to the regulation of </w:t>
      </w:r>
      <w:r w:rsidR="00BE409F">
        <w:rPr>
          <w:rFonts w:asciiTheme="minorHAnsi" w:hAnsiTheme="minorHAnsi"/>
          <w:sz w:val="16"/>
          <w:szCs w:val="16"/>
        </w:rPr>
        <w:t>distributor</w:t>
      </w:r>
      <w:r w:rsidR="007030C8" w:rsidRPr="00A62F68">
        <w:rPr>
          <w:rFonts w:asciiTheme="minorHAnsi" w:hAnsiTheme="minorHAnsi"/>
          <w:sz w:val="16"/>
          <w:szCs w:val="16"/>
        </w:rPr>
        <w:t>s under the N</w:t>
      </w:r>
      <w:r w:rsidR="00BE409F">
        <w:rPr>
          <w:rFonts w:asciiTheme="minorHAnsi" w:hAnsiTheme="minorHAnsi"/>
          <w:sz w:val="16"/>
          <w:szCs w:val="16"/>
        </w:rPr>
        <w:t>ational Electricity Rules</w:t>
      </w:r>
      <w:r w:rsidR="007030C8" w:rsidRPr="00A62F68">
        <w:rPr>
          <w:rFonts w:asciiTheme="minorHAnsi" w:hAnsiTheme="minorHAnsi"/>
          <w:sz w:val="16"/>
          <w:szCs w:val="16"/>
        </w:rPr>
        <w:t xml:space="preserve">. </w:t>
      </w:r>
      <w:proofErr w:type="spellStart"/>
      <w:r w:rsidR="00BE409F">
        <w:rPr>
          <w:rFonts w:asciiTheme="minorHAnsi" w:hAnsiTheme="minorHAnsi"/>
          <w:sz w:val="16"/>
          <w:szCs w:val="16"/>
        </w:rPr>
        <w:t>ActewAGL</w:t>
      </w:r>
      <w:r w:rsidR="007030C8" w:rsidRPr="00A62F68">
        <w:rPr>
          <w:rFonts w:asciiTheme="minorHAnsi" w:hAnsiTheme="minorHAnsi"/>
          <w:sz w:val="16"/>
          <w:szCs w:val="16"/>
        </w:rPr>
        <w:t>’s</w:t>
      </w:r>
      <w:proofErr w:type="spellEnd"/>
      <w:r w:rsidR="007030C8" w:rsidRPr="00A62F68">
        <w:rPr>
          <w:rFonts w:asciiTheme="minorHAnsi" w:hAnsiTheme="minorHAnsi"/>
          <w:sz w:val="16"/>
          <w:szCs w:val="16"/>
        </w:rPr>
        <w:t xml:space="preserve"> </w:t>
      </w:r>
      <w:r w:rsidR="00BE409F">
        <w:rPr>
          <w:rFonts w:asciiTheme="minorHAnsi" w:hAnsiTheme="minorHAnsi"/>
          <w:sz w:val="16"/>
          <w:szCs w:val="16"/>
        </w:rPr>
        <w:t>distribution</w:t>
      </w:r>
      <w:r w:rsidR="007030C8" w:rsidRPr="00A62F68">
        <w:rPr>
          <w:rFonts w:asciiTheme="minorHAnsi" w:hAnsiTheme="minorHAnsi"/>
          <w:sz w:val="16"/>
          <w:szCs w:val="16"/>
        </w:rPr>
        <w:t xml:space="preserve"> determination was due to commence on 1 July 2014, and apply for a period of five years. So that the new rules could be applied to this decision, transitional rules required two regulatory control periods:</w:t>
      </w:r>
      <w:r w:rsidR="007030C8">
        <w:rPr>
          <w:rFonts w:asciiTheme="minorHAnsi" w:hAnsiTheme="minorHAnsi"/>
          <w:sz w:val="16"/>
          <w:szCs w:val="16"/>
        </w:rPr>
        <w:t xml:space="preserve"> a</w:t>
      </w:r>
      <w:r w:rsidR="007030C8" w:rsidRPr="00A62F68">
        <w:rPr>
          <w:rFonts w:asciiTheme="minorHAnsi" w:hAnsiTheme="minorHAnsi"/>
          <w:sz w:val="16"/>
          <w:szCs w:val="16"/>
        </w:rPr>
        <w:t xml:space="preserve"> transitional regulatory control period from 1 July 2014 to 30 June 2015; and</w:t>
      </w:r>
      <w:r w:rsidR="007030C8">
        <w:rPr>
          <w:rFonts w:asciiTheme="minorHAnsi" w:hAnsiTheme="minorHAnsi"/>
          <w:sz w:val="16"/>
          <w:szCs w:val="16"/>
        </w:rPr>
        <w:t xml:space="preserve"> a</w:t>
      </w:r>
      <w:r w:rsidR="007030C8" w:rsidRPr="00A62F68">
        <w:rPr>
          <w:rFonts w:asciiTheme="minorHAnsi" w:hAnsiTheme="minorHAnsi"/>
          <w:sz w:val="16"/>
          <w:szCs w:val="16"/>
        </w:rPr>
        <w:t xml:space="preserve"> subsequent regulatory control period commencing 1 July 2015.</w:t>
      </w:r>
      <w:r w:rsidR="007030C8">
        <w:rPr>
          <w:rFonts w:asciiTheme="minorHAnsi" w:hAnsiTheme="minorHAnsi"/>
          <w:sz w:val="16"/>
          <w:szCs w:val="16"/>
        </w:rPr>
        <w:t xml:space="preserve"> </w:t>
      </w:r>
      <w:r w:rsidR="007030C8" w:rsidRPr="00A62F68">
        <w:rPr>
          <w:rFonts w:asciiTheme="minorHAnsi" w:hAnsiTheme="minorHAnsi"/>
          <w:sz w:val="16"/>
          <w:szCs w:val="16"/>
        </w:rPr>
        <w:t xml:space="preserve">We made a fast-tracked placeholder determination for 2014-15. </w:t>
      </w:r>
      <w:proofErr w:type="gramStart"/>
      <w:r w:rsidR="007030C8" w:rsidRPr="00A62F68">
        <w:rPr>
          <w:rFonts w:asciiTheme="minorHAnsi" w:hAnsiTheme="minorHAnsi"/>
          <w:sz w:val="16"/>
          <w:szCs w:val="16"/>
        </w:rPr>
        <w:t>That determination has been adjusted (or ‘trued up’) in this final decision.</w:t>
      </w:r>
      <w:proofErr w:type="gramEnd"/>
      <w:r w:rsidR="007030C8" w:rsidRPr="00A62F68">
        <w:rPr>
          <w:rFonts w:asciiTheme="minorHAnsi" w:hAnsiTheme="minorHAnsi"/>
          <w:sz w:val="16"/>
          <w:szCs w:val="16"/>
        </w:rPr>
        <w:t xml:space="preserve"> </w:t>
      </w:r>
      <w:proofErr w:type="spellStart"/>
      <w:r w:rsidR="007030C8" w:rsidRPr="00A62F68">
        <w:rPr>
          <w:rFonts w:asciiTheme="minorHAnsi" w:hAnsiTheme="minorHAnsi"/>
          <w:sz w:val="16"/>
          <w:szCs w:val="16"/>
        </w:rPr>
        <w:t>ActewAGL’s</w:t>
      </w:r>
      <w:proofErr w:type="spellEnd"/>
      <w:r w:rsidR="007030C8" w:rsidRPr="00A62F68">
        <w:rPr>
          <w:rFonts w:asciiTheme="minorHAnsi" w:hAnsiTheme="minorHAnsi"/>
          <w:sz w:val="16"/>
          <w:szCs w:val="16"/>
        </w:rPr>
        <w:t xml:space="preserve"> approved revenue for the combined 2014-19 period is $</w:t>
      </w:r>
      <w:r w:rsidR="007A4F2E">
        <w:rPr>
          <w:rFonts w:asciiTheme="minorHAnsi" w:hAnsiTheme="minorHAnsi"/>
          <w:sz w:val="16"/>
          <w:szCs w:val="16"/>
        </w:rPr>
        <w:t>764.1</w:t>
      </w:r>
      <w:r w:rsidR="007030C8" w:rsidRPr="00A62F68">
        <w:rPr>
          <w:rFonts w:asciiTheme="minorHAnsi" w:hAnsiTheme="minorHAnsi"/>
          <w:sz w:val="16"/>
          <w:szCs w:val="16"/>
        </w:rPr>
        <w:t xml:space="preserve"> million ($nominal).</w:t>
      </w:r>
    </w:p>
  </w:endnote>
  <w:endnote w:id="2">
    <w:p w:rsidR="00CD5026" w:rsidRPr="00810AD8" w:rsidRDefault="00CD5026">
      <w:pPr>
        <w:pStyle w:val="EndnoteText"/>
        <w:rPr>
          <w:rFonts w:asciiTheme="minorHAnsi" w:hAnsiTheme="minorHAnsi" w:cs="Shruti"/>
          <w:spacing w:val="-10"/>
          <w:sz w:val="16"/>
          <w:szCs w:val="16"/>
        </w:rPr>
      </w:pPr>
      <w:r>
        <w:rPr>
          <w:rStyle w:val="EndnoteReference"/>
        </w:rPr>
        <w:endnoteRef/>
      </w:r>
      <w:r>
        <w:t xml:space="preserve"> </w:t>
      </w:r>
      <w:r w:rsidR="00D76BF1" w:rsidRPr="00810AD8">
        <w:rPr>
          <w:rFonts w:asciiTheme="minorHAnsi" w:hAnsiTheme="minorHAnsi" w:cs="Shruti"/>
          <w:spacing w:val="-10"/>
          <w:sz w:val="16"/>
          <w:szCs w:val="16"/>
        </w:rPr>
        <w:t xml:space="preserve">The rate of return that </w:t>
      </w:r>
      <w:proofErr w:type="spellStart"/>
      <w:r w:rsidR="00D76BF1" w:rsidRPr="00810AD8">
        <w:rPr>
          <w:rFonts w:asciiTheme="minorHAnsi" w:hAnsiTheme="minorHAnsi" w:cs="Shruti"/>
          <w:spacing w:val="-10"/>
          <w:sz w:val="16"/>
          <w:szCs w:val="16"/>
        </w:rPr>
        <w:t>ActewAGL</w:t>
      </w:r>
      <w:proofErr w:type="spellEnd"/>
      <w:r w:rsidR="00D76BF1" w:rsidRPr="00810AD8">
        <w:rPr>
          <w:rFonts w:asciiTheme="minorHAnsi" w:hAnsiTheme="minorHAnsi" w:cs="Shruti"/>
          <w:spacing w:val="-10"/>
          <w:sz w:val="16"/>
          <w:szCs w:val="16"/>
        </w:rPr>
        <w:t xml:space="preserve"> included in its proposal is an indicative value. Its proposal includes provision for the AER to adjust this value based on updated information that was not available when </w:t>
      </w:r>
      <w:proofErr w:type="spellStart"/>
      <w:r w:rsidR="00D76BF1" w:rsidRPr="00810AD8">
        <w:rPr>
          <w:rFonts w:asciiTheme="minorHAnsi" w:hAnsiTheme="minorHAnsi" w:cs="Shruti"/>
          <w:spacing w:val="-10"/>
          <w:sz w:val="16"/>
          <w:szCs w:val="16"/>
        </w:rPr>
        <w:t>ActewAGL</w:t>
      </w:r>
      <w:proofErr w:type="spellEnd"/>
      <w:r w:rsidR="00D76BF1" w:rsidRPr="00810AD8">
        <w:rPr>
          <w:rFonts w:asciiTheme="minorHAnsi" w:hAnsiTheme="minorHAnsi" w:cs="Shruti"/>
          <w:spacing w:val="-10"/>
          <w:sz w:val="16"/>
          <w:szCs w:val="16"/>
        </w:rPr>
        <w:t xml:space="preserve"> submitted its revised proposal.</w:t>
      </w:r>
      <w:r w:rsidR="006F270A" w:rsidRPr="00810AD8">
        <w:rPr>
          <w:rFonts w:asciiTheme="minorHAnsi" w:hAnsiTheme="minorHAnsi" w:cs="Shruti"/>
          <w:spacing w:val="-10"/>
          <w:sz w:val="16"/>
          <w:szCs w:val="16"/>
        </w:rPr>
        <w:t xml:space="preserve"> More information on the rate of return can be found in our Rate of Return Fact Sheet.</w:t>
      </w:r>
    </w:p>
    <w:p w:rsidR="007030C8" w:rsidRDefault="007030C8">
      <w:pPr>
        <w:pStyle w:val="EndnoteText"/>
        <w:rPr>
          <w:sz w:val="16"/>
          <w:szCs w:val="16"/>
        </w:rPr>
      </w:pPr>
    </w:p>
    <w:p w:rsidR="007030C8" w:rsidRDefault="007030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6C" w:rsidRPr="0031476C" w:rsidRDefault="0031476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20\AER15 2339  AER - Final decision ActewAGL distribution determination - Fact Sheet - April 2015.DOCX"/>
  </w:docVars>
  <w:rsids>
    <w:rsidRoot w:val="00021F03"/>
    <w:rsid w:val="00001B01"/>
    <w:rsid w:val="00012227"/>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408B"/>
    <w:rsid w:val="00097937"/>
    <w:rsid w:val="000A13A8"/>
    <w:rsid w:val="000A3CF4"/>
    <w:rsid w:val="000B05F7"/>
    <w:rsid w:val="000C025A"/>
    <w:rsid w:val="000C07AD"/>
    <w:rsid w:val="000C213D"/>
    <w:rsid w:val="000C712D"/>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7167"/>
    <w:rsid w:val="00130988"/>
    <w:rsid w:val="00130DB2"/>
    <w:rsid w:val="00131C78"/>
    <w:rsid w:val="00134644"/>
    <w:rsid w:val="001363FE"/>
    <w:rsid w:val="001364E9"/>
    <w:rsid w:val="00140E1A"/>
    <w:rsid w:val="00140E62"/>
    <w:rsid w:val="0014147F"/>
    <w:rsid w:val="0016071A"/>
    <w:rsid w:val="00161050"/>
    <w:rsid w:val="00161423"/>
    <w:rsid w:val="00162A98"/>
    <w:rsid w:val="00163E50"/>
    <w:rsid w:val="0016401A"/>
    <w:rsid w:val="00174DED"/>
    <w:rsid w:val="00177190"/>
    <w:rsid w:val="00193770"/>
    <w:rsid w:val="00193867"/>
    <w:rsid w:val="00194A45"/>
    <w:rsid w:val="001A041D"/>
    <w:rsid w:val="001A231A"/>
    <w:rsid w:val="001A23C5"/>
    <w:rsid w:val="001A3711"/>
    <w:rsid w:val="001A3D6B"/>
    <w:rsid w:val="001A49DA"/>
    <w:rsid w:val="001A5BC1"/>
    <w:rsid w:val="001B10C7"/>
    <w:rsid w:val="001B2A48"/>
    <w:rsid w:val="001B5680"/>
    <w:rsid w:val="001C00E4"/>
    <w:rsid w:val="001C6507"/>
    <w:rsid w:val="001C7EA5"/>
    <w:rsid w:val="001D3339"/>
    <w:rsid w:val="001D3D87"/>
    <w:rsid w:val="001D49FD"/>
    <w:rsid w:val="001E42DA"/>
    <w:rsid w:val="001F15F8"/>
    <w:rsid w:val="001F2550"/>
    <w:rsid w:val="00206513"/>
    <w:rsid w:val="002106B5"/>
    <w:rsid w:val="00211FD6"/>
    <w:rsid w:val="00216967"/>
    <w:rsid w:val="00223084"/>
    <w:rsid w:val="00225391"/>
    <w:rsid w:val="0022594B"/>
    <w:rsid w:val="0023200B"/>
    <w:rsid w:val="00234EA7"/>
    <w:rsid w:val="00235775"/>
    <w:rsid w:val="00235852"/>
    <w:rsid w:val="00235EBD"/>
    <w:rsid w:val="00236E3C"/>
    <w:rsid w:val="0024093A"/>
    <w:rsid w:val="00240C5B"/>
    <w:rsid w:val="002425E7"/>
    <w:rsid w:val="002426F1"/>
    <w:rsid w:val="00244D7A"/>
    <w:rsid w:val="00245AD1"/>
    <w:rsid w:val="00257B6D"/>
    <w:rsid w:val="00260768"/>
    <w:rsid w:val="00263811"/>
    <w:rsid w:val="00266275"/>
    <w:rsid w:val="00285C21"/>
    <w:rsid w:val="002942E5"/>
    <w:rsid w:val="002952EB"/>
    <w:rsid w:val="002A473F"/>
    <w:rsid w:val="002A59BB"/>
    <w:rsid w:val="002B399D"/>
    <w:rsid w:val="002B5A61"/>
    <w:rsid w:val="002B7BBC"/>
    <w:rsid w:val="002C0A83"/>
    <w:rsid w:val="002C4380"/>
    <w:rsid w:val="002C451E"/>
    <w:rsid w:val="002D0A13"/>
    <w:rsid w:val="002E328E"/>
    <w:rsid w:val="002E3F5B"/>
    <w:rsid w:val="002E57B4"/>
    <w:rsid w:val="002E7F4D"/>
    <w:rsid w:val="002F5CD2"/>
    <w:rsid w:val="002F62A0"/>
    <w:rsid w:val="00302FC9"/>
    <w:rsid w:val="00305687"/>
    <w:rsid w:val="003118DF"/>
    <w:rsid w:val="0031269F"/>
    <w:rsid w:val="0031476C"/>
    <w:rsid w:val="00320979"/>
    <w:rsid w:val="003224AC"/>
    <w:rsid w:val="00327E8A"/>
    <w:rsid w:val="00333650"/>
    <w:rsid w:val="003408CD"/>
    <w:rsid w:val="00342DB1"/>
    <w:rsid w:val="00346F63"/>
    <w:rsid w:val="00346F85"/>
    <w:rsid w:val="00354991"/>
    <w:rsid w:val="00355463"/>
    <w:rsid w:val="00356833"/>
    <w:rsid w:val="00360C93"/>
    <w:rsid w:val="00363D63"/>
    <w:rsid w:val="00365A4D"/>
    <w:rsid w:val="003777EE"/>
    <w:rsid w:val="003851C0"/>
    <w:rsid w:val="00385BB9"/>
    <w:rsid w:val="003861C5"/>
    <w:rsid w:val="003870D8"/>
    <w:rsid w:val="003876E1"/>
    <w:rsid w:val="00390127"/>
    <w:rsid w:val="00391B7D"/>
    <w:rsid w:val="00392D55"/>
    <w:rsid w:val="003A2EB7"/>
    <w:rsid w:val="003A683A"/>
    <w:rsid w:val="003B202F"/>
    <w:rsid w:val="003B2359"/>
    <w:rsid w:val="003B46EA"/>
    <w:rsid w:val="003C151B"/>
    <w:rsid w:val="003E5DA1"/>
    <w:rsid w:val="003F527A"/>
    <w:rsid w:val="00400925"/>
    <w:rsid w:val="00404570"/>
    <w:rsid w:val="00412EAD"/>
    <w:rsid w:val="00420648"/>
    <w:rsid w:val="00422BE8"/>
    <w:rsid w:val="0042329B"/>
    <w:rsid w:val="004310E5"/>
    <w:rsid w:val="00431C84"/>
    <w:rsid w:val="004407B3"/>
    <w:rsid w:val="00441A76"/>
    <w:rsid w:val="004429B7"/>
    <w:rsid w:val="00446186"/>
    <w:rsid w:val="0045172C"/>
    <w:rsid w:val="004548EF"/>
    <w:rsid w:val="004579EB"/>
    <w:rsid w:val="00457E3A"/>
    <w:rsid w:val="00466A9B"/>
    <w:rsid w:val="00471E3B"/>
    <w:rsid w:val="00474754"/>
    <w:rsid w:val="00483901"/>
    <w:rsid w:val="004842F6"/>
    <w:rsid w:val="00484D53"/>
    <w:rsid w:val="004971B8"/>
    <w:rsid w:val="004A08FC"/>
    <w:rsid w:val="004A5A86"/>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3D0"/>
    <w:rsid w:val="004E0FF6"/>
    <w:rsid w:val="004E1208"/>
    <w:rsid w:val="004E1E2E"/>
    <w:rsid w:val="004E4F29"/>
    <w:rsid w:val="004E5204"/>
    <w:rsid w:val="004F139D"/>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85B4E"/>
    <w:rsid w:val="005936A7"/>
    <w:rsid w:val="00595459"/>
    <w:rsid w:val="005A1CBA"/>
    <w:rsid w:val="005A26FD"/>
    <w:rsid w:val="005A468C"/>
    <w:rsid w:val="005A5E2A"/>
    <w:rsid w:val="005B07A5"/>
    <w:rsid w:val="005C144C"/>
    <w:rsid w:val="005D2EBB"/>
    <w:rsid w:val="005D568C"/>
    <w:rsid w:val="005D66B5"/>
    <w:rsid w:val="005E0762"/>
    <w:rsid w:val="005E1E92"/>
    <w:rsid w:val="005E3842"/>
    <w:rsid w:val="005E4018"/>
    <w:rsid w:val="005F2DC5"/>
    <w:rsid w:val="005F4DFA"/>
    <w:rsid w:val="006030C0"/>
    <w:rsid w:val="0061155D"/>
    <w:rsid w:val="00617335"/>
    <w:rsid w:val="006204C6"/>
    <w:rsid w:val="006246A9"/>
    <w:rsid w:val="006265AD"/>
    <w:rsid w:val="00637A50"/>
    <w:rsid w:val="0064571A"/>
    <w:rsid w:val="00645D69"/>
    <w:rsid w:val="00650D15"/>
    <w:rsid w:val="00652BED"/>
    <w:rsid w:val="006564F0"/>
    <w:rsid w:val="00661A9B"/>
    <w:rsid w:val="00662BB4"/>
    <w:rsid w:val="00664010"/>
    <w:rsid w:val="0066415A"/>
    <w:rsid w:val="006658A5"/>
    <w:rsid w:val="006710DB"/>
    <w:rsid w:val="006721DC"/>
    <w:rsid w:val="00684BCF"/>
    <w:rsid w:val="0069021E"/>
    <w:rsid w:val="00697FF1"/>
    <w:rsid w:val="006A07A7"/>
    <w:rsid w:val="006A07F6"/>
    <w:rsid w:val="006A17D0"/>
    <w:rsid w:val="006B1A2B"/>
    <w:rsid w:val="006B322A"/>
    <w:rsid w:val="006B39DB"/>
    <w:rsid w:val="006B52B4"/>
    <w:rsid w:val="006B6050"/>
    <w:rsid w:val="006B73DD"/>
    <w:rsid w:val="006C4CC5"/>
    <w:rsid w:val="006D0E7F"/>
    <w:rsid w:val="006D137A"/>
    <w:rsid w:val="006D5C4C"/>
    <w:rsid w:val="006D63E8"/>
    <w:rsid w:val="006E2F2F"/>
    <w:rsid w:val="006F270A"/>
    <w:rsid w:val="006F2E4F"/>
    <w:rsid w:val="006F47BA"/>
    <w:rsid w:val="00701628"/>
    <w:rsid w:val="00702500"/>
    <w:rsid w:val="007030C8"/>
    <w:rsid w:val="00704EDA"/>
    <w:rsid w:val="0070543A"/>
    <w:rsid w:val="007101C1"/>
    <w:rsid w:val="007132F5"/>
    <w:rsid w:val="00726CCA"/>
    <w:rsid w:val="00731173"/>
    <w:rsid w:val="007325CC"/>
    <w:rsid w:val="00740609"/>
    <w:rsid w:val="00742DF1"/>
    <w:rsid w:val="007450B3"/>
    <w:rsid w:val="00751069"/>
    <w:rsid w:val="00753DF7"/>
    <w:rsid w:val="00754FD0"/>
    <w:rsid w:val="00761697"/>
    <w:rsid w:val="007744DE"/>
    <w:rsid w:val="00776ACC"/>
    <w:rsid w:val="007853FF"/>
    <w:rsid w:val="00785986"/>
    <w:rsid w:val="00792075"/>
    <w:rsid w:val="00792091"/>
    <w:rsid w:val="00792BC5"/>
    <w:rsid w:val="00794A3A"/>
    <w:rsid w:val="007952B3"/>
    <w:rsid w:val="007A0EEB"/>
    <w:rsid w:val="007A4F2E"/>
    <w:rsid w:val="007A6497"/>
    <w:rsid w:val="007B591B"/>
    <w:rsid w:val="007B6947"/>
    <w:rsid w:val="007C1B00"/>
    <w:rsid w:val="007C2B2C"/>
    <w:rsid w:val="007C3C57"/>
    <w:rsid w:val="007C5329"/>
    <w:rsid w:val="007C54FB"/>
    <w:rsid w:val="007D4099"/>
    <w:rsid w:val="007E0179"/>
    <w:rsid w:val="007E1CE6"/>
    <w:rsid w:val="007F437A"/>
    <w:rsid w:val="007F7B29"/>
    <w:rsid w:val="00802052"/>
    <w:rsid w:val="00807259"/>
    <w:rsid w:val="00810AD8"/>
    <w:rsid w:val="00815B7E"/>
    <w:rsid w:val="00823290"/>
    <w:rsid w:val="0082631D"/>
    <w:rsid w:val="00840CA9"/>
    <w:rsid w:val="008472A8"/>
    <w:rsid w:val="0085345D"/>
    <w:rsid w:val="008535C7"/>
    <w:rsid w:val="00856D44"/>
    <w:rsid w:val="00860770"/>
    <w:rsid w:val="0086335C"/>
    <w:rsid w:val="008665CD"/>
    <w:rsid w:val="0087003A"/>
    <w:rsid w:val="0087018B"/>
    <w:rsid w:val="00871903"/>
    <w:rsid w:val="00877259"/>
    <w:rsid w:val="00877A69"/>
    <w:rsid w:val="00880946"/>
    <w:rsid w:val="00893B2B"/>
    <w:rsid w:val="008A1608"/>
    <w:rsid w:val="008A2314"/>
    <w:rsid w:val="008A7F44"/>
    <w:rsid w:val="008B28DF"/>
    <w:rsid w:val="008B33C3"/>
    <w:rsid w:val="008B3DF3"/>
    <w:rsid w:val="008B4DBF"/>
    <w:rsid w:val="008C1F3B"/>
    <w:rsid w:val="008C32AF"/>
    <w:rsid w:val="008C5689"/>
    <w:rsid w:val="008D1861"/>
    <w:rsid w:val="008D2A86"/>
    <w:rsid w:val="008D722A"/>
    <w:rsid w:val="008E0A6B"/>
    <w:rsid w:val="008F1341"/>
    <w:rsid w:val="008F6C14"/>
    <w:rsid w:val="009032EB"/>
    <w:rsid w:val="00916002"/>
    <w:rsid w:val="00917885"/>
    <w:rsid w:val="0092057B"/>
    <w:rsid w:val="00921442"/>
    <w:rsid w:val="00922AE8"/>
    <w:rsid w:val="00930D72"/>
    <w:rsid w:val="0093250A"/>
    <w:rsid w:val="00935936"/>
    <w:rsid w:val="00935CAA"/>
    <w:rsid w:val="00937101"/>
    <w:rsid w:val="009462FA"/>
    <w:rsid w:val="00960E54"/>
    <w:rsid w:val="009612A1"/>
    <w:rsid w:val="00963F5A"/>
    <w:rsid w:val="00974FE1"/>
    <w:rsid w:val="00993D60"/>
    <w:rsid w:val="009A20AF"/>
    <w:rsid w:val="009A2BB4"/>
    <w:rsid w:val="009A702D"/>
    <w:rsid w:val="009B2454"/>
    <w:rsid w:val="009B26BA"/>
    <w:rsid w:val="009B3201"/>
    <w:rsid w:val="009B4D12"/>
    <w:rsid w:val="009B60B7"/>
    <w:rsid w:val="009B668C"/>
    <w:rsid w:val="009B6DEB"/>
    <w:rsid w:val="009C0036"/>
    <w:rsid w:val="009D246A"/>
    <w:rsid w:val="009D2CBF"/>
    <w:rsid w:val="009D3F78"/>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962"/>
    <w:rsid w:val="00A20B7E"/>
    <w:rsid w:val="00A244AB"/>
    <w:rsid w:val="00A24D2E"/>
    <w:rsid w:val="00A24D5C"/>
    <w:rsid w:val="00A24FDB"/>
    <w:rsid w:val="00A2725A"/>
    <w:rsid w:val="00A30414"/>
    <w:rsid w:val="00A30822"/>
    <w:rsid w:val="00A32825"/>
    <w:rsid w:val="00A372B2"/>
    <w:rsid w:val="00A427A5"/>
    <w:rsid w:val="00A43B3F"/>
    <w:rsid w:val="00A43FE2"/>
    <w:rsid w:val="00A45346"/>
    <w:rsid w:val="00A5063D"/>
    <w:rsid w:val="00A50ACB"/>
    <w:rsid w:val="00A51CCA"/>
    <w:rsid w:val="00A603AC"/>
    <w:rsid w:val="00A62140"/>
    <w:rsid w:val="00A6437A"/>
    <w:rsid w:val="00A762BF"/>
    <w:rsid w:val="00A805D8"/>
    <w:rsid w:val="00A93E42"/>
    <w:rsid w:val="00A940F1"/>
    <w:rsid w:val="00A95A1E"/>
    <w:rsid w:val="00A95AD6"/>
    <w:rsid w:val="00A964D1"/>
    <w:rsid w:val="00AA1677"/>
    <w:rsid w:val="00AA18B0"/>
    <w:rsid w:val="00AA3341"/>
    <w:rsid w:val="00AA408F"/>
    <w:rsid w:val="00AA4694"/>
    <w:rsid w:val="00AA7208"/>
    <w:rsid w:val="00AB25A0"/>
    <w:rsid w:val="00AB2954"/>
    <w:rsid w:val="00AC0236"/>
    <w:rsid w:val="00AC2166"/>
    <w:rsid w:val="00AC5FBF"/>
    <w:rsid w:val="00AD2EBC"/>
    <w:rsid w:val="00AD53EF"/>
    <w:rsid w:val="00AE4C05"/>
    <w:rsid w:val="00AE5222"/>
    <w:rsid w:val="00AE5F05"/>
    <w:rsid w:val="00AF076F"/>
    <w:rsid w:val="00AF24FA"/>
    <w:rsid w:val="00B0183D"/>
    <w:rsid w:val="00B2084F"/>
    <w:rsid w:val="00B221EC"/>
    <w:rsid w:val="00B237E5"/>
    <w:rsid w:val="00B23AB9"/>
    <w:rsid w:val="00B2577A"/>
    <w:rsid w:val="00B330F8"/>
    <w:rsid w:val="00B3667B"/>
    <w:rsid w:val="00B36F51"/>
    <w:rsid w:val="00B4272E"/>
    <w:rsid w:val="00B54743"/>
    <w:rsid w:val="00B54816"/>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A0682"/>
    <w:rsid w:val="00BA3177"/>
    <w:rsid w:val="00BA42E7"/>
    <w:rsid w:val="00BB5A5D"/>
    <w:rsid w:val="00BB6ACB"/>
    <w:rsid w:val="00BB7E86"/>
    <w:rsid w:val="00BB7E90"/>
    <w:rsid w:val="00BC450B"/>
    <w:rsid w:val="00BC47C6"/>
    <w:rsid w:val="00BD076A"/>
    <w:rsid w:val="00BE409F"/>
    <w:rsid w:val="00BE470F"/>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464FB"/>
    <w:rsid w:val="00C5335F"/>
    <w:rsid w:val="00C70125"/>
    <w:rsid w:val="00C71947"/>
    <w:rsid w:val="00C722CD"/>
    <w:rsid w:val="00C73523"/>
    <w:rsid w:val="00C76528"/>
    <w:rsid w:val="00C81134"/>
    <w:rsid w:val="00C866CD"/>
    <w:rsid w:val="00C87AC3"/>
    <w:rsid w:val="00C919E6"/>
    <w:rsid w:val="00C92E99"/>
    <w:rsid w:val="00C93D3E"/>
    <w:rsid w:val="00C949E3"/>
    <w:rsid w:val="00C95BF3"/>
    <w:rsid w:val="00C97E4C"/>
    <w:rsid w:val="00CA0863"/>
    <w:rsid w:val="00CA14B3"/>
    <w:rsid w:val="00CA171E"/>
    <w:rsid w:val="00CA4074"/>
    <w:rsid w:val="00CA4673"/>
    <w:rsid w:val="00CB3718"/>
    <w:rsid w:val="00CB3B02"/>
    <w:rsid w:val="00CD4560"/>
    <w:rsid w:val="00CD5026"/>
    <w:rsid w:val="00CD6E9A"/>
    <w:rsid w:val="00CE16B5"/>
    <w:rsid w:val="00CF11FD"/>
    <w:rsid w:val="00CF228C"/>
    <w:rsid w:val="00CF3FBE"/>
    <w:rsid w:val="00CF44C4"/>
    <w:rsid w:val="00CF5427"/>
    <w:rsid w:val="00D015A2"/>
    <w:rsid w:val="00D02EF5"/>
    <w:rsid w:val="00D04E24"/>
    <w:rsid w:val="00D068AD"/>
    <w:rsid w:val="00D0705E"/>
    <w:rsid w:val="00D113E9"/>
    <w:rsid w:val="00D202AC"/>
    <w:rsid w:val="00D23092"/>
    <w:rsid w:val="00D23CBD"/>
    <w:rsid w:val="00D25B65"/>
    <w:rsid w:val="00D30089"/>
    <w:rsid w:val="00D30B52"/>
    <w:rsid w:val="00D31FFE"/>
    <w:rsid w:val="00D403E1"/>
    <w:rsid w:val="00D421A7"/>
    <w:rsid w:val="00D53B60"/>
    <w:rsid w:val="00D53ED7"/>
    <w:rsid w:val="00D5558F"/>
    <w:rsid w:val="00D61CE8"/>
    <w:rsid w:val="00D67257"/>
    <w:rsid w:val="00D74296"/>
    <w:rsid w:val="00D76BF1"/>
    <w:rsid w:val="00D94B4D"/>
    <w:rsid w:val="00DA03CB"/>
    <w:rsid w:val="00DA1E63"/>
    <w:rsid w:val="00DA2F78"/>
    <w:rsid w:val="00DA34C6"/>
    <w:rsid w:val="00DA4F7E"/>
    <w:rsid w:val="00DA69C9"/>
    <w:rsid w:val="00DB74EF"/>
    <w:rsid w:val="00DC20AA"/>
    <w:rsid w:val="00DC27B8"/>
    <w:rsid w:val="00DC5F2B"/>
    <w:rsid w:val="00DC7296"/>
    <w:rsid w:val="00DD18BD"/>
    <w:rsid w:val="00DD5448"/>
    <w:rsid w:val="00DD7D2E"/>
    <w:rsid w:val="00DE12B1"/>
    <w:rsid w:val="00DE54CB"/>
    <w:rsid w:val="00DE5EEE"/>
    <w:rsid w:val="00DF28BC"/>
    <w:rsid w:val="00DF7134"/>
    <w:rsid w:val="00E02013"/>
    <w:rsid w:val="00E0500A"/>
    <w:rsid w:val="00E0551D"/>
    <w:rsid w:val="00E1275F"/>
    <w:rsid w:val="00E12FC5"/>
    <w:rsid w:val="00E16101"/>
    <w:rsid w:val="00E26825"/>
    <w:rsid w:val="00E273E5"/>
    <w:rsid w:val="00E32544"/>
    <w:rsid w:val="00E342E9"/>
    <w:rsid w:val="00E36170"/>
    <w:rsid w:val="00E40CDE"/>
    <w:rsid w:val="00E43302"/>
    <w:rsid w:val="00E472EA"/>
    <w:rsid w:val="00E500D8"/>
    <w:rsid w:val="00E51A4A"/>
    <w:rsid w:val="00E54B7A"/>
    <w:rsid w:val="00E55E88"/>
    <w:rsid w:val="00E61AE2"/>
    <w:rsid w:val="00E62D48"/>
    <w:rsid w:val="00E63B8E"/>
    <w:rsid w:val="00E67143"/>
    <w:rsid w:val="00E673A3"/>
    <w:rsid w:val="00E674FC"/>
    <w:rsid w:val="00E679DD"/>
    <w:rsid w:val="00E86ED3"/>
    <w:rsid w:val="00E8783E"/>
    <w:rsid w:val="00E90BED"/>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56A2"/>
    <w:rsid w:val="00F06A11"/>
    <w:rsid w:val="00F0776A"/>
    <w:rsid w:val="00F1050B"/>
    <w:rsid w:val="00F12886"/>
    <w:rsid w:val="00F12DB4"/>
    <w:rsid w:val="00F13827"/>
    <w:rsid w:val="00F15ED6"/>
    <w:rsid w:val="00F17869"/>
    <w:rsid w:val="00F209E0"/>
    <w:rsid w:val="00F26297"/>
    <w:rsid w:val="00F27ABE"/>
    <w:rsid w:val="00F3093A"/>
    <w:rsid w:val="00F31EAA"/>
    <w:rsid w:val="00F44A65"/>
    <w:rsid w:val="00F4505F"/>
    <w:rsid w:val="00F469E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1200"/>
    <w:rsid w:val="00F924B4"/>
    <w:rsid w:val="00F943EE"/>
    <w:rsid w:val="00FA406F"/>
    <w:rsid w:val="00FB1910"/>
    <w:rsid w:val="00FB7D9A"/>
    <w:rsid w:val="00FC5AB0"/>
    <w:rsid w:val="00FD34FF"/>
    <w:rsid w:val="00FD6465"/>
    <w:rsid w:val="00FE03E9"/>
    <w:rsid w:val="00FF040D"/>
    <w:rsid w:val="00FF127D"/>
    <w:rsid w:val="00FF5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CD5026"/>
  </w:style>
  <w:style w:type="character" w:customStyle="1" w:styleId="EndnoteTextChar">
    <w:name w:val="Endnote Text Char"/>
    <w:basedOn w:val="DefaultParagraphFont"/>
    <w:link w:val="EndnoteText"/>
    <w:uiPriority w:val="99"/>
    <w:semiHidden/>
    <w:rsid w:val="00CD5026"/>
  </w:style>
  <w:style w:type="character" w:styleId="EndnoteReference">
    <w:name w:val="endnote reference"/>
    <w:basedOn w:val="DefaultParagraphFont"/>
    <w:uiPriority w:val="99"/>
    <w:semiHidden/>
    <w:unhideWhenUsed/>
    <w:rsid w:val="00CD50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CD5026"/>
  </w:style>
  <w:style w:type="character" w:customStyle="1" w:styleId="EndnoteTextChar">
    <w:name w:val="Endnote Text Char"/>
    <w:basedOn w:val="DefaultParagraphFont"/>
    <w:link w:val="EndnoteText"/>
    <w:uiPriority w:val="99"/>
    <w:semiHidden/>
    <w:rsid w:val="00CD5026"/>
  </w:style>
  <w:style w:type="character" w:styleId="EndnoteReference">
    <w:name w:val="endnote reference"/>
    <w:basedOn w:val="DefaultParagraphFont"/>
    <w:uiPriority w:val="99"/>
    <w:semiHidden/>
    <w:unhideWhenUsed/>
    <w:rsid w:val="00CD5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Consum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er.gov.au/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50076021</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2015-04-29T02:26:00Z</dcterms:created>
  <dcterms:modified xsi:type="dcterms:W3CDTF">2015-04-29T23:19:00Z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