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725DA3F" wp14:editId="42327EAD">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0D64F2" w:rsidP="008F07A3">
          <w:pPr>
            <w:pStyle w:val="ReportSubtitle"/>
          </w:pPr>
          <w:r>
            <w:t>Amadeus</w:t>
          </w:r>
          <w:r w:rsidR="00A06085">
            <w:t xml:space="preserve"> </w:t>
          </w:r>
          <w:r w:rsidR="0033548E">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301F1F">
            <w:t>10</w:t>
          </w:r>
          <w:r w:rsidR="00DA4752">
            <w:t xml:space="preserve"> </w:t>
          </w:r>
          <w:r w:rsidR="00415F31">
            <w:rPr>
              <w:rFonts w:cs="Arial"/>
            </w:rPr>
            <w:t>–</w:t>
          </w:r>
          <w:r w:rsidR="00DA4752">
            <w:t xml:space="preserve"> </w:t>
          </w:r>
          <w:r w:rsidR="00301F1F">
            <w:t>Reference tariff setting</w:t>
          </w:r>
        </w:p>
        <w:p w:rsidR="000A6C7B" w:rsidRPr="00327A1E" w:rsidRDefault="00187C30" w:rsidP="00327A1E">
          <w:pPr>
            <w:pStyle w:val="ReportDate"/>
          </w:pPr>
          <w:r>
            <w:t xml:space="preserve">May </w:t>
          </w:r>
          <w:r w:rsidR="00A2303E">
            <w:t>2016</w:t>
          </w:r>
        </w:p>
      </w:sdtContent>
    </w:sdt>
    <w:p w:rsidR="00327A1E" w:rsidRPr="00290C63" w:rsidRDefault="00327A1E" w:rsidP="00290C63">
      <w:r>
        <w:br w:type="page"/>
      </w:r>
    </w:p>
    <w:p w:rsidR="000A6C7B" w:rsidRDefault="006E117C"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rsidRPr="00975E71">
        <w:rPr>
          <w:sz w:val="20"/>
          <w:szCs w:val="20"/>
        </w:rPr>
        <w:t>the</w:t>
      </w:r>
      <w:r>
        <w:t xml:space="preserv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530319"/>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2303E">
        <w:t>final</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A2303E">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2303E">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51530320"/>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8A405C" w:rsidRDefault="00975E71">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51530319" w:history="1">
            <w:r w:rsidR="008A405C" w:rsidRPr="009F78F8">
              <w:rPr>
                <w:rStyle w:val="Hyperlink"/>
              </w:rPr>
              <w:t>Note</w:t>
            </w:r>
            <w:r w:rsidR="008A405C">
              <w:rPr>
                <w:webHidden/>
              </w:rPr>
              <w:tab/>
            </w:r>
            <w:r w:rsidR="008A405C">
              <w:rPr>
                <w:webHidden/>
              </w:rPr>
              <w:fldChar w:fldCharType="begin"/>
            </w:r>
            <w:r w:rsidR="008A405C">
              <w:rPr>
                <w:webHidden/>
              </w:rPr>
              <w:instrText xml:space="preserve"> PAGEREF _Toc451530319 \h </w:instrText>
            </w:r>
            <w:r w:rsidR="008A405C">
              <w:rPr>
                <w:webHidden/>
              </w:rPr>
            </w:r>
            <w:r w:rsidR="008A405C">
              <w:rPr>
                <w:webHidden/>
              </w:rPr>
              <w:fldChar w:fldCharType="separate"/>
            </w:r>
            <w:r w:rsidR="008A405C">
              <w:rPr>
                <w:webHidden/>
              </w:rPr>
              <w:t>10-2</w:t>
            </w:r>
            <w:r w:rsidR="008A405C">
              <w:rPr>
                <w:webHidden/>
              </w:rPr>
              <w:fldChar w:fldCharType="end"/>
            </w:r>
          </w:hyperlink>
        </w:p>
        <w:p w:rsidR="008A405C" w:rsidRDefault="008A405C">
          <w:pPr>
            <w:pStyle w:val="TOC1"/>
            <w:rPr>
              <w:rFonts w:asciiTheme="minorHAnsi" w:eastAsiaTheme="minorEastAsia" w:hAnsiTheme="minorHAnsi"/>
              <w:b w:val="0"/>
              <w:color w:val="auto"/>
              <w:sz w:val="22"/>
              <w:lang w:val="en-AU" w:eastAsia="en-AU"/>
            </w:rPr>
          </w:pPr>
          <w:hyperlink w:anchor="_Toc451530320" w:history="1">
            <w:r w:rsidRPr="009F78F8">
              <w:rPr>
                <w:rStyle w:val="Hyperlink"/>
              </w:rPr>
              <w:t>Contents</w:t>
            </w:r>
            <w:r>
              <w:rPr>
                <w:webHidden/>
              </w:rPr>
              <w:tab/>
            </w:r>
            <w:r>
              <w:rPr>
                <w:webHidden/>
              </w:rPr>
              <w:fldChar w:fldCharType="begin"/>
            </w:r>
            <w:r>
              <w:rPr>
                <w:webHidden/>
              </w:rPr>
              <w:instrText xml:space="preserve"> PAGEREF _Toc451530320 \h </w:instrText>
            </w:r>
            <w:r>
              <w:rPr>
                <w:webHidden/>
              </w:rPr>
            </w:r>
            <w:r>
              <w:rPr>
                <w:webHidden/>
              </w:rPr>
              <w:fldChar w:fldCharType="separate"/>
            </w:r>
            <w:r>
              <w:rPr>
                <w:webHidden/>
              </w:rPr>
              <w:t>10-3</w:t>
            </w:r>
            <w:r>
              <w:rPr>
                <w:webHidden/>
              </w:rPr>
              <w:fldChar w:fldCharType="end"/>
            </w:r>
          </w:hyperlink>
        </w:p>
        <w:p w:rsidR="008A405C" w:rsidRDefault="008A405C">
          <w:pPr>
            <w:pStyle w:val="TOC1"/>
            <w:rPr>
              <w:rFonts w:asciiTheme="minorHAnsi" w:eastAsiaTheme="minorEastAsia" w:hAnsiTheme="minorHAnsi"/>
              <w:b w:val="0"/>
              <w:color w:val="auto"/>
              <w:sz w:val="22"/>
              <w:lang w:val="en-AU" w:eastAsia="en-AU"/>
            </w:rPr>
          </w:pPr>
          <w:hyperlink w:anchor="_Toc451530321" w:history="1">
            <w:r w:rsidRPr="009F78F8">
              <w:rPr>
                <w:rStyle w:val="Hyperlink"/>
              </w:rPr>
              <w:t>Shortened forms</w:t>
            </w:r>
            <w:r>
              <w:rPr>
                <w:webHidden/>
              </w:rPr>
              <w:tab/>
            </w:r>
            <w:r>
              <w:rPr>
                <w:webHidden/>
              </w:rPr>
              <w:fldChar w:fldCharType="begin"/>
            </w:r>
            <w:r>
              <w:rPr>
                <w:webHidden/>
              </w:rPr>
              <w:instrText xml:space="preserve"> PAGEREF _Toc451530321 \h </w:instrText>
            </w:r>
            <w:r>
              <w:rPr>
                <w:webHidden/>
              </w:rPr>
            </w:r>
            <w:r>
              <w:rPr>
                <w:webHidden/>
              </w:rPr>
              <w:fldChar w:fldCharType="separate"/>
            </w:r>
            <w:r>
              <w:rPr>
                <w:webHidden/>
              </w:rPr>
              <w:t>10-4</w:t>
            </w:r>
            <w:r>
              <w:rPr>
                <w:webHidden/>
              </w:rPr>
              <w:fldChar w:fldCharType="end"/>
            </w:r>
          </w:hyperlink>
        </w:p>
        <w:p w:rsidR="008A405C" w:rsidRDefault="008A405C">
          <w:pPr>
            <w:pStyle w:val="TOC1"/>
            <w:rPr>
              <w:rFonts w:asciiTheme="minorHAnsi" w:eastAsiaTheme="minorEastAsia" w:hAnsiTheme="minorHAnsi"/>
              <w:b w:val="0"/>
              <w:color w:val="auto"/>
              <w:sz w:val="22"/>
              <w:lang w:val="en-AU" w:eastAsia="en-AU"/>
            </w:rPr>
          </w:pPr>
          <w:hyperlink w:anchor="_Toc451530322" w:history="1">
            <w:r w:rsidRPr="009F78F8">
              <w:rPr>
                <w:rStyle w:val="Hyperlink"/>
              </w:rPr>
              <w:t>10</w:t>
            </w:r>
            <w:r>
              <w:rPr>
                <w:rFonts w:asciiTheme="minorHAnsi" w:eastAsiaTheme="minorEastAsia" w:hAnsiTheme="minorHAnsi"/>
                <w:b w:val="0"/>
                <w:color w:val="auto"/>
                <w:sz w:val="22"/>
                <w:lang w:val="en-AU" w:eastAsia="en-AU"/>
              </w:rPr>
              <w:tab/>
            </w:r>
            <w:r w:rsidRPr="009F78F8">
              <w:rPr>
                <w:rStyle w:val="Hyperlink"/>
              </w:rPr>
              <w:t>Reference tariff setting</w:t>
            </w:r>
            <w:r>
              <w:rPr>
                <w:webHidden/>
              </w:rPr>
              <w:tab/>
            </w:r>
            <w:r>
              <w:rPr>
                <w:webHidden/>
              </w:rPr>
              <w:fldChar w:fldCharType="begin"/>
            </w:r>
            <w:r>
              <w:rPr>
                <w:webHidden/>
              </w:rPr>
              <w:instrText xml:space="preserve"> PAGEREF _Toc451530322 \h </w:instrText>
            </w:r>
            <w:r>
              <w:rPr>
                <w:webHidden/>
              </w:rPr>
            </w:r>
            <w:r>
              <w:rPr>
                <w:webHidden/>
              </w:rPr>
              <w:fldChar w:fldCharType="separate"/>
            </w:r>
            <w:r>
              <w:rPr>
                <w:webHidden/>
              </w:rPr>
              <w:t>10-6</w:t>
            </w:r>
            <w:r>
              <w:rPr>
                <w:webHidden/>
              </w:rPr>
              <w:fldChar w:fldCharType="end"/>
            </w:r>
          </w:hyperlink>
        </w:p>
        <w:p w:rsidR="008A405C" w:rsidRDefault="008A405C">
          <w:pPr>
            <w:pStyle w:val="TOC2"/>
            <w:tabs>
              <w:tab w:val="left" w:pos="1276"/>
            </w:tabs>
            <w:rPr>
              <w:rFonts w:asciiTheme="minorHAnsi" w:eastAsiaTheme="minorEastAsia" w:hAnsiTheme="minorHAnsi"/>
              <w:b w:val="0"/>
              <w:color w:val="auto"/>
              <w:sz w:val="22"/>
              <w:lang w:eastAsia="en-AU"/>
            </w:rPr>
          </w:pPr>
          <w:hyperlink w:anchor="_Toc451530323" w:history="1">
            <w:r w:rsidRPr="009F78F8">
              <w:rPr>
                <w:rStyle w:val="Hyperlink"/>
              </w:rPr>
              <w:t>10.1</w:t>
            </w:r>
            <w:r>
              <w:rPr>
                <w:rFonts w:asciiTheme="minorHAnsi" w:eastAsiaTheme="minorEastAsia" w:hAnsiTheme="minorHAnsi"/>
                <w:b w:val="0"/>
                <w:color w:val="auto"/>
                <w:sz w:val="22"/>
                <w:lang w:eastAsia="en-AU"/>
              </w:rPr>
              <w:tab/>
            </w:r>
            <w:r w:rsidRPr="009F78F8">
              <w:rPr>
                <w:rStyle w:val="Hyperlink"/>
              </w:rPr>
              <w:t>Final decision</w:t>
            </w:r>
            <w:r>
              <w:rPr>
                <w:webHidden/>
              </w:rPr>
              <w:tab/>
            </w:r>
            <w:r>
              <w:rPr>
                <w:webHidden/>
              </w:rPr>
              <w:fldChar w:fldCharType="begin"/>
            </w:r>
            <w:r>
              <w:rPr>
                <w:webHidden/>
              </w:rPr>
              <w:instrText xml:space="preserve"> PAGEREF _Toc451530323 \h </w:instrText>
            </w:r>
            <w:r>
              <w:rPr>
                <w:webHidden/>
              </w:rPr>
            </w:r>
            <w:r>
              <w:rPr>
                <w:webHidden/>
              </w:rPr>
              <w:fldChar w:fldCharType="separate"/>
            </w:r>
            <w:r>
              <w:rPr>
                <w:webHidden/>
              </w:rPr>
              <w:t>10-6</w:t>
            </w:r>
            <w:r>
              <w:rPr>
                <w:webHidden/>
              </w:rPr>
              <w:fldChar w:fldCharType="end"/>
            </w:r>
          </w:hyperlink>
        </w:p>
        <w:p w:rsidR="008A405C" w:rsidRDefault="008A405C">
          <w:pPr>
            <w:pStyle w:val="TOC2"/>
            <w:tabs>
              <w:tab w:val="left" w:pos="1276"/>
            </w:tabs>
            <w:rPr>
              <w:rFonts w:asciiTheme="minorHAnsi" w:eastAsiaTheme="minorEastAsia" w:hAnsiTheme="minorHAnsi"/>
              <w:b w:val="0"/>
              <w:color w:val="auto"/>
              <w:sz w:val="22"/>
              <w:lang w:eastAsia="en-AU"/>
            </w:rPr>
          </w:pPr>
          <w:hyperlink w:anchor="_Toc451530324" w:history="1">
            <w:r w:rsidRPr="009F78F8">
              <w:rPr>
                <w:rStyle w:val="Hyperlink"/>
              </w:rPr>
              <w:t>10.2</w:t>
            </w:r>
            <w:r>
              <w:rPr>
                <w:rFonts w:asciiTheme="minorHAnsi" w:eastAsiaTheme="minorEastAsia" w:hAnsiTheme="minorHAnsi"/>
                <w:b w:val="0"/>
                <w:color w:val="auto"/>
                <w:sz w:val="22"/>
                <w:lang w:eastAsia="en-AU"/>
              </w:rPr>
              <w:tab/>
            </w:r>
            <w:r w:rsidRPr="009F78F8">
              <w:rPr>
                <w:rStyle w:val="Hyperlink"/>
              </w:rPr>
              <w:t>APTNT’s revised proposal</w:t>
            </w:r>
            <w:r>
              <w:rPr>
                <w:webHidden/>
              </w:rPr>
              <w:tab/>
            </w:r>
            <w:r>
              <w:rPr>
                <w:webHidden/>
              </w:rPr>
              <w:fldChar w:fldCharType="begin"/>
            </w:r>
            <w:r>
              <w:rPr>
                <w:webHidden/>
              </w:rPr>
              <w:instrText xml:space="preserve"> PAGEREF _Toc451530324 \h </w:instrText>
            </w:r>
            <w:r>
              <w:rPr>
                <w:webHidden/>
              </w:rPr>
            </w:r>
            <w:r>
              <w:rPr>
                <w:webHidden/>
              </w:rPr>
              <w:fldChar w:fldCharType="separate"/>
            </w:r>
            <w:r>
              <w:rPr>
                <w:webHidden/>
              </w:rPr>
              <w:t>10-6</w:t>
            </w:r>
            <w:r>
              <w:rPr>
                <w:webHidden/>
              </w:rPr>
              <w:fldChar w:fldCharType="end"/>
            </w:r>
          </w:hyperlink>
        </w:p>
        <w:p w:rsidR="008A405C" w:rsidRDefault="008A405C">
          <w:pPr>
            <w:pStyle w:val="TOC2"/>
            <w:tabs>
              <w:tab w:val="left" w:pos="1276"/>
            </w:tabs>
            <w:rPr>
              <w:rFonts w:asciiTheme="minorHAnsi" w:eastAsiaTheme="minorEastAsia" w:hAnsiTheme="minorHAnsi"/>
              <w:b w:val="0"/>
              <w:color w:val="auto"/>
              <w:sz w:val="22"/>
              <w:lang w:eastAsia="en-AU"/>
            </w:rPr>
          </w:pPr>
          <w:hyperlink w:anchor="_Toc451530325" w:history="1">
            <w:r w:rsidRPr="009F78F8">
              <w:rPr>
                <w:rStyle w:val="Hyperlink"/>
              </w:rPr>
              <w:t>10.3</w:t>
            </w:r>
            <w:r>
              <w:rPr>
                <w:rFonts w:asciiTheme="minorHAnsi" w:eastAsiaTheme="minorEastAsia" w:hAnsiTheme="minorHAnsi"/>
                <w:b w:val="0"/>
                <w:color w:val="auto"/>
                <w:sz w:val="22"/>
                <w:lang w:eastAsia="en-AU"/>
              </w:rPr>
              <w:tab/>
            </w:r>
            <w:r w:rsidRPr="009F78F8">
              <w:rPr>
                <w:rStyle w:val="Hyperlink"/>
              </w:rPr>
              <w:t>AER’s assessment approach</w:t>
            </w:r>
            <w:r>
              <w:rPr>
                <w:webHidden/>
              </w:rPr>
              <w:tab/>
            </w:r>
            <w:r>
              <w:rPr>
                <w:webHidden/>
              </w:rPr>
              <w:fldChar w:fldCharType="begin"/>
            </w:r>
            <w:r>
              <w:rPr>
                <w:webHidden/>
              </w:rPr>
              <w:instrText xml:space="preserve"> PAGEREF _Toc451530325 \h </w:instrText>
            </w:r>
            <w:r>
              <w:rPr>
                <w:webHidden/>
              </w:rPr>
            </w:r>
            <w:r>
              <w:rPr>
                <w:webHidden/>
              </w:rPr>
              <w:fldChar w:fldCharType="separate"/>
            </w:r>
            <w:r>
              <w:rPr>
                <w:webHidden/>
              </w:rPr>
              <w:t>10-7</w:t>
            </w:r>
            <w:r>
              <w:rPr>
                <w:webHidden/>
              </w:rPr>
              <w:fldChar w:fldCharType="end"/>
            </w:r>
          </w:hyperlink>
        </w:p>
        <w:p w:rsidR="008A405C" w:rsidRDefault="008A405C">
          <w:pPr>
            <w:pStyle w:val="TOC2"/>
            <w:tabs>
              <w:tab w:val="left" w:pos="1276"/>
            </w:tabs>
            <w:rPr>
              <w:rFonts w:asciiTheme="minorHAnsi" w:eastAsiaTheme="minorEastAsia" w:hAnsiTheme="minorHAnsi"/>
              <w:b w:val="0"/>
              <w:color w:val="auto"/>
              <w:sz w:val="22"/>
              <w:lang w:eastAsia="en-AU"/>
            </w:rPr>
          </w:pPr>
          <w:hyperlink w:anchor="_Toc451530326" w:history="1">
            <w:r w:rsidRPr="009F78F8">
              <w:rPr>
                <w:rStyle w:val="Hyperlink"/>
              </w:rPr>
              <w:t>10.4</w:t>
            </w:r>
            <w:r>
              <w:rPr>
                <w:rFonts w:asciiTheme="minorHAnsi" w:eastAsiaTheme="minorEastAsia" w:hAnsiTheme="minorHAnsi"/>
                <w:b w:val="0"/>
                <w:color w:val="auto"/>
                <w:sz w:val="22"/>
                <w:lang w:eastAsia="en-AU"/>
              </w:rPr>
              <w:tab/>
            </w:r>
            <w:r w:rsidRPr="009F78F8">
              <w:rPr>
                <w:rStyle w:val="Hyperlink"/>
              </w:rPr>
              <w:t>Reasons for final decision</w:t>
            </w:r>
            <w:r>
              <w:rPr>
                <w:webHidden/>
              </w:rPr>
              <w:tab/>
            </w:r>
            <w:r>
              <w:rPr>
                <w:webHidden/>
              </w:rPr>
              <w:fldChar w:fldCharType="begin"/>
            </w:r>
            <w:r>
              <w:rPr>
                <w:webHidden/>
              </w:rPr>
              <w:instrText xml:space="preserve"> PAGEREF _Toc451530326 \h </w:instrText>
            </w:r>
            <w:r>
              <w:rPr>
                <w:webHidden/>
              </w:rPr>
            </w:r>
            <w:r>
              <w:rPr>
                <w:webHidden/>
              </w:rPr>
              <w:fldChar w:fldCharType="separate"/>
            </w:r>
            <w:r>
              <w:rPr>
                <w:webHidden/>
              </w:rPr>
              <w:t>10-7</w:t>
            </w:r>
            <w:r>
              <w:rPr>
                <w:webHidden/>
              </w:rPr>
              <w:fldChar w:fldCharType="end"/>
            </w:r>
          </w:hyperlink>
        </w:p>
        <w:p w:rsidR="00DE563D" w:rsidRDefault="00975E71" w:rsidP="00975E71">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51530321"/>
      <w:r>
        <w:t>Shortened forms</w:t>
      </w:r>
      <w:bookmarkEnd w:id="8"/>
      <w:bookmarkEnd w:id="9"/>
    </w:p>
    <w:tbl>
      <w:tblPr>
        <w:tblStyle w:val="AERtable-numbers2"/>
        <w:tblW w:w="0" w:type="auto"/>
        <w:tblLook w:val="04A0" w:firstRow="1" w:lastRow="0" w:firstColumn="1" w:lastColumn="0" w:noHBand="0" w:noVBand="1"/>
      </w:tblPr>
      <w:tblGrid>
        <w:gridCol w:w="2376"/>
        <w:gridCol w:w="6317"/>
      </w:tblGrid>
      <w:tr w:rsidR="00975E71" w:rsidRPr="00B2363F" w:rsidTr="00D715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tcPr>
          <w:p w:rsidR="00975E71" w:rsidRPr="00B2363F" w:rsidRDefault="00975E71" w:rsidP="00D71590">
            <w:pPr>
              <w:numPr>
                <w:ilvl w:val="0"/>
                <w:numId w:val="24"/>
              </w:numPr>
              <w:rPr>
                <w:lang w:eastAsia="en-US"/>
              </w:rPr>
            </w:pPr>
            <w:r w:rsidRPr="00B2363F">
              <w:rPr>
                <w:lang w:eastAsia="en-US"/>
              </w:rPr>
              <w:t>Shortened form</w:t>
            </w:r>
          </w:p>
        </w:tc>
        <w:tc>
          <w:tcPr>
            <w:tcW w:w="6317" w:type="dxa"/>
          </w:tcPr>
          <w:p w:rsidR="00975E71" w:rsidRPr="00B2363F" w:rsidRDefault="00975E71" w:rsidP="00D71590">
            <w:pPr>
              <w:numPr>
                <w:ilvl w:val="0"/>
                <w:numId w:val="24"/>
              </w:numPr>
              <w:cnfStyle w:val="100000000000" w:firstRow="1" w:lastRow="0" w:firstColumn="0" w:lastColumn="0" w:oddVBand="0" w:evenVBand="0" w:oddHBand="0" w:evenHBand="0" w:firstRowFirstColumn="0" w:firstRowLastColumn="0" w:lastRowFirstColumn="0" w:lastRowLastColumn="0"/>
              <w:rPr>
                <w:lang w:eastAsia="en-US"/>
              </w:rPr>
            </w:pPr>
            <w:r w:rsidRPr="00B2363F">
              <w:rPr>
                <w:lang w:eastAsia="en-US"/>
              </w:rPr>
              <w:t>Extended form</w:t>
            </w:r>
          </w:p>
        </w:tc>
      </w:tr>
      <w:tr w:rsidR="00F62F68" w:rsidRPr="00B2363F" w:rsidTr="00F62F68">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AA</w:t>
            </w:r>
          </w:p>
        </w:tc>
        <w:tc>
          <w:tcPr>
            <w:tcW w:w="6317" w:type="dxa"/>
          </w:tcPr>
          <w:p w:rsidR="00F62F68" w:rsidRPr="00F62F68" w:rsidRDefault="00F62F68" w:rsidP="00F62F68">
            <w:pPr>
              <w:cnfStyle w:val="000000000000" w:firstRow="0" w:lastRow="0" w:firstColumn="0" w:lastColumn="0" w:oddVBand="0" w:evenVBand="0" w:oddHBand="0" w:evenHBand="0" w:firstRowFirstColumn="0" w:firstRowLastColumn="0" w:lastRowFirstColumn="0" w:lastRowLastColumn="0"/>
            </w:pPr>
            <w:r w:rsidRPr="00F13601">
              <w:t>Access Arrangement</w:t>
            </w:r>
          </w:p>
        </w:tc>
      </w:tr>
      <w:tr w:rsidR="00F62F68" w:rsidRPr="00B2363F" w:rsidTr="00F62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AAI</w:t>
            </w:r>
          </w:p>
        </w:tc>
        <w:tc>
          <w:tcPr>
            <w:tcW w:w="6317" w:type="dxa"/>
          </w:tcPr>
          <w:p w:rsidR="00F62F68" w:rsidRPr="00F62F68" w:rsidRDefault="00F62F68" w:rsidP="00F62F68">
            <w:pPr>
              <w:cnfStyle w:val="000000010000" w:firstRow="0" w:lastRow="0" w:firstColumn="0" w:lastColumn="0" w:oddVBand="0" w:evenVBand="0" w:oddHBand="0" w:evenHBand="1" w:firstRowFirstColumn="0" w:firstRowLastColumn="0" w:lastRowFirstColumn="0" w:lastRowLastColumn="0"/>
            </w:pPr>
            <w:r w:rsidRPr="00F13601">
              <w:t>Access Arrangement Information</w:t>
            </w:r>
          </w:p>
        </w:tc>
      </w:tr>
      <w:tr w:rsidR="00F62F68" w:rsidRPr="00B2363F" w:rsidTr="00F62F68">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035E7">
              <w:t>APTNT</w:t>
            </w:r>
          </w:p>
        </w:tc>
        <w:tc>
          <w:tcPr>
            <w:tcW w:w="6317" w:type="dxa"/>
          </w:tcPr>
          <w:p w:rsidR="00F62F68" w:rsidRPr="00F13601" w:rsidRDefault="00F62F68" w:rsidP="00F62F68">
            <w:pPr>
              <w:numPr>
                <w:ilvl w:val="0"/>
                <w:numId w:val="24"/>
              </w:numPr>
              <w:cnfStyle w:val="000000000000" w:firstRow="0" w:lastRow="0" w:firstColumn="0" w:lastColumn="0" w:oddVBand="0" w:evenVBand="0" w:oddHBand="0" w:evenHBand="0" w:firstRowFirstColumn="0" w:firstRowLastColumn="0" w:lastRowFirstColumn="0" w:lastRowLastColumn="0"/>
            </w:pPr>
            <w:r w:rsidRPr="00F035E7">
              <w:t>APT Pipelines (NT) Pty Limited (APTNT)</w:t>
            </w:r>
          </w:p>
        </w:tc>
      </w:tr>
      <w:tr w:rsidR="00F62F68" w:rsidRPr="00B2363F" w:rsidTr="00F62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AER</w:t>
            </w:r>
          </w:p>
        </w:tc>
        <w:tc>
          <w:tcPr>
            <w:tcW w:w="6317" w:type="dxa"/>
          </w:tcPr>
          <w:p w:rsidR="00F62F68" w:rsidRPr="00F13601" w:rsidRDefault="00F62F68" w:rsidP="00F62F68">
            <w:pPr>
              <w:numPr>
                <w:ilvl w:val="0"/>
                <w:numId w:val="24"/>
              </w:numPr>
              <w:cnfStyle w:val="000000010000" w:firstRow="0" w:lastRow="0" w:firstColumn="0" w:lastColumn="0" w:oddVBand="0" w:evenVBand="0" w:oddHBand="0" w:evenHBand="1" w:firstRowFirstColumn="0" w:firstRowLastColumn="0" w:lastRowFirstColumn="0" w:lastRowLastColumn="0"/>
            </w:pPr>
            <w:r w:rsidRPr="00F13601">
              <w:t>Australian Energy Regulator</w:t>
            </w:r>
          </w:p>
        </w:tc>
      </w:tr>
      <w:tr w:rsidR="00F62F68" w:rsidRPr="00B2363F" w:rsidTr="00F62F68">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t>AGP</w:t>
            </w:r>
          </w:p>
        </w:tc>
        <w:tc>
          <w:tcPr>
            <w:tcW w:w="6317" w:type="dxa"/>
          </w:tcPr>
          <w:p w:rsidR="00F62F68" w:rsidRPr="00F62F68" w:rsidRDefault="00F62F68" w:rsidP="00F62F68">
            <w:pPr>
              <w:cnfStyle w:val="000000000000" w:firstRow="0" w:lastRow="0" w:firstColumn="0" w:lastColumn="0" w:oddVBand="0" w:evenVBand="0" w:oddHBand="0" w:evenHBand="0" w:firstRowFirstColumn="0" w:firstRowLastColumn="0" w:lastRowFirstColumn="0" w:lastRowLastColumn="0"/>
            </w:pPr>
            <w:r>
              <w:t>Amadeus Gas Pipeline</w:t>
            </w:r>
          </w:p>
        </w:tc>
      </w:tr>
      <w:tr w:rsidR="00F62F68" w:rsidRPr="00B2363F" w:rsidTr="00F62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ATO</w:t>
            </w:r>
          </w:p>
        </w:tc>
        <w:tc>
          <w:tcPr>
            <w:tcW w:w="6317" w:type="dxa"/>
          </w:tcPr>
          <w:p w:rsidR="00F62F68" w:rsidRPr="00F62F68" w:rsidRDefault="00F62F68" w:rsidP="00F62F68">
            <w:pPr>
              <w:cnfStyle w:val="000000010000" w:firstRow="0" w:lastRow="0" w:firstColumn="0" w:lastColumn="0" w:oddVBand="0" w:evenVBand="0" w:oddHBand="0" w:evenHBand="1" w:firstRowFirstColumn="0" w:firstRowLastColumn="0" w:lastRowFirstColumn="0" w:lastRowLastColumn="0"/>
            </w:pPr>
            <w:r w:rsidRPr="00F13601">
              <w:t>Australian Tax Office</w:t>
            </w:r>
          </w:p>
        </w:tc>
      </w:tr>
      <w:tr w:rsidR="00F62F68" w:rsidRPr="00B2363F" w:rsidTr="00F62F68">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capex</w:t>
            </w:r>
          </w:p>
        </w:tc>
        <w:tc>
          <w:tcPr>
            <w:tcW w:w="6317" w:type="dxa"/>
          </w:tcPr>
          <w:p w:rsidR="00F62F68" w:rsidRPr="00F13601" w:rsidRDefault="00F62F68" w:rsidP="00F62F68">
            <w:pPr>
              <w:numPr>
                <w:ilvl w:val="0"/>
                <w:numId w:val="24"/>
              </w:numPr>
              <w:cnfStyle w:val="000000000000" w:firstRow="0" w:lastRow="0" w:firstColumn="0" w:lastColumn="0" w:oddVBand="0" w:evenVBand="0" w:oddHBand="0" w:evenHBand="0" w:firstRowFirstColumn="0" w:firstRowLastColumn="0" w:lastRowFirstColumn="0" w:lastRowLastColumn="0"/>
            </w:pPr>
            <w:r w:rsidRPr="00F13601">
              <w:t>capital expenditure</w:t>
            </w:r>
          </w:p>
        </w:tc>
      </w:tr>
      <w:tr w:rsidR="00F62F68" w:rsidRPr="00B2363F" w:rsidTr="00F62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CAPM</w:t>
            </w:r>
          </w:p>
        </w:tc>
        <w:tc>
          <w:tcPr>
            <w:tcW w:w="6317" w:type="dxa"/>
          </w:tcPr>
          <w:p w:rsidR="00F62F68" w:rsidRPr="00F13601" w:rsidRDefault="00F62F68" w:rsidP="00F62F68">
            <w:pPr>
              <w:numPr>
                <w:ilvl w:val="0"/>
                <w:numId w:val="24"/>
              </w:numPr>
              <w:cnfStyle w:val="000000010000" w:firstRow="0" w:lastRow="0" w:firstColumn="0" w:lastColumn="0" w:oddVBand="0" w:evenVBand="0" w:oddHBand="0" w:evenHBand="1" w:firstRowFirstColumn="0" w:firstRowLastColumn="0" w:lastRowFirstColumn="0" w:lastRowLastColumn="0"/>
            </w:pPr>
            <w:r w:rsidRPr="00F13601">
              <w:t>capital asset pricing model</w:t>
            </w:r>
          </w:p>
        </w:tc>
      </w:tr>
      <w:tr w:rsidR="00F62F68" w:rsidRPr="00B2363F" w:rsidTr="00F62F68">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CPI</w:t>
            </w:r>
          </w:p>
        </w:tc>
        <w:tc>
          <w:tcPr>
            <w:tcW w:w="6317" w:type="dxa"/>
          </w:tcPr>
          <w:p w:rsidR="00F62F68" w:rsidRPr="00F13601" w:rsidRDefault="00F62F68" w:rsidP="00F62F68">
            <w:pPr>
              <w:numPr>
                <w:ilvl w:val="0"/>
                <w:numId w:val="24"/>
              </w:numPr>
              <w:cnfStyle w:val="000000000000" w:firstRow="0" w:lastRow="0" w:firstColumn="0" w:lastColumn="0" w:oddVBand="0" w:evenVBand="0" w:oddHBand="0" w:evenHBand="0" w:firstRowFirstColumn="0" w:firstRowLastColumn="0" w:lastRowFirstColumn="0" w:lastRowLastColumn="0"/>
            </w:pPr>
            <w:r w:rsidRPr="00F13601">
              <w:t>consumer price index</w:t>
            </w:r>
          </w:p>
        </w:tc>
      </w:tr>
      <w:tr w:rsidR="00F62F68" w:rsidRPr="00B2363F" w:rsidTr="00F62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DRP</w:t>
            </w:r>
          </w:p>
        </w:tc>
        <w:tc>
          <w:tcPr>
            <w:tcW w:w="6317" w:type="dxa"/>
          </w:tcPr>
          <w:p w:rsidR="00F62F68" w:rsidRPr="00F13601" w:rsidRDefault="00F62F68" w:rsidP="00F62F68">
            <w:pPr>
              <w:numPr>
                <w:ilvl w:val="0"/>
                <w:numId w:val="24"/>
              </w:numPr>
              <w:cnfStyle w:val="000000010000" w:firstRow="0" w:lastRow="0" w:firstColumn="0" w:lastColumn="0" w:oddVBand="0" w:evenVBand="0" w:oddHBand="0" w:evenHBand="1" w:firstRowFirstColumn="0" w:firstRowLastColumn="0" w:lastRowFirstColumn="0" w:lastRowLastColumn="0"/>
            </w:pPr>
            <w:r w:rsidRPr="00F13601">
              <w:t>debt risk premium</w:t>
            </w:r>
          </w:p>
        </w:tc>
      </w:tr>
      <w:tr w:rsidR="00F62F68" w:rsidRPr="00B2363F" w:rsidTr="00F62F68">
        <w:tc>
          <w:tcPr>
            <w:cnfStyle w:val="001000000000" w:firstRow="0" w:lastRow="0" w:firstColumn="1" w:lastColumn="0" w:oddVBand="0" w:evenVBand="0" w:oddHBand="0" w:evenHBand="0" w:firstRowFirstColumn="0" w:firstRowLastColumn="0" w:lastRowFirstColumn="0" w:lastRowLastColumn="0"/>
            <w:tcW w:w="2376" w:type="dxa"/>
          </w:tcPr>
          <w:p w:rsidR="00F62F68" w:rsidRPr="00B2363F" w:rsidRDefault="00F62F68" w:rsidP="00F62F68">
            <w:pPr>
              <w:numPr>
                <w:ilvl w:val="0"/>
                <w:numId w:val="24"/>
              </w:numPr>
            </w:pPr>
            <w:r>
              <w:t>ECM</w:t>
            </w:r>
          </w:p>
        </w:tc>
        <w:tc>
          <w:tcPr>
            <w:tcW w:w="6317" w:type="dxa"/>
          </w:tcPr>
          <w:p w:rsidR="00F62F68" w:rsidRPr="00F62F68" w:rsidRDefault="00F62F68" w:rsidP="00F62F68">
            <w:pPr>
              <w:cnfStyle w:val="000000000000" w:firstRow="0" w:lastRow="0" w:firstColumn="0" w:lastColumn="0" w:oddVBand="0" w:evenVBand="0" w:oddHBand="0" w:evenHBand="0" w:firstRowFirstColumn="0" w:firstRowLastColumn="0" w:lastRowFirstColumn="0" w:lastRowLastColumn="0"/>
            </w:pPr>
            <w:r>
              <w:t>Efficiency carryover mechanism</w:t>
            </w:r>
          </w:p>
        </w:tc>
      </w:tr>
      <w:tr w:rsidR="00F62F68" w:rsidRPr="00B2363F" w:rsidTr="00F62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ERP</w:t>
            </w:r>
          </w:p>
        </w:tc>
        <w:tc>
          <w:tcPr>
            <w:tcW w:w="6317" w:type="dxa"/>
          </w:tcPr>
          <w:p w:rsidR="00F62F68" w:rsidRPr="00F13601" w:rsidRDefault="00F62F68" w:rsidP="00F62F68">
            <w:pPr>
              <w:numPr>
                <w:ilvl w:val="0"/>
                <w:numId w:val="24"/>
              </w:numPr>
              <w:cnfStyle w:val="000000010000" w:firstRow="0" w:lastRow="0" w:firstColumn="0" w:lastColumn="0" w:oddVBand="0" w:evenVBand="0" w:oddHBand="0" w:evenHBand="1" w:firstRowFirstColumn="0" w:firstRowLastColumn="0" w:lastRowFirstColumn="0" w:lastRowLastColumn="0"/>
            </w:pPr>
            <w:r w:rsidRPr="00F13601">
              <w:t>equity risk premium</w:t>
            </w:r>
          </w:p>
        </w:tc>
      </w:tr>
      <w:tr w:rsidR="00F62F68" w:rsidRPr="00B2363F" w:rsidTr="00F62F68">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Expenditure Guideline</w:t>
            </w:r>
          </w:p>
        </w:tc>
        <w:tc>
          <w:tcPr>
            <w:tcW w:w="6317" w:type="dxa"/>
          </w:tcPr>
          <w:p w:rsidR="00F62F68" w:rsidRPr="00F62F68" w:rsidRDefault="00F62F68" w:rsidP="00F62F68">
            <w:pPr>
              <w:cnfStyle w:val="000000000000" w:firstRow="0" w:lastRow="0" w:firstColumn="0" w:lastColumn="0" w:oddVBand="0" w:evenVBand="0" w:oddHBand="0" w:evenHBand="0" w:firstRowFirstColumn="0" w:firstRowLastColumn="0" w:lastRowFirstColumn="0" w:lastRowLastColumn="0"/>
            </w:pPr>
            <w:r w:rsidRPr="00F13601">
              <w:t>Expenditure Forecast Assessment Guideline</w:t>
            </w:r>
          </w:p>
        </w:tc>
      </w:tr>
      <w:tr w:rsidR="00F62F68" w:rsidRPr="00B2363F" w:rsidTr="00F62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gamma</w:t>
            </w:r>
          </w:p>
        </w:tc>
        <w:tc>
          <w:tcPr>
            <w:tcW w:w="6317" w:type="dxa"/>
          </w:tcPr>
          <w:p w:rsidR="00F62F68" w:rsidRPr="00F62F68" w:rsidRDefault="00F62F68" w:rsidP="00F62F68">
            <w:pPr>
              <w:cnfStyle w:val="000000010000" w:firstRow="0" w:lastRow="0" w:firstColumn="0" w:lastColumn="0" w:oddVBand="0" w:evenVBand="0" w:oddHBand="0" w:evenHBand="1" w:firstRowFirstColumn="0" w:firstRowLastColumn="0" w:lastRowFirstColumn="0" w:lastRowLastColumn="0"/>
            </w:pPr>
            <w:r>
              <w:t>v</w:t>
            </w:r>
            <w:r w:rsidRPr="00F62F68">
              <w:t>alue of imputation credits</w:t>
            </w:r>
          </w:p>
        </w:tc>
      </w:tr>
      <w:tr w:rsidR="00F62F68" w:rsidRPr="00B2363F" w:rsidTr="00F62F68">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GTA</w:t>
            </w:r>
          </w:p>
        </w:tc>
        <w:tc>
          <w:tcPr>
            <w:tcW w:w="6317" w:type="dxa"/>
          </w:tcPr>
          <w:p w:rsidR="00F62F68" w:rsidRPr="00F62F68" w:rsidRDefault="00F62F68" w:rsidP="00F62F68">
            <w:pPr>
              <w:cnfStyle w:val="000000000000" w:firstRow="0" w:lastRow="0" w:firstColumn="0" w:lastColumn="0" w:oddVBand="0" w:evenVBand="0" w:oddHBand="0" w:evenHBand="0" w:firstRowFirstColumn="0" w:firstRowLastColumn="0" w:lastRowFirstColumn="0" w:lastRowLastColumn="0"/>
            </w:pPr>
            <w:r>
              <w:t>G</w:t>
            </w:r>
            <w:r w:rsidRPr="00F62F68">
              <w:t>as Transport Services Agreement</w:t>
            </w:r>
          </w:p>
        </w:tc>
      </w:tr>
      <w:tr w:rsidR="00F62F68" w:rsidRPr="00B2363F" w:rsidTr="00F62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MRP</w:t>
            </w:r>
          </w:p>
        </w:tc>
        <w:tc>
          <w:tcPr>
            <w:tcW w:w="6317" w:type="dxa"/>
          </w:tcPr>
          <w:p w:rsidR="00F62F68" w:rsidRPr="00F13601" w:rsidRDefault="00F62F68" w:rsidP="00F62F68">
            <w:pPr>
              <w:numPr>
                <w:ilvl w:val="0"/>
                <w:numId w:val="24"/>
              </w:numPr>
              <w:cnfStyle w:val="000000010000" w:firstRow="0" w:lastRow="0" w:firstColumn="0" w:lastColumn="0" w:oddVBand="0" w:evenVBand="0" w:oddHBand="0" w:evenHBand="1" w:firstRowFirstColumn="0" w:firstRowLastColumn="0" w:lastRowFirstColumn="0" w:lastRowLastColumn="0"/>
            </w:pPr>
            <w:r w:rsidRPr="00F13601">
              <w:t>market risk premium</w:t>
            </w:r>
          </w:p>
        </w:tc>
      </w:tr>
      <w:tr w:rsidR="00F62F68" w:rsidRPr="00B2363F" w:rsidTr="00F62F68">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N</w:t>
            </w:r>
            <w:r>
              <w:t>GP</w:t>
            </w:r>
          </w:p>
        </w:tc>
        <w:tc>
          <w:tcPr>
            <w:tcW w:w="6317" w:type="dxa"/>
          </w:tcPr>
          <w:p w:rsidR="00F62F68" w:rsidRPr="00F13601" w:rsidRDefault="00F62F68" w:rsidP="00F62F68">
            <w:pPr>
              <w:numPr>
                <w:ilvl w:val="0"/>
                <w:numId w:val="24"/>
              </w:numPr>
              <w:cnfStyle w:val="000000000000" w:firstRow="0" w:lastRow="0" w:firstColumn="0" w:lastColumn="0" w:oddVBand="0" w:evenVBand="0" w:oddHBand="0" w:evenHBand="0" w:firstRowFirstColumn="0" w:firstRowLastColumn="0" w:lastRowFirstColumn="0" w:lastRowLastColumn="0"/>
            </w:pPr>
            <w:r>
              <w:t>Northern Gas Pipeline (formerly North East Gas Interconnector/NEGI)</w:t>
            </w:r>
          </w:p>
        </w:tc>
      </w:tr>
      <w:tr w:rsidR="00F62F68" w:rsidRPr="00B2363F" w:rsidTr="00F62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NGL</w:t>
            </w:r>
          </w:p>
        </w:tc>
        <w:tc>
          <w:tcPr>
            <w:tcW w:w="6317" w:type="dxa"/>
          </w:tcPr>
          <w:p w:rsidR="00F62F68" w:rsidRPr="00F13601" w:rsidRDefault="00F62F68" w:rsidP="00F62F68">
            <w:pPr>
              <w:numPr>
                <w:ilvl w:val="0"/>
                <w:numId w:val="24"/>
              </w:numPr>
              <w:cnfStyle w:val="000000010000" w:firstRow="0" w:lastRow="0" w:firstColumn="0" w:lastColumn="0" w:oddVBand="0" w:evenVBand="0" w:oddHBand="0" w:evenHBand="1" w:firstRowFirstColumn="0" w:firstRowLastColumn="0" w:lastRowFirstColumn="0" w:lastRowLastColumn="0"/>
            </w:pPr>
            <w:r>
              <w:t>N</w:t>
            </w:r>
            <w:r w:rsidRPr="00F13601">
              <w:t xml:space="preserve">ational </w:t>
            </w:r>
            <w:r>
              <w:t>G</w:t>
            </w:r>
            <w:r w:rsidRPr="00F13601">
              <w:t xml:space="preserve">as </w:t>
            </w:r>
            <w:r>
              <w:t>L</w:t>
            </w:r>
            <w:r w:rsidRPr="00F13601">
              <w:t>aw</w:t>
            </w:r>
          </w:p>
        </w:tc>
      </w:tr>
      <w:tr w:rsidR="00F62F68" w:rsidRPr="00B2363F" w:rsidTr="00F62F68">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NGO</w:t>
            </w:r>
          </w:p>
        </w:tc>
        <w:tc>
          <w:tcPr>
            <w:tcW w:w="6317" w:type="dxa"/>
          </w:tcPr>
          <w:p w:rsidR="00F62F68" w:rsidRPr="00F13601" w:rsidRDefault="00F62F68" w:rsidP="00F62F68">
            <w:pPr>
              <w:numPr>
                <w:ilvl w:val="0"/>
                <w:numId w:val="24"/>
              </w:numPr>
              <w:cnfStyle w:val="000000000000" w:firstRow="0" w:lastRow="0" w:firstColumn="0" w:lastColumn="0" w:oddVBand="0" w:evenVBand="0" w:oddHBand="0" w:evenHBand="0" w:firstRowFirstColumn="0" w:firstRowLastColumn="0" w:lastRowFirstColumn="0" w:lastRowLastColumn="0"/>
            </w:pPr>
            <w:r>
              <w:t>N</w:t>
            </w:r>
            <w:r w:rsidRPr="00F13601">
              <w:t xml:space="preserve">ational </w:t>
            </w:r>
            <w:r>
              <w:t>G</w:t>
            </w:r>
            <w:r w:rsidRPr="00F13601">
              <w:t xml:space="preserve">as </w:t>
            </w:r>
            <w:r>
              <w:t>O</w:t>
            </w:r>
            <w:r w:rsidRPr="00F13601">
              <w:t>bjective</w:t>
            </w:r>
          </w:p>
        </w:tc>
      </w:tr>
      <w:tr w:rsidR="00F62F68" w:rsidRPr="00B2363F" w:rsidTr="00F62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NGR</w:t>
            </w:r>
          </w:p>
        </w:tc>
        <w:tc>
          <w:tcPr>
            <w:tcW w:w="6317" w:type="dxa"/>
          </w:tcPr>
          <w:p w:rsidR="00F62F68" w:rsidRPr="00F13601" w:rsidRDefault="00F62F68" w:rsidP="00F62F68">
            <w:pPr>
              <w:numPr>
                <w:ilvl w:val="0"/>
                <w:numId w:val="24"/>
              </w:numPr>
              <w:cnfStyle w:val="000000010000" w:firstRow="0" w:lastRow="0" w:firstColumn="0" w:lastColumn="0" w:oddVBand="0" w:evenVBand="0" w:oddHBand="0" w:evenHBand="1" w:firstRowFirstColumn="0" w:firstRowLastColumn="0" w:lastRowFirstColumn="0" w:lastRowLastColumn="0"/>
            </w:pPr>
            <w:r>
              <w:t>N</w:t>
            </w:r>
            <w:r w:rsidRPr="00F13601">
              <w:t xml:space="preserve">ational </w:t>
            </w:r>
            <w:r>
              <w:t>G</w:t>
            </w:r>
            <w:r w:rsidRPr="00F13601">
              <w:t xml:space="preserve">as </w:t>
            </w:r>
            <w:r>
              <w:t>R</w:t>
            </w:r>
            <w:r w:rsidRPr="00F13601">
              <w:t>ules</w:t>
            </w:r>
          </w:p>
        </w:tc>
      </w:tr>
      <w:tr w:rsidR="00F62F68" w:rsidRPr="00B2363F" w:rsidTr="00F62F68">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NPV</w:t>
            </w:r>
          </w:p>
        </w:tc>
        <w:tc>
          <w:tcPr>
            <w:tcW w:w="6317" w:type="dxa"/>
          </w:tcPr>
          <w:p w:rsidR="00F62F68" w:rsidRPr="00F62F68" w:rsidRDefault="00F62F68" w:rsidP="00F62F68">
            <w:pPr>
              <w:cnfStyle w:val="000000000000" w:firstRow="0" w:lastRow="0" w:firstColumn="0" w:lastColumn="0" w:oddVBand="0" w:evenVBand="0" w:oddHBand="0" w:evenHBand="0" w:firstRowFirstColumn="0" w:firstRowLastColumn="0" w:lastRowFirstColumn="0" w:lastRowLastColumn="0"/>
            </w:pPr>
            <w:r w:rsidRPr="00F13601">
              <w:t>net present value</w:t>
            </w:r>
          </w:p>
        </w:tc>
      </w:tr>
      <w:tr w:rsidR="00F62F68" w:rsidRPr="00B2363F" w:rsidTr="00F62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opex</w:t>
            </w:r>
          </w:p>
        </w:tc>
        <w:tc>
          <w:tcPr>
            <w:tcW w:w="6317" w:type="dxa"/>
          </w:tcPr>
          <w:p w:rsidR="00F62F68" w:rsidRPr="00F13601" w:rsidRDefault="00F62F68" w:rsidP="00F62F68">
            <w:pPr>
              <w:numPr>
                <w:ilvl w:val="0"/>
                <w:numId w:val="24"/>
              </w:numPr>
              <w:cnfStyle w:val="000000010000" w:firstRow="0" w:lastRow="0" w:firstColumn="0" w:lastColumn="0" w:oddVBand="0" w:evenVBand="0" w:oddHBand="0" w:evenHBand="1" w:firstRowFirstColumn="0" w:firstRowLastColumn="0" w:lastRowFirstColumn="0" w:lastRowLastColumn="0"/>
            </w:pPr>
            <w:r w:rsidRPr="00F13601">
              <w:t>operating expenditure</w:t>
            </w:r>
          </w:p>
        </w:tc>
      </w:tr>
      <w:tr w:rsidR="00F62F68" w:rsidRPr="00B2363F" w:rsidTr="00F62F68">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PTRM</w:t>
            </w:r>
          </w:p>
        </w:tc>
        <w:tc>
          <w:tcPr>
            <w:tcW w:w="6317" w:type="dxa"/>
          </w:tcPr>
          <w:p w:rsidR="00F62F68" w:rsidRPr="00F13601" w:rsidRDefault="00F62F68" w:rsidP="00F62F68">
            <w:pPr>
              <w:numPr>
                <w:ilvl w:val="0"/>
                <w:numId w:val="24"/>
              </w:numPr>
              <w:cnfStyle w:val="000000000000" w:firstRow="0" w:lastRow="0" w:firstColumn="0" w:lastColumn="0" w:oddVBand="0" w:evenVBand="0" w:oddHBand="0" w:evenHBand="0" w:firstRowFirstColumn="0" w:firstRowLastColumn="0" w:lastRowFirstColumn="0" w:lastRowLastColumn="0"/>
            </w:pPr>
            <w:r w:rsidRPr="00F13601">
              <w:t>post-tax revenue model</w:t>
            </w:r>
          </w:p>
        </w:tc>
      </w:tr>
      <w:tr w:rsidR="00F62F68" w:rsidRPr="00B2363F" w:rsidTr="00F62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RBA</w:t>
            </w:r>
          </w:p>
        </w:tc>
        <w:tc>
          <w:tcPr>
            <w:tcW w:w="6317" w:type="dxa"/>
          </w:tcPr>
          <w:p w:rsidR="00F62F68" w:rsidRPr="00F13601" w:rsidRDefault="00F62F68" w:rsidP="00F62F68">
            <w:pPr>
              <w:numPr>
                <w:ilvl w:val="0"/>
                <w:numId w:val="24"/>
              </w:numPr>
              <w:cnfStyle w:val="000000010000" w:firstRow="0" w:lastRow="0" w:firstColumn="0" w:lastColumn="0" w:oddVBand="0" w:evenVBand="0" w:oddHBand="0" w:evenHBand="1" w:firstRowFirstColumn="0" w:firstRowLastColumn="0" w:lastRowFirstColumn="0" w:lastRowLastColumn="0"/>
            </w:pPr>
            <w:r w:rsidRPr="00F13601">
              <w:t>Reserve Bank of Australia</w:t>
            </w:r>
          </w:p>
        </w:tc>
      </w:tr>
      <w:tr w:rsidR="00F62F68" w:rsidRPr="00B2363F" w:rsidTr="00F62F68">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RFM</w:t>
            </w:r>
          </w:p>
        </w:tc>
        <w:tc>
          <w:tcPr>
            <w:tcW w:w="6317" w:type="dxa"/>
          </w:tcPr>
          <w:p w:rsidR="00F62F68" w:rsidRPr="00F13601" w:rsidRDefault="00F62F68" w:rsidP="00F62F68">
            <w:pPr>
              <w:numPr>
                <w:ilvl w:val="0"/>
                <w:numId w:val="24"/>
              </w:numPr>
              <w:cnfStyle w:val="000000000000" w:firstRow="0" w:lastRow="0" w:firstColumn="0" w:lastColumn="0" w:oddVBand="0" w:evenVBand="0" w:oddHBand="0" w:evenHBand="0" w:firstRowFirstColumn="0" w:firstRowLastColumn="0" w:lastRowFirstColumn="0" w:lastRowLastColumn="0"/>
            </w:pPr>
            <w:r w:rsidRPr="00F13601">
              <w:t>roll forward model</w:t>
            </w:r>
          </w:p>
        </w:tc>
      </w:tr>
      <w:tr w:rsidR="00F62F68" w:rsidRPr="00B2363F" w:rsidTr="00F62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RIN</w:t>
            </w:r>
          </w:p>
        </w:tc>
        <w:tc>
          <w:tcPr>
            <w:tcW w:w="6317" w:type="dxa"/>
          </w:tcPr>
          <w:p w:rsidR="00F62F68" w:rsidRPr="00F13601" w:rsidRDefault="00F62F68" w:rsidP="00F62F68">
            <w:pPr>
              <w:numPr>
                <w:ilvl w:val="0"/>
                <w:numId w:val="24"/>
              </w:numPr>
              <w:cnfStyle w:val="000000010000" w:firstRow="0" w:lastRow="0" w:firstColumn="0" w:lastColumn="0" w:oddVBand="0" w:evenVBand="0" w:oddHBand="0" w:evenHBand="1" w:firstRowFirstColumn="0" w:firstRowLastColumn="0" w:lastRowFirstColumn="0" w:lastRowLastColumn="0"/>
            </w:pPr>
            <w:r w:rsidRPr="00F13601">
              <w:t>regulatory information notice</w:t>
            </w:r>
          </w:p>
        </w:tc>
      </w:tr>
      <w:tr w:rsidR="00F62F68" w:rsidRPr="00B2363F" w:rsidTr="00F62F68">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RPP</w:t>
            </w:r>
          </w:p>
        </w:tc>
        <w:tc>
          <w:tcPr>
            <w:tcW w:w="6317" w:type="dxa"/>
          </w:tcPr>
          <w:p w:rsidR="00F62F68" w:rsidRPr="00F13601" w:rsidRDefault="00F62F68" w:rsidP="00F62F68">
            <w:pPr>
              <w:numPr>
                <w:ilvl w:val="0"/>
                <w:numId w:val="24"/>
              </w:numPr>
              <w:cnfStyle w:val="000000000000" w:firstRow="0" w:lastRow="0" w:firstColumn="0" w:lastColumn="0" w:oddVBand="0" w:evenVBand="0" w:oddHBand="0" w:evenHBand="0" w:firstRowFirstColumn="0" w:firstRowLastColumn="0" w:lastRowFirstColumn="0" w:lastRowLastColumn="0"/>
            </w:pPr>
            <w:r w:rsidRPr="00F13601">
              <w:t>revenue and pricing principles</w:t>
            </w:r>
          </w:p>
        </w:tc>
      </w:tr>
      <w:tr w:rsidR="00F62F68" w:rsidRPr="00B2363F" w:rsidTr="00F62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SLCAPM</w:t>
            </w:r>
          </w:p>
        </w:tc>
        <w:tc>
          <w:tcPr>
            <w:tcW w:w="6317" w:type="dxa"/>
          </w:tcPr>
          <w:p w:rsidR="00F62F68" w:rsidRPr="00F13601" w:rsidRDefault="00F62F68" w:rsidP="00F62F68">
            <w:pPr>
              <w:numPr>
                <w:ilvl w:val="0"/>
                <w:numId w:val="24"/>
              </w:numPr>
              <w:cnfStyle w:val="000000010000" w:firstRow="0" w:lastRow="0" w:firstColumn="0" w:lastColumn="0" w:oddVBand="0" w:evenVBand="0" w:oddHBand="0" w:evenHBand="1" w:firstRowFirstColumn="0" w:firstRowLastColumn="0" w:lastRowFirstColumn="0" w:lastRowLastColumn="0"/>
            </w:pPr>
            <w:r w:rsidRPr="00F13601">
              <w:t>Sharpe-</w:t>
            </w:r>
            <w:proofErr w:type="spellStart"/>
            <w:r w:rsidRPr="00F13601">
              <w:t>Lintner</w:t>
            </w:r>
            <w:proofErr w:type="spellEnd"/>
            <w:r w:rsidRPr="00F13601">
              <w:t xml:space="preserve"> capital asset pricing model</w:t>
            </w:r>
          </w:p>
        </w:tc>
      </w:tr>
      <w:tr w:rsidR="00F62F68" w:rsidRPr="00B2363F" w:rsidTr="00F62F68">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TAB</w:t>
            </w:r>
          </w:p>
        </w:tc>
        <w:tc>
          <w:tcPr>
            <w:tcW w:w="6317" w:type="dxa"/>
          </w:tcPr>
          <w:p w:rsidR="00F62F68" w:rsidRPr="00F62F68" w:rsidRDefault="00F62F68" w:rsidP="00F62F68">
            <w:pPr>
              <w:cnfStyle w:val="000000000000" w:firstRow="0" w:lastRow="0" w:firstColumn="0" w:lastColumn="0" w:oddVBand="0" w:evenVBand="0" w:oddHBand="0" w:evenHBand="0" w:firstRowFirstColumn="0" w:firstRowLastColumn="0" w:lastRowFirstColumn="0" w:lastRowLastColumn="0"/>
            </w:pPr>
            <w:r>
              <w:t>t</w:t>
            </w:r>
            <w:r w:rsidRPr="00F62F68">
              <w:t>ax asset base</w:t>
            </w:r>
          </w:p>
        </w:tc>
      </w:tr>
      <w:tr w:rsidR="00F62F68" w:rsidRPr="00B2363F" w:rsidTr="00F62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UAFG</w:t>
            </w:r>
          </w:p>
        </w:tc>
        <w:tc>
          <w:tcPr>
            <w:tcW w:w="6317" w:type="dxa"/>
          </w:tcPr>
          <w:p w:rsidR="00F62F68" w:rsidRPr="00F62F68" w:rsidRDefault="00F62F68" w:rsidP="00F62F68">
            <w:pPr>
              <w:cnfStyle w:val="000000010000" w:firstRow="0" w:lastRow="0" w:firstColumn="0" w:lastColumn="0" w:oddVBand="0" w:evenVBand="0" w:oddHBand="0" w:evenHBand="1" w:firstRowFirstColumn="0" w:firstRowLastColumn="0" w:lastRowFirstColumn="0" w:lastRowLastColumn="0"/>
            </w:pPr>
            <w:r>
              <w:t>u</w:t>
            </w:r>
            <w:r w:rsidRPr="00F62F68">
              <w:t>naccounted for gas</w:t>
            </w:r>
          </w:p>
        </w:tc>
      </w:tr>
      <w:tr w:rsidR="00F62F68" w:rsidRPr="00B2363F" w:rsidTr="00F62F68">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WACC</w:t>
            </w:r>
          </w:p>
        </w:tc>
        <w:tc>
          <w:tcPr>
            <w:tcW w:w="6317" w:type="dxa"/>
          </w:tcPr>
          <w:p w:rsidR="00F62F68" w:rsidRPr="00F13601" w:rsidRDefault="00F62F68" w:rsidP="00F62F68">
            <w:pPr>
              <w:numPr>
                <w:ilvl w:val="0"/>
                <w:numId w:val="24"/>
              </w:numPr>
              <w:cnfStyle w:val="000000000000" w:firstRow="0" w:lastRow="0" w:firstColumn="0" w:lastColumn="0" w:oddVBand="0" w:evenVBand="0" w:oddHBand="0" w:evenHBand="0" w:firstRowFirstColumn="0" w:firstRowLastColumn="0" w:lastRowFirstColumn="0" w:lastRowLastColumn="0"/>
            </w:pPr>
            <w:r w:rsidRPr="00F13601">
              <w:t>weighted average cost of capital</w:t>
            </w:r>
          </w:p>
        </w:tc>
      </w:tr>
      <w:tr w:rsidR="00F62F68" w:rsidRPr="00B2363F" w:rsidTr="00F62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62F68" w:rsidRPr="00F13601" w:rsidRDefault="00F62F68" w:rsidP="00F62F68">
            <w:pPr>
              <w:numPr>
                <w:ilvl w:val="0"/>
                <w:numId w:val="24"/>
              </w:numPr>
            </w:pPr>
            <w:r w:rsidRPr="00F13601">
              <w:t>WPI</w:t>
            </w:r>
          </w:p>
        </w:tc>
        <w:tc>
          <w:tcPr>
            <w:tcW w:w="6317" w:type="dxa"/>
          </w:tcPr>
          <w:p w:rsidR="00F62F68" w:rsidRPr="00F62F68" w:rsidRDefault="00F62F68" w:rsidP="00F62F68">
            <w:pPr>
              <w:cnfStyle w:val="000000010000" w:firstRow="0" w:lastRow="0" w:firstColumn="0" w:lastColumn="0" w:oddVBand="0" w:evenVBand="0" w:oddHBand="0" w:evenHBand="1" w:firstRowFirstColumn="0" w:firstRowLastColumn="0" w:lastRowFirstColumn="0" w:lastRowLastColumn="0"/>
            </w:pPr>
            <w:r w:rsidRPr="00F13601">
              <w:t>Wage Price Index</w:t>
            </w:r>
          </w:p>
        </w:tc>
      </w:tr>
    </w:tbl>
    <w:p w:rsidR="00DE563D" w:rsidRDefault="009D2B38" w:rsidP="00301F1F">
      <w:pPr>
        <w:pStyle w:val="Heading1"/>
      </w:pPr>
      <w:bookmarkStart w:id="10" w:name="_Toc451530322"/>
      <w:r>
        <w:t xml:space="preserve">Reference tariff </w:t>
      </w:r>
      <w:r w:rsidR="00CF598F">
        <w:t>setting</w:t>
      </w:r>
      <w:bookmarkEnd w:id="10"/>
    </w:p>
    <w:p w:rsidR="000048EC" w:rsidRPr="00135746" w:rsidRDefault="000048EC" w:rsidP="000048EC">
      <w:r>
        <w:t xml:space="preserve">This attachment outlines our assessment of the reference tariffs proposed by </w:t>
      </w:r>
      <w:r w:rsidRPr="00167BB9">
        <w:t>APT</w:t>
      </w:r>
      <w:r>
        <w:t> </w:t>
      </w:r>
      <w:r w:rsidRPr="00167BB9">
        <w:t xml:space="preserve">Pipelines (NT) Pty Limited (APTNT) </w:t>
      </w:r>
      <w:r>
        <w:t>for its transmission network against the requirements of the National Gas Rules</w:t>
      </w:r>
      <w:r w:rsidR="00975E71">
        <w:t xml:space="preserve"> (NGR)</w:t>
      </w:r>
      <w:r>
        <w:t>. Our assessment focuses on the structure of reference tariffs and takes into account the revenue and pricing principles.</w:t>
      </w:r>
      <w:r>
        <w:rPr>
          <w:rStyle w:val="FootnoteReference"/>
        </w:rPr>
        <w:footnoteReference w:id="1"/>
      </w:r>
    </w:p>
    <w:p w:rsidR="00A2303E" w:rsidRDefault="00A2303E" w:rsidP="00A2303E">
      <w:pPr>
        <w:pStyle w:val="Heading2"/>
      </w:pPr>
      <w:bookmarkStart w:id="11" w:name="_Toc408404320"/>
      <w:bookmarkStart w:id="12" w:name="_Toc419366913"/>
      <w:bookmarkStart w:id="13" w:name="_Toc451530323"/>
      <w:r>
        <w:t>Final</w:t>
      </w:r>
      <w:r w:rsidRPr="0074565D">
        <w:t xml:space="preserve"> decision</w:t>
      </w:r>
      <w:bookmarkEnd w:id="11"/>
      <w:bookmarkEnd w:id="12"/>
      <w:bookmarkEnd w:id="13"/>
    </w:p>
    <w:p w:rsidR="003B42C9" w:rsidRDefault="003F1E11" w:rsidP="003B42C9">
      <w:r>
        <w:t>For the reasons set out in</w:t>
      </w:r>
      <w:r w:rsidR="003B42C9" w:rsidRPr="00A60C08">
        <w:t xml:space="preserve"> our draft decision, </w:t>
      </w:r>
      <w:r w:rsidR="003B42C9">
        <w:t>our final decision accepts</w:t>
      </w:r>
      <w:r w:rsidR="003B42C9" w:rsidRPr="003B42C9">
        <w:t xml:space="preserve"> APTNT’s proposed structure of reference tariffs for the 2016–21 access arrangement </w:t>
      </w:r>
      <w:proofErr w:type="gramStart"/>
      <w:r w:rsidR="003B42C9" w:rsidRPr="003B42C9">
        <w:t>period</w:t>
      </w:r>
      <w:proofErr w:type="gramEnd"/>
      <w:r w:rsidR="003B42C9" w:rsidRPr="003B42C9">
        <w:t>.</w:t>
      </w:r>
      <w:r w:rsidR="00346DC5">
        <w:rPr>
          <w:rStyle w:val="FootnoteReference"/>
        </w:rPr>
        <w:footnoteReference w:id="2"/>
      </w:r>
      <w:r w:rsidR="003B42C9" w:rsidRPr="003B42C9">
        <w:t xml:space="preserve"> We are satisfied the proposed structure of the reference tariffs complies with the requirements of the NGR.</w:t>
      </w:r>
      <w:r w:rsidR="003B42C9">
        <w:rPr>
          <w:rStyle w:val="FootnoteReference"/>
        </w:rPr>
        <w:footnoteReference w:id="3"/>
      </w:r>
    </w:p>
    <w:p w:rsidR="003F1E11" w:rsidRPr="003F1E11" w:rsidRDefault="003B42C9" w:rsidP="003F1E11">
      <w:r>
        <w:t>Nevertheless, the quantum of the proposed reference tariffs must be amended to reflect our final decision</w:t>
      </w:r>
      <w:r w:rsidR="00B177B2">
        <w:t xml:space="preserve"> forecast demand and</w:t>
      </w:r>
      <w:r>
        <w:t xml:space="preserve"> revenue allowance</w:t>
      </w:r>
      <w:r w:rsidR="0067269C">
        <w:t xml:space="preserve"> set out in this final decision</w:t>
      </w:r>
      <w:r>
        <w:t>.</w:t>
      </w:r>
      <w:r w:rsidR="003F1E11">
        <w:t xml:space="preserve"> Our </w:t>
      </w:r>
      <w:r w:rsidR="003F1E11" w:rsidRPr="003F1E11">
        <w:t xml:space="preserve">revisions </w:t>
      </w:r>
      <w:r w:rsidR="003F1E11">
        <w:t xml:space="preserve">are reflected </w:t>
      </w:r>
      <w:r w:rsidR="003F1E11" w:rsidRPr="003F1E11">
        <w:t xml:space="preserve">in schedule 1 of the </w:t>
      </w:r>
      <w:r w:rsidR="003F1E11" w:rsidRPr="00975E71">
        <w:rPr>
          <w:rStyle w:val="Emphasis"/>
        </w:rPr>
        <w:t>Approved Access Arrangement for the Amadeus Gas Pipeline 1 July 2016 to 30 June 2021</w:t>
      </w:r>
      <w:r w:rsidR="003F1E11" w:rsidRPr="003F1E11">
        <w:t xml:space="preserve">, which </w:t>
      </w:r>
      <w:r w:rsidR="003F1E11">
        <w:t>gives effect to this decision.</w:t>
      </w:r>
    </w:p>
    <w:p w:rsidR="00A2303E" w:rsidRDefault="00A2303E" w:rsidP="00A2303E">
      <w:pPr>
        <w:pStyle w:val="Heading2"/>
      </w:pPr>
      <w:bookmarkStart w:id="14" w:name="_Toc419366914"/>
      <w:bookmarkStart w:id="15" w:name="_Toc451530324"/>
      <w:r>
        <w:t xml:space="preserve">APTNT’s </w:t>
      </w:r>
      <w:r w:rsidR="006E117C">
        <w:t xml:space="preserve">revised </w:t>
      </w:r>
      <w:r>
        <w:t>proposal</w:t>
      </w:r>
      <w:bookmarkEnd w:id="14"/>
      <w:bookmarkEnd w:id="15"/>
    </w:p>
    <w:p w:rsidR="00123CE5" w:rsidRDefault="003B42C9" w:rsidP="003B42C9">
      <w:r>
        <w:t>APTNT</w:t>
      </w:r>
      <w:r w:rsidRPr="00A60C08">
        <w:t>'s revised proposal</w:t>
      </w:r>
      <w:r>
        <w:t xml:space="preserve"> </w:t>
      </w:r>
      <w:r w:rsidR="00346DC5">
        <w:t xml:space="preserve">did not contain any changes to </w:t>
      </w:r>
      <w:r w:rsidR="00975E71">
        <w:t xml:space="preserve">the </w:t>
      </w:r>
      <w:r w:rsidR="00346DC5">
        <w:t>proposed structure of reference tariffs approved in our draft decision.</w:t>
      </w:r>
      <w:r w:rsidR="00346DC5">
        <w:rPr>
          <w:rStyle w:val="FootnoteReference"/>
        </w:rPr>
        <w:footnoteReference w:id="4"/>
      </w:r>
      <w:r w:rsidR="00123CE5">
        <w:t xml:space="preserve"> </w:t>
      </w:r>
    </w:p>
    <w:p w:rsidR="003B42C9" w:rsidRPr="003B42C9" w:rsidRDefault="00123CE5" w:rsidP="003B42C9">
      <w:r w:rsidRPr="00123CE5">
        <w:t xml:space="preserve">APTNT proposed a single tariff class and a single tariff for the 2016–21 access arrangement </w:t>
      </w:r>
      <w:proofErr w:type="gramStart"/>
      <w:r w:rsidRPr="00123CE5">
        <w:t>period</w:t>
      </w:r>
      <w:proofErr w:type="gramEnd"/>
      <w:r w:rsidRPr="00123CE5">
        <w:t>.</w:t>
      </w:r>
      <w:r>
        <w:rPr>
          <w:rStyle w:val="FootnoteReference"/>
        </w:rPr>
        <w:footnoteReference w:id="5"/>
      </w:r>
      <w:r w:rsidRPr="00123CE5">
        <w:t xml:space="preserve"> It considers there is only one class of pipeline user, being users supplying mining or generation facilities. </w:t>
      </w:r>
      <w:r>
        <w:t>T</w:t>
      </w:r>
      <w:r w:rsidRPr="00123CE5">
        <w:t xml:space="preserve">he proposed reference tariff structure is consistent with </w:t>
      </w:r>
      <w:r w:rsidR="000B6699">
        <w:t xml:space="preserve">that in </w:t>
      </w:r>
      <w:r w:rsidRPr="00123CE5">
        <w:t>the current access arrangement period which is a capacity tariff based on firm Maximum Daily Quantities (MDQs) at each delivery point.</w:t>
      </w:r>
    </w:p>
    <w:p w:rsidR="00A2303E" w:rsidRDefault="00A2303E" w:rsidP="00975E71">
      <w:pPr>
        <w:pStyle w:val="Heading2"/>
        <w:keepNext/>
      </w:pPr>
      <w:bookmarkStart w:id="16" w:name="_Toc408404322"/>
      <w:bookmarkStart w:id="17" w:name="_Toc419366915"/>
      <w:bookmarkStart w:id="18" w:name="_Toc451530325"/>
      <w:r w:rsidRPr="0074565D">
        <w:t>AER’s assessment approach</w:t>
      </w:r>
      <w:bookmarkEnd w:id="16"/>
      <w:bookmarkEnd w:id="17"/>
      <w:bookmarkEnd w:id="18"/>
    </w:p>
    <w:p w:rsidR="000048EC" w:rsidRDefault="000048EC" w:rsidP="00975E71">
      <w:pPr>
        <w:keepNext/>
      </w:pPr>
      <w:bookmarkStart w:id="19" w:name="_Toc408404324"/>
      <w:bookmarkStart w:id="20" w:name="_Toc419366917"/>
      <w:r>
        <w:t>In a full access arrangement, a service provider is required to specify for each reference service the reference tariff and proposed approach to setting the reference tariffs.</w:t>
      </w:r>
      <w:r>
        <w:rPr>
          <w:rStyle w:val="FootnoteReference"/>
        </w:rPr>
        <w:footnoteReference w:id="6"/>
      </w:r>
      <w:r>
        <w:t xml:space="preserve"> This is done by:</w:t>
      </w:r>
    </w:p>
    <w:p w:rsidR="000048EC" w:rsidRPr="000048EC" w:rsidRDefault="000048EC" w:rsidP="00975E71">
      <w:pPr>
        <w:pStyle w:val="AERbulletlistfirststyle"/>
        <w:keepNext/>
      </w:pPr>
      <w:r>
        <w:t>explaining how revenues and costs are allocated, including the relationship between costs and tariffs</w:t>
      </w:r>
      <w:r w:rsidRPr="000048EC">
        <w:rPr>
          <w:rStyle w:val="FootnoteReference"/>
        </w:rPr>
        <w:footnoteReference w:id="7"/>
      </w:r>
    </w:p>
    <w:p w:rsidR="000048EC" w:rsidRPr="000048EC" w:rsidRDefault="000048EC" w:rsidP="000048EC">
      <w:pPr>
        <w:pStyle w:val="AERbulletlistfirststyle"/>
      </w:pPr>
      <w:r>
        <w:t>explaining how the tariffs have been designed to generate the portion of referable total revenue from each reference service and from each user</w:t>
      </w:r>
      <w:r w:rsidRPr="000048EC">
        <w:t>, or class of users</w:t>
      </w:r>
      <w:r w:rsidRPr="000048EC">
        <w:rPr>
          <w:rStyle w:val="FootnoteReference"/>
        </w:rPr>
        <w:footnoteReference w:id="8"/>
      </w:r>
    </w:p>
    <w:p w:rsidR="000048EC" w:rsidRPr="000048EC" w:rsidRDefault="000048EC" w:rsidP="000048EC">
      <w:pPr>
        <w:pStyle w:val="AERbulletlistfirststyle"/>
      </w:pPr>
      <w:proofErr w:type="gramStart"/>
      <w:r>
        <w:t>explaining</w:t>
      </w:r>
      <w:proofErr w:type="gramEnd"/>
      <w:r>
        <w:t xml:space="preserve"> and describing any pricing principles it employed.</w:t>
      </w:r>
      <w:r w:rsidRPr="000048EC">
        <w:rPr>
          <w:rStyle w:val="FootnoteReference"/>
        </w:rPr>
        <w:footnoteReference w:id="9"/>
      </w:r>
    </w:p>
    <w:p w:rsidR="000048EC" w:rsidRDefault="000048EC" w:rsidP="000048EC">
      <w:r>
        <w:t>We are required to assess APTNT’s proposed reference tariffs. Where we do not accept them, we must determine the initial reference tariffs</w:t>
      </w:r>
      <w:r w:rsidRPr="004C2D7F">
        <w:t xml:space="preserve"> </w:t>
      </w:r>
      <w:r>
        <w:t>to apply for each reference service.</w:t>
      </w:r>
    </w:p>
    <w:p w:rsidR="000048EC" w:rsidRDefault="000048EC" w:rsidP="000048EC">
      <w:r>
        <w:t>In our assessment of the proposed reference tariff</w:t>
      </w:r>
      <w:r w:rsidR="006C1D4F">
        <w:t>s</w:t>
      </w:r>
      <w:r>
        <w:t>, we reviewed APTNT’s:</w:t>
      </w:r>
    </w:p>
    <w:p w:rsidR="000048EC" w:rsidRPr="000048EC" w:rsidRDefault="000048EC" w:rsidP="000048EC">
      <w:pPr>
        <w:pStyle w:val="AERbulletlistfirststyle"/>
      </w:pPr>
      <w:r>
        <w:t>access arrangement information</w:t>
      </w:r>
      <w:r w:rsidRPr="000048EC">
        <w:rPr>
          <w:rStyle w:val="FootnoteReference"/>
        </w:rPr>
        <w:footnoteReference w:id="10"/>
      </w:r>
    </w:p>
    <w:p w:rsidR="000048EC" w:rsidRPr="000048EC" w:rsidRDefault="000048EC" w:rsidP="000048EC">
      <w:pPr>
        <w:pStyle w:val="AERbulletlistfirststyle"/>
      </w:pPr>
      <w:proofErr w:type="gramStart"/>
      <w:r>
        <w:t>access</w:t>
      </w:r>
      <w:proofErr w:type="gramEnd"/>
      <w:r>
        <w:t xml:space="preserve"> arrangement proposal.</w:t>
      </w:r>
      <w:r w:rsidRPr="000048EC">
        <w:rPr>
          <w:rStyle w:val="FootnoteReference"/>
        </w:rPr>
        <w:footnoteReference w:id="11"/>
      </w:r>
    </w:p>
    <w:p w:rsidR="000048EC" w:rsidRDefault="000048EC" w:rsidP="000048EC">
      <w:r>
        <w:t>We also had regard to submissions received in the course of our consultation on the proposed access arrangement.</w:t>
      </w:r>
    </w:p>
    <w:p w:rsidR="000048EC" w:rsidRDefault="000048EC" w:rsidP="000048EC">
      <w:pPr>
        <w:pStyle w:val="HeadingBoldBlue"/>
      </w:pPr>
      <w:r>
        <w:t>Identifying the reference service</w:t>
      </w:r>
    </w:p>
    <w:p w:rsidR="000048EC" w:rsidRPr="002F7B55" w:rsidRDefault="000048EC" w:rsidP="000048EC">
      <w:r>
        <w:t>Service providers are required under the NGR to specify a reference tariff for each reference service.</w:t>
      </w:r>
      <w:r>
        <w:rPr>
          <w:rStyle w:val="FootnoteReference"/>
        </w:rPr>
        <w:footnoteReference w:id="12"/>
      </w:r>
      <w:r>
        <w:t xml:space="preserve"> We first consider what is (or are) the reference service(s) for the purpose of the NGR when undertaking our review.</w:t>
      </w:r>
      <w:r>
        <w:rPr>
          <w:rStyle w:val="FootnoteReference"/>
        </w:rPr>
        <w:footnoteReference w:id="13"/>
      </w:r>
      <w:r>
        <w:t xml:space="preserve"> Our decision on what constitutes the reference service is set out in </w:t>
      </w:r>
      <w:r w:rsidR="00975E71">
        <w:t>A</w:t>
      </w:r>
      <w:r>
        <w:t>ttachment 1</w:t>
      </w:r>
      <w:r w:rsidR="00975E71">
        <w:t xml:space="preserve"> to this final decision</w:t>
      </w:r>
      <w:r>
        <w:t>.</w:t>
      </w:r>
    </w:p>
    <w:p w:rsidR="00A2303E" w:rsidRDefault="00A2303E" w:rsidP="00A2303E">
      <w:pPr>
        <w:pStyle w:val="Heading2"/>
      </w:pPr>
      <w:bookmarkStart w:id="21" w:name="_Toc451530326"/>
      <w:r w:rsidRPr="0074565D">
        <w:t xml:space="preserve">Reasons for </w:t>
      </w:r>
      <w:r>
        <w:t>final</w:t>
      </w:r>
      <w:r w:rsidRPr="0074565D">
        <w:t xml:space="preserve"> decision</w:t>
      </w:r>
      <w:bookmarkEnd w:id="19"/>
      <w:bookmarkEnd w:id="20"/>
      <w:bookmarkEnd w:id="21"/>
      <w:r w:rsidRPr="0074565D">
        <w:t xml:space="preserve"> </w:t>
      </w:r>
    </w:p>
    <w:p w:rsidR="00A51E95" w:rsidRDefault="006C1D4F" w:rsidP="00A51E95">
      <w:r>
        <w:t>For the reasons set out in our</w:t>
      </w:r>
      <w:r w:rsidR="00A51E95">
        <w:t xml:space="preserve"> draft decision, w</w:t>
      </w:r>
      <w:r w:rsidR="00A51E95" w:rsidRPr="00A51E95">
        <w:t>e accept APTNT’s proposed reference tariff structure because we are satisfied that it complies with the NGR requirements.</w:t>
      </w:r>
      <w:r w:rsidR="00A51E95">
        <w:rPr>
          <w:rStyle w:val="FootnoteReference"/>
        </w:rPr>
        <w:footnoteReference w:id="14"/>
      </w:r>
    </w:p>
    <w:p w:rsidR="00A51E95" w:rsidRDefault="00A51E95" w:rsidP="00A51E95">
      <w:r w:rsidRPr="00A51E95">
        <w:t>The tariff structure is consistent with that applied in the current access arrangement. However, the quantum of the proposed initial reference tariff mus</w:t>
      </w:r>
      <w:r w:rsidR="00151801">
        <w:t>t be amended to reflect the final</w:t>
      </w:r>
      <w:r w:rsidRPr="00A51E95">
        <w:t xml:space="preserve"> decision forecast demand and revised revenue allowance.</w:t>
      </w:r>
    </w:p>
    <w:p w:rsidR="00A51E95" w:rsidRDefault="00A51E95" w:rsidP="00A51E95">
      <w:r w:rsidRPr="00A51E95">
        <w:t>We are satisfied APTNT’s allocation of its revenues and costs between its services are compliant with the requirements of the NGR.</w:t>
      </w:r>
      <w:r>
        <w:rPr>
          <w:rStyle w:val="FootnoteReference"/>
        </w:rPr>
        <w:footnoteReference w:id="15"/>
      </w:r>
      <w:r w:rsidRPr="00A51E95">
        <w:t xml:space="preserve"> We note there is one significant user of the pipeline</w:t>
      </w:r>
      <w:r w:rsidR="00975E71">
        <w:t>,</w:t>
      </w:r>
      <w:r w:rsidRPr="00A51E95">
        <w:t xml:space="preserve"> which is currently contracted for the full firm capacity of the pipeline. It is the main driver of the costs of the pipeline. The materiality of costs of the other services is minor and therefore we accept APTNT’s proposal to allocate all of its costs and revenue to the reference service. We note this is consistent with approach applied for the current access arrangement.</w:t>
      </w:r>
      <w:r>
        <w:rPr>
          <w:rStyle w:val="FootnoteReference"/>
        </w:rPr>
        <w:footnoteReference w:id="16"/>
      </w:r>
    </w:p>
    <w:p w:rsidR="000048EC" w:rsidRPr="000048EC" w:rsidRDefault="00A51E95" w:rsidP="000048EC">
      <w:r w:rsidRPr="00A51E95">
        <w:t>We are also satisfied that APTNT’s tariffs will generate a portion of referable total revenue from the reference service and from each user as required by the NGR.</w:t>
      </w:r>
      <w:r>
        <w:rPr>
          <w:rStyle w:val="FootnoteReference"/>
        </w:rPr>
        <w:footnoteReference w:id="17"/>
      </w:r>
      <w:r w:rsidRPr="00A51E95">
        <w:t xml:space="preserve"> APTNT has only one class of user and one reference service which all of its revenue has been allocated to.</w:t>
      </w:r>
      <w:r>
        <w:rPr>
          <w:rStyle w:val="FootnoteReference"/>
        </w:rPr>
        <w:footnoteReference w:id="18"/>
      </w:r>
      <w:r w:rsidRPr="00A51E95">
        <w:t xml:space="preserve"> APTNT applies a single capacity tariff based on firm Maximum Daily Quantities at each delivery point. This allows APTNT to recover its revenue requirement from users of the pipeline in proportion to their capacity requirements.</w:t>
      </w:r>
    </w:p>
    <w:sectPr w:rsidR="000048EC" w:rsidRPr="000048EC"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46" w:rsidRPr="00290C63" w:rsidRDefault="00393646" w:rsidP="00290C63">
      <w:r>
        <w:separator/>
      </w:r>
    </w:p>
    <w:p w:rsidR="00393646" w:rsidRDefault="00393646"/>
  </w:endnote>
  <w:endnote w:type="continuationSeparator" w:id="0">
    <w:p w:rsidR="00393646" w:rsidRPr="00290C63" w:rsidRDefault="00393646" w:rsidP="00290C63">
      <w:r>
        <w:continuationSeparator/>
      </w:r>
    </w:p>
    <w:p w:rsidR="00393646" w:rsidRDefault="00393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39364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393646" w:rsidRDefault="00393646">
    <w:pPr>
      <w:pStyle w:val="Footer"/>
    </w:pPr>
  </w:p>
  <w:p w:rsidR="00393646" w:rsidRDefault="00393646">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393646" w:rsidRPr="00CA52A2" w:rsidRDefault="00393646" w:rsidP="00CA52A2">
        <w:pPr>
          <w:pStyle w:val="Footer"/>
        </w:pPr>
        <w:r w:rsidRPr="00CA52A2">
          <w:fldChar w:fldCharType="begin"/>
        </w:r>
        <w:r>
          <w:instrText xml:space="preserve"> PAGE   \* MERGEFORMAT </w:instrText>
        </w:r>
        <w:r w:rsidRPr="00CA52A2">
          <w:fldChar w:fldCharType="separate"/>
        </w:r>
        <w:r w:rsidR="00BD1300">
          <w:rPr>
            <w:noProof/>
          </w:rPr>
          <w:t>10-5</w:t>
        </w:r>
        <w:r w:rsidRPr="00CA52A2">
          <w:fldChar w:fldCharType="end"/>
        </w:r>
        <w:r w:rsidRPr="00CA52A2">
          <w:t xml:space="preserve">          Attachment </w:t>
        </w:r>
        <w:r>
          <w:t>1</w:t>
        </w:r>
        <w:r w:rsidR="00301F1F">
          <w:t>0</w:t>
        </w:r>
        <w:r>
          <w:t xml:space="preserve"> </w:t>
        </w:r>
        <w:r w:rsidRPr="00CA52A2">
          <w:t xml:space="preserve">– </w:t>
        </w:r>
        <w:r w:rsidR="00301F1F">
          <w:t>Reference tariff setting</w:t>
        </w:r>
        <w:r w:rsidR="009D2B38" w:rsidRPr="00CA52A2">
          <w:t xml:space="preserve"> </w:t>
        </w:r>
        <w:r w:rsidRPr="00CA52A2">
          <w:t xml:space="preserve">| </w:t>
        </w:r>
        <w:r w:rsidR="00D41E80">
          <w:t>Final</w:t>
        </w:r>
        <w:r>
          <w:t xml:space="preserve"> decision: Amadeus Gas Pipeline Access Arrangement 2016</w:t>
        </w:r>
        <w:r w:rsidRPr="00CA52A2">
          <w:t>–</w:t>
        </w:r>
        <w:r>
          <w:t>21</w:t>
        </w:r>
      </w:p>
    </w:sdtContent>
  </w:sdt>
  <w:p w:rsidR="00393646" w:rsidRDefault="00393646">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46" w:rsidRPr="00290C63" w:rsidRDefault="00393646" w:rsidP="00290C63">
      <w:r>
        <w:separator/>
      </w:r>
    </w:p>
    <w:p w:rsidR="00393646" w:rsidRDefault="00393646"/>
  </w:footnote>
  <w:footnote w:type="continuationSeparator" w:id="0">
    <w:p w:rsidR="00393646" w:rsidRPr="00290C63" w:rsidRDefault="00393646" w:rsidP="00290C63">
      <w:r>
        <w:continuationSeparator/>
      </w:r>
    </w:p>
    <w:p w:rsidR="00393646" w:rsidRDefault="00393646"/>
  </w:footnote>
  <w:footnote w:id="1">
    <w:p w:rsidR="000048EC" w:rsidRDefault="000048EC" w:rsidP="000048EC">
      <w:pPr>
        <w:pStyle w:val="FootnoteText"/>
      </w:pPr>
      <w:r>
        <w:rPr>
          <w:rStyle w:val="FootnoteReference"/>
        </w:rPr>
        <w:footnoteRef/>
      </w:r>
      <w:r>
        <w:t xml:space="preserve"> </w:t>
      </w:r>
      <w:r>
        <w:tab/>
        <w:t>NGL, ss. 24(2)–(7).</w:t>
      </w:r>
    </w:p>
  </w:footnote>
  <w:footnote w:id="2">
    <w:p w:rsidR="00346DC5" w:rsidRDefault="00346DC5">
      <w:pPr>
        <w:pStyle w:val="FootnoteText"/>
      </w:pPr>
      <w:r>
        <w:rPr>
          <w:rStyle w:val="FootnoteReference"/>
        </w:rPr>
        <w:footnoteRef/>
      </w:r>
      <w:r>
        <w:t xml:space="preserve"> </w:t>
      </w:r>
      <w:r>
        <w:tab/>
        <w:t xml:space="preserve">AER, </w:t>
      </w:r>
      <w:r w:rsidRPr="00FF3253">
        <w:rPr>
          <w:rStyle w:val="AERtextitalic"/>
        </w:rPr>
        <w:t>Draft decision: Amadeus Gas Pipeline access arrangement 2016 to 2021: Attachment 1</w:t>
      </w:r>
      <w:r>
        <w:rPr>
          <w:rStyle w:val="AERtextitalic"/>
        </w:rPr>
        <w:t>0</w:t>
      </w:r>
      <w:r w:rsidRPr="00FF3253">
        <w:rPr>
          <w:rStyle w:val="AERtextitalic"/>
        </w:rPr>
        <w:t>–</w:t>
      </w:r>
      <w:r>
        <w:rPr>
          <w:rStyle w:val="AERtextitalic"/>
        </w:rPr>
        <w:t>Reference tariff setting</w:t>
      </w:r>
      <w:r>
        <w:t>, November 2015, p. </w:t>
      </w:r>
      <w:r w:rsidR="00187C30">
        <w:t>10-</w:t>
      </w:r>
      <w:r>
        <w:t>6.</w:t>
      </w:r>
    </w:p>
  </w:footnote>
  <w:footnote w:id="3">
    <w:p w:rsidR="003B42C9" w:rsidRDefault="003B42C9">
      <w:pPr>
        <w:pStyle w:val="FootnoteText"/>
      </w:pPr>
      <w:r>
        <w:rPr>
          <w:rStyle w:val="FootnoteReference"/>
        </w:rPr>
        <w:footnoteRef/>
      </w:r>
      <w:r>
        <w:t xml:space="preserve"> </w:t>
      </w:r>
      <w:r>
        <w:tab/>
        <w:t xml:space="preserve">NGR, </w:t>
      </w:r>
      <w:proofErr w:type="spellStart"/>
      <w:proofErr w:type="gramStart"/>
      <w:r>
        <w:t>rr</w:t>
      </w:r>
      <w:proofErr w:type="spellEnd"/>
      <w:proofErr w:type="gramEnd"/>
      <w:r>
        <w:t xml:space="preserve">. </w:t>
      </w:r>
      <w:proofErr w:type="gramStart"/>
      <w:r>
        <w:t>93, 94.</w:t>
      </w:r>
      <w:proofErr w:type="gramEnd"/>
    </w:p>
  </w:footnote>
  <w:footnote w:id="4">
    <w:p w:rsidR="00346DC5" w:rsidRDefault="00346DC5">
      <w:pPr>
        <w:pStyle w:val="FootnoteText"/>
      </w:pPr>
      <w:r>
        <w:rPr>
          <w:rStyle w:val="FootnoteReference"/>
        </w:rPr>
        <w:footnoteRef/>
      </w:r>
      <w:r>
        <w:t xml:space="preserve"> </w:t>
      </w:r>
      <w:r>
        <w:tab/>
        <w:t xml:space="preserve">APTNT, </w:t>
      </w:r>
      <w:r w:rsidRPr="002F2408">
        <w:rPr>
          <w:rStyle w:val="AERtextitalic"/>
        </w:rPr>
        <w:t xml:space="preserve">Amadeus Gas Pipeline access arrangement revised proposal: Response to draft decision </w:t>
      </w:r>
      <w:r w:rsidR="002F2408" w:rsidRPr="002F2408">
        <w:rPr>
          <w:rStyle w:val="AERtextitalic"/>
        </w:rPr>
        <w:t>s</w:t>
      </w:r>
      <w:r w:rsidRPr="002F2408">
        <w:rPr>
          <w:rStyle w:val="AERtextitalic"/>
        </w:rPr>
        <w:t>ubmission</w:t>
      </w:r>
      <w:r w:rsidRPr="00346DC5">
        <w:t>,</w:t>
      </w:r>
      <w:r w:rsidR="002F2408">
        <w:t xml:space="preserve"> J</w:t>
      </w:r>
      <w:r w:rsidRPr="00346DC5">
        <w:t>anuary</w:t>
      </w:r>
      <w:r w:rsidR="002F2408">
        <w:t> 2016, p. 103</w:t>
      </w:r>
      <w:r w:rsidRPr="00346DC5">
        <w:t>.</w:t>
      </w:r>
    </w:p>
  </w:footnote>
  <w:footnote w:id="5">
    <w:p w:rsidR="00123CE5" w:rsidRDefault="00123CE5">
      <w:pPr>
        <w:pStyle w:val="FootnoteText"/>
      </w:pPr>
      <w:r>
        <w:rPr>
          <w:rStyle w:val="FootnoteReference"/>
        </w:rPr>
        <w:footnoteRef/>
      </w:r>
      <w:r>
        <w:t xml:space="preserve"> </w:t>
      </w:r>
      <w:r>
        <w:tab/>
      </w:r>
      <w:proofErr w:type="gramStart"/>
      <w:r w:rsidRPr="00123CE5">
        <w:t xml:space="preserve">APTNT, </w:t>
      </w:r>
      <w:r w:rsidRPr="00123CE5">
        <w:rPr>
          <w:rStyle w:val="AERtextitalic"/>
        </w:rPr>
        <w:t>Amadeus Gas Pipeline access arrangement revision proposal submission</w:t>
      </w:r>
      <w:r w:rsidRPr="00123CE5">
        <w:t>, August 2015, p</w:t>
      </w:r>
      <w:r>
        <w:t>p</w:t>
      </w:r>
      <w:r w:rsidRPr="00123CE5">
        <w:t xml:space="preserve">. </w:t>
      </w:r>
      <w:r>
        <w:t>171–</w:t>
      </w:r>
      <w:r w:rsidRPr="00123CE5">
        <w:t>172.</w:t>
      </w:r>
      <w:proofErr w:type="gramEnd"/>
    </w:p>
  </w:footnote>
  <w:footnote w:id="6">
    <w:p w:rsidR="000048EC" w:rsidRDefault="000048EC" w:rsidP="000048EC">
      <w:pPr>
        <w:pStyle w:val="FootnoteText"/>
      </w:pPr>
      <w:r>
        <w:rPr>
          <w:rStyle w:val="FootnoteReference"/>
        </w:rPr>
        <w:footnoteRef/>
      </w:r>
      <w:r>
        <w:t xml:space="preserve"> </w:t>
      </w:r>
      <w:r>
        <w:tab/>
        <w:t xml:space="preserve">NGR, </w:t>
      </w:r>
      <w:proofErr w:type="spellStart"/>
      <w:proofErr w:type="gramStart"/>
      <w:r>
        <w:t>rr</w:t>
      </w:r>
      <w:proofErr w:type="spellEnd"/>
      <w:proofErr w:type="gramEnd"/>
      <w:r>
        <w:t>. 48(1</w:t>
      </w:r>
      <w:proofErr w:type="gramStart"/>
      <w:r>
        <w:t>)(</w:t>
      </w:r>
      <w:proofErr w:type="gramEnd"/>
      <w:r>
        <w:t>d)(</w:t>
      </w:r>
      <w:proofErr w:type="spellStart"/>
      <w:r>
        <w:t>i</w:t>
      </w:r>
      <w:proofErr w:type="spellEnd"/>
      <w:r>
        <w:t>); 72(1)(j).</w:t>
      </w:r>
    </w:p>
  </w:footnote>
  <w:footnote w:id="7">
    <w:p w:rsidR="000048EC" w:rsidRDefault="000048EC" w:rsidP="000048EC">
      <w:pPr>
        <w:pStyle w:val="FootnoteText"/>
      </w:pPr>
      <w:r>
        <w:rPr>
          <w:rStyle w:val="FootnoteReference"/>
        </w:rPr>
        <w:footnoteRef/>
      </w:r>
      <w:r>
        <w:t xml:space="preserve"> </w:t>
      </w:r>
      <w:r>
        <w:tab/>
        <w:t xml:space="preserve">NGR, </w:t>
      </w:r>
      <w:proofErr w:type="spellStart"/>
      <w:proofErr w:type="gramStart"/>
      <w:r>
        <w:t>rr</w:t>
      </w:r>
      <w:proofErr w:type="spellEnd"/>
      <w:proofErr w:type="gramEnd"/>
      <w:r>
        <w:t>. 93(1)–(2), 72(1</w:t>
      </w:r>
      <w:proofErr w:type="gramStart"/>
      <w:r>
        <w:t>)(</w:t>
      </w:r>
      <w:proofErr w:type="gramEnd"/>
      <w:r>
        <w:t>j)(</w:t>
      </w:r>
      <w:proofErr w:type="spellStart"/>
      <w:r>
        <w:t>i</w:t>
      </w:r>
      <w:proofErr w:type="spellEnd"/>
      <w:r>
        <w:t>).</w:t>
      </w:r>
    </w:p>
  </w:footnote>
  <w:footnote w:id="8">
    <w:p w:rsidR="000048EC" w:rsidRDefault="000048EC" w:rsidP="000048EC">
      <w:pPr>
        <w:pStyle w:val="FootnoteText"/>
      </w:pPr>
      <w:r>
        <w:rPr>
          <w:rStyle w:val="FootnoteReference"/>
        </w:rPr>
        <w:footnoteRef/>
      </w:r>
      <w:r>
        <w:t xml:space="preserve"> </w:t>
      </w:r>
      <w:r>
        <w:tab/>
      </w:r>
      <w:proofErr w:type="gramStart"/>
      <w:r>
        <w:t>NGR, r. 95(1).</w:t>
      </w:r>
      <w:proofErr w:type="gramEnd"/>
    </w:p>
  </w:footnote>
  <w:footnote w:id="9">
    <w:p w:rsidR="000048EC" w:rsidRDefault="000048EC" w:rsidP="000048EC">
      <w:pPr>
        <w:pStyle w:val="FootnoteText"/>
      </w:pPr>
      <w:r>
        <w:rPr>
          <w:rStyle w:val="FootnoteReference"/>
        </w:rPr>
        <w:footnoteRef/>
      </w:r>
      <w:r>
        <w:t xml:space="preserve"> </w:t>
      </w:r>
      <w:r>
        <w:tab/>
        <w:t>NGR, r. 72 (1</w:t>
      </w:r>
      <w:proofErr w:type="gramStart"/>
      <w:r>
        <w:t>)(</w:t>
      </w:r>
      <w:proofErr w:type="gramEnd"/>
      <w:r>
        <w:t>j)(ii).</w:t>
      </w:r>
    </w:p>
  </w:footnote>
  <w:footnote w:id="10">
    <w:p w:rsidR="000048EC" w:rsidRDefault="000048EC" w:rsidP="000048EC">
      <w:pPr>
        <w:pStyle w:val="FootnoteText"/>
      </w:pPr>
      <w:r>
        <w:rPr>
          <w:rStyle w:val="FootnoteReference"/>
        </w:rPr>
        <w:footnoteRef/>
      </w:r>
      <w:r>
        <w:t xml:space="preserve"> </w:t>
      </w:r>
      <w:r>
        <w:tab/>
      </w:r>
      <w:proofErr w:type="gramStart"/>
      <w:r>
        <w:t xml:space="preserve">APTNT, </w:t>
      </w:r>
      <w:r>
        <w:rPr>
          <w:i/>
        </w:rPr>
        <w:t xml:space="preserve">Amadeus Gas Pipeline access arrangement revision proposal submission, </w:t>
      </w:r>
      <w:r>
        <w:t>August 2015, pp. 170–177.</w:t>
      </w:r>
      <w:proofErr w:type="gramEnd"/>
    </w:p>
  </w:footnote>
  <w:footnote w:id="11">
    <w:p w:rsidR="000048EC" w:rsidRDefault="000048EC" w:rsidP="000048EC">
      <w:pPr>
        <w:pStyle w:val="FootnoteText"/>
      </w:pPr>
      <w:r>
        <w:rPr>
          <w:rStyle w:val="FootnoteReference"/>
        </w:rPr>
        <w:footnoteRef/>
      </w:r>
      <w:r>
        <w:t xml:space="preserve"> </w:t>
      </w:r>
      <w:r>
        <w:tab/>
        <w:t xml:space="preserve">APTNT, </w:t>
      </w:r>
      <w:r w:rsidRPr="00AC167B">
        <w:rPr>
          <w:rStyle w:val="AERtextitalic"/>
        </w:rPr>
        <w:t>Access arrangement for the Amadeus Gas Pipeline: 1 July 2016 to 30 June 2021</w:t>
      </w:r>
      <w:r>
        <w:t>, August 2015.</w:t>
      </w:r>
    </w:p>
  </w:footnote>
  <w:footnote w:id="12">
    <w:p w:rsidR="000048EC" w:rsidRDefault="000048EC" w:rsidP="000048EC">
      <w:pPr>
        <w:pStyle w:val="FootnoteText"/>
      </w:pPr>
      <w:r>
        <w:rPr>
          <w:rStyle w:val="FootnoteReference"/>
        </w:rPr>
        <w:footnoteRef/>
      </w:r>
      <w:r>
        <w:t xml:space="preserve"> </w:t>
      </w:r>
      <w:r>
        <w:tab/>
        <w:t>NGR, r. 48(1</w:t>
      </w:r>
      <w:proofErr w:type="gramStart"/>
      <w:r>
        <w:t>)(</w:t>
      </w:r>
      <w:proofErr w:type="gramEnd"/>
      <w:r>
        <w:t>d)(</w:t>
      </w:r>
      <w:proofErr w:type="spellStart"/>
      <w:r>
        <w:t>i</w:t>
      </w:r>
      <w:proofErr w:type="spellEnd"/>
      <w:r>
        <w:t>).</w:t>
      </w:r>
    </w:p>
  </w:footnote>
  <w:footnote w:id="13">
    <w:p w:rsidR="000048EC" w:rsidRDefault="000048EC" w:rsidP="000048EC">
      <w:pPr>
        <w:pStyle w:val="FootnoteText"/>
      </w:pPr>
      <w:r>
        <w:rPr>
          <w:rStyle w:val="FootnoteReference"/>
        </w:rPr>
        <w:footnoteRef/>
      </w:r>
      <w:r>
        <w:t xml:space="preserve"> </w:t>
      </w:r>
      <w:r>
        <w:tab/>
        <w:t xml:space="preserve">APTNT, </w:t>
      </w:r>
      <w:r w:rsidRPr="00AC167B">
        <w:rPr>
          <w:rStyle w:val="AERtextitalic"/>
        </w:rPr>
        <w:t>Access arrangement for the Amadeus Gas Pipeline: 1 July 2016 to 30 June 2021</w:t>
      </w:r>
      <w:r>
        <w:t>, August 2015, section 2.</w:t>
      </w:r>
    </w:p>
  </w:footnote>
  <w:footnote w:id="14">
    <w:p w:rsidR="00A51E95" w:rsidRDefault="00A51E95">
      <w:pPr>
        <w:pStyle w:val="FootnoteText"/>
      </w:pPr>
      <w:r>
        <w:rPr>
          <w:rStyle w:val="FootnoteReference"/>
        </w:rPr>
        <w:footnoteRef/>
      </w:r>
      <w:r>
        <w:t xml:space="preserve"> </w:t>
      </w:r>
      <w:r>
        <w:tab/>
        <w:t xml:space="preserve">NGR, </w:t>
      </w:r>
      <w:proofErr w:type="spellStart"/>
      <w:proofErr w:type="gramStart"/>
      <w:r>
        <w:t>rr</w:t>
      </w:r>
      <w:proofErr w:type="spellEnd"/>
      <w:proofErr w:type="gramEnd"/>
      <w:r>
        <w:t>. </w:t>
      </w:r>
      <w:proofErr w:type="gramStart"/>
      <w:r>
        <w:t>93, 95.</w:t>
      </w:r>
      <w:proofErr w:type="gramEnd"/>
    </w:p>
  </w:footnote>
  <w:footnote w:id="15">
    <w:p w:rsidR="00A51E95" w:rsidRDefault="00A51E95">
      <w:pPr>
        <w:pStyle w:val="FootnoteText"/>
      </w:pPr>
      <w:r>
        <w:rPr>
          <w:rStyle w:val="FootnoteReference"/>
        </w:rPr>
        <w:footnoteRef/>
      </w:r>
      <w:r>
        <w:t xml:space="preserve"> </w:t>
      </w:r>
      <w:r>
        <w:tab/>
      </w:r>
      <w:proofErr w:type="gramStart"/>
      <w:r w:rsidRPr="00A51E95">
        <w:t>NGR, r. 93(2).</w:t>
      </w:r>
      <w:proofErr w:type="gramEnd"/>
    </w:p>
  </w:footnote>
  <w:footnote w:id="16">
    <w:p w:rsidR="00A51E95" w:rsidRDefault="00A51E95">
      <w:pPr>
        <w:pStyle w:val="FootnoteText"/>
      </w:pPr>
      <w:r>
        <w:rPr>
          <w:rStyle w:val="FootnoteReference"/>
        </w:rPr>
        <w:footnoteRef/>
      </w:r>
      <w:r>
        <w:t xml:space="preserve"> </w:t>
      </w:r>
      <w:r>
        <w:tab/>
      </w:r>
      <w:r w:rsidRPr="00A51E95">
        <w:t xml:space="preserve">AER, </w:t>
      </w:r>
      <w:r w:rsidRPr="00A51E95">
        <w:rPr>
          <w:rStyle w:val="AERtextitalic"/>
        </w:rPr>
        <w:t>Final decision: N.T. Gas: Access arrangement proposal for the Amadeus Gas Pipeline 1 July 2011 — 30 June 2016</w:t>
      </w:r>
      <w:r w:rsidRPr="00A51E95">
        <w:t>, July, 2011, pp. 110–111.</w:t>
      </w:r>
    </w:p>
  </w:footnote>
  <w:footnote w:id="17">
    <w:p w:rsidR="00A51E95" w:rsidRDefault="00A51E95">
      <w:pPr>
        <w:pStyle w:val="FootnoteText"/>
      </w:pPr>
      <w:r>
        <w:rPr>
          <w:rStyle w:val="FootnoteReference"/>
        </w:rPr>
        <w:footnoteRef/>
      </w:r>
      <w:r>
        <w:t xml:space="preserve"> </w:t>
      </w:r>
      <w:r>
        <w:tab/>
      </w:r>
      <w:proofErr w:type="gramStart"/>
      <w:r w:rsidRPr="00A51E95">
        <w:t>NGR, r. 95.</w:t>
      </w:r>
      <w:proofErr w:type="gramEnd"/>
    </w:p>
  </w:footnote>
  <w:footnote w:id="18">
    <w:p w:rsidR="00A51E95" w:rsidRDefault="00A51E95">
      <w:pPr>
        <w:pStyle w:val="FootnoteText"/>
      </w:pPr>
      <w:r>
        <w:rPr>
          <w:rStyle w:val="FootnoteReference"/>
        </w:rPr>
        <w:footnoteRef/>
      </w:r>
      <w:r>
        <w:t xml:space="preserve"> </w:t>
      </w:r>
      <w:r>
        <w:tab/>
      </w:r>
      <w:proofErr w:type="gramStart"/>
      <w:r w:rsidRPr="00A51E95">
        <w:t xml:space="preserve">APTNT, </w:t>
      </w:r>
      <w:r w:rsidRPr="00A51E95">
        <w:rPr>
          <w:rStyle w:val="AERtextitalic"/>
        </w:rPr>
        <w:t>Amadeus Gas Pipeline access arrangement revision proposal submission</w:t>
      </w:r>
      <w:r w:rsidRPr="00A51E95">
        <w:t>, August 2015, p. 172.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BD1300">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393646">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BD1300">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E29C3454"/>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igxCLQdSqZZpQ16RXrQ0TlwkaeuNQFvoH+9OLN8HhQk=" w:saltValue="erv8b8D1NzyXQ2oHUdmlA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284\AER15 4322  AER- Final decision Amadeus Gas Pipeline Access Arrangement - Attachment 11 - Reference tariff variation mechanism - April 2016.DOCX"/>
  </w:docVars>
  <w:rsids>
    <w:rsidRoot w:val="00961A4A"/>
    <w:rsid w:val="00001DDE"/>
    <w:rsid w:val="00004633"/>
    <w:rsid w:val="000048EC"/>
    <w:rsid w:val="00010286"/>
    <w:rsid w:val="00021202"/>
    <w:rsid w:val="00021C2B"/>
    <w:rsid w:val="000224A0"/>
    <w:rsid w:val="0002517F"/>
    <w:rsid w:val="00026495"/>
    <w:rsid w:val="0003578C"/>
    <w:rsid w:val="000401AF"/>
    <w:rsid w:val="00041DDA"/>
    <w:rsid w:val="00054B91"/>
    <w:rsid w:val="00063247"/>
    <w:rsid w:val="00063A92"/>
    <w:rsid w:val="00070F9F"/>
    <w:rsid w:val="0007137B"/>
    <w:rsid w:val="00085663"/>
    <w:rsid w:val="00085EBF"/>
    <w:rsid w:val="00085F93"/>
    <w:rsid w:val="00091B15"/>
    <w:rsid w:val="000A1E7C"/>
    <w:rsid w:val="000A3020"/>
    <w:rsid w:val="000A6C7B"/>
    <w:rsid w:val="000B0360"/>
    <w:rsid w:val="000B6699"/>
    <w:rsid w:val="000C2B40"/>
    <w:rsid w:val="000D01F4"/>
    <w:rsid w:val="000D06C1"/>
    <w:rsid w:val="000D122C"/>
    <w:rsid w:val="000D3016"/>
    <w:rsid w:val="000D64F2"/>
    <w:rsid w:val="000D7F32"/>
    <w:rsid w:val="000E1819"/>
    <w:rsid w:val="000E4821"/>
    <w:rsid w:val="000E6C72"/>
    <w:rsid w:val="000F0B2B"/>
    <w:rsid w:val="000F3E72"/>
    <w:rsid w:val="000F48B1"/>
    <w:rsid w:val="000F723D"/>
    <w:rsid w:val="00103A67"/>
    <w:rsid w:val="00116EB2"/>
    <w:rsid w:val="00123CE5"/>
    <w:rsid w:val="00124609"/>
    <w:rsid w:val="00126A4C"/>
    <w:rsid w:val="00142AB6"/>
    <w:rsid w:val="0014573B"/>
    <w:rsid w:val="00147E70"/>
    <w:rsid w:val="00151801"/>
    <w:rsid w:val="00156DCC"/>
    <w:rsid w:val="001573E4"/>
    <w:rsid w:val="00160756"/>
    <w:rsid w:val="0017232E"/>
    <w:rsid w:val="00174102"/>
    <w:rsid w:val="0017480F"/>
    <w:rsid w:val="001754EE"/>
    <w:rsid w:val="00180157"/>
    <w:rsid w:val="00182467"/>
    <w:rsid w:val="00185CB9"/>
    <w:rsid w:val="00186F77"/>
    <w:rsid w:val="00187C30"/>
    <w:rsid w:val="001926A4"/>
    <w:rsid w:val="00192AD5"/>
    <w:rsid w:val="001B3F62"/>
    <w:rsid w:val="001B45A0"/>
    <w:rsid w:val="001B45C0"/>
    <w:rsid w:val="001B6F2E"/>
    <w:rsid w:val="001B7D00"/>
    <w:rsid w:val="001C17E7"/>
    <w:rsid w:val="001D055E"/>
    <w:rsid w:val="001E009C"/>
    <w:rsid w:val="001E5FE2"/>
    <w:rsid w:val="001F05A4"/>
    <w:rsid w:val="001F492E"/>
    <w:rsid w:val="001F6DA3"/>
    <w:rsid w:val="002010BC"/>
    <w:rsid w:val="002016E7"/>
    <w:rsid w:val="00201F98"/>
    <w:rsid w:val="00202E03"/>
    <w:rsid w:val="0020478D"/>
    <w:rsid w:val="0020492C"/>
    <w:rsid w:val="00205A33"/>
    <w:rsid w:val="0022444D"/>
    <w:rsid w:val="00224DB9"/>
    <w:rsid w:val="00227DCE"/>
    <w:rsid w:val="0023276C"/>
    <w:rsid w:val="00233775"/>
    <w:rsid w:val="00251745"/>
    <w:rsid w:val="00263AC0"/>
    <w:rsid w:val="00264264"/>
    <w:rsid w:val="0026772D"/>
    <w:rsid w:val="00277554"/>
    <w:rsid w:val="00286874"/>
    <w:rsid w:val="00290C63"/>
    <w:rsid w:val="00296B65"/>
    <w:rsid w:val="0029724D"/>
    <w:rsid w:val="002A6688"/>
    <w:rsid w:val="002A7DEF"/>
    <w:rsid w:val="002B1003"/>
    <w:rsid w:val="002B573C"/>
    <w:rsid w:val="002C233C"/>
    <w:rsid w:val="002D24E6"/>
    <w:rsid w:val="002D72E8"/>
    <w:rsid w:val="002E7B22"/>
    <w:rsid w:val="002F2408"/>
    <w:rsid w:val="002F7986"/>
    <w:rsid w:val="00301B40"/>
    <w:rsid w:val="00301F1F"/>
    <w:rsid w:val="003029A5"/>
    <w:rsid w:val="003029EE"/>
    <w:rsid w:val="0030370B"/>
    <w:rsid w:val="00305CC8"/>
    <w:rsid w:val="00307F6D"/>
    <w:rsid w:val="003130C9"/>
    <w:rsid w:val="003177A2"/>
    <w:rsid w:val="00320869"/>
    <w:rsid w:val="00326B1D"/>
    <w:rsid w:val="003271B5"/>
    <w:rsid w:val="00327A1E"/>
    <w:rsid w:val="00331264"/>
    <w:rsid w:val="003338A2"/>
    <w:rsid w:val="00334C8D"/>
    <w:rsid w:val="0033548E"/>
    <w:rsid w:val="00343A18"/>
    <w:rsid w:val="00344473"/>
    <w:rsid w:val="00344D08"/>
    <w:rsid w:val="003457F9"/>
    <w:rsid w:val="00346DC5"/>
    <w:rsid w:val="00347114"/>
    <w:rsid w:val="003518B3"/>
    <w:rsid w:val="003578CD"/>
    <w:rsid w:val="003666F2"/>
    <w:rsid w:val="003717D8"/>
    <w:rsid w:val="003846F1"/>
    <w:rsid w:val="003903D4"/>
    <w:rsid w:val="00391BF0"/>
    <w:rsid w:val="003931A7"/>
    <w:rsid w:val="00393646"/>
    <w:rsid w:val="003B42C9"/>
    <w:rsid w:val="003B484F"/>
    <w:rsid w:val="003B7FBA"/>
    <w:rsid w:val="003F0031"/>
    <w:rsid w:val="003F174D"/>
    <w:rsid w:val="003F1E11"/>
    <w:rsid w:val="003F572D"/>
    <w:rsid w:val="003F7442"/>
    <w:rsid w:val="00411DD8"/>
    <w:rsid w:val="00415F31"/>
    <w:rsid w:val="0042205D"/>
    <w:rsid w:val="00423A77"/>
    <w:rsid w:val="00436ECD"/>
    <w:rsid w:val="00452473"/>
    <w:rsid w:val="0045777E"/>
    <w:rsid w:val="00460B4B"/>
    <w:rsid w:val="00461B0F"/>
    <w:rsid w:val="00461C29"/>
    <w:rsid w:val="00474EC7"/>
    <w:rsid w:val="00480B4B"/>
    <w:rsid w:val="00485DC4"/>
    <w:rsid w:val="004A0A5E"/>
    <w:rsid w:val="004A43D1"/>
    <w:rsid w:val="004B355D"/>
    <w:rsid w:val="004B4412"/>
    <w:rsid w:val="004C0C43"/>
    <w:rsid w:val="004C348C"/>
    <w:rsid w:val="004C6A30"/>
    <w:rsid w:val="004D1A96"/>
    <w:rsid w:val="004D55BA"/>
    <w:rsid w:val="004E22EC"/>
    <w:rsid w:val="004E2A4C"/>
    <w:rsid w:val="004F6A0E"/>
    <w:rsid w:val="00530128"/>
    <w:rsid w:val="00532467"/>
    <w:rsid w:val="00537FD6"/>
    <w:rsid w:val="00564A4D"/>
    <w:rsid w:val="0056588A"/>
    <w:rsid w:val="00567BA5"/>
    <w:rsid w:val="00571B35"/>
    <w:rsid w:val="00571D57"/>
    <w:rsid w:val="00577A09"/>
    <w:rsid w:val="005829C2"/>
    <w:rsid w:val="00584D8F"/>
    <w:rsid w:val="00585A4E"/>
    <w:rsid w:val="00586819"/>
    <w:rsid w:val="0059704C"/>
    <w:rsid w:val="005A404D"/>
    <w:rsid w:val="005B1E3C"/>
    <w:rsid w:val="005B3FB7"/>
    <w:rsid w:val="005B4D33"/>
    <w:rsid w:val="005B704A"/>
    <w:rsid w:val="005C0A7F"/>
    <w:rsid w:val="005C26CC"/>
    <w:rsid w:val="005C4C9C"/>
    <w:rsid w:val="005C6218"/>
    <w:rsid w:val="005D7BA2"/>
    <w:rsid w:val="005E36C2"/>
    <w:rsid w:val="005F0183"/>
    <w:rsid w:val="005F727F"/>
    <w:rsid w:val="006007DE"/>
    <w:rsid w:val="00601638"/>
    <w:rsid w:val="00610EF9"/>
    <w:rsid w:val="00612F4F"/>
    <w:rsid w:val="00615C6B"/>
    <w:rsid w:val="00620DC3"/>
    <w:rsid w:val="00621DCE"/>
    <w:rsid w:val="00632D6D"/>
    <w:rsid w:val="00640812"/>
    <w:rsid w:val="00642C3E"/>
    <w:rsid w:val="00651C3A"/>
    <w:rsid w:val="00651CB2"/>
    <w:rsid w:val="006560CA"/>
    <w:rsid w:val="0066104A"/>
    <w:rsid w:val="00663DAD"/>
    <w:rsid w:val="00665649"/>
    <w:rsid w:val="00666E20"/>
    <w:rsid w:val="006672AA"/>
    <w:rsid w:val="00671E9F"/>
    <w:rsid w:val="0067269C"/>
    <w:rsid w:val="00675E20"/>
    <w:rsid w:val="00676679"/>
    <w:rsid w:val="006812E7"/>
    <w:rsid w:val="00683C89"/>
    <w:rsid w:val="00684C16"/>
    <w:rsid w:val="00691D9A"/>
    <w:rsid w:val="006A7CB9"/>
    <w:rsid w:val="006A7D76"/>
    <w:rsid w:val="006B2395"/>
    <w:rsid w:val="006B45A4"/>
    <w:rsid w:val="006B4CF9"/>
    <w:rsid w:val="006B785B"/>
    <w:rsid w:val="006B7AC8"/>
    <w:rsid w:val="006C1736"/>
    <w:rsid w:val="006C1D4F"/>
    <w:rsid w:val="006C4798"/>
    <w:rsid w:val="006C774D"/>
    <w:rsid w:val="006D22F2"/>
    <w:rsid w:val="006D550F"/>
    <w:rsid w:val="006E117C"/>
    <w:rsid w:val="006E3F76"/>
    <w:rsid w:val="006F1F83"/>
    <w:rsid w:val="006F3AD1"/>
    <w:rsid w:val="006F3FC8"/>
    <w:rsid w:val="006F6183"/>
    <w:rsid w:val="0070011E"/>
    <w:rsid w:val="00701CAB"/>
    <w:rsid w:val="00707563"/>
    <w:rsid w:val="00712975"/>
    <w:rsid w:val="0072348C"/>
    <w:rsid w:val="00724A37"/>
    <w:rsid w:val="007303C3"/>
    <w:rsid w:val="00741C46"/>
    <w:rsid w:val="00741E23"/>
    <w:rsid w:val="007429BE"/>
    <w:rsid w:val="00743223"/>
    <w:rsid w:val="00746E01"/>
    <w:rsid w:val="00747EEA"/>
    <w:rsid w:val="00752C8D"/>
    <w:rsid w:val="00757364"/>
    <w:rsid w:val="00757BDF"/>
    <w:rsid w:val="007609D0"/>
    <w:rsid w:val="00763618"/>
    <w:rsid w:val="00763E5D"/>
    <w:rsid w:val="00767740"/>
    <w:rsid w:val="00777EE6"/>
    <w:rsid w:val="00782EEA"/>
    <w:rsid w:val="007A029A"/>
    <w:rsid w:val="007A7002"/>
    <w:rsid w:val="007A7136"/>
    <w:rsid w:val="007A7F63"/>
    <w:rsid w:val="007B011C"/>
    <w:rsid w:val="007B186E"/>
    <w:rsid w:val="007B2C72"/>
    <w:rsid w:val="007B6C52"/>
    <w:rsid w:val="007C1C53"/>
    <w:rsid w:val="007C74BB"/>
    <w:rsid w:val="007D456E"/>
    <w:rsid w:val="007E42F4"/>
    <w:rsid w:val="007E4904"/>
    <w:rsid w:val="007E4CB5"/>
    <w:rsid w:val="007F066B"/>
    <w:rsid w:val="007F213A"/>
    <w:rsid w:val="007F75C4"/>
    <w:rsid w:val="008033C4"/>
    <w:rsid w:val="008057DE"/>
    <w:rsid w:val="00806C88"/>
    <w:rsid w:val="00810070"/>
    <w:rsid w:val="0081034E"/>
    <w:rsid w:val="00812B03"/>
    <w:rsid w:val="00815CAC"/>
    <w:rsid w:val="008168E7"/>
    <w:rsid w:val="00821004"/>
    <w:rsid w:val="008221F2"/>
    <w:rsid w:val="00825985"/>
    <w:rsid w:val="008301A7"/>
    <w:rsid w:val="008301B2"/>
    <w:rsid w:val="008344F6"/>
    <w:rsid w:val="0083510F"/>
    <w:rsid w:val="008408C5"/>
    <w:rsid w:val="008414FC"/>
    <w:rsid w:val="00847887"/>
    <w:rsid w:val="00851209"/>
    <w:rsid w:val="008526FF"/>
    <w:rsid w:val="0085722A"/>
    <w:rsid w:val="00862B19"/>
    <w:rsid w:val="00864B35"/>
    <w:rsid w:val="00866D99"/>
    <w:rsid w:val="00867CF6"/>
    <w:rsid w:val="008749E0"/>
    <w:rsid w:val="00874CD0"/>
    <w:rsid w:val="00882481"/>
    <w:rsid w:val="008837AC"/>
    <w:rsid w:val="008A405C"/>
    <w:rsid w:val="008A587D"/>
    <w:rsid w:val="008B35CD"/>
    <w:rsid w:val="008B5FCC"/>
    <w:rsid w:val="008B7544"/>
    <w:rsid w:val="008C3374"/>
    <w:rsid w:val="008C39F0"/>
    <w:rsid w:val="008C5486"/>
    <w:rsid w:val="008C63DF"/>
    <w:rsid w:val="008C6E28"/>
    <w:rsid w:val="008C708B"/>
    <w:rsid w:val="008D1661"/>
    <w:rsid w:val="008D6800"/>
    <w:rsid w:val="008E7031"/>
    <w:rsid w:val="008E77DE"/>
    <w:rsid w:val="008F07A3"/>
    <w:rsid w:val="008F16B3"/>
    <w:rsid w:val="008F34DD"/>
    <w:rsid w:val="009001B6"/>
    <w:rsid w:val="00900E1B"/>
    <w:rsid w:val="00901C3C"/>
    <w:rsid w:val="009038ED"/>
    <w:rsid w:val="009233EE"/>
    <w:rsid w:val="00923CFC"/>
    <w:rsid w:val="00923FA9"/>
    <w:rsid w:val="009272AD"/>
    <w:rsid w:val="009277DC"/>
    <w:rsid w:val="009460AA"/>
    <w:rsid w:val="0094641C"/>
    <w:rsid w:val="00951978"/>
    <w:rsid w:val="00961115"/>
    <w:rsid w:val="00961A4A"/>
    <w:rsid w:val="009661DE"/>
    <w:rsid w:val="00975E71"/>
    <w:rsid w:val="00983C25"/>
    <w:rsid w:val="009856B7"/>
    <w:rsid w:val="00985C86"/>
    <w:rsid w:val="00996BAF"/>
    <w:rsid w:val="009972D8"/>
    <w:rsid w:val="009A4FAA"/>
    <w:rsid w:val="009A5113"/>
    <w:rsid w:val="009A539D"/>
    <w:rsid w:val="009A5FC3"/>
    <w:rsid w:val="009B5DC8"/>
    <w:rsid w:val="009B6F84"/>
    <w:rsid w:val="009B7343"/>
    <w:rsid w:val="009B74B0"/>
    <w:rsid w:val="009C691D"/>
    <w:rsid w:val="009D2B38"/>
    <w:rsid w:val="009D3906"/>
    <w:rsid w:val="009D6B46"/>
    <w:rsid w:val="009D7D62"/>
    <w:rsid w:val="009F4940"/>
    <w:rsid w:val="009F5BA1"/>
    <w:rsid w:val="00A02A88"/>
    <w:rsid w:val="00A0562E"/>
    <w:rsid w:val="00A06085"/>
    <w:rsid w:val="00A0726D"/>
    <w:rsid w:val="00A16321"/>
    <w:rsid w:val="00A16596"/>
    <w:rsid w:val="00A2303E"/>
    <w:rsid w:val="00A32FBB"/>
    <w:rsid w:val="00A428EE"/>
    <w:rsid w:val="00A4478A"/>
    <w:rsid w:val="00A44852"/>
    <w:rsid w:val="00A4650A"/>
    <w:rsid w:val="00A50502"/>
    <w:rsid w:val="00A51E95"/>
    <w:rsid w:val="00A57D04"/>
    <w:rsid w:val="00A60A26"/>
    <w:rsid w:val="00A61598"/>
    <w:rsid w:val="00A71465"/>
    <w:rsid w:val="00A84A99"/>
    <w:rsid w:val="00A84F46"/>
    <w:rsid w:val="00A871F4"/>
    <w:rsid w:val="00A90AA4"/>
    <w:rsid w:val="00A923BF"/>
    <w:rsid w:val="00AB47E1"/>
    <w:rsid w:val="00AC1B2C"/>
    <w:rsid w:val="00AC3264"/>
    <w:rsid w:val="00AD3884"/>
    <w:rsid w:val="00AD7B56"/>
    <w:rsid w:val="00AE1BF1"/>
    <w:rsid w:val="00AF0DD2"/>
    <w:rsid w:val="00B0209D"/>
    <w:rsid w:val="00B02961"/>
    <w:rsid w:val="00B04908"/>
    <w:rsid w:val="00B04B4C"/>
    <w:rsid w:val="00B07CEA"/>
    <w:rsid w:val="00B13048"/>
    <w:rsid w:val="00B1716D"/>
    <w:rsid w:val="00B177B2"/>
    <w:rsid w:val="00B17A1D"/>
    <w:rsid w:val="00B207A0"/>
    <w:rsid w:val="00B40CAA"/>
    <w:rsid w:val="00B514DD"/>
    <w:rsid w:val="00B51F3F"/>
    <w:rsid w:val="00B52AF0"/>
    <w:rsid w:val="00B561BD"/>
    <w:rsid w:val="00B56E03"/>
    <w:rsid w:val="00B61EDF"/>
    <w:rsid w:val="00B74AC5"/>
    <w:rsid w:val="00B757A6"/>
    <w:rsid w:val="00B8080B"/>
    <w:rsid w:val="00B82223"/>
    <w:rsid w:val="00B87BA5"/>
    <w:rsid w:val="00B87C39"/>
    <w:rsid w:val="00B9562D"/>
    <w:rsid w:val="00BA0731"/>
    <w:rsid w:val="00BA4665"/>
    <w:rsid w:val="00BA47EE"/>
    <w:rsid w:val="00BB2FB2"/>
    <w:rsid w:val="00BB3304"/>
    <w:rsid w:val="00BB3FD7"/>
    <w:rsid w:val="00BB6848"/>
    <w:rsid w:val="00BB7528"/>
    <w:rsid w:val="00BC18DE"/>
    <w:rsid w:val="00BC2FAF"/>
    <w:rsid w:val="00BC42EF"/>
    <w:rsid w:val="00BD0920"/>
    <w:rsid w:val="00BD0C45"/>
    <w:rsid w:val="00BD1300"/>
    <w:rsid w:val="00BD310B"/>
    <w:rsid w:val="00BD3446"/>
    <w:rsid w:val="00BE1F1B"/>
    <w:rsid w:val="00BE47B5"/>
    <w:rsid w:val="00BF0C8F"/>
    <w:rsid w:val="00BF0CD7"/>
    <w:rsid w:val="00C04223"/>
    <w:rsid w:val="00C25FA6"/>
    <w:rsid w:val="00C275C4"/>
    <w:rsid w:val="00C30637"/>
    <w:rsid w:val="00C36F19"/>
    <w:rsid w:val="00C42ACA"/>
    <w:rsid w:val="00C5122C"/>
    <w:rsid w:val="00C538A9"/>
    <w:rsid w:val="00C53B5A"/>
    <w:rsid w:val="00C54F5A"/>
    <w:rsid w:val="00C569B4"/>
    <w:rsid w:val="00C56A01"/>
    <w:rsid w:val="00C56A3E"/>
    <w:rsid w:val="00C67A92"/>
    <w:rsid w:val="00C7497E"/>
    <w:rsid w:val="00C74D43"/>
    <w:rsid w:val="00C81568"/>
    <w:rsid w:val="00C84560"/>
    <w:rsid w:val="00C84F52"/>
    <w:rsid w:val="00C86679"/>
    <w:rsid w:val="00C97CDF"/>
    <w:rsid w:val="00CA2ABF"/>
    <w:rsid w:val="00CA2C1D"/>
    <w:rsid w:val="00CA489E"/>
    <w:rsid w:val="00CA52A2"/>
    <w:rsid w:val="00CB0279"/>
    <w:rsid w:val="00CB666B"/>
    <w:rsid w:val="00CC7F1D"/>
    <w:rsid w:val="00CD19EE"/>
    <w:rsid w:val="00CE484B"/>
    <w:rsid w:val="00CE4900"/>
    <w:rsid w:val="00CF0DEE"/>
    <w:rsid w:val="00CF2C05"/>
    <w:rsid w:val="00CF598F"/>
    <w:rsid w:val="00CF6EDE"/>
    <w:rsid w:val="00D006AE"/>
    <w:rsid w:val="00D01CF0"/>
    <w:rsid w:val="00D01EFD"/>
    <w:rsid w:val="00D0442A"/>
    <w:rsid w:val="00D06055"/>
    <w:rsid w:val="00D066B7"/>
    <w:rsid w:val="00D17683"/>
    <w:rsid w:val="00D36FCC"/>
    <w:rsid w:val="00D41E80"/>
    <w:rsid w:val="00D45694"/>
    <w:rsid w:val="00D608F6"/>
    <w:rsid w:val="00D60EFF"/>
    <w:rsid w:val="00D61388"/>
    <w:rsid w:val="00D61A54"/>
    <w:rsid w:val="00D64275"/>
    <w:rsid w:val="00D64DEA"/>
    <w:rsid w:val="00D7168E"/>
    <w:rsid w:val="00D71E57"/>
    <w:rsid w:val="00D75AA2"/>
    <w:rsid w:val="00D7645E"/>
    <w:rsid w:val="00D80893"/>
    <w:rsid w:val="00D84854"/>
    <w:rsid w:val="00D848B4"/>
    <w:rsid w:val="00D85112"/>
    <w:rsid w:val="00D92CF1"/>
    <w:rsid w:val="00D92D38"/>
    <w:rsid w:val="00D950F5"/>
    <w:rsid w:val="00DA0BCC"/>
    <w:rsid w:val="00DA4752"/>
    <w:rsid w:val="00DA61F3"/>
    <w:rsid w:val="00DA6B93"/>
    <w:rsid w:val="00DA6F94"/>
    <w:rsid w:val="00DB0F93"/>
    <w:rsid w:val="00DB1A67"/>
    <w:rsid w:val="00DB5074"/>
    <w:rsid w:val="00DB5B21"/>
    <w:rsid w:val="00DC7981"/>
    <w:rsid w:val="00DD1C15"/>
    <w:rsid w:val="00DE1093"/>
    <w:rsid w:val="00DE4EFA"/>
    <w:rsid w:val="00DE5520"/>
    <w:rsid w:val="00DE563D"/>
    <w:rsid w:val="00DE5E2E"/>
    <w:rsid w:val="00DE772C"/>
    <w:rsid w:val="00DF1D9A"/>
    <w:rsid w:val="00DF312A"/>
    <w:rsid w:val="00E04818"/>
    <w:rsid w:val="00E06442"/>
    <w:rsid w:val="00E06BCF"/>
    <w:rsid w:val="00E1001C"/>
    <w:rsid w:val="00E23993"/>
    <w:rsid w:val="00E257D6"/>
    <w:rsid w:val="00E25B8C"/>
    <w:rsid w:val="00E3544F"/>
    <w:rsid w:val="00E51D65"/>
    <w:rsid w:val="00E6200B"/>
    <w:rsid w:val="00E65C85"/>
    <w:rsid w:val="00E66199"/>
    <w:rsid w:val="00E711C7"/>
    <w:rsid w:val="00E7494F"/>
    <w:rsid w:val="00E755EC"/>
    <w:rsid w:val="00E7624D"/>
    <w:rsid w:val="00E97242"/>
    <w:rsid w:val="00EA38F3"/>
    <w:rsid w:val="00EA3D42"/>
    <w:rsid w:val="00EA6B1B"/>
    <w:rsid w:val="00EB26DE"/>
    <w:rsid w:val="00EB5BC8"/>
    <w:rsid w:val="00EB606C"/>
    <w:rsid w:val="00EC04F1"/>
    <w:rsid w:val="00EC1B2B"/>
    <w:rsid w:val="00EC32E5"/>
    <w:rsid w:val="00ED0EC2"/>
    <w:rsid w:val="00ED3474"/>
    <w:rsid w:val="00ED7323"/>
    <w:rsid w:val="00EE28F3"/>
    <w:rsid w:val="00EE50D1"/>
    <w:rsid w:val="00EE77FA"/>
    <w:rsid w:val="00EE7A83"/>
    <w:rsid w:val="00EF1B7A"/>
    <w:rsid w:val="00EF5110"/>
    <w:rsid w:val="00F0334E"/>
    <w:rsid w:val="00F07967"/>
    <w:rsid w:val="00F10411"/>
    <w:rsid w:val="00F15882"/>
    <w:rsid w:val="00F171E0"/>
    <w:rsid w:val="00F20BD3"/>
    <w:rsid w:val="00F2526A"/>
    <w:rsid w:val="00F35081"/>
    <w:rsid w:val="00F373A5"/>
    <w:rsid w:val="00F42E08"/>
    <w:rsid w:val="00F47559"/>
    <w:rsid w:val="00F57907"/>
    <w:rsid w:val="00F61176"/>
    <w:rsid w:val="00F62A30"/>
    <w:rsid w:val="00F62F68"/>
    <w:rsid w:val="00F64C7B"/>
    <w:rsid w:val="00F65B25"/>
    <w:rsid w:val="00F676DD"/>
    <w:rsid w:val="00F71667"/>
    <w:rsid w:val="00F73895"/>
    <w:rsid w:val="00F75A26"/>
    <w:rsid w:val="00F76706"/>
    <w:rsid w:val="00F768C8"/>
    <w:rsid w:val="00F81B8D"/>
    <w:rsid w:val="00F83FAD"/>
    <w:rsid w:val="00F8653A"/>
    <w:rsid w:val="00F91F55"/>
    <w:rsid w:val="00F92349"/>
    <w:rsid w:val="00F93B21"/>
    <w:rsid w:val="00F952A0"/>
    <w:rsid w:val="00FA3C7F"/>
    <w:rsid w:val="00FB1BF3"/>
    <w:rsid w:val="00FB4402"/>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numbering" w:customStyle="1" w:styleId="AERnumberedlist1">
    <w:name w:val="AER numbered list1"/>
    <w:uiPriority w:val="99"/>
    <w:rsid w:val="00975E71"/>
  </w:style>
  <w:style w:type="table" w:customStyle="1" w:styleId="AERtable-numbers1">
    <w:name w:val="AER table - numbers1"/>
    <w:basedOn w:val="TableNormal"/>
    <w:uiPriority w:val="99"/>
    <w:rsid w:val="00975E71"/>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customStyle="1" w:styleId="AERtable-numbers2">
    <w:name w:val="AER table - numbers2"/>
    <w:basedOn w:val="TableNormal"/>
    <w:uiPriority w:val="99"/>
    <w:rsid w:val="00975E71"/>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numbering" w:customStyle="1" w:styleId="AERnumberedlist1">
    <w:name w:val="AER numbered list1"/>
    <w:uiPriority w:val="99"/>
    <w:rsid w:val="00975E71"/>
  </w:style>
  <w:style w:type="table" w:customStyle="1" w:styleId="AERtable-numbers1">
    <w:name w:val="AER table - numbers1"/>
    <w:basedOn w:val="TableNormal"/>
    <w:uiPriority w:val="99"/>
    <w:rsid w:val="00975E71"/>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customStyle="1" w:styleId="AERtable-numbers2">
    <w:name w:val="AER table - numbers2"/>
    <w:basedOn w:val="TableNormal"/>
    <w:uiPriority w:val="99"/>
    <w:rsid w:val="00975E71"/>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10C5EC-4042-4BF9-BCA9-B4AC017E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76B1A945</Template>
  <TotalTime>0</TotalTime>
  <Pages>9</Pages>
  <Words>1236</Words>
  <Characters>7047</Characters>
  <Application>Microsoft Office Word</Application>
  <DocSecurity>0</DocSecurity>
  <Lines>58</Lines>
  <Paragraphs>16</Paragraphs>
  <ScaleCrop>false</ScaleCrop>
  <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2016-05-20T07:56:00Z</dcterms:created>
  <dcterms:modified xsi:type="dcterms:W3CDTF">2016-05-20T07:56:00Z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8575355</vt:lpwstr>
  </property>
</Properties>
</file>