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81D6A40" wp14:editId="5B81E693">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F4266" w:rsidRDefault="00BF4266" w:rsidP="00BF4266"/>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0D64F2" w:rsidP="008F07A3">
          <w:pPr>
            <w:pStyle w:val="ReportSubtitle"/>
          </w:pPr>
          <w:r>
            <w:t>Amadeus</w:t>
          </w:r>
          <w:r w:rsidR="00A06085">
            <w:t xml:space="preserve"> </w:t>
          </w:r>
          <w:r w:rsidR="0033548E">
            <w:t>Gas Pipeline</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D41E80">
            <w:t>12</w:t>
          </w:r>
          <w:r w:rsidR="00DA4752">
            <w:t xml:space="preserve"> </w:t>
          </w:r>
          <w:r w:rsidR="00415F31">
            <w:rPr>
              <w:rFonts w:cs="Arial"/>
            </w:rPr>
            <w:t>–</w:t>
          </w:r>
          <w:r w:rsidR="00DA4752">
            <w:t xml:space="preserve"> </w:t>
          </w:r>
          <w:r w:rsidR="00D41E80">
            <w:t>Non-tariff components</w:t>
          </w:r>
        </w:p>
        <w:p w:rsidR="000A6C7B" w:rsidRPr="00327A1E" w:rsidRDefault="005F6606" w:rsidP="00327A1E">
          <w:pPr>
            <w:pStyle w:val="ReportDate"/>
          </w:pPr>
          <w:r>
            <w:t xml:space="preserve">May </w:t>
          </w:r>
          <w:r w:rsidR="00A2303E">
            <w:t>2016</w:t>
          </w:r>
        </w:p>
      </w:sdtContent>
    </w:sdt>
    <w:p w:rsidR="00327A1E" w:rsidRPr="00290C63" w:rsidRDefault="00327A1E" w:rsidP="00290C63">
      <w:r>
        <w:br w:type="page"/>
      </w:r>
    </w:p>
    <w:p w:rsidR="000A6C7B" w:rsidRDefault="0084320C"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530455"/>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A2303E">
        <w:t>final</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3548E">
        <w:t xml:space="preserve">the Amadeus Gas Pipeline 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A2303E">
        <w:t>final</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A2303E">
        <w:t>final</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64349">
      <w:r>
        <w:t xml:space="preserve">Attachment 3 - </w:t>
      </w:r>
      <w:r w:rsidR="00EE77FA">
        <w:t>R</w:t>
      </w:r>
      <w:r>
        <w:t>ate of return</w:t>
      </w:r>
      <w:r w:rsidR="00764349">
        <w:tab/>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51530456"/>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E54DC8"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51530455" w:history="1">
            <w:r w:rsidR="00E54DC8" w:rsidRPr="00B81FB0">
              <w:rPr>
                <w:rStyle w:val="Hyperlink"/>
              </w:rPr>
              <w:t>Note</w:t>
            </w:r>
            <w:r w:rsidR="00E54DC8">
              <w:rPr>
                <w:webHidden/>
              </w:rPr>
              <w:tab/>
            </w:r>
            <w:r w:rsidR="00E54DC8">
              <w:rPr>
                <w:webHidden/>
              </w:rPr>
              <w:fldChar w:fldCharType="begin"/>
            </w:r>
            <w:r w:rsidR="00E54DC8">
              <w:rPr>
                <w:webHidden/>
              </w:rPr>
              <w:instrText xml:space="preserve"> PAGEREF _Toc451530455 \h </w:instrText>
            </w:r>
            <w:r w:rsidR="00E54DC8">
              <w:rPr>
                <w:webHidden/>
              </w:rPr>
            </w:r>
            <w:r w:rsidR="00E54DC8">
              <w:rPr>
                <w:webHidden/>
              </w:rPr>
              <w:fldChar w:fldCharType="separate"/>
            </w:r>
            <w:r w:rsidR="00E54DC8">
              <w:rPr>
                <w:webHidden/>
              </w:rPr>
              <w:t>12-2</w:t>
            </w:r>
            <w:r w:rsidR="00E54DC8">
              <w:rPr>
                <w:webHidden/>
              </w:rPr>
              <w:fldChar w:fldCharType="end"/>
            </w:r>
          </w:hyperlink>
        </w:p>
        <w:p w:rsidR="00E54DC8" w:rsidRDefault="00E54DC8">
          <w:pPr>
            <w:pStyle w:val="TOC1"/>
            <w:rPr>
              <w:rFonts w:asciiTheme="minorHAnsi" w:eastAsiaTheme="minorEastAsia" w:hAnsiTheme="minorHAnsi"/>
              <w:b w:val="0"/>
              <w:color w:val="auto"/>
              <w:sz w:val="22"/>
              <w:lang w:val="en-AU" w:eastAsia="en-AU"/>
            </w:rPr>
          </w:pPr>
          <w:hyperlink w:anchor="_Toc451530456" w:history="1">
            <w:r w:rsidRPr="00B81FB0">
              <w:rPr>
                <w:rStyle w:val="Hyperlink"/>
              </w:rPr>
              <w:t>Contents</w:t>
            </w:r>
            <w:r>
              <w:rPr>
                <w:webHidden/>
              </w:rPr>
              <w:tab/>
            </w:r>
            <w:r>
              <w:rPr>
                <w:webHidden/>
              </w:rPr>
              <w:fldChar w:fldCharType="begin"/>
            </w:r>
            <w:r>
              <w:rPr>
                <w:webHidden/>
              </w:rPr>
              <w:instrText xml:space="preserve"> PAGEREF _Toc451530456 \h </w:instrText>
            </w:r>
            <w:r>
              <w:rPr>
                <w:webHidden/>
              </w:rPr>
            </w:r>
            <w:r>
              <w:rPr>
                <w:webHidden/>
              </w:rPr>
              <w:fldChar w:fldCharType="separate"/>
            </w:r>
            <w:r>
              <w:rPr>
                <w:webHidden/>
              </w:rPr>
              <w:t>12-3</w:t>
            </w:r>
            <w:r>
              <w:rPr>
                <w:webHidden/>
              </w:rPr>
              <w:fldChar w:fldCharType="end"/>
            </w:r>
          </w:hyperlink>
        </w:p>
        <w:p w:rsidR="00E54DC8" w:rsidRDefault="00E54DC8">
          <w:pPr>
            <w:pStyle w:val="TOC1"/>
            <w:rPr>
              <w:rFonts w:asciiTheme="minorHAnsi" w:eastAsiaTheme="minorEastAsia" w:hAnsiTheme="minorHAnsi"/>
              <w:b w:val="0"/>
              <w:color w:val="auto"/>
              <w:sz w:val="22"/>
              <w:lang w:val="en-AU" w:eastAsia="en-AU"/>
            </w:rPr>
          </w:pPr>
          <w:hyperlink w:anchor="_Toc451530457" w:history="1">
            <w:r w:rsidRPr="00B81FB0">
              <w:rPr>
                <w:rStyle w:val="Hyperlink"/>
              </w:rPr>
              <w:t>Shortened forms</w:t>
            </w:r>
            <w:r>
              <w:rPr>
                <w:webHidden/>
              </w:rPr>
              <w:tab/>
            </w:r>
            <w:r>
              <w:rPr>
                <w:webHidden/>
              </w:rPr>
              <w:fldChar w:fldCharType="begin"/>
            </w:r>
            <w:r>
              <w:rPr>
                <w:webHidden/>
              </w:rPr>
              <w:instrText xml:space="preserve"> PAGEREF _Toc451530457 \h </w:instrText>
            </w:r>
            <w:r>
              <w:rPr>
                <w:webHidden/>
              </w:rPr>
            </w:r>
            <w:r>
              <w:rPr>
                <w:webHidden/>
              </w:rPr>
              <w:fldChar w:fldCharType="separate"/>
            </w:r>
            <w:r>
              <w:rPr>
                <w:webHidden/>
              </w:rPr>
              <w:t>12-4</w:t>
            </w:r>
            <w:r>
              <w:rPr>
                <w:webHidden/>
              </w:rPr>
              <w:fldChar w:fldCharType="end"/>
            </w:r>
          </w:hyperlink>
        </w:p>
        <w:p w:rsidR="00E54DC8" w:rsidRDefault="00E54DC8">
          <w:pPr>
            <w:pStyle w:val="TOC1"/>
            <w:rPr>
              <w:rFonts w:asciiTheme="minorHAnsi" w:eastAsiaTheme="minorEastAsia" w:hAnsiTheme="minorHAnsi"/>
              <w:b w:val="0"/>
              <w:color w:val="auto"/>
              <w:sz w:val="22"/>
              <w:lang w:val="en-AU" w:eastAsia="en-AU"/>
            </w:rPr>
          </w:pPr>
          <w:hyperlink w:anchor="_Toc451530458" w:history="1">
            <w:r w:rsidRPr="00B81FB0">
              <w:rPr>
                <w:rStyle w:val="Hyperlink"/>
              </w:rPr>
              <w:t>12</w:t>
            </w:r>
            <w:r>
              <w:rPr>
                <w:rFonts w:asciiTheme="minorHAnsi" w:eastAsiaTheme="minorEastAsia" w:hAnsiTheme="minorHAnsi"/>
                <w:b w:val="0"/>
                <w:color w:val="auto"/>
                <w:sz w:val="22"/>
                <w:lang w:val="en-AU" w:eastAsia="en-AU"/>
              </w:rPr>
              <w:tab/>
            </w:r>
            <w:r w:rsidRPr="00B81FB0">
              <w:rPr>
                <w:rStyle w:val="Hyperlink"/>
              </w:rPr>
              <w:t>Non-tariff components</w:t>
            </w:r>
            <w:r>
              <w:rPr>
                <w:webHidden/>
              </w:rPr>
              <w:tab/>
            </w:r>
            <w:r>
              <w:rPr>
                <w:webHidden/>
              </w:rPr>
              <w:fldChar w:fldCharType="begin"/>
            </w:r>
            <w:r>
              <w:rPr>
                <w:webHidden/>
              </w:rPr>
              <w:instrText xml:space="preserve"> PAGEREF _Toc451530458 \h </w:instrText>
            </w:r>
            <w:r>
              <w:rPr>
                <w:webHidden/>
              </w:rPr>
            </w:r>
            <w:r>
              <w:rPr>
                <w:webHidden/>
              </w:rPr>
              <w:fldChar w:fldCharType="separate"/>
            </w:r>
            <w:r>
              <w:rPr>
                <w:webHidden/>
              </w:rPr>
              <w:t>12-6</w:t>
            </w:r>
            <w:r>
              <w:rPr>
                <w:webHidden/>
              </w:rPr>
              <w:fldChar w:fldCharType="end"/>
            </w:r>
          </w:hyperlink>
        </w:p>
        <w:p w:rsidR="00E54DC8" w:rsidRDefault="00E54DC8">
          <w:pPr>
            <w:pStyle w:val="TOC2"/>
            <w:tabs>
              <w:tab w:val="left" w:pos="1276"/>
            </w:tabs>
            <w:rPr>
              <w:rFonts w:asciiTheme="minorHAnsi" w:eastAsiaTheme="minorEastAsia" w:hAnsiTheme="minorHAnsi"/>
              <w:b w:val="0"/>
              <w:color w:val="auto"/>
              <w:sz w:val="22"/>
              <w:lang w:eastAsia="en-AU"/>
            </w:rPr>
          </w:pPr>
          <w:hyperlink w:anchor="_Toc451530459" w:history="1">
            <w:r w:rsidRPr="00B81FB0">
              <w:rPr>
                <w:rStyle w:val="Hyperlink"/>
              </w:rPr>
              <w:t>12.1</w:t>
            </w:r>
            <w:r>
              <w:rPr>
                <w:rFonts w:asciiTheme="minorHAnsi" w:eastAsiaTheme="minorEastAsia" w:hAnsiTheme="minorHAnsi"/>
                <w:b w:val="0"/>
                <w:color w:val="auto"/>
                <w:sz w:val="22"/>
                <w:lang w:eastAsia="en-AU"/>
              </w:rPr>
              <w:tab/>
            </w:r>
            <w:r w:rsidRPr="00B81FB0">
              <w:rPr>
                <w:rStyle w:val="Hyperlink"/>
              </w:rPr>
              <w:t>Decision</w:t>
            </w:r>
            <w:r>
              <w:rPr>
                <w:webHidden/>
              </w:rPr>
              <w:tab/>
            </w:r>
            <w:r>
              <w:rPr>
                <w:webHidden/>
              </w:rPr>
              <w:fldChar w:fldCharType="begin"/>
            </w:r>
            <w:r>
              <w:rPr>
                <w:webHidden/>
              </w:rPr>
              <w:instrText xml:space="preserve"> PAGEREF _Toc451530459 \h </w:instrText>
            </w:r>
            <w:r>
              <w:rPr>
                <w:webHidden/>
              </w:rPr>
            </w:r>
            <w:r>
              <w:rPr>
                <w:webHidden/>
              </w:rPr>
              <w:fldChar w:fldCharType="separate"/>
            </w:r>
            <w:r>
              <w:rPr>
                <w:webHidden/>
              </w:rPr>
              <w:t>12-6</w:t>
            </w:r>
            <w:r>
              <w:rPr>
                <w:webHidden/>
              </w:rPr>
              <w:fldChar w:fldCharType="end"/>
            </w:r>
          </w:hyperlink>
        </w:p>
        <w:p w:rsidR="00E54DC8" w:rsidRDefault="00E54DC8">
          <w:pPr>
            <w:pStyle w:val="TOC2"/>
            <w:tabs>
              <w:tab w:val="left" w:pos="1276"/>
            </w:tabs>
            <w:rPr>
              <w:rFonts w:asciiTheme="minorHAnsi" w:eastAsiaTheme="minorEastAsia" w:hAnsiTheme="minorHAnsi"/>
              <w:b w:val="0"/>
              <w:color w:val="auto"/>
              <w:sz w:val="22"/>
              <w:lang w:eastAsia="en-AU"/>
            </w:rPr>
          </w:pPr>
          <w:hyperlink w:anchor="_Toc451530460" w:history="1">
            <w:r w:rsidRPr="00B81FB0">
              <w:rPr>
                <w:rStyle w:val="Hyperlink"/>
              </w:rPr>
              <w:t>12.2</w:t>
            </w:r>
            <w:r>
              <w:rPr>
                <w:rFonts w:asciiTheme="minorHAnsi" w:eastAsiaTheme="minorEastAsia" w:hAnsiTheme="minorHAnsi"/>
                <w:b w:val="0"/>
                <w:color w:val="auto"/>
                <w:sz w:val="22"/>
                <w:lang w:eastAsia="en-AU"/>
              </w:rPr>
              <w:tab/>
            </w:r>
            <w:r w:rsidRPr="00B81FB0">
              <w:rPr>
                <w:rStyle w:val="Hyperlink"/>
              </w:rPr>
              <w:t>Terms and conditions</w:t>
            </w:r>
            <w:r>
              <w:rPr>
                <w:webHidden/>
              </w:rPr>
              <w:tab/>
            </w:r>
            <w:r>
              <w:rPr>
                <w:webHidden/>
              </w:rPr>
              <w:fldChar w:fldCharType="begin"/>
            </w:r>
            <w:r>
              <w:rPr>
                <w:webHidden/>
              </w:rPr>
              <w:instrText xml:space="preserve"> PAGEREF _Toc451530460 \h </w:instrText>
            </w:r>
            <w:r>
              <w:rPr>
                <w:webHidden/>
              </w:rPr>
            </w:r>
            <w:r>
              <w:rPr>
                <w:webHidden/>
              </w:rPr>
              <w:fldChar w:fldCharType="separate"/>
            </w:r>
            <w:r>
              <w:rPr>
                <w:webHidden/>
              </w:rPr>
              <w:t>12-6</w:t>
            </w:r>
            <w:r>
              <w:rPr>
                <w:webHidden/>
              </w:rPr>
              <w:fldChar w:fldCharType="end"/>
            </w:r>
          </w:hyperlink>
        </w:p>
        <w:p w:rsidR="00E54DC8" w:rsidRDefault="00E54DC8">
          <w:pPr>
            <w:pStyle w:val="TOC3"/>
            <w:rPr>
              <w:rFonts w:asciiTheme="minorHAnsi" w:eastAsiaTheme="minorEastAsia" w:hAnsiTheme="minorHAnsi"/>
              <w:lang w:eastAsia="en-AU"/>
            </w:rPr>
          </w:pPr>
          <w:hyperlink w:anchor="_Toc451530461" w:history="1">
            <w:r w:rsidRPr="00B81FB0">
              <w:rPr>
                <w:rStyle w:val="Hyperlink"/>
              </w:rPr>
              <w:t>12.2.1</w:t>
            </w:r>
            <w:r>
              <w:rPr>
                <w:rFonts w:asciiTheme="minorHAnsi" w:eastAsiaTheme="minorEastAsia" w:hAnsiTheme="minorHAnsi"/>
                <w:lang w:eastAsia="en-AU"/>
              </w:rPr>
              <w:tab/>
            </w:r>
            <w:r w:rsidRPr="00B81FB0">
              <w:rPr>
                <w:rStyle w:val="Hyperlink"/>
              </w:rPr>
              <w:t>Final decision</w:t>
            </w:r>
            <w:r>
              <w:rPr>
                <w:webHidden/>
              </w:rPr>
              <w:tab/>
            </w:r>
            <w:r>
              <w:rPr>
                <w:webHidden/>
              </w:rPr>
              <w:fldChar w:fldCharType="begin"/>
            </w:r>
            <w:r>
              <w:rPr>
                <w:webHidden/>
              </w:rPr>
              <w:instrText xml:space="preserve"> PAGEREF _Toc451530461 \h </w:instrText>
            </w:r>
            <w:r>
              <w:rPr>
                <w:webHidden/>
              </w:rPr>
            </w:r>
            <w:r>
              <w:rPr>
                <w:webHidden/>
              </w:rPr>
              <w:fldChar w:fldCharType="separate"/>
            </w:r>
            <w:r>
              <w:rPr>
                <w:webHidden/>
              </w:rPr>
              <w:t>12-7</w:t>
            </w:r>
            <w:r>
              <w:rPr>
                <w:webHidden/>
              </w:rPr>
              <w:fldChar w:fldCharType="end"/>
            </w:r>
          </w:hyperlink>
        </w:p>
        <w:p w:rsidR="00E54DC8" w:rsidRDefault="00E54DC8">
          <w:pPr>
            <w:pStyle w:val="TOC3"/>
            <w:rPr>
              <w:rFonts w:asciiTheme="minorHAnsi" w:eastAsiaTheme="minorEastAsia" w:hAnsiTheme="minorHAnsi"/>
              <w:lang w:eastAsia="en-AU"/>
            </w:rPr>
          </w:pPr>
          <w:hyperlink w:anchor="_Toc451530462" w:history="1">
            <w:r w:rsidRPr="00B81FB0">
              <w:rPr>
                <w:rStyle w:val="Hyperlink"/>
              </w:rPr>
              <w:t>12.2.2</w:t>
            </w:r>
            <w:r>
              <w:rPr>
                <w:rFonts w:asciiTheme="minorHAnsi" w:eastAsiaTheme="minorEastAsia" w:hAnsiTheme="minorHAnsi"/>
                <w:lang w:eastAsia="en-AU"/>
              </w:rPr>
              <w:tab/>
            </w:r>
            <w:r w:rsidRPr="00B81FB0">
              <w:rPr>
                <w:rStyle w:val="Hyperlink"/>
              </w:rPr>
              <w:t>APTNT’s revised proposal</w:t>
            </w:r>
            <w:r>
              <w:rPr>
                <w:webHidden/>
              </w:rPr>
              <w:tab/>
            </w:r>
            <w:r>
              <w:rPr>
                <w:webHidden/>
              </w:rPr>
              <w:fldChar w:fldCharType="begin"/>
            </w:r>
            <w:r>
              <w:rPr>
                <w:webHidden/>
              </w:rPr>
              <w:instrText xml:space="preserve"> PAGEREF _Toc451530462 \h </w:instrText>
            </w:r>
            <w:r>
              <w:rPr>
                <w:webHidden/>
              </w:rPr>
            </w:r>
            <w:r>
              <w:rPr>
                <w:webHidden/>
              </w:rPr>
              <w:fldChar w:fldCharType="separate"/>
            </w:r>
            <w:r>
              <w:rPr>
                <w:webHidden/>
              </w:rPr>
              <w:t>12-7</w:t>
            </w:r>
            <w:r>
              <w:rPr>
                <w:webHidden/>
              </w:rPr>
              <w:fldChar w:fldCharType="end"/>
            </w:r>
          </w:hyperlink>
        </w:p>
        <w:p w:rsidR="00E54DC8" w:rsidRDefault="00E54DC8">
          <w:pPr>
            <w:pStyle w:val="TOC3"/>
            <w:rPr>
              <w:rFonts w:asciiTheme="minorHAnsi" w:eastAsiaTheme="minorEastAsia" w:hAnsiTheme="minorHAnsi"/>
              <w:lang w:eastAsia="en-AU"/>
            </w:rPr>
          </w:pPr>
          <w:hyperlink w:anchor="_Toc451530463" w:history="1">
            <w:r w:rsidRPr="00B81FB0">
              <w:rPr>
                <w:rStyle w:val="Hyperlink"/>
              </w:rPr>
              <w:t>12.2.3</w:t>
            </w:r>
            <w:r>
              <w:rPr>
                <w:rFonts w:asciiTheme="minorHAnsi" w:eastAsiaTheme="minorEastAsia" w:hAnsiTheme="minorHAnsi"/>
                <w:lang w:eastAsia="en-AU"/>
              </w:rPr>
              <w:tab/>
            </w:r>
            <w:r w:rsidRPr="00B81FB0">
              <w:rPr>
                <w:rStyle w:val="Hyperlink"/>
              </w:rPr>
              <w:t>AER’s assessment approach</w:t>
            </w:r>
            <w:r>
              <w:rPr>
                <w:webHidden/>
              </w:rPr>
              <w:tab/>
            </w:r>
            <w:r>
              <w:rPr>
                <w:webHidden/>
              </w:rPr>
              <w:fldChar w:fldCharType="begin"/>
            </w:r>
            <w:r>
              <w:rPr>
                <w:webHidden/>
              </w:rPr>
              <w:instrText xml:space="preserve"> PAGEREF _Toc451530463 \h </w:instrText>
            </w:r>
            <w:r>
              <w:rPr>
                <w:webHidden/>
              </w:rPr>
            </w:r>
            <w:r>
              <w:rPr>
                <w:webHidden/>
              </w:rPr>
              <w:fldChar w:fldCharType="separate"/>
            </w:r>
            <w:r>
              <w:rPr>
                <w:webHidden/>
              </w:rPr>
              <w:t>12-7</w:t>
            </w:r>
            <w:r>
              <w:rPr>
                <w:webHidden/>
              </w:rPr>
              <w:fldChar w:fldCharType="end"/>
            </w:r>
          </w:hyperlink>
        </w:p>
        <w:p w:rsidR="00E54DC8" w:rsidRDefault="00E54DC8">
          <w:pPr>
            <w:pStyle w:val="TOC3"/>
            <w:rPr>
              <w:rFonts w:asciiTheme="minorHAnsi" w:eastAsiaTheme="minorEastAsia" w:hAnsiTheme="minorHAnsi"/>
              <w:lang w:eastAsia="en-AU"/>
            </w:rPr>
          </w:pPr>
          <w:hyperlink w:anchor="_Toc451530464" w:history="1">
            <w:r w:rsidRPr="00B81FB0">
              <w:rPr>
                <w:rStyle w:val="Hyperlink"/>
              </w:rPr>
              <w:t>12.2.4</w:t>
            </w:r>
            <w:r>
              <w:rPr>
                <w:rFonts w:asciiTheme="minorHAnsi" w:eastAsiaTheme="minorEastAsia" w:hAnsiTheme="minorHAnsi"/>
                <w:lang w:eastAsia="en-AU"/>
              </w:rPr>
              <w:tab/>
            </w:r>
            <w:r w:rsidRPr="00B81FB0">
              <w:rPr>
                <w:rStyle w:val="Hyperlink"/>
              </w:rPr>
              <w:t>Reasons for final decision</w:t>
            </w:r>
            <w:r>
              <w:rPr>
                <w:webHidden/>
              </w:rPr>
              <w:tab/>
            </w:r>
            <w:r>
              <w:rPr>
                <w:webHidden/>
              </w:rPr>
              <w:fldChar w:fldCharType="begin"/>
            </w:r>
            <w:r>
              <w:rPr>
                <w:webHidden/>
              </w:rPr>
              <w:instrText xml:space="preserve"> PAGEREF _Toc451530464 \h </w:instrText>
            </w:r>
            <w:r>
              <w:rPr>
                <w:webHidden/>
              </w:rPr>
            </w:r>
            <w:r>
              <w:rPr>
                <w:webHidden/>
              </w:rPr>
              <w:fldChar w:fldCharType="separate"/>
            </w:r>
            <w:r>
              <w:rPr>
                <w:webHidden/>
              </w:rPr>
              <w:t>12-8</w:t>
            </w:r>
            <w:r>
              <w:rPr>
                <w:webHidden/>
              </w:rPr>
              <w:fldChar w:fldCharType="end"/>
            </w:r>
          </w:hyperlink>
        </w:p>
        <w:p w:rsidR="00E54DC8" w:rsidRDefault="00E54DC8">
          <w:pPr>
            <w:pStyle w:val="TOC2"/>
            <w:tabs>
              <w:tab w:val="left" w:pos="1276"/>
            </w:tabs>
            <w:rPr>
              <w:rFonts w:asciiTheme="minorHAnsi" w:eastAsiaTheme="minorEastAsia" w:hAnsiTheme="minorHAnsi"/>
              <w:b w:val="0"/>
              <w:color w:val="auto"/>
              <w:sz w:val="22"/>
              <w:lang w:eastAsia="en-AU"/>
            </w:rPr>
          </w:pPr>
          <w:hyperlink w:anchor="_Toc451530465" w:history="1">
            <w:r w:rsidRPr="00B81FB0">
              <w:rPr>
                <w:rStyle w:val="Hyperlink"/>
              </w:rPr>
              <w:t>12.3</w:t>
            </w:r>
            <w:r>
              <w:rPr>
                <w:rFonts w:asciiTheme="minorHAnsi" w:eastAsiaTheme="minorEastAsia" w:hAnsiTheme="minorHAnsi"/>
                <w:b w:val="0"/>
                <w:color w:val="auto"/>
                <w:sz w:val="22"/>
                <w:lang w:eastAsia="en-AU"/>
              </w:rPr>
              <w:tab/>
            </w:r>
            <w:r w:rsidRPr="00B81FB0">
              <w:rPr>
                <w:rStyle w:val="Hyperlink"/>
              </w:rPr>
              <w:t>Revision and commencement</w:t>
            </w:r>
            <w:r>
              <w:rPr>
                <w:webHidden/>
              </w:rPr>
              <w:tab/>
            </w:r>
            <w:r>
              <w:rPr>
                <w:webHidden/>
              </w:rPr>
              <w:fldChar w:fldCharType="begin"/>
            </w:r>
            <w:r>
              <w:rPr>
                <w:webHidden/>
              </w:rPr>
              <w:instrText xml:space="preserve"> PAGEREF _Toc451530465 \h </w:instrText>
            </w:r>
            <w:r>
              <w:rPr>
                <w:webHidden/>
              </w:rPr>
            </w:r>
            <w:r>
              <w:rPr>
                <w:webHidden/>
              </w:rPr>
              <w:fldChar w:fldCharType="separate"/>
            </w:r>
            <w:r>
              <w:rPr>
                <w:webHidden/>
              </w:rPr>
              <w:t>12-10</w:t>
            </w:r>
            <w:r>
              <w:rPr>
                <w:webHidden/>
              </w:rPr>
              <w:fldChar w:fldCharType="end"/>
            </w:r>
          </w:hyperlink>
        </w:p>
        <w:p w:rsidR="00E54DC8" w:rsidRDefault="00E54DC8">
          <w:pPr>
            <w:pStyle w:val="TOC3"/>
            <w:rPr>
              <w:rFonts w:asciiTheme="minorHAnsi" w:eastAsiaTheme="minorEastAsia" w:hAnsiTheme="minorHAnsi"/>
              <w:lang w:eastAsia="en-AU"/>
            </w:rPr>
          </w:pPr>
          <w:hyperlink w:anchor="_Toc451530466" w:history="1">
            <w:r w:rsidRPr="00B81FB0">
              <w:rPr>
                <w:rStyle w:val="Hyperlink"/>
              </w:rPr>
              <w:t>Early review trigger</w:t>
            </w:r>
            <w:r>
              <w:rPr>
                <w:webHidden/>
              </w:rPr>
              <w:tab/>
            </w:r>
            <w:r>
              <w:rPr>
                <w:webHidden/>
              </w:rPr>
              <w:fldChar w:fldCharType="begin"/>
            </w:r>
            <w:r>
              <w:rPr>
                <w:webHidden/>
              </w:rPr>
              <w:instrText xml:space="preserve"> PAGEREF _Toc451530466 \h </w:instrText>
            </w:r>
            <w:r>
              <w:rPr>
                <w:webHidden/>
              </w:rPr>
            </w:r>
            <w:r>
              <w:rPr>
                <w:webHidden/>
              </w:rPr>
              <w:fldChar w:fldCharType="separate"/>
            </w:r>
            <w:r>
              <w:rPr>
                <w:webHidden/>
              </w:rPr>
              <w:t>12-10</w:t>
            </w:r>
            <w:r>
              <w:rPr>
                <w:webHidden/>
              </w:rPr>
              <w:fldChar w:fldCharType="end"/>
            </w:r>
          </w:hyperlink>
        </w:p>
        <w:p w:rsidR="00E54DC8" w:rsidRDefault="00E54DC8">
          <w:pPr>
            <w:pStyle w:val="TOC3"/>
            <w:rPr>
              <w:rFonts w:asciiTheme="minorHAnsi" w:eastAsiaTheme="minorEastAsia" w:hAnsiTheme="minorHAnsi"/>
              <w:lang w:eastAsia="en-AU"/>
            </w:rPr>
          </w:pPr>
          <w:hyperlink w:anchor="_Toc451530467" w:history="1">
            <w:r w:rsidRPr="00B81FB0">
              <w:rPr>
                <w:rStyle w:val="Hyperlink"/>
              </w:rPr>
              <w:t>Review process</w:t>
            </w:r>
            <w:r>
              <w:rPr>
                <w:webHidden/>
              </w:rPr>
              <w:tab/>
            </w:r>
            <w:r>
              <w:rPr>
                <w:webHidden/>
              </w:rPr>
              <w:fldChar w:fldCharType="begin"/>
            </w:r>
            <w:r>
              <w:rPr>
                <w:webHidden/>
              </w:rPr>
              <w:instrText xml:space="preserve"> PAGEREF _Toc451530467 \h </w:instrText>
            </w:r>
            <w:r>
              <w:rPr>
                <w:webHidden/>
              </w:rPr>
            </w:r>
            <w:r>
              <w:rPr>
                <w:webHidden/>
              </w:rPr>
              <w:fldChar w:fldCharType="separate"/>
            </w:r>
            <w:r>
              <w:rPr>
                <w:webHidden/>
              </w:rPr>
              <w:t>12-13</w:t>
            </w:r>
            <w:r>
              <w:rPr>
                <w:webHidden/>
              </w:rPr>
              <w:fldChar w:fldCharType="end"/>
            </w:r>
          </w:hyperlink>
        </w:p>
        <w:p w:rsidR="00E54DC8" w:rsidRDefault="00E54DC8">
          <w:pPr>
            <w:pStyle w:val="TOC2"/>
            <w:tabs>
              <w:tab w:val="left" w:pos="1276"/>
            </w:tabs>
            <w:rPr>
              <w:rFonts w:asciiTheme="minorHAnsi" w:eastAsiaTheme="minorEastAsia" w:hAnsiTheme="minorHAnsi"/>
              <w:b w:val="0"/>
              <w:color w:val="auto"/>
              <w:sz w:val="22"/>
              <w:lang w:eastAsia="en-AU"/>
            </w:rPr>
          </w:pPr>
          <w:hyperlink w:anchor="_Toc451530468" w:history="1">
            <w:r w:rsidRPr="00B81FB0">
              <w:rPr>
                <w:rStyle w:val="Hyperlink"/>
              </w:rPr>
              <w:t>12.4</w:t>
            </w:r>
            <w:r>
              <w:rPr>
                <w:rFonts w:asciiTheme="minorHAnsi" w:eastAsiaTheme="minorEastAsia" w:hAnsiTheme="minorHAnsi"/>
                <w:b w:val="0"/>
                <w:color w:val="auto"/>
                <w:sz w:val="22"/>
                <w:lang w:eastAsia="en-AU"/>
              </w:rPr>
              <w:tab/>
            </w:r>
            <w:r w:rsidRPr="00B81FB0">
              <w:rPr>
                <w:rStyle w:val="Hyperlink"/>
              </w:rPr>
              <w:t>Other non-tariff components</w:t>
            </w:r>
            <w:r>
              <w:rPr>
                <w:webHidden/>
              </w:rPr>
              <w:tab/>
            </w:r>
            <w:r>
              <w:rPr>
                <w:webHidden/>
              </w:rPr>
              <w:fldChar w:fldCharType="begin"/>
            </w:r>
            <w:r>
              <w:rPr>
                <w:webHidden/>
              </w:rPr>
              <w:instrText xml:space="preserve"> PAGEREF _Toc451530468 \h </w:instrText>
            </w:r>
            <w:r>
              <w:rPr>
                <w:webHidden/>
              </w:rPr>
            </w:r>
            <w:r>
              <w:rPr>
                <w:webHidden/>
              </w:rPr>
              <w:fldChar w:fldCharType="separate"/>
            </w:r>
            <w:r>
              <w:rPr>
                <w:webHidden/>
              </w:rPr>
              <w:t>12-14</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8" w:name="_Toc404700925"/>
      <w:bookmarkStart w:id="9" w:name="_Toc451530457"/>
      <w:r>
        <w:lastRenderedPageBreak/>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E7494F" w:rsidTr="00184E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E7494F" w:rsidRDefault="00E7494F" w:rsidP="00E7494F">
            <w:pPr>
              <w:numPr>
                <w:ilvl w:val="0"/>
                <w:numId w:val="24"/>
              </w:numPr>
            </w:pPr>
            <w:r>
              <w:t>Shortened form</w:t>
            </w:r>
          </w:p>
        </w:tc>
        <w:tc>
          <w:tcPr>
            <w:tcW w:w="5041" w:type="dxa"/>
          </w:tcPr>
          <w:p w:rsidR="00E7494F" w:rsidRDefault="00E7494F" w:rsidP="00E7494F">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F33CBA" w:rsidRPr="00B2363F" w:rsidTr="00F33CBA">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AA</w:t>
            </w:r>
          </w:p>
        </w:tc>
        <w:tc>
          <w:tcPr>
            <w:tcW w:w="5041" w:type="dxa"/>
          </w:tcPr>
          <w:p w:rsidR="00F33CBA" w:rsidRPr="00F13601" w:rsidRDefault="00F33CBA" w:rsidP="00FC5A62">
            <w:pPr>
              <w:cnfStyle w:val="000000000000" w:firstRow="0" w:lastRow="0" w:firstColumn="0" w:lastColumn="0" w:oddVBand="0" w:evenVBand="0" w:oddHBand="0" w:evenHBand="0" w:firstRowFirstColumn="0" w:firstRowLastColumn="0" w:lastRowFirstColumn="0" w:lastRowLastColumn="0"/>
            </w:pPr>
            <w:r w:rsidRPr="00F13601">
              <w:t>Access Arrangement</w:t>
            </w:r>
          </w:p>
        </w:tc>
      </w:tr>
      <w:tr w:rsidR="00F33CBA" w:rsidRPr="00B2363F" w:rsidTr="00F33C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AAI</w:t>
            </w:r>
          </w:p>
        </w:tc>
        <w:tc>
          <w:tcPr>
            <w:tcW w:w="5041" w:type="dxa"/>
          </w:tcPr>
          <w:p w:rsidR="00F33CBA" w:rsidRPr="00F13601" w:rsidRDefault="00F33CBA" w:rsidP="00FC5A62">
            <w:pPr>
              <w:cnfStyle w:val="000000010000" w:firstRow="0" w:lastRow="0" w:firstColumn="0" w:lastColumn="0" w:oddVBand="0" w:evenVBand="0" w:oddHBand="0" w:evenHBand="1" w:firstRowFirstColumn="0" w:firstRowLastColumn="0" w:lastRowFirstColumn="0" w:lastRowLastColumn="0"/>
            </w:pPr>
            <w:r w:rsidRPr="00F13601">
              <w:t>Access Arrangement Information</w:t>
            </w:r>
          </w:p>
        </w:tc>
      </w:tr>
      <w:tr w:rsidR="00F33CBA" w:rsidRPr="00B2363F" w:rsidTr="00F33CBA">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035E7">
              <w:t>APTNT</w:t>
            </w:r>
          </w:p>
        </w:tc>
        <w:tc>
          <w:tcPr>
            <w:tcW w:w="5041" w:type="dxa"/>
          </w:tcPr>
          <w:p w:rsidR="00F33CBA" w:rsidRPr="00F13601" w:rsidRDefault="00F33CBA" w:rsidP="00F33CBA">
            <w:pPr>
              <w:numPr>
                <w:ilvl w:val="0"/>
                <w:numId w:val="24"/>
              </w:numPr>
              <w:cnfStyle w:val="000000000000" w:firstRow="0" w:lastRow="0" w:firstColumn="0" w:lastColumn="0" w:oddVBand="0" w:evenVBand="0" w:oddHBand="0" w:evenHBand="0" w:firstRowFirstColumn="0" w:firstRowLastColumn="0" w:lastRowFirstColumn="0" w:lastRowLastColumn="0"/>
            </w:pPr>
            <w:r w:rsidRPr="00F035E7">
              <w:t>APT Pipelines (NT) Pty Limited (APTNT)</w:t>
            </w:r>
          </w:p>
        </w:tc>
      </w:tr>
      <w:tr w:rsidR="00F33CBA" w:rsidRPr="00B2363F" w:rsidTr="00F33C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AER</w:t>
            </w:r>
          </w:p>
        </w:tc>
        <w:tc>
          <w:tcPr>
            <w:tcW w:w="5041" w:type="dxa"/>
          </w:tcPr>
          <w:p w:rsidR="00F33CBA" w:rsidRPr="00F13601" w:rsidRDefault="00F33CBA" w:rsidP="00F33CBA">
            <w:pPr>
              <w:numPr>
                <w:ilvl w:val="0"/>
                <w:numId w:val="24"/>
              </w:numPr>
              <w:cnfStyle w:val="000000010000" w:firstRow="0" w:lastRow="0" w:firstColumn="0" w:lastColumn="0" w:oddVBand="0" w:evenVBand="0" w:oddHBand="0" w:evenHBand="1" w:firstRowFirstColumn="0" w:firstRowLastColumn="0" w:lastRowFirstColumn="0" w:lastRowLastColumn="0"/>
            </w:pPr>
            <w:r w:rsidRPr="00F13601">
              <w:t>Australian Energy Regulator</w:t>
            </w:r>
          </w:p>
        </w:tc>
      </w:tr>
      <w:tr w:rsidR="00F33CBA" w:rsidRPr="00B2363F" w:rsidTr="00F33CBA">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t>AGP</w:t>
            </w:r>
          </w:p>
        </w:tc>
        <w:tc>
          <w:tcPr>
            <w:tcW w:w="5041" w:type="dxa"/>
          </w:tcPr>
          <w:p w:rsidR="00F33CBA" w:rsidRPr="00F13601" w:rsidRDefault="00F33CBA" w:rsidP="00FC5A62">
            <w:pPr>
              <w:cnfStyle w:val="000000000000" w:firstRow="0" w:lastRow="0" w:firstColumn="0" w:lastColumn="0" w:oddVBand="0" w:evenVBand="0" w:oddHBand="0" w:evenHBand="0" w:firstRowFirstColumn="0" w:firstRowLastColumn="0" w:lastRowFirstColumn="0" w:lastRowLastColumn="0"/>
            </w:pPr>
            <w:r>
              <w:t>Amadeus Gas Pipeline</w:t>
            </w:r>
          </w:p>
        </w:tc>
      </w:tr>
      <w:tr w:rsidR="00F33CBA" w:rsidRPr="00B2363F" w:rsidTr="00F33C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ATO</w:t>
            </w:r>
          </w:p>
        </w:tc>
        <w:tc>
          <w:tcPr>
            <w:tcW w:w="5041" w:type="dxa"/>
          </w:tcPr>
          <w:p w:rsidR="00F33CBA" w:rsidRPr="00F13601" w:rsidRDefault="00F33CBA" w:rsidP="00FC5A62">
            <w:pPr>
              <w:cnfStyle w:val="000000010000" w:firstRow="0" w:lastRow="0" w:firstColumn="0" w:lastColumn="0" w:oddVBand="0" w:evenVBand="0" w:oddHBand="0" w:evenHBand="1" w:firstRowFirstColumn="0" w:firstRowLastColumn="0" w:lastRowFirstColumn="0" w:lastRowLastColumn="0"/>
            </w:pPr>
            <w:r w:rsidRPr="00F13601">
              <w:t>Australian Tax Office</w:t>
            </w:r>
          </w:p>
        </w:tc>
      </w:tr>
      <w:tr w:rsidR="00F33CBA" w:rsidRPr="00B2363F" w:rsidTr="00F33CBA">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capex</w:t>
            </w:r>
          </w:p>
        </w:tc>
        <w:tc>
          <w:tcPr>
            <w:tcW w:w="5041" w:type="dxa"/>
          </w:tcPr>
          <w:p w:rsidR="00F33CBA" w:rsidRPr="00F13601" w:rsidRDefault="00F33CBA" w:rsidP="00F33CBA">
            <w:pPr>
              <w:numPr>
                <w:ilvl w:val="0"/>
                <w:numId w:val="24"/>
              </w:numPr>
              <w:cnfStyle w:val="000000000000" w:firstRow="0" w:lastRow="0" w:firstColumn="0" w:lastColumn="0" w:oddVBand="0" w:evenVBand="0" w:oddHBand="0" w:evenHBand="0" w:firstRowFirstColumn="0" w:firstRowLastColumn="0" w:lastRowFirstColumn="0" w:lastRowLastColumn="0"/>
            </w:pPr>
            <w:r w:rsidRPr="00F13601">
              <w:t>capital expenditure</w:t>
            </w:r>
          </w:p>
        </w:tc>
      </w:tr>
      <w:tr w:rsidR="00F33CBA" w:rsidRPr="00B2363F" w:rsidTr="00F33C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CAPM</w:t>
            </w:r>
          </w:p>
        </w:tc>
        <w:tc>
          <w:tcPr>
            <w:tcW w:w="5041" w:type="dxa"/>
          </w:tcPr>
          <w:p w:rsidR="00F33CBA" w:rsidRPr="00F13601" w:rsidRDefault="00F33CBA" w:rsidP="00F33CBA">
            <w:pPr>
              <w:numPr>
                <w:ilvl w:val="0"/>
                <w:numId w:val="24"/>
              </w:numPr>
              <w:cnfStyle w:val="000000010000" w:firstRow="0" w:lastRow="0" w:firstColumn="0" w:lastColumn="0" w:oddVBand="0" w:evenVBand="0" w:oddHBand="0" w:evenHBand="1" w:firstRowFirstColumn="0" w:firstRowLastColumn="0" w:lastRowFirstColumn="0" w:lastRowLastColumn="0"/>
            </w:pPr>
            <w:r w:rsidRPr="00F13601">
              <w:t>capital asset pricing model</w:t>
            </w:r>
          </w:p>
        </w:tc>
      </w:tr>
      <w:tr w:rsidR="00F33CBA" w:rsidRPr="00B2363F" w:rsidTr="00F33CBA">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CPI</w:t>
            </w:r>
          </w:p>
        </w:tc>
        <w:tc>
          <w:tcPr>
            <w:tcW w:w="5041" w:type="dxa"/>
          </w:tcPr>
          <w:p w:rsidR="00F33CBA" w:rsidRPr="00F13601" w:rsidRDefault="00F33CBA" w:rsidP="00F33CBA">
            <w:pPr>
              <w:numPr>
                <w:ilvl w:val="0"/>
                <w:numId w:val="24"/>
              </w:numPr>
              <w:cnfStyle w:val="000000000000" w:firstRow="0" w:lastRow="0" w:firstColumn="0" w:lastColumn="0" w:oddVBand="0" w:evenVBand="0" w:oddHBand="0" w:evenHBand="0" w:firstRowFirstColumn="0" w:firstRowLastColumn="0" w:lastRowFirstColumn="0" w:lastRowLastColumn="0"/>
            </w:pPr>
            <w:r w:rsidRPr="00F13601">
              <w:t>consumer price index</w:t>
            </w:r>
          </w:p>
        </w:tc>
      </w:tr>
      <w:tr w:rsidR="00F33CBA" w:rsidRPr="00B2363F" w:rsidTr="00F33C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DRP</w:t>
            </w:r>
          </w:p>
        </w:tc>
        <w:tc>
          <w:tcPr>
            <w:tcW w:w="5041" w:type="dxa"/>
          </w:tcPr>
          <w:p w:rsidR="00F33CBA" w:rsidRPr="00F13601" w:rsidRDefault="00F33CBA" w:rsidP="00F33CBA">
            <w:pPr>
              <w:numPr>
                <w:ilvl w:val="0"/>
                <w:numId w:val="24"/>
              </w:numPr>
              <w:cnfStyle w:val="000000010000" w:firstRow="0" w:lastRow="0" w:firstColumn="0" w:lastColumn="0" w:oddVBand="0" w:evenVBand="0" w:oddHBand="0" w:evenHBand="1" w:firstRowFirstColumn="0" w:firstRowLastColumn="0" w:lastRowFirstColumn="0" w:lastRowLastColumn="0"/>
            </w:pPr>
            <w:r w:rsidRPr="00F13601">
              <w:t>debt risk premium</w:t>
            </w:r>
          </w:p>
        </w:tc>
      </w:tr>
      <w:tr w:rsidR="00F33CBA" w:rsidRPr="00B2363F" w:rsidTr="00F33CBA">
        <w:tc>
          <w:tcPr>
            <w:cnfStyle w:val="001000000000" w:firstRow="0" w:lastRow="0" w:firstColumn="1" w:lastColumn="0" w:oddVBand="0" w:evenVBand="0" w:oddHBand="0" w:evenHBand="0" w:firstRowFirstColumn="0" w:firstRowLastColumn="0" w:lastRowFirstColumn="0" w:lastRowLastColumn="0"/>
            <w:tcW w:w="3652" w:type="dxa"/>
          </w:tcPr>
          <w:p w:rsidR="00F33CBA" w:rsidRPr="00B2363F" w:rsidRDefault="00F33CBA" w:rsidP="00F33CBA">
            <w:pPr>
              <w:numPr>
                <w:ilvl w:val="0"/>
                <w:numId w:val="24"/>
              </w:numPr>
            </w:pPr>
            <w:r>
              <w:t>ECM</w:t>
            </w:r>
          </w:p>
        </w:tc>
        <w:tc>
          <w:tcPr>
            <w:tcW w:w="5041" w:type="dxa"/>
          </w:tcPr>
          <w:p w:rsidR="00F33CBA" w:rsidRPr="00F13601" w:rsidRDefault="00F33CBA" w:rsidP="00FC5A62">
            <w:pPr>
              <w:cnfStyle w:val="000000000000" w:firstRow="0" w:lastRow="0" w:firstColumn="0" w:lastColumn="0" w:oddVBand="0" w:evenVBand="0" w:oddHBand="0" w:evenHBand="0" w:firstRowFirstColumn="0" w:firstRowLastColumn="0" w:lastRowFirstColumn="0" w:lastRowLastColumn="0"/>
            </w:pPr>
            <w:r>
              <w:t>Efficiency carryover mechanism</w:t>
            </w:r>
          </w:p>
        </w:tc>
      </w:tr>
      <w:tr w:rsidR="00F33CBA" w:rsidRPr="00B2363F" w:rsidTr="00F33C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ERP</w:t>
            </w:r>
          </w:p>
        </w:tc>
        <w:tc>
          <w:tcPr>
            <w:tcW w:w="5041" w:type="dxa"/>
          </w:tcPr>
          <w:p w:rsidR="00F33CBA" w:rsidRPr="00F13601" w:rsidRDefault="00F33CBA" w:rsidP="00F33CBA">
            <w:pPr>
              <w:numPr>
                <w:ilvl w:val="0"/>
                <w:numId w:val="24"/>
              </w:numPr>
              <w:cnfStyle w:val="000000010000" w:firstRow="0" w:lastRow="0" w:firstColumn="0" w:lastColumn="0" w:oddVBand="0" w:evenVBand="0" w:oddHBand="0" w:evenHBand="1" w:firstRowFirstColumn="0" w:firstRowLastColumn="0" w:lastRowFirstColumn="0" w:lastRowLastColumn="0"/>
            </w:pPr>
            <w:r w:rsidRPr="00F13601">
              <w:t>equity risk premium</w:t>
            </w:r>
          </w:p>
        </w:tc>
      </w:tr>
      <w:tr w:rsidR="00F33CBA" w:rsidRPr="00B2363F" w:rsidTr="00F33CBA">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Expenditure Guideline</w:t>
            </w:r>
          </w:p>
        </w:tc>
        <w:tc>
          <w:tcPr>
            <w:tcW w:w="5041" w:type="dxa"/>
          </w:tcPr>
          <w:p w:rsidR="00F33CBA" w:rsidRPr="00F13601" w:rsidRDefault="00F33CBA" w:rsidP="00FC5A62">
            <w:pPr>
              <w:cnfStyle w:val="000000000000" w:firstRow="0" w:lastRow="0" w:firstColumn="0" w:lastColumn="0" w:oddVBand="0" w:evenVBand="0" w:oddHBand="0" w:evenHBand="0" w:firstRowFirstColumn="0" w:firstRowLastColumn="0" w:lastRowFirstColumn="0" w:lastRowLastColumn="0"/>
            </w:pPr>
            <w:r w:rsidRPr="00F13601">
              <w:t>Expenditure Forecast Assessment Guideline</w:t>
            </w:r>
          </w:p>
        </w:tc>
      </w:tr>
      <w:tr w:rsidR="00F33CBA" w:rsidRPr="00B2363F" w:rsidTr="00F33C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gamma</w:t>
            </w:r>
          </w:p>
        </w:tc>
        <w:tc>
          <w:tcPr>
            <w:tcW w:w="5041" w:type="dxa"/>
          </w:tcPr>
          <w:p w:rsidR="00F33CBA" w:rsidRPr="00F13601" w:rsidRDefault="00F33CBA" w:rsidP="00FC5A62">
            <w:pPr>
              <w:cnfStyle w:val="000000010000" w:firstRow="0" w:lastRow="0" w:firstColumn="0" w:lastColumn="0" w:oddVBand="0" w:evenVBand="0" w:oddHBand="0" w:evenHBand="1" w:firstRowFirstColumn="0" w:firstRowLastColumn="0" w:lastRowFirstColumn="0" w:lastRowLastColumn="0"/>
            </w:pPr>
            <w:r>
              <w:t>v</w:t>
            </w:r>
            <w:r w:rsidRPr="00F13601">
              <w:t>alue of imputation credits</w:t>
            </w:r>
          </w:p>
        </w:tc>
      </w:tr>
      <w:tr w:rsidR="00F33CBA" w:rsidRPr="00B2363F" w:rsidTr="00F33CBA">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GTA</w:t>
            </w:r>
          </w:p>
        </w:tc>
        <w:tc>
          <w:tcPr>
            <w:tcW w:w="5041" w:type="dxa"/>
          </w:tcPr>
          <w:p w:rsidR="00F33CBA" w:rsidRPr="00F13601" w:rsidRDefault="00F33CBA" w:rsidP="00FC5A62">
            <w:pPr>
              <w:cnfStyle w:val="000000000000" w:firstRow="0" w:lastRow="0" w:firstColumn="0" w:lastColumn="0" w:oddVBand="0" w:evenVBand="0" w:oddHBand="0" w:evenHBand="0" w:firstRowFirstColumn="0" w:firstRowLastColumn="0" w:lastRowFirstColumn="0" w:lastRowLastColumn="0"/>
            </w:pPr>
            <w:r>
              <w:t>G</w:t>
            </w:r>
            <w:r w:rsidRPr="00F13601">
              <w:t>as Transport Services Agreement</w:t>
            </w:r>
          </w:p>
        </w:tc>
      </w:tr>
      <w:tr w:rsidR="00F33CBA" w:rsidRPr="00B2363F" w:rsidTr="00F33C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MRP</w:t>
            </w:r>
          </w:p>
        </w:tc>
        <w:tc>
          <w:tcPr>
            <w:tcW w:w="5041" w:type="dxa"/>
          </w:tcPr>
          <w:p w:rsidR="00F33CBA" w:rsidRPr="00F13601" w:rsidRDefault="00F33CBA" w:rsidP="00F33CBA">
            <w:pPr>
              <w:numPr>
                <w:ilvl w:val="0"/>
                <w:numId w:val="24"/>
              </w:numPr>
              <w:cnfStyle w:val="000000010000" w:firstRow="0" w:lastRow="0" w:firstColumn="0" w:lastColumn="0" w:oddVBand="0" w:evenVBand="0" w:oddHBand="0" w:evenHBand="1" w:firstRowFirstColumn="0" w:firstRowLastColumn="0" w:lastRowFirstColumn="0" w:lastRowLastColumn="0"/>
            </w:pPr>
            <w:r w:rsidRPr="00F13601">
              <w:t>market risk premium</w:t>
            </w:r>
          </w:p>
        </w:tc>
      </w:tr>
      <w:tr w:rsidR="00F33CBA" w:rsidRPr="00B2363F" w:rsidTr="00F33CBA">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N</w:t>
            </w:r>
            <w:r>
              <w:t>GP</w:t>
            </w:r>
          </w:p>
        </w:tc>
        <w:tc>
          <w:tcPr>
            <w:tcW w:w="5041" w:type="dxa"/>
          </w:tcPr>
          <w:p w:rsidR="00F33CBA" w:rsidRPr="00F13601" w:rsidRDefault="00F33CBA" w:rsidP="00F33CBA">
            <w:pPr>
              <w:numPr>
                <w:ilvl w:val="0"/>
                <w:numId w:val="24"/>
              </w:numPr>
              <w:cnfStyle w:val="000000000000" w:firstRow="0" w:lastRow="0" w:firstColumn="0" w:lastColumn="0" w:oddVBand="0" w:evenVBand="0" w:oddHBand="0" w:evenHBand="0" w:firstRowFirstColumn="0" w:firstRowLastColumn="0" w:lastRowFirstColumn="0" w:lastRowLastColumn="0"/>
            </w:pPr>
            <w:r>
              <w:t>Northern Gas Pipeline (formerly North East Gas Interconnector/NEGI)</w:t>
            </w:r>
          </w:p>
        </w:tc>
      </w:tr>
      <w:tr w:rsidR="00F33CBA" w:rsidRPr="00B2363F" w:rsidTr="00F33C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NGL</w:t>
            </w:r>
          </w:p>
        </w:tc>
        <w:tc>
          <w:tcPr>
            <w:tcW w:w="5041" w:type="dxa"/>
          </w:tcPr>
          <w:p w:rsidR="00F33CBA" w:rsidRPr="00F13601" w:rsidRDefault="00F33CBA" w:rsidP="00F33CBA">
            <w:pPr>
              <w:numPr>
                <w:ilvl w:val="0"/>
                <w:numId w:val="24"/>
              </w:numPr>
              <w:cnfStyle w:val="000000010000" w:firstRow="0" w:lastRow="0" w:firstColumn="0" w:lastColumn="0" w:oddVBand="0" w:evenVBand="0" w:oddHBand="0" w:evenHBand="1" w:firstRowFirstColumn="0" w:firstRowLastColumn="0" w:lastRowFirstColumn="0" w:lastRowLastColumn="0"/>
            </w:pPr>
            <w:r>
              <w:t>N</w:t>
            </w:r>
            <w:r w:rsidRPr="00F13601">
              <w:t xml:space="preserve">ational </w:t>
            </w:r>
            <w:r>
              <w:t>G</w:t>
            </w:r>
            <w:r w:rsidRPr="00F13601">
              <w:t xml:space="preserve">as </w:t>
            </w:r>
            <w:r>
              <w:t>L</w:t>
            </w:r>
            <w:r w:rsidRPr="00F13601">
              <w:t>aw</w:t>
            </w:r>
          </w:p>
        </w:tc>
      </w:tr>
      <w:tr w:rsidR="00F33CBA" w:rsidRPr="00B2363F" w:rsidTr="00F33CBA">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NGO</w:t>
            </w:r>
          </w:p>
        </w:tc>
        <w:tc>
          <w:tcPr>
            <w:tcW w:w="5041" w:type="dxa"/>
          </w:tcPr>
          <w:p w:rsidR="00F33CBA" w:rsidRPr="00F13601" w:rsidRDefault="00F33CBA" w:rsidP="00F33CBA">
            <w:pPr>
              <w:numPr>
                <w:ilvl w:val="0"/>
                <w:numId w:val="24"/>
              </w:numPr>
              <w:cnfStyle w:val="000000000000" w:firstRow="0" w:lastRow="0" w:firstColumn="0" w:lastColumn="0" w:oddVBand="0" w:evenVBand="0" w:oddHBand="0" w:evenHBand="0" w:firstRowFirstColumn="0" w:firstRowLastColumn="0" w:lastRowFirstColumn="0" w:lastRowLastColumn="0"/>
            </w:pPr>
            <w:r>
              <w:t>N</w:t>
            </w:r>
            <w:r w:rsidRPr="00F13601">
              <w:t xml:space="preserve">ational </w:t>
            </w:r>
            <w:r>
              <w:t>G</w:t>
            </w:r>
            <w:r w:rsidRPr="00F13601">
              <w:t xml:space="preserve">as </w:t>
            </w:r>
            <w:r>
              <w:t>O</w:t>
            </w:r>
            <w:r w:rsidRPr="00F13601">
              <w:t>bjective</w:t>
            </w:r>
          </w:p>
        </w:tc>
      </w:tr>
      <w:tr w:rsidR="00F33CBA" w:rsidRPr="00B2363F" w:rsidTr="00F33C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NGR</w:t>
            </w:r>
          </w:p>
        </w:tc>
        <w:tc>
          <w:tcPr>
            <w:tcW w:w="5041" w:type="dxa"/>
          </w:tcPr>
          <w:p w:rsidR="00F33CBA" w:rsidRPr="00F13601" w:rsidRDefault="00F33CBA" w:rsidP="00F33CBA">
            <w:pPr>
              <w:numPr>
                <w:ilvl w:val="0"/>
                <w:numId w:val="24"/>
              </w:numPr>
              <w:cnfStyle w:val="000000010000" w:firstRow="0" w:lastRow="0" w:firstColumn="0" w:lastColumn="0" w:oddVBand="0" w:evenVBand="0" w:oddHBand="0" w:evenHBand="1" w:firstRowFirstColumn="0" w:firstRowLastColumn="0" w:lastRowFirstColumn="0" w:lastRowLastColumn="0"/>
            </w:pPr>
            <w:r>
              <w:t>N</w:t>
            </w:r>
            <w:r w:rsidRPr="00F13601">
              <w:t xml:space="preserve">ational </w:t>
            </w:r>
            <w:r>
              <w:t>G</w:t>
            </w:r>
            <w:r w:rsidRPr="00F13601">
              <w:t xml:space="preserve">as </w:t>
            </w:r>
            <w:r>
              <w:t>R</w:t>
            </w:r>
            <w:r w:rsidRPr="00F13601">
              <w:t>ules</w:t>
            </w:r>
          </w:p>
        </w:tc>
      </w:tr>
      <w:tr w:rsidR="00F33CBA" w:rsidRPr="00B2363F" w:rsidTr="00F33CBA">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NPV</w:t>
            </w:r>
          </w:p>
        </w:tc>
        <w:tc>
          <w:tcPr>
            <w:tcW w:w="5041" w:type="dxa"/>
          </w:tcPr>
          <w:p w:rsidR="00F33CBA" w:rsidRPr="00F13601" w:rsidRDefault="00F33CBA" w:rsidP="00FC5A62">
            <w:pPr>
              <w:cnfStyle w:val="000000000000" w:firstRow="0" w:lastRow="0" w:firstColumn="0" w:lastColumn="0" w:oddVBand="0" w:evenVBand="0" w:oddHBand="0" w:evenHBand="0" w:firstRowFirstColumn="0" w:firstRowLastColumn="0" w:lastRowFirstColumn="0" w:lastRowLastColumn="0"/>
            </w:pPr>
            <w:r w:rsidRPr="00F13601">
              <w:t>net present value</w:t>
            </w:r>
          </w:p>
        </w:tc>
      </w:tr>
      <w:tr w:rsidR="00F33CBA" w:rsidRPr="00B2363F" w:rsidTr="00F33C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opex</w:t>
            </w:r>
          </w:p>
        </w:tc>
        <w:tc>
          <w:tcPr>
            <w:tcW w:w="5041" w:type="dxa"/>
          </w:tcPr>
          <w:p w:rsidR="00F33CBA" w:rsidRPr="00F13601" w:rsidRDefault="00F33CBA" w:rsidP="00F33CBA">
            <w:pPr>
              <w:numPr>
                <w:ilvl w:val="0"/>
                <w:numId w:val="24"/>
              </w:numPr>
              <w:cnfStyle w:val="000000010000" w:firstRow="0" w:lastRow="0" w:firstColumn="0" w:lastColumn="0" w:oddVBand="0" w:evenVBand="0" w:oddHBand="0" w:evenHBand="1" w:firstRowFirstColumn="0" w:firstRowLastColumn="0" w:lastRowFirstColumn="0" w:lastRowLastColumn="0"/>
            </w:pPr>
            <w:r w:rsidRPr="00F13601">
              <w:t>operating expenditure</w:t>
            </w:r>
          </w:p>
        </w:tc>
      </w:tr>
      <w:tr w:rsidR="00F33CBA" w:rsidRPr="00B2363F" w:rsidTr="00F33CBA">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PTRM</w:t>
            </w:r>
          </w:p>
        </w:tc>
        <w:tc>
          <w:tcPr>
            <w:tcW w:w="5041" w:type="dxa"/>
          </w:tcPr>
          <w:p w:rsidR="00F33CBA" w:rsidRPr="00F13601" w:rsidRDefault="00F33CBA" w:rsidP="00F33CBA">
            <w:pPr>
              <w:numPr>
                <w:ilvl w:val="0"/>
                <w:numId w:val="24"/>
              </w:numPr>
              <w:cnfStyle w:val="000000000000" w:firstRow="0" w:lastRow="0" w:firstColumn="0" w:lastColumn="0" w:oddVBand="0" w:evenVBand="0" w:oddHBand="0" w:evenHBand="0" w:firstRowFirstColumn="0" w:firstRowLastColumn="0" w:lastRowFirstColumn="0" w:lastRowLastColumn="0"/>
            </w:pPr>
            <w:r w:rsidRPr="00F13601">
              <w:t>post-tax revenue model</w:t>
            </w:r>
          </w:p>
        </w:tc>
      </w:tr>
      <w:tr w:rsidR="00F33CBA" w:rsidRPr="00B2363F" w:rsidTr="00F33C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RBA</w:t>
            </w:r>
          </w:p>
        </w:tc>
        <w:tc>
          <w:tcPr>
            <w:tcW w:w="5041" w:type="dxa"/>
          </w:tcPr>
          <w:p w:rsidR="00F33CBA" w:rsidRPr="00F13601" w:rsidRDefault="00F33CBA" w:rsidP="00F33CBA">
            <w:pPr>
              <w:numPr>
                <w:ilvl w:val="0"/>
                <w:numId w:val="24"/>
              </w:numPr>
              <w:cnfStyle w:val="000000010000" w:firstRow="0" w:lastRow="0" w:firstColumn="0" w:lastColumn="0" w:oddVBand="0" w:evenVBand="0" w:oddHBand="0" w:evenHBand="1" w:firstRowFirstColumn="0" w:firstRowLastColumn="0" w:lastRowFirstColumn="0" w:lastRowLastColumn="0"/>
            </w:pPr>
            <w:r w:rsidRPr="00F13601">
              <w:t>Reserve Bank of Australia</w:t>
            </w:r>
          </w:p>
        </w:tc>
      </w:tr>
      <w:tr w:rsidR="00F33CBA" w:rsidRPr="00B2363F" w:rsidTr="00F33CBA">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RFM</w:t>
            </w:r>
          </w:p>
        </w:tc>
        <w:tc>
          <w:tcPr>
            <w:tcW w:w="5041" w:type="dxa"/>
          </w:tcPr>
          <w:p w:rsidR="00F33CBA" w:rsidRPr="00F13601" w:rsidRDefault="00F33CBA" w:rsidP="00F33CBA">
            <w:pPr>
              <w:numPr>
                <w:ilvl w:val="0"/>
                <w:numId w:val="24"/>
              </w:numPr>
              <w:cnfStyle w:val="000000000000" w:firstRow="0" w:lastRow="0" w:firstColumn="0" w:lastColumn="0" w:oddVBand="0" w:evenVBand="0" w:oddHBand="0" w:evenHBand="0" w:firstRowFirstColumn="0" w:firstRowLastColumn="0" w:lastRowFirstColumn="0" w:lastRowLastColumn="0"/>
            </w:pPr>
            <w:r w:rsidRPr="00F13601">
              <w:t>roll forward model</w:t>
            </w:r>
          </w:p>
        </w:tc>
      </w:tr>
      <w:tr w:rsidR="00F33CBA" w:rsidRPr="00B2363F" w:rsidTr="00F33C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RIN</w:t>
            </w:r>
          </w:p>
        </w:tc>
        <w:tc>
          <w:tcPr>
            <w:tcW w:w="5041" w:type="dxa"/>
          </w:tcPr>
          <w:p w:rsidR="00F33CBA" w:rsidRPr="00F13601" w:rsidRDefault="00F33CBA" w:rsidP="00F33CBA">
            <w:pPr>
              <w:numPr>
                <w:ilvl w:val="0"/>
                <w:numId w:val="24"/>
              </w:numPr>
              <w:cnfStyle w:val="000000010000" w:firstRow="0" w:lastRow="0" w:firstColumn="0" w:lastColumn="0" w:oddVBand="0" w:evenVBand="0" w:oddHBand="0" w:evenHBand="1" w:firstRowFirstColumn="0" w:firstRowLastColumn="0" w:lastRowFirstColumn="0" w:lastRowLastColumn="0"/>
            </w:pPr>
            <w:r w:rsidRPr="00F13601">
              <w:t>regulatory information notice</w:t>
            </w:r>
          </w:p>
        </w:tc>
      </w:tr>
      <w:tr w:rsidR="00F33CBA" w:rsidRPr="00B2363F" w:rsidTr="00F33CBA">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RPP</w:t>
            </w:r>
          </w:p>
        </w:tc>
        <w:tc>
          <w:tcPr>
            <w:tcW w:w="5041" w:type="dxa"/>
          </w:tcPr>
          <w:p w:rsidR="00F33CBA" w:rsidRPr="00F13601" w:rsidRDefault="00F33CBA" w:rsidP="00F33CBA">
            <w:pPr>
              <w:numPr>
                <w:ilvl w:val="0"/>
                <w:numId w:val="24"/>
              </w:numPr>
              <w:cnfStyle w:val="000000000000" w:firstRow="0" w:lastRow="0" w:firstColumn="0" w:lastColumn="0" w:oddVBand="0" w:evenVBand="0" w:oddHBand="0" w:evenHBand="0" w:firstRowFirstColumn="0" w:firstRowLastColumn="0" w:lastRowFirstColumn="0" w:lastRowLastColumn="0"/>
            </w:pPr>
            <w:r w:rsidRPr="00F13601">
              <w:t>revenue and pricing principles</w:t>
            </w:r>
          </w:p>
        </w:tc>
      </w:tr>
      <w:tr w:rsidR="00F33CBA" w:rsidRPr="00B2363F" w:rsidTr="00F33C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SLCAPM</w:t>
            </w:r>
          </w:p>
        </w:tc>
        <w:tc>
          <w:tcPr>
            <w:tcW w:w="5041" w:type="dxa"/>
          </w:tcPr>
          <w:p w:rsidR="00F33CBA" w:rsidRPr="00F13601" w:rsidRDefault="00F33CBA" w:rsidP="00F33CBA">
            <w:pPr>
              <w:numPr>
                <w:ilvl w:val="0"/>
                <w:numId w:val="24"/>
              </w:numPr>
              <w:cnfStyle w:val="000000010000" w:firstRow="0" w:lastRow="0" w:firstColumn="0" w:lastColumn="0" w:oddVBand="0" w:evenVBand="0" w:oddHBand="0" w:evenHBand="1" w:firstRowFirstColumn="0" w:firstRowLastColumn="0" w:lastRowFirstColumn="0" w:lastRowLastColumn="0"/>
            </w:pPr>
            <w:r w:rsidRPr="00F13601">
              <w:t>Sharpe-</w:t>
            </w:r>
            <w:proofErr w:type="spellStart"/>
            <w:r w:rsidRPr="00F13601">
              <w:t>Lintner</w:t>
            </w:r>
            <w:proofErr w:type="spellEnd"/>
            <w:r w:rsidRPr="00F13601">
              <w:t xml:space="preserve"> capital asset pricing model</w:t>
            </w:r>
          </w:p>
        </w:tc>
      </w:tr>
      <w:tr w:rsidR="00F33CBA" w:rsidRPr="00B2363F" w:rsidTr="00F33CBA">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TAB</w:t>
            </w:r>
          </w:p>
        </w:tc>
        <w:tc>
          <w:tcPr>
            <w:tcW w:w="5041" w:type="dxa"/>
          </w:tcPr>
          <w:p w:rsidR="00F33CBA" w:rsidRPr="00F13601" w:rsidRDefault="00F33CBA" w:rsidP="00FC5A62">
            <w:pPr>
              <w:cnfStyle w:val="000000000000" w:firstRow="0" w:lastRow="0" w:firstColumn="0" w:lastColumn="0" w:oddVBand="0" w:evenVBand="0" w:oddHBand="0" w:evenHBand="0" w:firstRowFirstColumn="0" w:firstRowLastColumn="0" w:lastRowFirstColumn="0" w:lastRowLastColumn="0"/>
            </w:pPr>
            <w:r>
              <w:t>t</w:t>
            </w:r>
            <w:r w:rsidRPr="00F13601">
              <w:t>ax asset base</w:t>
            </w:r>
          </w:p>
        </w:tc>
      </w:tr>
      <w:tr w:rsidR="00F33CBA" w:rsidRPr="00B2363F" w:rsidTr="00F33C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UAFG</w:t>
            </w:r>
          </w:p>
        </w:tc>
        <w:tc>
          <w:tcPr>
            <w:tcW w:w="5041" w:type="dxa"/>
          </w:tcPr>
          <w:p w:rsidR="00F33CBA" w:rsidRPr="00F13601" w:rsidRDefault="00F33CBA" w:rsidP="00FC5A62">
            <w:pPr>
              <w:cnfStyle w:val="000000010000" w:firstRow="0" w:lastRow="0" w:firstColumn="0" w:lastColumn="0" w:oddVBand="0" w:evenVBand="0" w:oddHBand="0" w:evenHBand="1" w:firstRowFirstColumn="0" w:firstRowLastColumn="0" w:lastRowFirstColumn="0" w:lastRowLastColumn="0"/>
            </w:pPr>
            <w:r>
              <w:t>u</w:t>
            </w:r>
            <w:r w:rsidRPr="00F13601">
              <w:t>naccounted for gas</w:t>
            </w:r>
          </w:p>
        </w:tc>
      </w:tr>
      <w:tr w:rsidR="00F33CBA" w:rsidRPr="00B2363F" w:rsidTr="00F33CBA">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lastRenderedPageBreak/>
              <w:t>WACC</w:t>
            </w:r>
          </w:p>
        </w:tc>
        <w:tc>
          <w:tcPr>
            <w:tcW w:w="5041" w:type="dxa"/>
          </w:tcPr>
          <w:p w:rsidR="00F33CBA" w:rsidRPr="00F13601" w:rsidRDefault="00F33CBA" w:rsidP="00F33CBA">
            <w:pPr>
              <w:numPr>
                <w:ilvl w:val="0"/>
                <w:numId w:val="24"/>
              </w:numPr>
              <w:cnfStyle w:val="000000000000" w:firstRow="0" w:lastRow="0" w:firstColumn="0" w:lastColumn="0" w:oddVBand="0" w:evenVBand="0" w:oddHBand="0" w:evenHBand="0" w:firstRowFirstColumn="0" w:firstRowLastColumn="0" w:lastRowFirstColumn="0" w:lastRowLastColumn="0"/>
            </w:pPr>
            <w:r w:rsidRPr="00F13601">
              <w:t>weighted average cost of capital</w:t>
            </w:r>
          </w:p>
        </w:tc>
      </w:tr>
      <w:tr w:rsidR="00F33CBA" w:rsidRPr="00B2363F" w:rsidTr="00F33C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33CBA" w:rsidRPr="00F13601" w:rsidRDefault="00F33CBA" w:rsidP="00F33CBA">
            <w:pPr>
              <w:numPr>
                <w:ilvl w:val="0"/>
                <w:numId w:val="24"/>
              </w:numPr>
            </w:pPr>
            <w:r w:rsidRPr="00F13601">
              <w:t>WPI</w:t>
            </w:r>
          </w:p>
        </w:tc>
        <w:tc>
          <w:tcPr>
            <w:tcW w:w="5041" w:type="dxa"/>
          </w:tcPr>
          <w:p w:rsidR="00F33CBA" w:rsidRPr="00F13601" w:rsidRDefault="00F33CBA" w:rsidP="00FC5A62">
            <w:pPr>
              <w:cnfStyle w:val="000000010000" w:firstRow="0" w:lastRow="0" w:firstColumn="0" w:lastColumn="0" w:oddVBand="0" w:evenVBand="0" w:oddHBand="0" w:evenHBand="1" w:firstRowFirstColumn="0" w:firstRowLastColumn="0" w:lastRowFirstColumn="0" w:lastRowLastColumn="0"/>
            </w:pPr>
            <w:r w:rsidRPr="00F13601">
              <w:t>Wage Price Index</w:t>
            </w:r>
          </w:p>
        </w:tc>
      </w:tr>
    </w:tbl>
    <w:p w:rsidR="00DE563D" w:rsidRDefault="00D41E80" w:rsidP="00D41E80">
      <w:pPr>
        <w:pStyle w:val="Heading1"/>
      </w:pPr>
      <w:bookmarkStart w:id="10" w:name="_Toc451530458"/>
      <w:r>
        <w:lastRenderedPageBreak/>
        <w:t>Non-tariff components</w:t>
      </w:r>
      <w:bookmarkEnd w:id="10"/>
    </w:p>
    <w:p w:rsidR="007602FC" w:rsidRDefault="007602FC" w:rsidP="00324147">
      <w:r>
        <w:t xml:space="preserve">This attachment contains our decisions and reasons on the non-tariff components of </w:t>
      </w:r>
      <w:r w:rsidR="00324147">
        <w:t xml:space="preserve">APTNT’s </w:t>
      </w:r>
      <w:r>
        <w:t xml:space="preserve">revised </w:t>
      </w:r>
      <w:r w:rsidR="00324147" w:rsidRPr="00F5072A">
        <w:t xml:space="preserve">access arrangement proposal </w:t>
      </w:r>
      <w:r>
        <w:t>for the Amadeus Gas Pipeline (A</w:t>
      </w:r>
      <w:r w:rsidR="003A0AB9">
        <w:t xml:space="preserve">GP) for </w:t>
      </w:r>
      <w:r>
        <w:t>2016–21.</w:t>
      </w:r>
    </w:p>
    <w:p w:rsidR="00DE1B56" w:rsidRDefault="007602FC" w:rsidP="00324147">
      <w:r>
        <w:t>The non-tariff components are as follows:</w:t>
      </w:r>
    </w:p>
    <w:p w:rsidR="00324147" w:rsidRDefault="00DE1B56" w:rsidP="00DE1B56">
      <w:pPr>
        <w:pStyle w:val="AERbulletlistfirststyle"/>
      </w:pPr>
      <w:r>
        <w:t xml:space="preserve">the </w:t>
      </w:r>
      <w:r w:rsidR="00324147" w:rsidRPr="00F5072A">
        <w:t xml:space="preserve">terms and conditions </w:t>
      </w:r>
      <w:r>
        <w:t xml:space="preserve">for supply of </w:t>
      </w:r>
      <w:r w:rsidR="00403640">
        <w:t>the</w:t>
      </w:r>
      <w:r w:rsidR="00324147" w:rsidRPr="004E046B">
        <w:t xml:space="preserve"> </w:t>
      </w:r>
      <w:r>
        <w:t>reference service</w:t>
      </w:r>
    </w:p>
    <w:p w:rsidR="00324147" w:rsidRPr="00324147" w:rsidRDefault="00324147" w:rsidP="00324147">
      <w:pPr>
        <w:pStyle w:val="AERbulletlistfirststyle"/>
      </w:pPr>
      <w:r w:rsidRPr="000707C1">
        <w:t>queuing</w:t>
      </w:r>
      <w:r w:rsidRPr="00324147">
        <w:t xml:space="preserve"> requirements—a process or mechanism for establishing an order of priority between prospective users of spare and/or developable capacity  </w:t>
      </w:r>
    </w:p>
    <w:p w:rsidR="00A269C4" w:rsidRDefault="00324147" w:rsidP="00324147">
      <w:pPr>
        <w:pStyle w:val="AERbulletlistfirststyle"/>
      </w:pPr>
      <w:r w:rsidRPr="000707C1">
        <w:t>extension and expansion requirements—the method for determining whether an extension or exp</w:t>
      </w:r>
      <w:r w:rsidRPr="00324147">
        <w:t>ansion is a part of the covered pipeline and the effect this will have on tariffs</w:t>
      </w:r>
    </w:p>
    <w:p w:rsidR="00324147" w:rsidRPr="00324147" w:rsidRDefault="00324147" w:rsidP="00324147">
      <w:pPr>
        <w:pStyle w:val="AERbulletlistfirststyle"/>
      </w:pPr>
      <w:r w:rsidRPr="000707C1">
        <w:t xml:space="preserve">capacity trading requirements—how users may assign contracted capacity and change delivery and receipt points </w:t>
      </w:r>
    </w:p>
    <w:p w:rsidR="00324147" w:rsidRPr="00324147" w:rsidRDefault="00403640" w:rsidP="00324147">
      <w:pPr>
        <w:pStyle w:val="AERbulletlistfirststyle"/>
      </w:pPr>
      <w:r>
        <w:t>provision for receipt and delivery point changes, and</w:t>
      </w:r>
    </w:p>
    <w:p w:rsidR="00324147" w:rsidRPr="00324147" w:rsidRDefault="003A0AB9" w:rsidP="00324147">
      <w:pPr>
        <w:pStyle w:val="AERbulletlistfirststyle"/>
      </w:pPr>
      <w:proofErr w:type="gramStart"/>
      <w:r>
        <w:t>a</w:t>
      </w:r>
      <w:proofErr w:type="gramEnd"/>
      <w:r>
        <w:t xml:space="preserve"> </w:t>
      </w:r>
      <w:r w:rsidR="00324147" w:rsidRPr="000707C1">
        <w:t>review</w:t>
      </w:r>
      <w:r w:rsidR="00324147" w:rsidRPr="00324147">
        <w:t xml:space="preserve"> submission date and </w:t>
      </w:r>
      <w:r>
        <w:t xml:space="preserve">a </w:t>
      </w:r>
      <w:r w:rsidR="00324147" w:rsidRPr="00324147">
        <w:t>revision commencement date.</w:t>
      </w:r>
    </w:p>
    <w:p w:rsidR="00F85E95" w:rsidRDefault="00F85E95" w:rsidP="00F85E95">
      <w:pPr>
        <w:pStyle w:val="Heading2"/>
      </w:pPr>
      <w:bookmarkStart w:id="11" w:name="_Toc436044723"/>
      <w:bookmarkStart w:id="12" w:name="_Toc451530459"/>
      <w:r>
        <w:t>Decision</w:t>
      </w:r>
      <w:bookmarkEnd w:id="12"/>
    </w:p>
    <w:p w:rsidR="00F85E95" w:rsidRPr="00E54DC8" w:rsidRDefault="00F85E95" w:rsidP="00E54DC8">
      <w:pPr>
        <w:rPr>
          <w:rStyle w:val="AERbody"/>
          <w:color w:val="70635A" w:themeColor="text2"/>
          <w:sz w:val="32"/>
        </w:rPr>
      </w:pPr>
      <w:r>
        <w:t xml:space="preserve">We approve the non-tariff components in APTNT’s revised access arrangement proposal except clauses 1.6 (review process) and </w:t>
      </w:r>
      <w:r w:rsidRPr="00E54DC8">
        <w:rPr>
          <w:rStyle w:val="AERbody"/>
        </w:rPr>
        <w:t xml:space="preserve">78 (liability cap).  </w:t>
      </w:r>
    </w:p>
    <w:p w:rsidR="00F85E95" w:rsidRPr="00F85E95" w:rsidRDefault="00F85E95" w:rsidP="00E54DC8">
      <w:r w:rsidRPr="00E54DC8">
        <w:rPr>
          <w:rStyle w:val="AERbody"/>
        </w:rPr>
        <w:t>We have revised the access arrangeme</w:t>
      </w:r>
      <w:r>
        <w:t>nt having regard to our reasons for refusing to approve APTNT’s proposal and the further matters identified in the NGR section 64(2).  Our revisions are reflected in clauses 1.6 and 78 of the Approved Access Arrangement for the Amadeus Gas Pipeline for 2016-21, which gives effect to this decision.</w:t>
      </w:r>
    </w:p>
    <w:p w:rsidR="00324147" w:rsidRDefault="00324147" w:rsidP="00324147">
      <w:pPr>
        <w:pStyle w:val="Heading2"/>
      </w:pPr>
      <w:bookmarkStart w:id="13" w:name="_Toc451530460"/>
      <w:r>
        <w:t>Terms and conditions</w:t>
      </w:r>
      <w:bookmarkEnd w:id="11"/>
      <w:bookmarkEnd w:id="13"/>
    </w:p>
    <w:p w:rsidR="00DE1B56" w:rsidRPr="00DE1B56" w:rsidRDefault="00403640" w:rsidP="00403640">
      <w:r w:rsidRPr="00403640">
        <w:t>An access arrangement must specify the terms and conditions on which each reference services will be provided.</w:t>
      </w:r>
      <w:r w:rsidR="00D90F38">
        <w:rPr>
          <w:rStyle w:val="FootnoteReference"/>
        </w:rPr>
        <w:footnoteReference w:id="1"/>
      </w:r>
      <w:r w:rsidR="00D90F38">
        <w:t xml:space="preserve"> </w:t>
      </w:r>
      <w:r w:rsidRPr="00403640">
        <w:t>These do not exhaustively set out the contractual arrangements between a service provider and a user. The NGL permits the service provider and the user to agree on terms and conditions different to those specified in the applicable access arrangement.</w:t>
      </w:r>
      <w:r w:rsidR="00D90F38">
        <w:rPr>
          <w:rStyle w:val="FootnoteReference"/>
        </w:rPr>
        <w:footnoteReference w:id="2"/>
      </w:r>
      <w:r w:rsidRPr="00403640">
        <w:t xml:space="preserve"> However</w:t>
      </w:r>
      <w:r w:rsidR="005F6606">
        <w:t>,</w:t>
      </w:r>
      <w:r w:rsidRPr="00403640">
        <w:t xml:space="preserve"> if an access dispute arises and is referred for determination, the relevant regulator must give effect to the access arrangement</w:t>
      </w:r>
      <w:r w:rsidR="00DE1B56">
        <w:t>.</w:t>
      </w:r>
      <w:r w:rsidR="005B7B05">
        <w:rPr>
          <w:rStyle w:val="FootnoteReference"/>
        </w:rPr>
        <w:footnoteReference w:id="3"/>
      </w:r>
    </w:p>
    <w:p w:rsidR="00324147" w:rsidRDefault="00324147" w:rsidP="00324147">
      <w:pPr>
        <w:pStyle w:val="Heading3"/>
      </w:pPr>
      <w:bookmarkStart w:id="14" w:name="_Toc408404320"/>
      <w:bookmarkStart w:id="15" w:name="_Toc436044724"/>
      <w:bookmarkStart w:id="16" w:name="_Toc451530461"/>
      <w:r>
        <w:lastRenderedPageBreak/>
        <w:t>Final</w:t>
      </w:r>
      <w:r w:rsidRPr="00324147">
        <w:t xml:space="preserve"> decision</w:t>
      </w:r>
      <w:bookmarkEnd w:id="14"/>
      <w:bookmarkEnd w:id="15"/>
      <w:bookmarkEnd w:id="16"/>
    </w:p>
    <w:p w:rsidR="00B30ABD" w:rsidRDefault="00DE1B56" w:rsidP="00D37C51">
      <w:r>
        <w:t xml:space="preserve">We approve the terms and conditions </w:t>
      </w:r>
      <w:r w:rsidR="00B30ABD">
        <w:t xml:space="preserve">in </w:t>
      </w:r>
      <w:r>
        <w:t>APTNT</w:t>
      </w:r>
      <w:r w:rsidR="00B30ABD">
        <w:t>'s revised access arrangement proposal</w:t>
      </w:r>
      <w:r w:rsidR="00D37C51">
        <w:t xml:space="preserve"> except for clause 78 (liability cap)</w:t>
      </w:r>
      <w:r w:rsidR="005F6606">
        <w:t>.</w:t>
      </w:r>
    </w:p>
    <w:p w:rsidR="00324147" w:rsidRDefault="00324147" w:rsidP="00324147">
      <w:pPr>
        <w:pStyle w:val="Heading3"/>
      </w:pPr>
      <w:bookmarkStart w:id="17" w:name="_Toc436044725"/>
      <w:bookmarkStart w:id="18" w:name="_Toc451530462"/>
      <w:r>
        <w:t xml:space="preserve">APTNT’s </w:t>
      </w:r>
      <w:r w:rsidR="00D62F66">
        <w:t xml:space="preserve">revised </w:t>
      </w:r>
      <w:r>
        <w:t>proposal</w:t>
      </w:r>
      <w:bookmarkEnd w:id="17"/>
      <w:bookmarkEnd w:id="18"/>
    </w:p>
    <w:p w:rsidR="00D37C51" w:rsidRDefault="00047113" w:rsidP="00D37C51">
      <w:r>
        <w:t xml:space="preserve">Our draft decision required seven amendments to </w:t>
      </w:r>
      <w:r w:rsidR="003A0AB9">
        <w:t>the</w:t>
      </w:r>
      <w:r>
        <w:t xml:space="preserve"> proposed terms and conditions.</w:t>
      </w:r>
      <w:r w:rsidR="00B81470">
        <w:rPr>
          <w:rStyle w:val="FootnoteReference"/>
        </w:rPr>
        <w:footnoteReference w:id="4"/>
      </w:r>
      <w:r w:rsidR="003A0AB9">
        <w:t xml:space="preserve"> APTNT adopted</w:t>
      </w:r>
      <w:r>
        <w:t xml:space="preserve"> five of </w:t>
      </w:r>
      <w:r w:rsidR="00945C22">
        <w:t>these</w:t>
      </w:r>
      <w:r>
        <w:t xml:space="preserve"> without modification, partially incorporated a further amendment, and </w:t>
      </w:r>
      <w:r w:rsidR="00945C22">
        <w:t>did not incorporat</w:t>
      </w:r>
      <w:r w:rsidR="00AC296D">
        <w:t>e</w:t>
      </w:r>
      <w:r>
        <w:t xml:space="preserve"> the final amendment.</w:t>
      </w:r>
      <w:r w:rsidR="00B81470">
        <w:rPr>
          <w:rStyle w:val="FootnoteReference"/>
        </w:rPr>
        <w:footnoteReference w:id="5"/>
      </w:r>
      <w:r w:rsidR="00360A18">
        <w:t xml:space="preserve"> </w:t>
      </w:r>
      <w:r w:rsidR="00A53AB4">
        <w:t>The table below gives a</w:t>
      </w:r>
      <w:r w:rsidR="00D37C51" w:rsidRPr="00D37C51">
        <w:t xml:space="preserve"> high level overview of </w:t>
      </w:r>
      <w:r w:rsidR="00D37C51">
        <w:t>APTNT's</w:t>
      </w:r>
      <w:r w:rsidR="00D37C51" w:rsidRPr="00D37C51">
        <w:t xml:space="preserve"> respons</w:t>
      </w:r>
      <w:r w:rsidR="00A53AB4">
        <w:t xml:space="preserve">e to our draft decision and our final decision on these seven </w:t>
      </w:r>
      <w:r w:rsidR="00D37C51" w:rsidRPr="00D37C51">
        <w:t>amendments.</w:t>
      </w:r>
    </w:p>
    <w:p w:rsidR="009B5829" w:rsidRPr="00D37C51" w:rsidRDefault="009B5829" w:rsidP="00812B2E">
      <w:pPr>
        <w:pStyle w:val="Tabletitle"/>
      </w:pPr>
      <w:r>
        <w:t xml:space="preserve">Table </w:t>
      </w:r>
      <w:proofErr w:type="gramStart"/>
      <w:r w:rsidR="005F6606">
        <w:t>12.</w:t>
      </w:r>
      <w:r w:rsidR="00360A18">
        <w:t>1</w:t>
      </w:r>
      <w:r w:rsidR="00360A18">
        <w:tab/>
      </w:r>
      <w:r>
        <w:t>Overview -</w:t>
      </w:r>
      <w:proofErr w:type="gramEnd"/>
      <w:r>
        <w:t xml:space="preserve"> Final Decision on Terms and Conditions</w:t>
      </w:r>
    </w:p>
    <w:tbl>
      <w:tblPr>
        <w:tblStyle w:val="AERtable-text0"/>
        <w:tblW w:w="0" w:type="auto"/>
        <w:tblLook w:val="04A0" w:firstRow="1" w:lastRow="0" w:firstColumn="1" w:lastColumn="0" w:noHBand="0" w:noVBand="1"/>
      </w:tblPr>
      <w:tblGrid>
        <w:gridCol w:w="2897"/>
        <w:gridCol w:w="2898"/>
        <w:gridCol w:w="2898"/>
      </w:tblGrid>
      <w:tr w:rsidR="00D37C51" w:rsidRPr="00D37C51" w:rsidTr="00812B2E">
        <w:trPr>
          <w:cnfStyle w:val="100000000000" w:firstRow="1" w:lastRow="0" w:firstColumn="0" w:lastColumn="0" w:oddVBand="0" w:evenVBand="0" w:oddHBand="0" w:evenHBand="0" w:firstRowFirstColumn="0" w:firstRowLastColumn="0" w:lastRowFirstColumn="0" w:lastRowLastColumn="0"/>
        </w:trPr>
        <w:tc>
          <w:tcPr>
            <w:tcW w:w="2897" w:type="dxa"/>
          </w:tcPr>
          <w:p w:rsidR="00D37C51" w:rsidRPr="00D37C51" w:rsidRDefault="00D37C51" w:rsidP="00D37C51">
            <w:pPr>
              <w:spacing w:before="200" w:after="0"/>
            </w:pPr>
            <w:r w:rsidRPr="00D37C51">
              <w:t>Draft decision</w:t>
            </w:r>
          </w:p>
        </w:tc>
        <w:tc>
          <w:tcPr>
            <w:tcW w:w="2898" w:type="dxa"/>
          </w:tcPr>
          <w:p w:rsidR="00D37C51" w:rsidRPr="00D37C51" w:rsidRDefault="00D37C51" w:rsidP="00D37C51">
            <w:pPr>
              <w:spacing w:before="200" w:after="0"/>
            </w:pPr>
            <w:r w:rsidRPr="00D37C51">
              <w:t>AGN response</w:t>
            </w:r>
          </w:p>
        </w:tc>
        <w:tc>
          <w:tcPr>
            <w:tcW w:w="2898" w:type="dxa"/>
          </w:tcPr>
          <w:p w:rsidR="00D37C51" w:rsidRPr="00D37C51" w:rsidRDefault="00D37C51" w:rsidP="00D37C51">
            <w:pPr>
              <w:spacing w:before="200" w:after="0"/>
            </w:pPr>
            <w:r w:rsidRPr="00D37C51">
              <w:t>Final decision</w:t>
            </w:r>
          </w:p>
        </w:tc>
      </w:tr>
      <w:tr w:rsidR="00D37C51" w:rsidRPr="00D37C51" w:rsidTr="00812B2E">
        <w:tc>
          <w:tcPr>
            <w:tcW w:w="2897" w:type="dxa"/>
          </w:tcPr>
          <w:p w:rsidR="00D37C51" w:rsidRPr="00D37C51" w:rsidRDefault="00D37C51" w:rsidP="00D37C51">
            <w:r>
              <w:t>Clause 69</w:t>
            </w:r>
            <w:r w:rsidR="00984F67">
              <w:rPr>
                <w:rStyle w:val="FootnoteReference"/>
              </w:rPr>
              <w:footnoteReference w:id="6"/>
            </w:r>
            <w:r>
              <w:t xml:space="preserve"> - termination for default</w:t>
            </w:r>
          </w:p>
        </w:tc>
        <w:tc>
          <w:tcPr>
            <w:tcW w:w="2898" w:type="dxa"/>
          </w:tcPr>
          <w:p w:rsidR="00D37C51" w:rsidRPr="00D37C51" w:rsidRDefault="00D37C51" w:rsidP="00D37C51">
            <w:r>
              <w:t>Amended as required</w:t>
            </w:r>
          </w:p>
        </w:tc>
        <w:tc>
          <w:tcPr>
            <w:tcW w:w="2898" w:type="dxa"/>
          </w:tcPr>
          <w:p w:rsidR="00D37C51" w:rsidRPr="00D37C51" w:rsidRDefault="00D37C51" w:rsidP="00D37C51">
            <w:r>
              <w:t>Accept</w:t>
            </w:r>
          </w:p>
        </w:tc>
      </w:tr>
      <w:tr w:rsidR="00D37C51" w:rsidRPr="00D37C51" w:rsidTr="00812B2E">
        <w:trPr>
          <w:cnfStyle w:val="000000010000" w:firstRow="0" w:lastRow="0" w:firstColumn="0" w:lastColumn="0" w:oddVBand="0" w:evenVBand="0" w:oddHBand="0" w:evenHBand="1" w:firstRowFirstColumn="0" w:firstRowLastColumn="0" w:lastRowFirstColumn="0" w:lastRowLastColumn="0"/>
        </w:trPr>
        <w:tc>
          <w:tcPr>
            <w:tcW w:w="2897" w:type="dxa"/>
          </w:tcPr>
          <w:p w:rsidR="00D37C51" w:rsidRPr="00D37C51" w:rsidRDefault="00D37C51" w:rsidP="00D37C51">
            <w:r>
              <w:t>Clause 78 - consequential loss</w:t>
            </w:r>
          </w:p>
        </w:tc>
        <w:tc>
          <w:tcPr>
            <w:tcW w:w="2898" w:type="dxa"/>
          </w:tcPr>
          <w:p w:rsidR="00D37C51" w:rsidRPr="00D37C51" w:rsidRDefault="00D37C51" w:rsidP="00D37C51">
            <w:r>
              <w:t>Accepted in part</w:t>
            </w:r>
          </w:p>
        </w:tc>
        <w:tc>
          <w:tcPr>
            <w:tcW w:w="2898" w:type="dxa"/>
          </w:tcPr>
          <w:p w:rsidR="00D37C51" w:rsidRPr="00D37C51" w:rsidRDefault="00D37C51" w:rsidP="00D37C51">
            <w:r>
              <w:t>Accept</w:t>
            </w:r>
          </w:p>
        </w:tc>
      </w:tr>
      <w:tr w:rsidR="00D37C51" w:rsidRPr="00D37C51" w:rsidTr="00812B2E">
        <w:tc>
          <w:tcPr>
            <w:tcW w:w="2897" w:type="dxa"/>
          </w:tcPr>
          <w:p w:rsidR="00D37C51" w:rsidRPr="00D37C51" w:rsidRDefault="00EB26E8" w:rsidP="00D37C51">
            <w:r>
              <w:t>Clause 79 - liability cap</w:t>
            </w:r>
          </w:p>
        </w:tc>
        <w:tc>
          <w:tcPr>
            <w:tcW w:w="2898" w:type="dxa"/>
          </w:tcPr>
          <w:p w:rsidR="00D37C51" w:rsidRPr="00D37C51" w:rsidRDefault="00EB26E8" w:rsidP="00D37C51">
            <w:r>
              <w:t>Not amended</w:t>
            </w:r>
          </w:p>
        </w:tc>
        <w:tc>
          <w:tcPr>
            <w:tcW w:w="2898" w:type="dxa"/>
          </w:tcPr>
          <w:p w:rsidR="00D37C51" w:rsidRPr="00D37C51" w:rsidRDefault="00EB26E8" w:rsidP="00EB26E8">
            <w:r>
              <w:t xml:space="preserve">Not accepted </w:t>
            </w:r>
          </w:p>
        </w:tc>
      </w:tr>
      <w:tr w:rsidR="00D37C51" w:rsidRPr="00D37C51" w:rsidTr="00812B2E">
        <w:trPr>
          <w:cnfStyle w:val="000000010000" w:firstRow="0" w:lastRow="0" w:firstColumn="0" w:lastColumn="0" w:oddVBand="0" w:evenVBand="0" w:oddHBand="0" w:evenHBand="1" w:firstRowFirstColumn="0" w:firstRowLastColumn="0" w:lastRowFirstColumn="0" w:lastRowLastColumn="0"/>
        </w:trPr>
        <w:tc>
          <w:tcPr>
            <w:tcW w:w="2897" w:type="dxa"/>
          </w:tcPr>
          <w:p w:rsidR="00D37C51" w:rsidRPr="00D37C51" w:rsidRDefault="00EB26E8" w:rsidP="00D37C51">
            <w:r>
              <w:t>Clause 95 - confidential information</w:t>
            </w:r>
          </w:p>
        </w:tc>
        <w:tc>
          <w:tcPr>
            <w:tcW w:w="2898" w:type="dxa"/>
          </w:tcPr>
          <w:p w:rsidR="00D37C51" w:rsidRPr="00D37C51" w:rsidRDefault="00EB26E8" w:rsidP="00D37C51">
            <w:r>
              <w:t>Amended as required</w:t>
            </w:r>
          </w:p>
        </w:tc>
        <w:tc>
          <w:tcPr>
            <w:tcW w:w="2898" w:type="dxa"/>
          </w:tcPr>
          <w:p w:rsidR="00D37C51" w:rsidRPr="00D37C51" w:rsidRDefault="00EB26E8" w:rsidP="00D37C51">
            <w:r>
              <w:t>Accept</w:t>
            </w:r>
          </w:p>
        </w:tc>
      </w:tr>
      <w:tr w:rsidR="00D37C51" w:rsidRPr="00D37C51" w:rsidTr="00812B2E">
        <w:tc>
          <w:tcPr>
            <w:tcW w:w="2897" w:type="dxa"/>
          </w:tcPr>
          <w:p w:rsidR="00D37C51" w:rsidRPr="00D37C51" w:rsidRDefault="00EB26E8" w:rsidP="00D37C51">
            <w:r>
              <w:t>Clauses 53, 78 and 84 - minor drafting corrections</w:t>
            </w:r>
          </w:p>
        </w:tc>
        <w:tc>
          <w:tcPr>
            <w:tcW w:w="2898" w:type="dxa"/>
          </w:tcPr>
          <w:p w:rsidR="00D37C51" w:rsidRPr="00D37C51" w:rsidRDefault="00EB26E8" w:rsidP="00D37C51">
            <w:r>
              <w:t>Amended as required</w:t>
            </w:r>
          </w:p>
        </w:tc>
        <w:tc>
          <w:tcPr>
            <w:tcW w:w="2898" w:type="dxa"/>
          </w:tcPr>
          <w:p w:rsidR="00D37C51" w:rsidRPr="00D37C51" w:rsidRDefault="00EB26E8" w:rsidP="00D37C51">
            <w:r>
              <w:t>Accept</w:t>
            </w:r>
          </w:p>
        </w:tc>
      </w:tr>
    </w:tbl>
    <w:p w:rsidR="001A48F3" w:rsidRPr="00047113" w:rsidRDefault="001A48F3" w:rsidP="00047113"/>
    <w:p w:rsidR="00324147" w:rsidRDefault="00324147" w:rsidP="00324147">
      <w:pPr>
        <w:pStyle w:val="Heading3"/>
      </w:pPr>
      <w:bookmarkStart w:id="19" w:name="_Toc436044726"/>
      <w:bookmarkStart w:id="20" w:name="_Toc451530463"/>
      <w:r>
        <w:t>AER’s assessment approach</w:t>
      </w:r>
      <w:bookmarkEnd w:id="19"/>
      <w:bookmarkEnd w:id="20"/>
    </w:p>
    <w:p w:rsidR="0000413F" w:rsidRDefault="00047113" w:rsidP="00047113">
      <w:r>
        <w:t>We are required to assess APTNT's proposed terms and conditions for consistency with the NGO</w:t>
      </w:r>
      <w:r w:rsidR="003D4EDE">
        <w:t>, the NGR</w:t>
      </w:r>
      <w:r>
        <w:t xml:space="preserve"> and the relevant procedures. </w:t>
      </w:r>
      <w:proofErr w:type="gramStart"/>
      <w:r w:rsidR="0000413F" w:rsidRPr="0000413F">
        <w:t>The NGO states that the objective of the NGL is to promote efficient investment in</w:t>
      </w:r>
      <w:r w:rsidR="00864ECE">
        <w:t>,</w:t>
      </w:r>
      <w:r w:rsidR="0000413F" w:rsidRPr="0000413F">
        <w:t xml:space="preserve"> and </w:t>
      </w:r>
      <w:r w:rsidR="00864ECE">
        <w:t xml:space="preserve">efficient </w:t>
      </w:r>
      <w:r w:rsidR="0000413F" w:rsidRPr="0000413F">
        <w:t>operation and use of</w:t>
      </w:r>
      <w:r w:rsidR="00864ECE">
        <w:t>,</w:t>
      </w:r>
      <w:r w:rsidR="0000413F" w:rsidRPr="0000413F">
        <w:t xml:space="preserve"> natural gas services for the long term interest</w:t>
      </w:r>
      <w:r w:rsidR="00864ECE">
        <w:t>s</w:t>
      </w:r>
      <w:r w:rsidR="0000413F" w:rsidRPr="0000413F">
        <w:t xml:space="preserve"> of consumers</w:t>
      </w:r>
      <w:r w:rsidR="00864ECE">
        <w:t xml:space="preserve"> of natural gas with respect to price, quality, safety, reliability and security of supply of natural gas</w:t>
      </w:r>
      <w:r w:rsidR="0000413F" w:rsidRPr="0000413F">
        <w:t>.</w:t>
      </w:r>
      <w:proofErr w:type="gramEnd"/>
      <w:r w:rsidR="0000413F" w:rsidRPr="0000413F">
        <w:t xml:space="preserve"> </w:t>
      </w:r>
      <w:r w:rsidR="00B7142F" w:rsidRPr="00B7142F">
        <w:t>The NGR gives us discretion to withhold our approval of the non-price terms and conditions proposed in an access arrangement if we consider a preferable alternative exists which complies with the NGL and is consistent with the applicable criteria.</w:t>
      </w:r>
      <w:r w:rsidR="00895555">
        <w:rPr>
          <w:rStyle w:val="FootnoteReference"/>
        </w:rPr>
        <w:footnoteReference w:id="7"/>
      </w:r>
      <w:r>
        <w:t xml:space="preserve"> </w:t>
      </w:r>
      <w:r w:rsidR="00B81470">
        <w:t>Our approach to assessing APTNT's proposed terms and conditions is detailed in Attachment 12 of our draft decision, and we have used the same approach for our final decision.</w:t>
      </w:r>
      <w:r w:rsidR="00EC181B">
        <w:rPr>
          <w:rStyle w:val="FootnoteReference"/>
        </w:rPr>
        <w:footnoteReference w:id="8"/>
      </w:r>
    </w:p>
    <w:p w:rsidR="00324147" w:rsidRDefault="00324147" w:rsidP="00E54DC8">
      <w:pPr>
        <w:pStyle w:val="Heading3"/>
        <w:keepNext/>
      </w:pPr>
      <w:bookmarkStart w:id="21" w:name="_Toc436044727"/>
      <w:bookmarkStart w:id="22" w:name="_Toc451530464"/>
      <w:r>
        <w:t>Reasons for final decision</w:t>
      </w:r>
      <w:bookmarkEnd w:id="21"/>
      <w:bookmarkEnd w:id="22"/>
    </w:p>
    <w:p w:rsidR="00AC55BE" w:rsidRDefault="00F556DC" w:rsidP="00E54DC8">
      <w:pPr>
        <w:keepNext/>
      </w:pPr>
      <w:r>
        <w:t xml:space="preserve">APTNT's revised </w:t>
      </w:r>
      <w:r w:rsidR="001A48F3">
        <w:t>access arrangement proposal</w:t>
      </w:r>
      <w:r>
        <w:t xml:space="preserve"> incorporate</w:t>
      </w:r>
      <w:r w:rsidR="001A48F3">
        <w:t>s</w:t>
      </w:r>
      <w:r>
        <w:t xml:space="preserve"> the revisions we requi</w:t>
      </w:r>
      <w:r w:rsidR="008B54AF">
        <w:t>red to c</w:t>
      </w:r>
      <w:r>
        <w:t xml:space="preserve">lause 69 </w:t>
      </w:r>
      <w:r w:rsidR="008B54AF">
        <w:t>(</w:t>
      </w:r>
      <w:r w:rsidR="00AC55BE">
        <w:t>termination for default</w:t>
      </w:r>
      <w:r w:rsidR="008B54AF">
        <w:t>) and clause 95 (</w:t>
      </w:r>
      <w:r w:rsidR="00AC55BE">
        <w:t>confidential information</w:t>
      </w:r>
      <w:r w:rsidR="008B54AF">
        <w:t>). APT</w:t>
      </w:r>
      <w:r w:rsidR="00011902">
        <w:t>NT</w:t>
      </w:r>
      <w:r w:rsidR="008B54AF">
        <w:t xml:space="preserve"> also </w:t>
      </w:r>
      <w:r w:rsidR="0026573E">
        <w:t>corrected</w:t>
      </w:r>
      <w:r w:rsidR="008B54AF">
        <w:t xml:space="preserve"> the minor drafting errors we identified in clause</w:t>
      </w:r>
      <w:r w:rsidR="005F6606">
        <w:t>s</w:t>
      </w:r>
      <w:r w:rsidR="008B54AF">
        <w:t xml:space="preserve"> 53, 78 and 85. </w:t>
      </w:r>
    </w:p>
    <w:p w:rsidR="008677B2" w:rsidRPr="008677B2" w:rsidRDefault="008677B2" w:rsidP="008677B2">
      <w:r w:rsidRPr="008677B2">
        <w:t>We received no submissions on these issues, and for the reasons set out in our draft decision we maintain our decision to approve these amendments in this final decision.</w:t>
      </w:r>
    </w:p>
    <w:p w:rsidR="008677B2" w:rsidRPr="008677B2" w:rsidRDefault="008677B2" w:rsidP="008677B2">
      <w:r w:rsidRPr="008677B2">
        <w:t xml:space="preserve">The following paragraphs set out our </w:t>
      </w:r>
      <w:r w:rsidR="00E00B4C">
        <w:t xml:space="preserve">decision and </w:t>
      </w:r>
      <w:r w:rsidRPr="008677B2">
        <w:t xml:space="preserve">reasons on the remaining </w:t>
      </w:r>
      <w:r w:rsidR="00E00B4C">
        <w:t xml:space="preserve">two </w:t>
      </w:r>
      <w:r w:rsidRPr="008677B2">
        <w:t>issues.</w:t>
      </w:r>
    </w:p>
    <w:p w:rsidR="00B84335" w:rsidRDefault="00B84335" w:rsidP="00B84335">
      <w:pPr>
        <w:pStyle w:val="Heading4"/>
        <w:numPr>
          <w:ilvl w:val="0"/>
          <w:numId w:val="0"/>
        </w:numPr>
        <w:ind w:left="864" w:hanging="864"/>
      </w:pPr>
      <w:r>
        <w:t>Consequential loss</w:t>
      </w:r>
    </w:p>
    <w:p w:rsidR="00E318C0" w:rsidRDefault="00A34732" w:rsidP="00A34732">
      <w:r>
        <w:t>APTNT's revised terms and conditions partially incorporate the revision we required to the liabilities and indemnities provision in clause 78</w:t>
      </w:r>
      <w:r w:rsidR="004C21DE">
        <w:t xml:space="preserve">. </w:t>
      </w:r>
      <w:r w:rsidR="00E7173C">
        <w:t xml:space="preserve">Our draft decision </w:t>
      </w:r>
      <w:r w:rsidR="004C21DE">
        <w:t xml:space="preserve">required APTNT to remove </w:t>
      </w:r>
      <w:r>
        <w:t xml:space="preserve">clause 78(c) </w:t>
      </w:r>
      <w:r w:rsidR="004C21DE">
        <w:t xml:space="preserve">which exposed the user, but not the service provider, to liability for consequential loss or punitive or exemplary damages in a range of circumstances. APTNT made the </w:t>
      </w:r>
      <w:r w:rsidR="001B4776">
        <w:t xml:space="preserve">required amendment </w:t>
      </w:r>
      <w:r w:rsidR="004C21DE">
        <w:t>except for removing</w:t>
      </w:r>
      <w:r w:rsidR="007C74BF">
        <w:t xml:space="preserve"> the user's potential liability </w:t>
      </w:r>
      <w:r w:rsidR="001B4776">
        <w:t xml:space="preserve">for the damages provided for by </w:t>
      </w:r>
      <w:r w:rsidR="007C74BF">
        <w:t>clause 78</w:t>
      </w:r>
      <w:r w:rsidR="001B4776">
        <w:t xml:space="preserve"> arising from the indemnity in clause 80.</w:t>
      </w:r>
      <w:r w:rsidR="00E318C0">
        <w:t xml:space="preserve"> APTNT submitted:</w:t>
      </w:r>
    </w:p>
    <w:p w:rsidR="00E318C0" w:rsidRDefault="00E318C0" w:rsidP="00B178F6">
      <w:pPr>
        <w:pStyle w:val="AERquote"/>
      </w:pPr>
      <w:r>
        <w:t xml:space="preserve">The indemnity set out in [clause 80] keeps the Service Provider whole for claims brought by third </w:t>
      </w:r>
      <w:r w:rsidR="002124A1">
        <w:t>parties</w:t>
      </w:r>
      <w:r>
        <w:t xml:space="preserve"> in certain circumstances including for the User's breach of contract. The type of loss or damage which this indemnity is seeking to recover by its very nature falls into the definition of Consequential Loss as it stems from </w:t>
      </w:r>
      <w:r w:rsidRPr="00B178F6">
        <w:t>third</w:t>
      </w:r>
      <w:r>
        <w:t xml:space="preserve"> party losses. Without the consequential loss carve out, there would be ambiguity in the drafting as to whether the indemnity would have any </w:t>
      </w:r>
      <w:r w:rsidR="00B178F6">
        <w:t xml:space="preserve">effect at all. Accordingly </w:t>
      </w:r>
      <w:proofErr w:type="gramStart"/>
      <w:r w:rsidR="00B178F6">
        <w:t xml:space="preserve">the </w:t>
      </w:r>
      <w:r>
        <w:t>carve</w:t>
      </w:r>
      <w:proofErr w:type="gramEnd"/>
      <w:r>
        <w:t xml:space="preserve"> out is necessary to avoid </w:t>
      </w:r>
      <w:r w:rsidR="00945C22">
        <w:t>this</w:t>
      </w:r>
      <w:r>
        <w:t xml:space="preserve"> ambiguity.</w:t>
      </w:r>
      <w:r w:rsidR="00E7173C">
        <w:rPr>
          <w:rStyle w:val="FootnoteReference"/>
        </w:rPr>
        <w:footnoteReference w:id="9"/>
      </w:r>
    </w:p>
    <w:p w:rsidR="00E318C0" w:rsidRDefault="00812B2E" w:rsidP="00E318C0">
      <w:r>
        <w:t xml:space="preserve">We are satisfied that APTNT's explanation justifies the exclusion of consequential loss.  </w:t>
      </w:r>
      <w:r w:rsidR="00E318C0">
        <w:t xml:space="preserve">We </w:t>
      </w:r>
      <w:r>
        <w:t>therefore</w:t>
      </w:r>
      <w:r w:rsidR="00E318C0">
        <w:t xml:space="preserve"> approve its revised clause 78(c).</w:t>
      </w:r>
    </w:p>
    <w:p w:rsidR="00E318C0" w:rsidRDefault="00C375AD" w:rsidP="00C375AD">
      <w:pPr>
        <w:pStyle w:val="Heading4"/>
        <w:numPr>
          <w:ilvl w:val="0"/>
          <w:numId w:val="0"/>
        </w:numPr>
        <w:ind w:left="864" w:hanging="864"/>
      </w:pPr>
      <w:r>
        <w:t>Liability cap</w:t>
      </w:r>
    </w:p>
    <w:p w:rsidR="00C276BA" w:rsidRDefault="00134FBB" w:rsidP="00E318C0">
      <w:r>
        <w:t xml:space="preserve">The AGP access arrangement for 2011 to 2015 limits the aggregate liability of APTNT and its related bodies corporate in respect of the transportation agreement to a monetary cap of 10 percent of the contract value over the life of the transportation agreement.  </w:t>
      </w:r>
      <w:r w:rsidR="009549B2">
        <w:t>Similar provisions exist in the terms and conditions of other gas networks.</w:t>
      </w:r>
      <w:r w:rsidR="009549B2">
        <w:rPr>
          <w:rStyle w:val="FootnoteReference"/>
        </w:rPr>
        <w:footnoteReference w:id="10"/>
      </w:r>
      <w:r w:rsidR="009549B2">
        <w:t xml:space="preserve">  </w:t>
      </w:r>
      <w:r>
        <w:t>APTNT proposes a further cap of 2.5 percent of the contract value in any one year of the transportation agreement.</w:t>
      </w:r>
      <w:r w:rsidR="00C276BA">
        <w:t xml:space="preserve">  Its proposed clause is as follows:</w:t>
      </w:r>
    </w:p>
    <w:p w:rsidR="00134FBB" w:rsidRDefault="00C276BA" w:rsidP="00812B2E">
      <w:pPr>
        <w:pStyle w:val="AERquoteindent1"/>
      </w:pPr>
      <w:r w:rsidRPr="00C276BA">
        <w:t>The aggregate liability of the Service Provider and its Related Bodies Corporate in respect of the Transportation</w:t>
      </w:r>
      <w:r>
        <w:t xml:space="preserve"> Agreement, excluding for the Gross </w:t>
      </w:r>
      <w:r w:rsidRPr="00C276BA">
        <w:t>Negligence or Wilful Misconduct of the Service Provider or its Related Bodies Corporate, will be limited to a monetary liability cap of 10 per cent of the contract value over the life of the Transportation Agreement and 2.5% of such contract value in any one year of the Transportation Agreement.</w:t>
      </w:r>
      <w:r w:rsidR="00E25DC7">
        <w:rPr>
          <w:rStyle w:val="FootnoteReference"/>
        </w:rPr>
        <w:footnoteReference w:id="11"/>
      </w:r>
    </w:p>
    <w:p w:rsidR="00C375AD" w:rsidRDefault="00B178F6" w:rsidP="00E318C0">
      <w:r>
        <w:t xml:space="preserve">Our draft decision required APTNT to remove </w:t>
      </w:r>
      <w:r w:rsidR="00134FBB">
        <w:t xml:space="preserve">the </w:t>
      </w:r>
      <w:r w:rsidR="00011902">
        <w:t xml:space="preserve">new </w:t>
      </w:r>
      <w:r>
        <w:t>2.5 percent annual liability cap</w:t>
      </w:r>
      <w:r w:rsidR="00E25DC7">
        <w:t xml:space="preserve"> as the existing constraint of 10 percent over the life of the agreement provides adequate certainty to APTNT and its users without further limiting a user's options as to when it may 'use' its 10 percent limit over the period.</w:t>
      </w:r>
      <w:r w:rsidR="003D5BCC">
        <w:rPr>
          <w:rStyle w:val="FootnoteReference"/>
        </w:rPr>
        <w:footnoteReference w:id="12"/>
      </w:r>
      <w:proofErr w:type="gramStart"/>
      <w:r>
        <w:t>,</w:t>
      </w:r>
      <w:r w:rsidR="00E25DC7">
        <w:t xml:space="preserve">  APTNT</w:t>
      </w:r>
      <w:proofErr w:type="gramEnd"/>
      <w:r w:rsidR="00E25DC7">
        <w:t xml:space="preserve"> did not make this amendment, and defended the new 2.5 percent annual liability cap in the following terms:</w:t>
      </w:r>
    </w:p>
    <w:p w:rsidR="0053668A" w:rsidRDefault="00E25DC7" w:rsidP="00E25DC7">
      <w:pPr>
        <w:pStyle w:val="AERquote"/>
      </w:pPr>
      <w:r>
        <w:t>APTNT considers that this must be considered in the context of the term of the Reference Service Agreement [which under the Access Arrangement</w:t>
      </w:r>
      <w:r w:rsidR="0053668A">
        <w:t xml:space="preserve"> is</w:t>
      </w:r>
      <w:r>
        <w:t xml:space="preserve">] three </w:t>
      </w:r>
      <w:r w:rsidR="0053668A">
        <w:t xml:space="preserve">years or such longer period as the User elects at the time of entering into the Transportation Agreement.  </w:t>
      </w:r>
    </w:p>
    <w:p w:rsidR="00B178F6" w:rsidRDefault="0053668A" w:rsidP="00E25DC7">
      <w:pPr>
        <w:pStyle w:val="AERquote"/>
      </w:pPr>
      <w:r>
        <w:t>A</w:t>
      </w:r>
      <w:r w:rsidR="00B178F6">
        <w:t>bsent an annual cap the Service Provider is exposed to the entire aggregate liability cap rather than having the risk spread over the life of the cont</w:t>
      </w:r>
      <w:r w:rsidR="00011902">
        <w:t>r</w:t>
      </w:r>
      <w:r w:rsidR="00B178F6">
        <w:t>act. For longer term, high value contracts, the lumpiness of the exposure, particularly in the early years of the contract, may present an unacceptably high risk for the Service Provider. An annual cap ensures the risk is spread across the life of the contract such that the risk is commensurate with amounts paid under the contract at the time any claim is made.</w:t>
      </w:r>
      <w:r w:rsidR="00335342">
        <w:t xml:space="preserve">  Such an approach is consistent with industry approaches in project development and construction contracts.</w:t>
      </w:r>
      <w:r w:rsidR="00FE7F8B">
        <w:rPr>
          <w:rStyle w:val="FootnoteReference"/>
        </w:rPr>
        <w:footnoteReference w:id="13"/>
      </w:r>
      <w:r w:rsidR="00B178F6">
        <w:t xml:space="preserve">  </w:t>
      </w:r>
    </w:p>
    <w:p w:rsidR="003D5BCC" w:rsidRDefault="00EE594D" w:rsidP="000B5B96">
      <w:r>
        <w:t xml:space="preserve">We are not persuaded by APTNT's submission. </w:t>
      </w:r>
      <w:r w:rsidR="005E3C5B">
        <w:t xml:space="preserve">No support </w:t>
      </w:r>
      <w:r>
        <w:t xml:space="preserve">has been provided for </w:t>
      </w:r>
      <w:r w:rsidR="005E3C5B">
        <w:t xml:space="preserve">the assertion </w:t>
      </w:r>
      <w:r w:rsidR="00A0112E">
        <w:t xml:space="preserve">that </w:t>
      </w:r>
      <w:r w:rsidR="004E31F4">
        <w:t xml:space="preserve">the </w:t>
      </w:r>
      <w:r w:rsidR="00720136">
        <w:t xml:space="preserve">current </w:t>
      </w:r>
      <w:r w:rsidR="004E31F4">
        <w:t xml:space="preserve">10 percent liability cap over the life of the agreement </w:t>
      </w:r>
      <w:r w:rsidR="00A0112E">
        <w:t xml:space="preserve">presents an unacceptably high risk for the service provider.  We </w:t>
      </w:r>
      <w:r w:rsidR="00EF082B">
        <w:t>maintain our view that</w:t>
      </w:r>
      <w:r w:rsidR="003D5BCC">
        <w:t xml:space="preserve"> </w:t>
      </w:r>
      <w:r w:rsidR="00443BCE">
        <w:t>the</w:t>
      </w:r>
      <w:r w:rsidR="00A0112E">
        <w:t xml:space="preserve"> 10 percent cap protects APTNT's legitimate interest in certainty as to the</w:t>
      </w:r>
      <w:r w:rsidR="00720136">
        <w:t xml:space="preserve"> limit of its liability</w:t>
      </w:r>
      <w:r w:rsidR="00EF082B">
        <w:t xml:space="preserve"> without adding the 2.5 percent annual cap</w:t>
      </w:r>
      <w:r w:rsidR="00720136">
        <w:t xml:space="preserve">.  </w:t>
      </w:r>
      <w:r w:rsidR="003D5BCC">
        <w:t xml:space="preserve">The </w:t>
      </w:r>
      <w:r w:rsidR="002A117F">
        <w:t>2.5 percent annual cap would lower the effective total cap for any transportation agreement of less than four years duration.</w:t>
      </w:r>
      <w:r w:rsidR="002A117F">
        <w:rPr>
          <w:rStyle w:val="FootnoteReference"/>
        </w:rPr>
        <w:footnoteReference w:id="14"/>
      </w:r>
      <w:r w:rsidR="00614FC9">
        <w:t xml:space="preserve"> Further, for agreements of four years or more, </w:t>
      </w:r>
      <w:r w:rsidR="00EF082B">
        <w:t>in practical terms a</w:t>
      </w:r>
      <w:r w:rsidR="00614FC9">
        <w:t xml:space="preserve"> 2.5 percent annual cap would lower the </w:t>
      </w:r>
      <w:r w:rsidR="00F2708A">
        <w:t>overall liability</w:t>
      </w:r>
      <w:r w:rsidR="00614FC9">
        <w:t xml:space="preserve"> in every scenario, except where </w:t>
      </w:r>
      <w:r w:rsidR="00F2708A">
        <w:t>a user</w:t>
      </w:r>
      <w:r w:rsidR="00614FC9">
        <w:t xml:space="preserve"> recovers the full 2.5 percent in four separate years - in which case recovery under the ann</w:t>
      </w:r>
      <w:r w:rsidR="00F2708A">
        <w:t xml:space="preserve">ual cap would equate to, but not </w:t>
      </w:r>
      <w:proofErr w:type="gramStart"/>
      <w:r w:rsidR="00F2708A">
        <w:t>exceed,</w:t>
      </w:r>
      <w:proofErr w:type="gramEnd"/>
      <w:r w:rsidR="00F2708A">
        <w:t xml:space="preserve"> </w:t>
      </w:r>
      <w:r w:rsidR="00614FC9">
        <w:t xml:space="preserve">recovery under the </w:t>
      </w:r>
      <w:r w:rsidR="00C303D1">
        <w:t>existing</w:t>
      </w:r>
      <w:r w:rsidR="00614FC9">
        <w:t xml:space="preserve"> 10 perce</w:t>
      </w:r>
      <w:r w:rsidR="00F2708A">
        <w:t xml:space="preserve">nt cap.  </w:t>
      </w:r>
    </w:p>
    <w:p w:rsidR="000B5B96" w:rsidRPr="000B5B96" w:rsidRDefault="00A0112E" w:rsidP="000B5B96">
      <w:r>
        <w:t>Accordingly</w:t>
      </w:r>
      <w:r w:rsidR="00DE1612">
        <w:t>,</w:t>
      </w:r>
      <w:r>
        <w:t xml:space="preserve"> we</w:t>
      </w:r>
      <w:r w:rsidR="00B7142F">
        <w:t xml:space="preserve"> maintain our draft decision position to allow the existing 10 percent liability cap and not accept the additional 2.5 percent annual cap. We</w:t>
      </w:r>
      <w:r>
        <w:t xml:space="preserve"> have amended clause 79 of the terms and conditions </w:t>
      </w:r>
      <w:r w:rsidR="00B7142F">
        <w:t>accordingly</w:t>
      </w:r>
      <w:r>
        <w:t>.</w:t>
      </w:r>
    </w:p>
    <w:p w:rsidR="00B432BF" w:rsidRDefault="0047644C" w:rsidP="007A147F">
      <w:pPr>
        <w:pStyle w:val="Heading2"/>
      </w:pPr>
      <w:bookmarkStart w:id="23" w:name="_Toc451530465"/>
      <w:r>
        <w:t>Revision and commencement</w:t>
      </w:r>
      <w:bookmarkEnd w:id="23"/>
    </w:p>
    <w:p w:rsidR="00D266D0" w:rsidRDefault="002124A1" w:rsidP="002124A1">
      <w:r>
        <w:t>We approve APTNT's amendment</w:t>
      </w:r>
      <w:r w:rsidR="0006095B">
        <w:t xml:space="preserve">s </w:t>
      </w:r>
      <w:r>
        <w:t>specify</w:t>
      </w:r>
      <w:r w:rsidR="0006095B">
        <w:t>ing</w:t>
      </w:r>
      <w:r>
        <w:t xml:space="preserve"> single fixed date</w:t>
      </w:r>
      <w:r w:rsidR="0006095B">
        <w:t>s</w:t>
      </w:r>
      <w:r>
        <w:t xml:space="preserve"> for </w:t>
      </w:r>
      <w:r w:rsidR="0006095B">
        <w:t xml:space="preserve">both </w:t>
      </w:r>
      <w:r>
        <w:t xml:space="preserve">the submission of revisions and </w:t>
      </w:r>
      <w:r w:rsidR="0006095B">
        <w:t xml:space="preserve">the commencement of </w:t>
      </w:r>
      <w:r>
        <w:t>amendments</w:t>
      </w:r>
      <w:r w:rsidR="00D266D0">
        <w:t>.</w:t>
      </w:r>
      <w:r w:rsidR="00193C90">
        <w:t xml:space="preserve"> </w:t>
      </w:r>
      <w:r w:rsidR="00C71F5D">
        <w:t>These revisions are consistent with those required in our draft decision.</w:t>
      </w:r>
    </w:p>
    <w:p w:rsidR="00B1564D" w:rsidRDefault="00B1564D" w:rsidP="002124A1">
      <w:r>
        <w:t>However</w:t>
      </w:r>
      <w:r w:rsidR="00DE1612">
        <w:t>,</w:t>
      </w:r>
      <w:r>
        <w:t xml:space="preserve"> there are two further elements of APTNT's revision and commencement clause which we do not approve. These are discussed in the following paragraphs.</w:t>
      </w:r>
    </w:p>
    <w:p w:rsidR="005E038C" w:rsidRPr="00A65755" w:rsidRDefault="005E038C" w:rsidP="005E038C">
      <w:r>
        <w:t>Attachment 12 of our draft decision set out our approach to assessing APTNT's revision and commencement clause. We have used the same approach in this final decision.</w:t>
      </w:r>
      <w:r>
        <w:rPr>
          <w:rStyle w:val="FootnoteReference"/>
        </w:rPr>
        <w:footnoteReference w:id="15"/>
      </w:r>
      <w:r>
        <w:t xml:space="preserve">   </w:t>
      </w:r>
    </w:p>
    <w:p w:rsidR="00B1564D" w:rsidRDefault="00B1564D" w:rsidP="00B1564D">
      <w:pPr>
        <w:pStyle w:val="Heading3"/>
        <w:numPr>
          <w:ilvl w:val="0"/>
          <w:numId w:val="0"/>
        </w:numPr>
        <w:ind w:left="720" w:hanging="720"/>
      </w:pPr>
      <w:bookmarkStart w:id="24" w:name="_Toc451530466"/>
      <w:r>
        <w:t>Early review trigger</w:t>
      </w:r>
      <w:bookmarkEnd w:id="24"/>
    </w:p>
    <w:p w:rsidR="004328E3" w:rsidRDefault="00D266D0" w:rsidP="0006095B">
      <w:r>
        <w:t>W</w:t>
      </w:r>
      <w:r w:rsidR="002124A1">
        <w:t xml:space="preserve">e do not approve </w:t>
      </w:r>
      <w:r w:rsidR="004328E3">
        <w:t xml:space="preserve">the </w:t>
      </w:r>
      <w:r w:rsidR="00193C90">
        <w:t xml:space="preserve">trigger </w:t>
      </w:r>
      <w:r w:rsidR="004328E3">
        <w:t xml:space="preserve">in the revised access arrangement proposal </w:t>
      </w:r>
      <w:r w:rsidR="002124A1">
        <w:t>for accelerating the review</w:t>
      </w:r>
      <w:r>
        <w:t xml:space="preserve"> </w:t>
      </w:r>
      <w:r w:rsidR="00193C90">
        <w:t xml:space="preserve">if </w:t>
      </w:r>
      <w:r w:rsidR="004328E3">
        <w:t xml:space="preserve">another pipeline is connected with the AGP. </w:t>
      </w:r>
    </w:p>
    <w:p w:rsidR="00301C80" w:rsidRDefault="007E765D" w:rsidP="00301C80">
      <w:r>
        <w:t xml:space="preserve">Our draft decision required </w:t>
      </w:r>
      <w:r w:rsidR="0006095B">
        <w:t>the following amendment to accelerate the review if</w:t>
      </w:r>
      <w:r w:rsidR="004328E3">
        <w:t xml:space="preserve"> a new pipeline </w:t>
      </w:r>
      <w:r w:rsidR="0006095B">
        <w:t>is</w:t>
      </w:r>
      <w:r w:rsidR="008A1DF7">
        <w:t xml:space="preserve"> connected to the AGP during the </w:t>
      </w:r>
      <w:r w:rsidR="0006095B">
        <w:t>access arrangement period:</w:t>
      </w:r>
      <w:r w:rsidR="00346DAC">
        <w:rPr>
          <w:rStyle w:val="FootnoteReference"/>
        </w:rPr>
        <w:footnoteReference w:id="16"/>
      </w:r>
    </w:p>
    <w:p w:rsidR="00301C80" w:rsidRDefault="00301C80" w:rsidP="00301C80">
      <w:pPr>
        <w:pStyle w:val="AERquote"/>
      </w:pPr>
      <w:r>
        <w:t>The Review Submission Date will be accelerated under Rule 51 on written notification by the AER that one of the following events has occurred:</w:t>
      </w:r>
    </w:p>
    <w:p w:rsidR="00301C80" w:rsidRDefault="00301C80" w:rsidP="00301C80">
      <w:pPr>
        <w:pStyle w:val="AERquote"/>
      </w:pPr>
      <w:r>
        <w:t xml:space="preserve">(a) </w:t>
      </w:r>
      <w:proofErr w:type="gramStart"/>
      <w:r>
        <w:t>the</w:t>
      </w:r>
      <w:proofErr w:type="gramEnd"/>
      <w:r>
        <w:t xml:space="preserve"> interconnection of another pipeline with the Pipeline; or</w:t>
      </w:r>
    </w:p>
    <w:p w:rsidR="00301C80" w:rsidRDefault="00301C80" w:rsidP="00301C80">
      <w:pPr>
        <w:pStyle w:val="AERquote"/>
      </w:pPr>
      <w:r>
        <w:t xml:space="preserve">(b) </w:t>
      </w:r>
      <w:proofErr w:type="gramStart"/>
      <w:r>
        <w:t>the</w:t>
      </w:r>
      <w:proofErr w:type="gramEnd"/>
      <w:r>
        <w:t xml:space="preserve"> introduction of a significant new source of gas supply to one or more of the markets to which gas is delivered from the pipeline;</w:t>
      </w:r>
    </w:p>
    <w:p w:rsidR="00301C80" w:rsidRDefault="00301C80" w:rsidP="00301C80">
      <w:pPr>
        <w:pStyle w:val="AERquoteindent1"/>
      </w:pPr>
      <w:proofErr w:type="gramStart"/>
      <w:r>
        <w:t>that</w:t>
      </w:r>
      <w:proofErr w:type="gramEnd"/>
      <w:r>
        <w:t xml:space="preserve"> substantially changes the types of Services that are likely to be sought by the market or has a substantial effect on the volume and/or direction of flow of natural gas through all or part of the Pipeline.</w:t>
      </w:r>
    </w:p>
    <w:p w:rsidR="00301C80" w:rsidRDefault="00301C80" w:rsidP="00301C80">
      <w:pPr>
        <w:pStyle w:val="AERquoteindent1"/>
      </w:pPr>
      <w:r>
        <w:t>Such notice will not be given within 18 months of the Review Submission Date in this clause 1.6.</w:t>
      </w:r>
    </w:p>
    <w:p w:rsidR="00346DAC" w:rsidRDefault="00346DAC" w:rsidP="005A00D4">
      <w:r>
        <w:t xml:space="preserve">We required this </w:t>
      </w:r>
      <w:r w:rsidR="0002552A">
        <w:t>trigger</w:t>
      </w:r>
      <w:r>
        <w:t xml:space="preserve"> in the context of the possible connection of the North Eastern Gas Interconnector (NEGI) during the access arrangement period. We considered the </w:t>
      </w:r>
      <w:r w:rsidR="00F34F77">
        <w:t xml:space="preserve">uncertainty about the impact of the NEGI could not be addressed through the </w:t>
      </w:r>
      <w:r>
        <w:t>extensions</w:t>
      </w:r>
      <w:r w:rsidR="00F34F77">
        <w:t xml:space="preserve"> and expansion requirements or other methods.</w:t>
      </w:r>
      <w:r w:rsidR="00F34F77">
        <w:rPr>
          <w:rStyle w:val="FootnoteReference"/>
        </w:rPr>
        <w:footnoteReference w:id="17"/>
      </w:r>
    </w:p>
    <w:p w:rsidR="00525033" w:rsidRDefault="00F448DB" w:rsidP="005E038C">
      <w:r>
        <w:t>APTNT</w:t>
      </w:r>
      <w:r w:rsidR="0006095B">
        <w:t xml:space="preserve">'s </w:t>
      </w:r>
      <w:r w:rsidR="00525033">
        <w:t>revised proposal</w:t>
      </w:r>
      <w:r w:rsidR="005E038C">
        <w:t xml:space="preserve"> included a trigger</w:t>
      </w:r>
      <w:r w:rsidR="004328E3">
        <w:t>,</w:t>
      </w:r>
      <w:r w:rsidR="0006095B">
        <w:t xml:space="preserve"> </w:t>
      </w:r>
      <w:r w:rsidR="005E038C">
        <w:t xml:space="preserve">but </w:t>
      </w:r>
      <w:r w:rsidR="00525033">
        <w:t xml:space="preserve">changed the specification to omit </w:t>
      </w:r>
      <w:r>
        <w:t>the words "or has a substantial effect on the volume and/or direction of the flow of natural gas throug</w:t>
      </w:r>
      <w:r w:rsidR="004328E3">
        <w:t>h all or part of the pipeline"</w:t>
      </w:r>
      <w:r w:rsidR="005E038C">
        <w:t xml:space="preserve">. </w:t>
      </w:r>
      <w:r w:rsidR="0000413F">
        <w:t xml:space="preserve">The relevant part of </w:t>
      </w:r>
      <w:r w:rsidR="005E038C">
        <w:t xml:space="preserve">APTNT's proposed </w:t>
      </w:r>
      <w:r w:rsidR="00E51353">
        <w:t>trigger is:</w:t>
      </w:r>
    </w:p>
    <w:p w:rsidR="00E51353" w:rsidRDefault="00E51353" w:rsidP="00E51353">
      <w:pPr>
        <w:pStyle w:val="AERquote"/>
      </w:pPr>
      <w:proofErr w:type="gramStart"/>
      <w:r>
        <w:t>the</w:t>
      </w:r>
      <w:proofErr w:type="gramEnd"/>
      <w:r>
        <w:t xml:space="preserve"> interconnection </w:t>
      </w:r>
      <w:r w:rsidR="00812B2E">
        <w:t xml:space="preserve">of </w:t>
      </w:r>
      <w:r>
        <w:t>another pipeline with the Pipeline that substantially changes the types of Services that are likely to be sought by the market.</w:t>
      </w:r>
      <w:r>
        <w:rPr>
          <w:rStyle w:val="FootnoteReference"/>
        </w:rPr>
        <w:footnoteReference w:id="18"/>
      </w:r>
    </w:p>
    <w:p w:rsidR="00E51353" w:rsidRDefault="00E51353" w:rsidP="00525033">
      <w:pPr>
        <w:pStyle w:val="AERbulletlistfirststyle"/>
        <w:numPr>
          <w:ilvl w:val="0"/>
          <w:numId w:val="0"/>
        </w:numPr>
      </w:pPr>
      <w:r>
        <w:t>APTNT argued</w:t>
      </w:r>
      <w:r w:rsidR="00EC4287">
        <w:t xml:space="preserve"> that the </w:t>
      </w:r>
      <w:r>
        <w:t>omitted factors are irrelevant to the specification of the reference service and the setting of the reference tariff, and could</w:t>
      </w:r>
      <w:r w:rsidR="00C303D1">
        <w:t xml:space="preserve"> therefore</w:t>
      </w:r>
      <w:r>
        <w:t xml:space="preserve"> trigger an early review in circumstances where the service or tariff may not change. </w:t>
      </w:r>
      <w:r w:rsidR="00D7675B">
        <w:t>APTNT stated:</w:t>
      </w:r>
    </w:p>
    <w:p w:rsidR="00002F52" w:rsidRDefault="00D7675B" w:rsidP="00002F52">
      <w:pPr>
        <w:pStyle w:val="AERquote"/>
      </w:pPr>
      <w:r>
        <w:t>…</w:t>
      </w:r>
      <w:r w:rsidR="007126C8">
        <w:t xml:space="preserve">the reference service is an 'any direction' service which can </w:t>
      </w:r>
      <w:r>
        <w:t>apply</w:t>
      </w:r>
      <w:r w:rsidR="007126C8">
        <w:t xml:space="preserve"> between any receipt or delivery point </w:t>
      </w:r>
      <w:r>
        <w:t xml:space="preserve">on the pipeline, </w:t>
      </w:r>
      <w:r w:rsidR="007126C8">
        <w:t>regardless of flow direction</w:t>
      </w:r>
      <w:r>
        <w:t>. Further, it is specified as a capacity tariff, and therefore volumes are not specifically relevant to the setting of the tariff.</w:t>
      </w:r>
      <w:r w:rsidR="007126C8">
        <w:t>"</w:t>
      </w:r>
      <w:r w:rsidR="007126C8">
        <w:rPr>
          <w:rStyle w:val="FootnoteReference"/>
        </w:rPr>
        <w:footnoteReference w:id="19"/>
      </w:r>
      <w:r w:rsidR="00EC4287">
        <w:t xml:space="preserve"> </w:t>
      </w:r>
    </w:p>
    <w:p w:rsidR="00630E29" w:rsidRDefault="0002552A" w:rsidP="005A00D4">
      <w:r>
        <w:t xml:space="preserve">In response to APTNT's submission, </w:t>
      </w:r>
      <w:r w:rsidR="005E74E6">
        <w:t xml:space="preserve">PWC responded </w:t>
      </w:r>
      <w:r w:rsidR="00955559">
        <w:t xml:space="preserve">that the </w:t>
      </w:r>
      <w:r w:rsidR="005E74E6">
        <w:t xml:space="preserve">NEGI </w:t>
      </w:r>
      <w:r w:rsidR="00FB387C">
        <w:t>"</w:t>
      </w:r>
      <w:r w:rsidR="005E74E6">
        <w:t xml:space="preserve">would result in a </w:t>
      </w:r>
      <w:r w:rsidR="00630E29">
        <w:t>material reduction of the reference tariff,</w:t>
      </w:r>
      <w:r w:rsidR="00FB387C">
        <w:t>"</w:t>
      </w:r>
      <w:r w:rsidR="00630E29">
        <w:t xml:space="preserve"> on the basis that:</w:t>
      </w:r>
    </w:p>
    <w:p w:rsidR="0002552A" w:rsidRDefault="00630E29" w:rsidP="0002552A">
      <w:pPr>
        <w:pStyle w:val="AERquote"/>
      </w:pPr>
      <w:r>
        <w:t>When the NEGI commences operation the AGP will effectively become three interrelated pipelines […] [which] will be interdependent in that changes to the flow regime (and hence pressure profile) of one may affect the capacity of another. However the aggregate capacity of the three pipelines, representing the new aggregate capacity of the AGP, will be materially increased […] in the order of 50% and will be contracted. The capacity increase will be realised with little if any cost to APTNT.</w:t>
      </w:r>
      <w:r w:rsidR="0002552A" w:rsidRPr="0002552A">
        <w:t xml:space="preserve"> </w:t>
      </w:r>
    </w:p>
    <w:p w:rsidR="0002552A" w:rsidRDefault="0002552A" w:rsidP="0002552A">
      <w:pPr>
        <w:pStyle w:val="AERquote"/>
      </w:pPr>
      <w:r>
        <w:t>[…]</w:t>
      </w:r>
    </w:p>
    <w:p w:rsidR="00C71F5D" w:rsidRDefault="0002552A" w:rsidP="0002552A">
      <w:pPr>
        <w:pStyle w:val="AERquote"/>
      </w:pPr>
      <w:r>
        <w:t>Contrary to APTNT's suggestion, this will lead to a material reduction of the Reference Tariff as it is presently calculated (that is, allowable revenue divided by forecast MDQ).</w:t>
      </w:r>
      <w:r w:rsidR="005E74E6">
        <w:rPr>
          <w:rStyle w:val="FootnoteReference"/>
        </w:rPr>
        <w:footnoteReference w:id="20"/>
      </w:r>
      <w:r w:rsidR="005E74E6">
        <w:t xml:space="preserve"> </w:t>
      </w:r>
    </w:p>
    <w:p w:rsidR="00322138" w:rsidRDefault="0002552A" w:rsidP="005A00D4">
      <w:r>
        <w:t>Similar arguments were made by Santos and AGL</w:t>
      </w:r>
      <w:r w:rsidR="00F20789">
        <w:t xml:space="preserve"> </w:t>
      </w:r>
      <w:r>
        <w:t xml:space="preserve">on APTNT's original access arrangement proposal, </w:t>
      </w:r>
      <w:r w:rsidR="00F20789">
        <w:t>discussed in our draft decision.</w:t>
      </w:r>
      <w:r w:rsidR="00F20789">
        <w:rPr>
          <w:rStyle w:val="FootnoteReference"/>
        </w:rPr>
        <w:footnoteReference w:id="21"/>
      </w:r>
      <w:r w:rsidR="00BC7F1B">
        <w:t xml:space="preserve"> PWC argued</w:t>
      </w:r>
      <w:r w:rsidR="00C303D1">
        <w:t xml:space="preserve"> further</w:t>
      </w:r>
      <w:r w:rsidR="00BC7F1B">
        <w:t>:</w:t>
      </w:r>
    </w:p>
    <w:p w:rsidR="00666857" w:rsidRDefault="006715DC" w:rsidP="006715DC">
      <w:pPr>
        <w:pStyle w:val="AERquote"/>
      </w:pPr>
      <w:r>
        <w:t xml:space="preserve">…there is currently no firm capacity available for contract in the AGP. Existing and prospective </w:t>
      </w:r>
      <w:r w:rsidR="0072439B">
        <w:t>third</w:t>
      </w:r>
      <w:r>
        <w:t xml:space="preserve"> party users of the AGP (</w:t>
      </w:r>
      <w:proofErr w:type="spellStart"/>
      <w:r>
        <w:t>ie</w:t>
      </w:r>
      <w:proofErr w:type="spellEnd"/>
      <w:r>
        <w:t>, other than PWC) have the following options available for transportation of gas:</w:t>
      </w:r>
    </w:p>
    <w:p w:rsidR="006715DC" w:rsidRDefault="006715DC" w:rsidP="006715DC">
      <w:pPr>
        <w:pStyle w:val="AERquoteindent1"/>
      </w:pPr>
      <w:proofErr w:type="spellStart"/>
      <w:r>
        <w:t>i</w:t>
      </w:r>
      <w:proofErr w:type="spellEnd"/>
      <w:r>
        <w:t xml:space="preserve">) </w:t>
      </w:r>
      <w:proofErr w:type="gramStart"/>
      <w:r>
        <w:t>purchase</w:t>
      </w:r>
      <w:proofErr w:type="gramEnd"/>
      <w:r>
        <w:t xml:space="preserve"> interruptible capacity from APTNT - PWC understands this is the service presently used by all third party users of the AGP, with the risk of interruption being low since PWC does not presently use all of its contracted capacity;</w:t>
      </w:r>
    </w:p>
    <w:p w:rsidR="006715DC" w:rsidRDefault="006715DC" w:rsidP="006715DC">
      <w:pPr>
        <w:pStyle w:val="AERquoteindent1"/>
      </w:pPr>
      <w:r>
        <w:t xml:space="preserve">ii) </w:t>
      </w:r>
      <w:proofErr w:type="gramStart"/>
      <w:r>
        <w:t>purchase</w:t>
      </w:r>
      <w:proofErr w:type="gramEnd"/>
      <w:r>
        <w:t xml:space="preserve"> firm capacity from PWC; or</w:t>
      </w:r>
    </w:p>
    <w:p w:rsidR="006715DC" w:rsidRDefault="006715DC" w:rsidP="006715DC">
      <w:pPr>
        <w:pStyle w:val="AERquoteindent1"/>
      </w:pPr>
      <w:r>
        <w:t xml:space="preserve">iii) </w:t>
      </w:r>
      <w:proofErr w:type="gramStart"/>
      <w:r>
        <w:t>purchase</w:t>
      </w:r>
      <w:proofErr w:type="gramEnd"/>
      <w:r>
        <w:t xml:space="preserve"> firm capacity from APTNT, in which case an expansion of the capacity of the AGP would need to be carried out - leading to a reduction in the average cost of using the AGP.</w:t>
      </w:r>
    </w:p>
    <w:p w:rsidR="006715DC" w:rsidRDefault="006715DC" w:rsidP="006715DC">
      <w:pPr>
        <w:pStyle w:val="AERquoteindent1"/>
      </w:pPr>
      <w:r>
        <w:t>[…]</w:t>
      </w:r>
    </w:p>
    <w:p w:rsidR="006715DC" w:rsidRDefault="006715DC" w:rsidP="006715DC">
      <w:pPr>
        <w:pStyle w:val="AERquoteindent1"/>
      </w:pPr>
      <w:r>
        <w:t>To date, all third party users of the AGP have accepted service on an interruptible basis. Logically the interruptible service should be a Referenc3e Service at a tariff that reflects the actual commercial arrangements.</w:t>
      </w:r>
      <w:r w:rsidR="00BC7F1B">
        <w:rPr>
          <w:rStyle w:val="FootnoteReference"/>
        </w:rPr>
        <w:footnoteReference w:id="22"/>
      </w:r>
      <w:r w:rsidR="00BC7F1B">
        <w:t xml:space="preserve"> </w:t>
      </w:r>
    </w:p>
    <w:p w:rsidR="00B426DB" w:rsidRDefault="00B426DB" w:rsidP="005A00D4">
      <w:r>
        <w:t>PWC stated it intends to increase its reservation of firm capacity in line with the capacity expansion, and will use it to transport its own gas to the NEGI and to transport third parties' gas on a firm basis.</w:t>
      </w:r>
      <w:r>
        <w:rPr>
          <w:rStyle w:val="FootnoteReference"/>
        </w:rPr>
        <w:footnoteReference w:id="23"/>
      </w:r>
    </w:p>
    <w:p w:rsidR="002D756E" w:rsidRDefault="004E7A3C" w:rsidP="00500006">
      <w:r>
        <w:t xml:space="preserve">We consider the trigger specified in our draft decision is the preferable alternative to </w:t>
      </w:r>
      <w:r w:rsidR="00C303D1">
        <w:t xml:space="preserve">that proposed by APTNT to </w:t>
      </w:r>
      <w:r>
        <w:t>deal with the possibility of interconnection. The approved access arrangement is drafted accordingly. We take this view because we consider</w:t>
      </w:r>
      <w:r w:rsidR="00500006">
        <w:t xml:space="preserve"> </w:t>
      </w:r>
      <w:r>
        <w:t xml:space="preserve">the impact of an interconnection is </w:t>
      </w:r>
      <w:r w:rsidR="00500006">
        <w:t>uncertain</w:t>
      </w:r>
      <w:r>
        <w:t xml:space="preserve"> in relation to both</w:t>
      </w:r>
      <w:r w:rsidR="00500006">
        <w:t>,</w:t>
      </w:r>
      <w:r>
        <w:t xml:space="preserve"> the types of services that may be demanded</w:t>
      </w:r>
      <w:r w:rsidR="00500006">
        <w:t>,</w:t>
      </w:r>
      <w:r>
        <w:t xml:space="preserve"> and the volumes of gas </w:t>
      </w:r>
      <w:r w:rsidR="00500006">
        <w:t>that may be transported</w:t>
      </w:r>
      <w:r w:rsidR="002D756E">
        <w:t xml:space="preserve">.  </w:t>
      </w:r>
    </w:p>
    <w:p w:rsidR="00305611" w:rsidRDefault="002D756E" w:rsidP="00305611">
      <w:r>
        <w:t>APTNT's submission, that volume and direction of flow are irrelevant, addresses only the impact of those factors on the reference services and reference tariffs as currently defined. It does not address how potential changes in volume and direction, in combination with changes in the types of services sought by the market, might impact on what services should be defined as reference services</w:t>
      </w:r>
      <w:r w:rsidR="00305611">
        <w:t xml:space="preserve"> and what the associated reference tariffs should be.  </w:t>
      </w:r>
    </w:p>
    <w:p w:rsidR="00AC0182" w:rsidRDefault="00CD58CC" w:rsidP="00500006">
      <w:r>
        <w:t xml:space="preserve">To illustrate, the amount of unutilised capacity might increase due to interconnection, as suggested by PWC, albeit that it may be fully contracted. The demand for transportation services might also increase, whether to access the newly connected eastern gas market or otherwise. With the firm service taken entirely by PWC, the market might seek to move increased volumes through interruptible services or other negotiated services that are not currently reference services. This </w:t>
      </w:r>
      <w:r w:rsidR="00305611">
        <w:t xml:space="preserve">may have implications for these and other elements of the access arrangement which cannot be forecast at this time.  </w:t>
      </w:r>
    </w:p>
    <w:p w:rsidR="0085143D" w:rsidRDefault="0085143D" w:rsidP="00500006">
      <w:r>
        <w:t>We acknowledge it would be undesirable to bring on an early review</w:t>
      </w:r>
      <w:r w:rsidR="00E4469F">
        <w:t xml:space="preserve"> where the arrangements or tariffs under an access arrangement are unlikely to change.</w:t>
      </w:r>
      <w:r w:rsidR="00E4469F">
        <w:rPr>
          <w:rStyle w:val="FootnoteReference"/>
        </w:rPr>
        <w:footnoteReference w:id="24"/>
      </w:r>
      <w:r w:rsidR="00E4469F">
        <w:t xml:space="preserve"> We address this below in considering the process for determining whether a trigger event has occurred.</w:t>
      </w:r>
    </w:p>
    <w:p w:rsidR="00B1564D" w:rsidRDefault="00B1564D" w:rsidP="00B1564D">
      <w:pPr>
        <w:pStyle w:val="Heading3"/>
        <w:numPr>
          <w:ilvl w:val="0"/>
          <w:numId w:val="0"/>
        </w:numPr>
        <w:ind w:left="720" w:hanging="720"/>
      </w:pPr>
      <w:bookmarkStart w:id="25" w:name="_Toc451530467"/>
      <w:r>
        <w:t>Review process</w:t>
      </w:r>
      <w:bookmarkEnd w:id="25"/>
    </w:p>
    <w:p w:rsidR="006D0AD9" w:rsidRDefault="006D0AD9" w:rsidP="00586FD2">
      <w:r>
        <w:t xml:space="preserve">The review clause in our draft decision would be activated by us giving written notice that one of the trigger events has occurred. In response, APTNT submitted we should consult with it and any other party we consider appropriate before determining that a trigger event has occurred. </w:t>
      </w:r>
      <w:r w:rsidR="009876B8">
        <w:t xml:space="preserve">Its revised access arrangement proposal provides: </w:t>
      </w:r>
    </w:p>
    <w:p w:rsidR="009876B8" w:rsidRDefault="009876B8" w:rsidP="009876B8">
      <w:pPr>
        <w:pStyle w:val="AERquote"/>
      </w:pPr>
      <w:r>
        <w:t>The AER will consult with the Service Provider and other relevant parties in determining whether [a trigger event] has occurred.</w:t>
      </w:r>
    </w:p>
    <w:p w:rsidR="009876B8" w:rsidRDefault="009876B8" w:rsidP="00586FD2">
      <w:r>
        <w:t>This proposed addition reflects how we would approach a possible trigger event, and we have no concerns about including it in the access arrangement, with a minor change for clarity. Our approved access arrangement provides:</w:t>
      </w:r>
    </w:p>
    <w:p w:rsidR="009876B8" w:rsidRDefault="009876B8" w:rsidP="009876B8">
      <w:pPr>
        <w:pStyle w:val="AERquote"/>
      </w:pPr>
      <w:r>
        <w:t>The AER will consult with the Service Provider and such other parties as the AER considers appropriate in determining whether [a trigger event] has occurred.</w:t>
      </w:r>
    </w:p>
    <w:p w:rsidR="00B55621" w:rsidRDefault="00B55621" w:rsidP="00586FD2">
      <w:r>
        <w:t>APTNT also proposed an amendment to the effect that, should the acceleration clause be activated, the review submission date will be advanced to a date no earlier than six months after the date of any notice issued under Rule 51. APTNT expressed concern that we envisage a limited review addressing only the factors that caused the trigger mechanism to be activated</w:t>
      </w:r>
      <w:r w:rsidR="005E101F">
        <w:t>,</w:t>
      </w:r>
      <w:r>
        <w:rPr>
          <w:rStyle w:val="FootnoteReference"/>
        </w:rPr>
        <w:footnoteReference w:id="25"/>
      </w:r>
      <w:r>
        <w:t xml:space="preserve"> </w:t>
      </w:r>
      <w:r w:rsidR="005E101F">
        <w:t xml:space="preserve">and proposed the six month period to ensure a reasonable period to prepare a full access arrangement proposal.  </w:t>
      </w:r>
    </w:p>
    <w:p w:rsidR="005E101F" w:rsidRPr="00586FD2" w:rsidRDefault="005E101F" w:rsidP="00586FD2">
      <w:r>
        <w:t>We agree that the acceleration clause triggers a review of the full access arrangement and not merely the factors prompting the early review. However</w:t>
      </w:r>
      <w:r w:rsidR="00DE1612">
        <w:t>,</w:t>
      </w:r>
      <w:r>
        <w:t xml:space="preserve"> we consider the process and timeframe </w:t>
      </w:r>
      <w:r w:rsidR="00AF55FA">
        <w:t xml:space="preserve">allowed for APTNT to prepare for </w:t>
      </w:r>
      <w:r>
        <w:t xml:space="preserve">a review under clause 1.6 </w:t>
      </w:r>
      <w:r w:rsidR="00DE1612">
        <w:t xml:space="preserve">are </w:t>
      </w:r>
      <w:r>
        <w:t>most appropriately determined when a trigger event occurs and</w:t>
      </w:r>
      <w:r w:rsidR="00DE1612">
        <w:t>,</w:t>
      </w:r>
      <w:r>
        <w:t xml:space="preserve"> accordingly</w:t>
      </w:r>
      <w:r w:rsidR="00DE1612">
        <w:t>,</w:t>
      </w:r>
      <w:r>
        <w:t xml:space="preserve"> we do not accept APTNT's proposal to fix a period before which </w:t>
      </w:r>
      <w:r w:rsidR="00BF0813">
        <w:t>the review submission date may not be advanced.</w:t>
      </w:r>
      <w:r>
        <w:t xml:space="preserve"> </w:t>
      </w:r>
    </w:p>
    <w:p w:rsidR="00391042" w:rsidRPr="00391042" w:rsidRDefault="00B432BF" w:rsidP="00E54DC8">
      <w:pPr>
        <w:pStyle w:val="Heading2"/>
        <w:keepNext/>
        <w:ind w:left="578" w:hanging="578"/>
      </w:pPr>
      <w:bookmarkStart w:id="26" w:name="_Toc451530468"/>
      <w:r>
        <w:t>Other non-tariff components</w:t>
      </w:r>
      <w:bookmarkEnd w:id="26"/>
    </w:p>
    <w:p w:rsidR="00324147" w:rsidRDefault="00391042" w:rsidP="00324147">
      <w:r>
        <w:t>APTNT's revised proposal restated without revision its original proposals on the following non-tariff components:</w:t>
      </w:r>
    </w:p>
    <w:p w:rsidR="00391042" w:rsidRPr="00391042" w:rsidRDefault="00391042" w:rsidP="00391042">
      <w:pPr>
        <w:pStyle w:val="AERbulletlistfirststyle"/>
      </w:pPr>
      <w:r w:rsidRPr="00391042">
        <w:t>queuing</w:t>
      </w:r>
      <w:r>
        <w:t xml:space="preserve"> requirements</w:t>
      </w:r>
      <w:r w:rsidRPr="00391042">
        <w:t xml:space="preserve"> </w:t>
      </w:r>
    </w:p>
    <w:p w:rsidR="00391042" w:rsidRPr="00391042" w:rsidRDefault="00391042" w:rsidP="00391042">
      <w:pPr>
        <w:pStyle w:val="AERbulletlistfirststyle"/>
      </w:pPr>
      <w:r w:rsidRPr="00391042">
        <w:t>exten</w:t>
      </w:r>
      <w:r w:rsidR="00B1564D">
        <w:t>sion and expansion requirements</w:t>
      </w:r>
      <w:r w:rsidR="001425E4">
        <w:rPr>
          <w:rStyle w:val="FootnoteReference"/>
        </w:rPr>
        <w:footnoteReference w:id="26"/>
      </w:r>
    </w:p>
    <w:p w:rsidR="00391042" w:rsidRPr="00391042" w:rsidRDefault="00391042" w:rsidP="00391042">
      <w:pPr>
        <w:pStyle w:val="AERbulletlistfirststyle"/>
      </w:pPr>
      <w:r w:rsidRPr="00391042">
        <w:t xml:space="preserve">capacity trading requirements </w:t>
      </w:r>
    </w:p>
    <w:p w:rsidR="00391042" w:rsidRPr="00391042" w:rsidRDefault="00391042" w:rsidP="00391042">
      <w:pPr>
        <w:pStyle w:val="AERbulletlistfirststyle"/>
      </w:pPr>
      <w:proofErr w:type="gramStart"/>
      <w:r w:rsidRPr="00391042">
        <w:t>changing</w:t>
      </w:r>
      <w:proofErr w:type="gramEnd"/>
      <w:r w:rsidRPr="00391042">
        <w:t xml:space="preserve"> receipt and delivery points</w:t>
      </w:r>
      <w:r>
        <w:t>.</w:t>
      </w:r>
    </w:p>
    <w:p w:rsidR="00391042" w:rsidRDefault="00391042" w:rsidP="00324147">
      <w:r>
        <w:t>Our draft decision approved APTNT's proposals on each of these components. Our assessment approach is set out in Attachment 12 of our draft decision, and we have used the same approach in this final submission.</w:t>
      </w:r>
    </w:p>
    <w:p w:rsidR="00391042" w:rsidRPr="00546678" w:rsidRDefault="00391042" w:rsidP="00324147">
      <w:r>
        <w:t>We did not receive any submissions from stakeholders on APTNT's proposals on these components, and</w:t>
      </w:r>
      <w:r w:rsidR="006D0311">
        <w:t>,</w:t>
      </w:r>
      <w:r>
        <w:t xml:space="preserve"> </w:t>
      </w:r>
      <w:r w:rsidR="006D0311">
        <w:t>for the reasons set out in our draft decision, we maintain our decision to approve these components in this final decision.</w:t>
      </w:r>
    </w:p>
    <w:p w:rsidR="00A2303E" w:rsidRDefault="00A2303E" w:rsidP="00ED749E">
      <w:pPr>
        <w:pStyle w:val="Heading2"/>
        <w:numPr>
          <w:ilvl w:val="0"/>
          <w:numId w:val="0"/>
        </w:numPr>
        <w:ind w:left="576" w:hanging="576"/>
      </w:pPr>
    </w:p>
    <w:sectPr w:rsidR="00A2303E"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EB3" w:rsidRPr="00290C63" w:rsidRDefault="00184EB3" w:rsidP="00290C63">
      <w:r>
        <w:separator/>
      </w:r>
    </w:p>
    <w:p w:rsidR="00184EB3" w:rsidRDefault="00184EB3"/>
  </w:endnote>
  <w:endnote w:type="continuationSeparator" w:id="0">
    <w:p w:rsidR="00184EB3" w:rsidRPr="00290C63" w:rsidRDefault="00184EB3" w:rsidP="00290C63">
      <w:r>
        <w:continuationSeparator/>
      </w:r>
    </w:p>
    <w:p w:rsidR="00184EB3" w:rsidRDefault="00184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B3" w:rsidRDefault="00184EB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184EB3" w:rsidRDefault="00184EB3">
    <w:pPr>
      <w:pStyle w:val="Footer"/>
    </w:pPr>
  </w:p>
  <w:p w:rsidR="00184EB3" w:rsidRDefault="00184EB3">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184EB3" w:rsidRPr="00CA52A2" w:rsidRDefault="00184EB3" w:rsidP="00CA52A2">
        <w:pPr>
          <w:pStyle w:val="Footer"/>
        </w:pPr>
        <w:r w:rsidRPr="00CA52A2">
          <w:fldChar w:fldCharType="begin"/>
        </w:r>
        <w:r>
          <w:instrText xml:space="preserve"> PAGE   \* MERGEFORMAT </w:instrText>
        </w:r>
        <w:r w:rsidRPr="00CA52A2">
          <w:fldChar w:fldCharType="separate"/>
        </w:r>
        <w:r w:rsidR="00190F3D">
          <w:rPr>
            <w:noProof/>
          </w:rPr>
          <w:t>12-7</w:t>
        </w:r>
        <w:r w:rsidRPr="00CA52A2">
          <w:fldChar w:fldCharType="end"/>
        </w:r>
        <w:r w:rsidRPr="00CA52A2">
          <w:t xml:space="preserve">          Attachment </w:t>
        </w:r>
        <w:r>
          <w:t xml:space="preserve">12 </w:t>
        </w:r>
        <w:r w:rsidRPr="00CA52A2">
          <w:t xml:space="preserve">– </w:t>
        </w:r>
        <w:r>
          <w:t xml:space="preserve">Non-tariff components </w:t>
        </w:r>
        <w:r w:rsidRPr="00CA52A2">
          <w:t xml:space="preserve">| </w:t>
        </w:r>
        <w:r>
          <w:t>Final decision: Amadeus Gas Pipeline Access Arrangement 2016</w:t>
        </w:r>
        <w:r w:rsidRPr="00CA52A2">
          <w:t>–</w:t>
        </w:r>
        <w:r>
          <w:t>21</w:t>
        </w:r>
      </w:p>
    </w:sdtContent>
  </w:sdt>
  <w:p w:rsidR="00184EB3" w:rsidRDefault="00184EB3">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EB3" w:rsidRPr="00290C63" w:rsidRDefault="00184EB3" w:rsidP="00290C63">
      <w:r>
        <w:separator/>
      </w:r>
    </w:p>
    <w:p w:rsidR="00184EB3" w:rsidRDefault="00184EB3"/>
  </w:footnote>
  <w:footnote w:type="continuationSeparator" w:id="0">
    <w:p w:rsidR="00184EB3" w:rsidRPr="00290C63" w:rsidRDefault="00184EB3" w:rsidP="00290C63">
      <w:r>
        <w:continuationSeparator/>
      </w:r>
    </w:p>
    <w:p w:rsidR="00184EB3" w:rsidRDefault="00184EB3"/>
  </w:footnote>
  <w:footnote w:id="1">
    <w:p w:rsidR="00184EB3" w:rsidRDefault="00184EB3">
      <w:pPr>
        <w:pStyle w:val="FootnoteText"/>
      </w:pPr>
      <w:r>
        <w:rPr>
          <w:rStyle w:val="FootnoteReference"/>
        </w:rPr>
        <w:footnoteRef/>
      </w:r>
      <w:r>
        <w:t xml:space="preserve"> </w:t>
      </w:r>
      <w:r>
        <w:tab/>
        <w:t>NGR, r. 48(1</w:t>
      </w:r>
      <w:proofErr w:type="gramStart"/>
      <w:r>
        <w:t>)(</w:t>
      </w:r>
      <w:proofErr w:type="gramEnd"/>
      <w:r>
        <w:t>d)(ii).</w:t>
      </w:r>
    </w:p>
  </w:footnote>
  <w:footnote w:id="2">
    <w:p w:rsidR="00184EB3" w:rsidRDefault="00184EB3">
      <w:pPr>
        <w:pStyle w:val="FootnoteText"/>
      </w:pPr>
      <w:r>
        <w:rPr>
          <w:rStyle w:val="FootnoteReference"/>
        </w:rPr>
        <w:footnoteRef/>
      </w:r>
      <w:r>
        <w:t xml:space="preserve"> </w:t>
      </w:r>
      <w:r>
        <w:tab/>
        <w:t>With the exception that a service provider must comply with the queuing requirements in an applicable access arrangement: NGL, ss. 135 and 322.</w:t>
      </w:r>
    </w:p>
  </w:footnote>
  <w:footnote w:id="3">
    <w:p w:rsidR="00184EB3" w:rsidRDefault="00184EB3">
      <w:pPr>
        <w:pStyle w:val="FootnoteText"/>
      </w:pPr>
      <w:r>
        <w:rPr>
          <w:rStyle w:val="FootnoteReference"/>
        </w:rPr>
        <w:footnoteRef/>
      </w:r>
      <w:r>
        <w:t xml:space="preserve"> </w:t>
      </w:r>
      <w:r>
        <w:tab/>
      </w:r>
      <w:proofErr w:type="gramStart"/>
      <w:r>
        <w:t>NGL, s. 189.</w:t>
      </w:r>
      <w:proofErr w:type="gramEnd"/>
    </w:p>
  </w:footnote>
  <w:footnote w:id="4">
    <w:p w:rsidR="00184EB3" w:rsidRDefault="00184EB3">
      <w:pPr>
        <w:pStyle w:val="FootnoteText"/>
      </w:pPr>
      <w:r>
        <w:rPr>
          <w:rStyle w:val="FootnoteReference"/>
        </w:rPr>
        <w:footnoteRef/>
      </w:r>
      <w:r>
        <w:t xml:space="preserve"> </w:t>
      </w:r>
      <w:r>
        <w:tab/>
        <w:t xml:space="preserve">AER, </w:t>
      </w:r>
      <w:r w:rsidRPr="00812B2E">
        <w:rPr>
          <w:rStyle w:val="AERtextitalic"/>
        </w:rPr>
        <w:t>Draft Decision, Amadeus Gas Pipeline Access Arrangement 2016 - 2021, Attachment 12 - Non-tariff components</w:t>
      </w:r>
      <w:r w:rsidR="00360A18">
        <w:t>, November 2015, pp. 12-28 –</w:t>
      </w:r>
      <w:r>
        <w:t xml:space="preserve"> 12-30.</w:t>
      </w:r>
    </w:p>
  </w:footnote>
  <w:footnote w:id="5">
    <w:p w:rsidR="00184EB3" w:rsidRDefault="00184EB3">
      <w:pPr>
        <w:pStyle w:val="FootnoteText"/>
      </w:pPr>
      <w:r>
        <w:rPr>
          <w:rStyle w:val="FootnoteReference"/>
        </w:rPr>
        <w:footnoteRef/>
      </w:r>
      <w:r>
        <w:t xml:space="preserve"> </w:t>
      </w:r>
      <w:r>
        <w:tab/>
        <w:t xml:space="preserve">APA Group, </w:t>
      </w:r>
      <w:r w:rsidRPr="00812B2E">
        <w:rPr>
          <w:rStyle w:val="AERtextitalic"/>
        </w:rPr>
        <w:t>Access Arrangement for the Amadeus Gas Pipeline 1 July 2016 to 30 June 2021</w:t>
      </w:r>
      <w:r>
        <w:t>, January 2016, Schedule 3.</w:t>
      </w:r>
    </w:p>
  </w:footnote>
  <w:footnote w:id="6">
    <w:p w:rsidR="00984F67" w:rsidRDefault="00984F67">
      <w:pPr>
        <w:pStyle w:val="FootnoteText"/>
      </w:pPr>
      <w:r>
        <w:rPr>
          <w:rStyle w:val="FootnoteReference"/>
        </w:rPr>
        <w:footnoteRef/>
      </w:r>
      <w:r>
        <w:t xml:space="preserve"> </w:t>
      </w:r>
      <w:r>
        <w:tab/>
        <w:t xml:space="preserve">The references in this table are to </w:t>
      </w:r>
      <w:r w:rsidRPr="00984F67">
        <w:t xml:space="preserve">APA Group, </w:t>
      </w:r>
      <w:r w:rsidRPr="00984F67">
        <w:rPr>
          <w:i/>
        </w:rPr>
        <w:t>Access Arrangement for the Amadeus Gas Pipeline 1 July 2016 to 30 June 2021</w:t>
      </w:r>
      <w:r w:rsidRPr="00984F67">
        <w:t xml:space="preserve">, January 2016, </w:t>
      </w:r>
      <w:proofErr w:type="gramStart"/>
      <w:r w:rsidRPr="00984F67">
        <w:t>Schedule</w:t>
      </w:r>
      <w:proofErr w:type="gramEnd"/>
      <w:r w:rsidRPr="00984F67">
        <w:t xml:space="preserve"> 3</w:t>
      </w:r>
      <w:r>
        <w:t>.</w:t>
      </w:r>
    </w:p>
  </w:footnote>
  <w:footnote w:id="7">
    <w:p w:rsidR="00184EB3" w:rsidRDefault="00184EB3">
      <w:pPr>
        <w:pStyle w:val="FootnoteText"/>
      </w:pPr>
      <w:r>
        <w:rPr>
          <w:rStyle w:val="FootnoteReference"/>
        </w:rPr>
        <w:footnoteRef/>
      </w:r>
      <w:r>
        <w:t xml:space="preserve"> </w:t>
      </w:r>
      <w:r>
        <w:tab/>
        <w:t xml:space="preserve">NGR, </w:t>
      </w:r>
      <w:proofErr w:type="spellStart"/>
      <w:proofErr w:type="gramStart"/>
      <w:r>
        <w:t>r</w:t>
      </w:r>
      <w:r w:rsidR="00360A18">
        <w:t>r</w:t>
      </w:r>
      <w:proofErr w:type="spellEnd"/>
      <w:proofErr w:type="gramEnd"/>
      <w:r>
        <w:t xml:space="preserve">. </w:t>
      </w:r>
      <w:proofErr w:type="gramStart"/>
      <w:r>
        <w:t>100; 40(3).</w:t>
      </w:r>
      <w:proofErr w:type="gramEnd"/>
      <w:r>
        <w:t xml:space="preserve"> 'Procedures' are described in NGR Part 15B.</w:t>
      </w:r>
    </w:p>
  </w:footnote>
  <w:footnote w:id="8">
    <w:p w:rsidR="00184EB3" w:rsidRDefault="00184EB3">
      <w:pPr>
        <w:pStyle w:val="FootnoteText"/>
      </w:pPr>
      <w:r>
        <w:rPr>
          <w:rStyle w:val="FootnoteReference"/>
        </w:rPr>
        <w:footnoteRef/>
      </w:r>
      <w:r>
        <w:t xml:space="preserve"> </w:t>
      </w:r>
      <w:r>
        <w:tab/>
      </w:r>
      <w:r w:rsidRPr="00EC181B">
        <w:t xml:space="preserve">AER, </w:t>
      </w:r>
      <w:r w:rsidRPr="00812B2E">
        <w:rPr>
          <w:rStyle w:val="AERtextitalic"/>
        </w:rPr>
        <w:t>Draft Decision, Amadeus Gas Pipeline Access Arrangement 2016 - 2021, Attachment 12 - Non-tariff components</w:t>
      </w:r>
      <w:r w:rsidRPr="00EC181B">
        <w:t>, November 2015</w:t>
      </w:r>
      <w:r>
        <w:t>, p. 12-8.</w:t>
      </w:r>
    </w:p>
  </w:footnote>
  <w:footnote w:id="9">
    <w:p w:rsidR="00184EB3" w:rsidRDefault="00184EB3">
      <w:pPr>
        <w:pStyle w:val="FootnoteText"/>
      </w:pPr>
      <w:r>
        <w:rPr>
          <w:rStyle w:val="FootnoteReference"/>
        </w:rPr>
        <w:footnoteRef/>
      </w:r>
      <w:r>
        <w:t xml:space="preserve"> </w:t>
      </w:r>
      <w:r>
        <w:tab/>
        <w:t xml:space="preserve">APA Group, </w:t>
      </w:r>
      <w:r w:rsidRPr="00812B2E">
        <w:rPr>
          <w:rStyle w:val="AERtextitalic"/>
        </w:rPr>
        <w:t>Amadeus Gas Pipeline - Access Arrangement Revised Proposal Response to Draft Decision - Submission</w:t>
      </w:r>
      <w:r>
        <w:t>, January 2016, pp. 21</w:t>
      </w:r>
      <w:r w:rsidR="00360A18">
        <w:t>–</w:t>
      </w:r>
      <w:r>
        <w:t>22.</w:t>
      </w:r>
    </w:p>
  </w:footnote>
  <w:footnote w:id="10">
    <w:p w:rsidR="00184EB3" w:rsidRDefault="00184EB3">
      <w:pPr>
        <w:pStyle w:val="FootnoteText"/>
      </w:pPr>
      <w:r>
        <w:rPr>
          <w:rStyle w:val="FootnoteReference"/>
        </w:rPr>
        <w:footnoteRef/>
      </w:r>
      <w:r>
        <w:t xml:space="preserve"> </w:t>
      </w:r>
      <w:r>
        <w:tab/>
      </w:r>
      <w:r w:rsidR="008C1366">
        <w:t>For example,</w:t>
      </w:r>
      <w:r>
        <w:t xml:space="preserve"> </w:t>
      </w:r>
      <w:r w:rsidR="008C1366">
        <w:t xml:space="preserve">APT Petroleum Pipelines Pty Limited, </w:t>
      </w:r>
      <w:r w:rsidR="008C1366" w:rsidRPr="00E54DC8">
        <w:rPr>
          <w:i/>
        </w:rPr>
        <w:t>Access Arrangement effective 1 September 2012 – 30 June 2017</w:t>
      </w:r>
      <w:r w:rsidR="008C1366">
        <w:t xml:space="preserve"> (</w:t>
      </w:r>
      <w:r w:rsidRPr="00812B2E">
        <w:rPr>
          <w:rStyle w:val="AERtextitalic"/>
        </w:rPr>
        <w:t>Roma to Brisbane Pipeline Access Arrangement</w:t>
      </w:r>
      <w:r w:rsidR="008C1366">
        <w:rPr>
          <w:rStyle w:val="AERtextitalic"/>
        </w:rPr>
        <w:t>)</w:t>
      </w:r>
      <w:r>
        <w:t>, Schedule 3, Terms and Conditions</w:t>
      </w:r>
      <w:r w:rsidR="008C1366">
        <w:t xml:space="preserve"> applying to the Firm Service</w:t>
      </w:r>
      <w:r>
        <w:t>, cl. 88.</w:t>
      </w:r>
    </w:p>
  </w:footnote>
  <w:footnote w:id="11">
    <w:p w:rsidR="00184EB3" w:rsidRDefault="00184EB3">
      <w:pPr>
        <w:pStyle w:val="FootnoteText"/>
      </w:pPr>
      <w:r>
        <w:rPr>
          <w:rStyle w:val="FootnoteReference"/>
        </w:rPr>
        <w:footnoteRef/>
      </w:r>
      <w:r>
        <w:t xml:space="preserve"> </w:t>
      </w:r>
      <w:r>
        <w:tab/>
      </w:r>
      <w:r w:rsidRPr="000D61DA">
        <w:t xml:space="preserve">APA </w:t>
      </w:r>
      <w:r w:rsidRPr="00812B2E">
        <w:rPr>
          <w:rStyle w:val="AERtextitalic"/>
        </w:rPr>
        <w:t>Group, Access Arrangement for the Amadeus Gas Pipeline 1 July 2016 to 30 June 2021</w:t>
      </w:r>
      <w:r>
        <w:t>, January 2016, Schedule 3, cl. 79.</w:t>
      </w:r>
    </w:p>
  </w:footnote>
  <w:footnote w:id="12">
    <w:p w:rsidR="00184EB3" w:rsidRDefault="00184EB3">
      <w:pPr>
        <w:pStyle w:val="FootnoteText"/>
      </w:pPr>
      <w:r>
        <w:rPr>
          <w:rStyle w:val="FootnoteReference"/>
        </w:rPr>
        <w:footnoteRef/>
      </w:r>
      <w:r>
        <w:tab/>
      </w:r>
      <w:r w:rsidRPr="00184EB3">
        <w:t xml:space="preserve">AER, </w:t>
      </w:r>
      <w:r w:rsidRPr="00812B2E">
        <w:rPr>
          <w:rStyle w:val="AERtextitalic"/>
        </w:rPr>
        <w:t>Draft Decision, Amadeus Gas Pipeline Access Arrangement 2016 - 2021, Attachment 12 - Non-tariff components</w:t>
      </w:r>
      <w:r w:rsidRPr="00184EB3">
        <w:t>, November 2015</w:t>
      </w:r>
      <w:r>
        <w:t>, p. 12-12.</w:t>
      </w:r>
    </w:p>
  </w:footnote>
  <w:footnote w:id="13">
    <w:p w:rsidR="00184EB3" w:rsidRDefault="00184EB3">
      <w:pPr>
        <w:pStyle w:val="FootnoteText"/>
      </w:pPr>
      <w:r>
        <w:rPr>
          <w:rStyle w:val="FootnoteReference"/>
        </w:rPr>
        <w:footnoteRef/>
      </w:r>
      <w:r>
        <w:t xml:space="preserve"> </w:t>
      </w:r>
      <w:r w:rsidR="00B069E2">
        <w:tab/>
      </w:r>
      <w:r w:rsidR="00B069E2" w:rsidRPr="00B069E2">
        <w:t xml:space="preserve">APA Group, </w:t>
      </w:r>
      <w:r w:rsidR="00B069E2" w:rsidRPr="00812B2E">
        <w:rPr>
          <w:rStyle w:val="AERtextitalic"/>
        </w:rPr>
        <w:t>Amadeus Gas Pipeline - Access Arrangement Revised Proposal Response to Draft Decision - Submission</w:t>
      </w:r>
      <w:r w:rsidR="00B069E2" w:rsidRPr="00B069E2">
        <w:t xml:space="preserve">, January 2016, </w:t>
      </w:r>
      <w:r>
        <w:t>pp. 22</w:t>
      </w:r>
      <w:r w:rsidR="00360A18">
        <w:t>–</w:t>
      </w:r>
      <w:r>
        <w:t>23.</w:t>
      </w:r>
    </w:p>
  </w:footnote>
  <w:footnote w:id="14">
    <w:p w:rsidR="00184EB3" w:rsidRDefault="00184EB3">
      <w:pPr>
        <w:pStyle w:val="FootnoteText"/>
      </w:pPr>
      <w:r>
        <w:rPr>
          <w:rStyle w:val="FootnoteReference"/>
        </w:rPr>
        <w:footnoteRef/>
      </w:r>
      <w:r>
        <w:t xml:space="preserve"> </w:t>
      </w:r>
      <w:r>
        <w:tab/>
        <w:t>The Access Arrangement provides for terms of three years or such longer period as the user elects</w:t>
      </w:r>
      <w:r w:rsidR="00825D2C">
        <w:t>.</w:t>
      </w:r>
      <w:r>
        <w:t xml:space="preserve"> </w:t>
      </w:r>
      <w:r w:rsidR="00B069E2" w:rsidRPr="00B069E2">
        <w:t xml:space="preserve">APA Group, </w:t>
      </w:r>
      <w:r w:rsidR="00B069E2" w:rsidRPr="00812B2E">
        <w:rPr>
          <w:rStyle w:val="AERtextitalic"/>
        </w:rPr>
        <w:t>Access Arrangement for the Amadeus Gas Pipeline 1 July 2016 to 30 June 2021</w:t>
      </w:r>
      <w:r w:rsidR="00B069E2" w:rsidRPr="00B069E2">
        <w:t xml:space="preserve">, January 2016, </w:t>
      </w:r>
      <w:r w:rsidR="00B069E2">
        <w:t xml:space="preserve">Schedule 3, </w:t>
      </w:r>
      <w:r>
        <w:t>cl. 2.3.3.</w:t>
      </w:r>
    </w:p>
  </w:footnote>
  <w:footnote w:id="15">
    <w:p w:rsidR="00184EB3" w:rsidRDefault="00184EB3" w:rsidP="005E038C">
      <w:pPr>
        <w:pStyle w:val="FootnoteText"/>
      </w:pPr>
      <w:r>
        <w:rPr>
          <w:rStyle w:val="FootnoteReference"/>
        </w:rPr>
        <w:footnoteRef/>
      </w:r>
      <w:r>
        <w:t xml:space="preserve"> </w:t>
      </w:r>
      <w:r>
        <w:tab/>
      </w:r>
      <w:r w:rsidRPr="00184EB3">
        <w:t xml:space="preserve">AER, </w:t>
      </w:r>
      <w:r w:rsidRPr="00812B2E">
        <w:rPr>
          <w:rStyle w:val="AERtextitalic"/>
        </w:rPr>
        <w:t>Draft Decision, Amadeus Gas Pipeline Access Arrangement 2016 - 2021, Attachment 12 - Non-tariff components</w:t>
      </w:r>
      <w:r w:rsidRPr="00184EB3">
        <w:t>, November 2015</w:t>
      </w:r>
      <w:r>
        <w:t>, p. 12-23.</w:t>
      </w:r>
    </w:p>
  </w:footnote>
  <w:footnote w:id="16">
    <w:p w:rsidR="00184EB3" w:rsidRDefault="00184EB3">
      <w:pPr>
        <w:pStyle w:val="FootnoteText"/>
      </w:pPr>
      <w:r>
        <w:rPr>
          <w:rStyle w:val="FootnoteReference"/>
        </w:rPr>
        <w:footnoteRef/>
      </w:r>
      <w:r>
        <w:t xml:space="preserve"> </w:t>
      </w:r>
      <w:r>
        <w:tab/>
      </w:r>
      <w:r w:rsidRPr="00184EB3">
        <w:t xml:space="preserve">AER, </w:t>
      </w:r>
      <w:r w:rsidRPr="00812B2E">
        <w:rPr>
          <w:rStyle w:val="AERtextitalic"/>
        </w:rPr>
        <w:t>Draft Decision, Amadeus Gas Pipeline Access Arrangement 2016 - 2021, Attachment 12 - Non-tariff components</w:t>
      </w:r>
      <w:r w:rsidRPr="00184EB3">
        <w:t>, November 2015</w:t>
      </w:r>
      <w:r>
        <w:t xml:space="preserve">, pp. 12-18 to 12-28.  </w:t>
      </w:r>
    </w:p>
  </w:footnote>
  <w:footnote w:id="17">
    <w:p w:rsidR="00184EB3" w:rsidRDefault="00184EB3">
      <w:pPr>
        <w:pStyle w:val="FootnoteText"/>
      </w:pPr>
      <w:r>
        <w:rPr>
          <w:rStyle w:val="FootnoteReference"/>
        </w:rPr>
        <w:footnoteRef/>
      </w:r>
      <w:r>
        <w:t xml:space="preserve"> </w:t>
      </w:r>
      <w:r>
        <w:tab/>
      </w:r>
      <w:r w:rsidRPr="00184EB3">
        <w:t xml:space="preserve">AER, </w:t>
      </w:r>
      <w:r w:rsidRPr="00812B2E">
        <w:rPr>
          <w:rStyle w:val="AERtextitalic"/>
        </w:rPr>
        <w:t>Draft Decision, Amadeus Gas Pipeline Access Arrangement 2016 - 2021, Attachment 12 - Non-tariff components</w:t>
      </w:r>
      <w:r w:rsidRPr="00184EB3">
        <w:t>, November 2015</w:t>
      </w:r>
      <w:r>
        <w:t>, pp. 25</w:t>
      </w:r>
      <w:r w:rsidR="00360A18">
        <w:t>–</w:t>
      </w:r>
      <w:r>
        <w:t>26.</w:t>
      </w:r>
    </w:p>
  </w:footnote>
  <w:footnote w:id="18">
    <w:p w:rsidR="00184EB3" w:rsidRDefault="00184EB3">
      <w:pPr>
        <w:pStyle w:val="FootnoteText"/>
      </w:pPr>
      <w:r>
        <w:rPr>
          <w:rStyle w:val="FootnoteReference"/>
        </w:rPr>
        <w:footnoteRef/>
      </w:r>
      <w:r>
        <w:t xml:space="preserve"> </w:t>
      </w:r>
      <w:r>
        <w:tab/>
      </w:r>
      <w:r w:rsidR="00B069E2" w:rsidRPr="00B069E2">
        <w:t xml:space="preserve">APA Group, </w:t>
      </w:r>
      <w:r w:rsidR="00B069E2" w:rsidRPr="00812B2E">
        <w:rPr>
          <w:rStyle w:val="AERtextitalic"/>
        </w:rPr>
        <w:t>Access Arrangement for the Amadeus Gas Pipeline 1 July 2016 to 30 June 2021</w:t>
      </w:r>
      <w:r w:rsidR="00B069E2" w:rsidRPr="00B069E2">
        <w:t xml:space="preserve">, January 2016, </w:t>
      </w:r>
      <w:r w:rsidR="00B069E2">
        <w:t xml:space="preserve">Schedule 3, </w:t>
      </w:r>
      <w:r>
        <w:t xml:space="preserve">cl. 1.6. </w:t>
      </w:r>
    </w:p>
  </w:footnote>
  <w:footnote w:id="19">
    <w:p w:rsidR="00184EB3" w:rsidRDefault="00184EB3">
      <w:pPr>
        <w:pStyle w:val="FootnoteText"/>
      </w:pPr>
      <w:r>
        <w:rPr>
          <w:rStyle w:val="FootnoteReference"/>
        </w:rPr>
        <w:footnoteRef/>
      </w:r>
      <w:r>
        <w:t xml:space="preserve"> </w:t>
      </w:r>
      <w:r>
        <w:tab/>
      </w:r>
      <w:r w:rsidR="00B069E2" w:rsidRPr="00B069E2">
        <w:t xml:space="preserve">APA Group, </w:t>
      </w:r>
      <w:r w:rsidR="00B069E2" w:rsidRPr="00E54DC8">
        <w:rPr>
          <w:i/>
        </w:rPr>
        <w:t>Amadeus Gas Pipeline - Access Arrangement Revised Proposal Response to Draft Decision - Submission</w:t>
      </w:r>
      <w:r w:rsidR="00B069E2" w:rsidRPr="00B069E2">
        <w:t xml:space="preserve">, January 2016, </w:t>
      </w:r>
      <w:r>
        <w:t>p</w:t>
      </w:r>
      <w:r w:rsidR="00360A18">
        <w:t>.</w:t>
      </w:r>
      <w:r>
        <w:t xml:space="preserve"> 25.</w:t>
      </w:r>
    </w:p>
  </w:footnote>
  <w:footnote w:id="20">
    <w:p w:rsidR="00184EB3" w:rsidRDefault="00184EB3">
      <w:pPr>
        <w:pStyle w:val="FootnoteText"/>
      </w:pPr>
      <w:r>
        <w:rPr>
          <w:rStyle w:val="FootnoteReference"/>
        </w:rPr>
        <w:footnoteRef/>
      </w:r>
      <w:r>
        <w:t xml:space="preserve"> </w:t>
      </w:r>
      <w:r>
        <w:tab/>
        <w:t xml:space="preserve">PWC, </w:t>
      </w:r>
      <w:r w:rsidRPr="00812B2E">
        <w:rPr>
          <w:rStyle w:val="AERtextitalic"/>
        </w:rPr>
        <w:t>Amadeus Gas Pipeline, Access Arrangement 2016–21, Submission of PWC</w:t>
      </w:r>
      <w:r>
        <w:t>, 4 February 2016, p</w:t>
      </w:r>
      <w:r w:rsidR="00360A18">
        <w:t>.</w:t>
      </w:r>
      <w:r>
        <w:t xml:space="preserve"> 2.</w:t>
      </w:r>
    </w:p>
  </w:footnote>
  <w:footnote w:id="21">
    <w:p w:rsidR="00184EB3" w:rsidRDefault="00184EB3">
      <w:pPr>
        <w:pStyle w:val="FootnoteText"/>
      </w:pPr>
      <w:r>
        <w:rPr>
          <w:rStyle w:val="FootnoteReference"/>
        </w:rPr>
        <w:footnoteRef/>
      </w:r>
      <w:r>
        <w:t xml:space="preserve"> </w:t>
      </w:r>
      <w:r>
        <w:tab/>
      </w:r>
      <w:r w:rsidRPr="00184EB3">
        <w:t xml:space="preserve">AER, </w:t>
      </w:r>
      <w:r w:rsidRPr="00812B2E">
        <w:rPr>
          <w:rStyle w:val="AERtextitalic"/>
        </w:rPr>
        <w:t>Draft Decision, Amadeus Gas Pipeline Access Arrangement 2016 - 2021, Attachment 12 - Non-tariff components</w:t>
      </w:r>
      <w:r w:rsidRPr="00184EB3">
        <w:t>, November 2015</w:t>
      </w:r>
      <w:r w:rsidR="00B069E2">
        <w:t xml:space="preserve">, </w:t>
      </w:r>
      <w:r>
        <w:t>pp.</w:t>
      </w:r>
      <w:r w:rsidR="00360A18">
        <w:t xml:space="preserve"> </w:t>
      </w:r>
      <w:r>
        <w:t>20–21.</w:t>
      </w:r>
    </w:p>
  </w:footnote>
  <w:footnote w:id="22">
    <w:p w:rsidR="00184EB3" w:rsidRDefault="00184EB3">
      <w:pPr>
        <w:pStyle w:val="FootnoteText"/>
      </w:pPr>
      <w:r>
        <w:rPr>
          <w:rStyle w:val="FootnoteReference"/>
        </w:rPr>
        <w:footnoteRef/>
      </w:r>
      <w:r>
        <w:t xml:space="preserve"> </w:t>
      </w:r>
      <w:r>
        <w:tab/>
      </w:r>
      <w:r w:rsidR="00A52480" w:rsidRPr="00A52480">
        <w:t xml:space="preserve">PWC, </w:t>
      </w:r>
      <w:r w:rsidR="00A52480" w:rsidRPr="00812B2E">
        <w:rPr>
          <w:rStyle w:val="AERtextitalic"/>
        </w:rPr>
        <w:t>Amadeus Gas Pipeline, Access Arrangement 2016–21, Submission of PWC,</w:t>
      </w:r>
      <w:r w:rsidR="00A52480" w:rsidRPr="00A52480">
        <w:t xml:space="preserve"> 4 February 2016</w:t>
      </w:r>
      <w:r w:rsidR="00A52480">
        <w:t xml:space="preserve">, </w:t>
      </w:r>
      <w:r>
        <w:t>pp.1–2.</w:t>
      </w:r>
    </w:p>
  </w:footnote>
  <w:footnote w:id="23">
    <w:p w:rsidR="00184EB3" w:rsidRDefault="00184EB3">
      <w:pPr>
        <w:pStyle w:val="FootnoteText"/>
      </w:pPr>
      <w:r>
        <w:rPr>
          <w:rStyle w:val="FootnoteReference"/>
        </w:rPr>
        <w:footnoteRef/>
      </w:r>
      <w:r>
        <w:t xml:space="preserve"> </w:t>
      </w:r>
      <w:r>
        <w:tab/>
      </w:r>
      <w:r w:rsidR="00A52480" w:rsidRPr="00A52480">
        <w:t xml:space="preserve">PWC, </w:t>
      </w:r>
      <w:r w:rsidR="00A52480" w:rsidRPr="00812B2E">
        <w:rPr>
          <w:rStyle w:val="AERtextitalic"/>
        </w:rPr>
        <w:t>Amadeus Gas Pipeline, Access Arrangement 2016–21, Submission of PWC</w:t>
      </w:r>
      <w:r w:rsidR="00A52480" w:rsidRPr="00A52480">
        <w:t>, 4 February 2016</w:t>
      </w:r>
      <w:r w:rsidR="00A52480">
        <w:t xml:space="preserve">, </w:t>
      </w:r>
      <w:r>
        <w:t>p. 2.</w:t>
      </w:r>
    </w:p>
  </w:footnote>
  <w:footnote w:id="24">
    <w:p w:rsidR="00184EB3" w:rsidRDefault="00184EB3">
      <w:pPr>
        <w:pStyle w:val="FootnoteText"/>
      </w:pPr>
      <w:r>
        <w:rPr>
          <w:rStyle w:val="FootnoteReference"/>
        </w:rPr>
        <w:footnoteRef/>
      </w:r>
      <w:r>
        <w:t xml:space="preserve"> </w:t>
      </w:r>
      <w:r>
        <w:tab/>
        <w:t xml:space="preserve">As submitted by </w:t>
      </w:r>
      <w:r w:rsidR="003273C8">
        <w:t xml:space="preserve">APTNT: </w:t>
      </w:r>
      <w:r w:rsidR="003273C8" w:rsidRPr="00825D2C">
        <w:rPr>
          <w:rStyle w:val="AERtextitalic"/>
          <w:i w:val="0"/>
        </w:rPr>
        <w:t>APA Group</w:t>
      </w:r>
      <w:r w:rsidR="003273C8" w:rsidRPr="00812B2E">
        <w:rPr>
          <w:rStyle w:val="AERtextitalic"/>
        </w:rPr>
        <w:t>, Amadeus Gas Pipeline - Access Arrangement Revised Proposal Response to Draft Decision - Submission</w:t>
      </w:r>
      <w:r w:rsidR="003273C8" w:rsidRPr="003273C8">
        <w:t>, January 2016</w:t>
      </w:r>
      <w:r w:rsidR="00E21DAC">
        <w:t xml:space="preserve">, </w:t>
      </w:r>
      <w:r>
        <w:t>p. 25.</w:t>
      </w:r>
    </w:p>
  </w:footnote>
  <w:footnote w:id="25">
    <w:p w:rsidR="00184EB3" w:rsidRDefault="00184EB3">
      <w:pPr>
        <w:pStyle w:val="FootnoteText"/>
      </w:pPr>
      <w:r>
        <w:rPr>
          <w:rStyle w:val="FootnoteReference"/>
        </w:rPr>
        <w:footnoteRef/>
      </w:r>
      <w:r>
        <w:t xml:space="preserve"> </w:t>
      </w:r>
      <w:r>
        <w:tab/>
      </w:r>
      <w:r w:rsidR="00B069E2" w:rsidRPr="00B069E2">
        <w:t xml:space="preserve">APA Group, </w:t>
      </w:r>
      <w:r w:rsidR="00B069E2" w:rsidRPr="00812B2E">
        <w:rPr>
          <w:rStyle w:val="AERtextitalic"/>
        </w:rPr>
        <w:t>Amadeus Gas Pipeline - Access Arrangement Revised Proposal Response to Draft Decision - Submission</w:t>
      </w:r>
      <w:r w:rsidR="00B069E2">
        <w:t>, January 2016, p</w:t>
      </w:r>
      <w:r>
        <w:t>. 26</w:t>
      </w:r>
      <w:r w:rsidR="00B069E2">
        <w:t>.</w:t>
      </w:r>
    </w:p>
  </w:footnote>
  <w:footnote w:id="26">
    <w:p w:rsidR="00184EB3" w:rsidRDefault="00184EB3">
      <w:pPr>
        <w:pStyle w:val="FootnoteText"/>
      </w:pPr>
      <w:r>
        <w:rPr>
          <w:rStyle w:val="FootnoteReference"/>
        </w:rPr>
        <w:footnoteRef/>
      </w:r>
      <w:r>
        <w:t xml:space="preserve"> </w:t>
      </w:r>
      <w:r>
        <w:tab/>
        <w:t xml:space="preserve">A significant factor in approving the extensions and expansions policy is the fact that, under the approved revision and commencement clause, the interconnection of the NEGI will trigger a full review of the access arrangement. The relationship between these issues is discussed in our draft </w:t>
      </w:r>
      <w:proofErr w:type="gramStart"/>
      <w:r>
        <w:t xml:space="preserve">decision </w:t>
      </w:r>
      <w:r w:rsidR="0022127C">
        <w:t xml:space="preserve"> -</w:t>
      </w:r>
      <w:proofErr w:type="gramEnd"/>
      <w:r w:rsidR="0022127C">
        <w:t xml:space="preserve"> </w:t>
      </w:r>
      <w:r w:rsidR="0022127C" w:rsidRPr="0022127C">
        <w:t xml:space="preserve">AER, </w:t>
      </w:r>
      <w:r w:rsidR="0022127C" w:rsidRPr="00812B2E">
        <w:rPr>
          <w:rStyle w:val="AERtextitalic"/>
        </w:rPr>
        <w:t>Draft Decision, Amadeus Gas Pipeline Access Arrangement 2016 - 2021, Attachment 12 - Non-tariff components</w:t>
      </w:r>
      <w:r w:rsidR="0022127C" w:rsidRPr="0022127C">
        <w:t>, November 2015</w:t>
      </w:r>
      <w:r w:rsidR="0022127C">
        <w:t xml:space="preserve">, </w:t>
      </w:r>
      <w:r>
        <w:t>p.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B3" w:rsidRDefault="00190F3D">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184EB3">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B3" w:rsidRDefault="00190F3D">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619AC9DE"/>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6530"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7"/>
  </w:num>
  <w:num w:numId="14">
    <w:abstractNumId w:val="10"/>
  </w:num>
  <w:num w:numId="15">
    <w:abstractNumId w:val="12"/>
  </w:num>
  <w:num w:numId="16">
    <w:abstractNumId w:val="19"/>
  </w:num>
  <w:num w:numId="17">
    <w:abstractNumId w:val="9"/>
  </w:num>
  <w:num w:numId="18">
    <w:abstractNumId w:val="14"/>
  </w:num>
  <w:num w:numId="19">
    <w:abstractNumId w:val="20"/>
  </w:num>
  <w:num w:numId="20">
    <w:abstractNumId w:val="26"/>
  </w:num>
  <w:num w:numId="21">
    <w:abstractNumId w:val="23"/>
  </w:num>
  <w:num w:numId="22">
    <w:abstractNumId w:val="21"/>
  </w:num>
  <w:num w:numId="23">
    <w:abstractNumId w:val="15"/>
  </w:num>
  <w:num w:numId="24">
    <w:abstractNumId w:val="22"/>
  </w:num>
  <w:num w:numId="25">
    <w:abstractNumId w:val="24"/>
  </w:num>
  <w:num w:numId="26">
    <w:abstractNumId w:val="16"/>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mdine\AppData\Local\Microsoft\Windows\Temporary Internet Files\Content.Outlook\4SXBHFQJ\AER - Final decision Amadeus Gas Pipeline Access Arrangement - Attachmen....docx"/>
  </w:docVars>
  <w:rsids>
    <w:rsidRoot w:val="00961A4A"/>
    <w:rsid w:val="00002F52"/>
    <w:rsid w:val="0000413F"/>
    <w:rsid w:val="00004633"/>
    <w:rsid w:val="00005531"/>
    <w:rsid w:val="00010286"/>
    <w:rsid w:val="00010F6A"/>
    <w:rsid w:val="00011902"/>
    <w:rsid w:val="00021202"/>
    <w:rsid w:val="00021C2B"/>
    <w:rsid w:val="0002517F"/>
    <w:rsid w:val="0002552A"/>
    <w:rsid w:val="00026495"/>
    <w:rsid w:val="0003578C"/>
    <w:rsid w:val="000401AF"/>
    <w:rsid w:val="00041DDA"/>
    <w:rsid w:val="00047113"/>
    <w:rsid w:val="0006095B"/>
    <w:rsid w:val="00063247"/>
    <w:rsid w:val="00063A92"/>
    <w:rsid w:val="00070F9F"/>
    <w:rsid w:val="0007137B"/>
    <w:rsid w:val="00085663"/>
    <w:rsid w:val="00085EBF"/>
    <w:rsid w:val="00085F93"/>
    <w:rsid w:val="00091B15"/>
    <w:rsid w:val="000A1E7C"/>
    <w:rsid w:val="000A3020"/>
    <w:rsid w:val="000A6C7B"/>
    <w:rsid w:val="000B0360"/>
    <w:rsid w:val="000B24AD"/>
    <w:rsid w:val="000B3F26"/>
    <w:rsid w:val="000B5B96"/>
    <w:rsid w:val="000C2B40"/>
    <w:rsid w:val="000D01F4"/>
    <w:rsid w:val="000D06C1"/>
    <w:rsid w:val="000D122C"/>
    <w:rsid w:val="000D3016"/>
    <w:rsid w:val="000D61DA"/>
    <w:rsid w:val="000D64F2"/>
    <w:rsid w:val="000D7F32"/>
    <w:rsid w:val="000E1819"/>
    <w:rsid w:val="000E4821"/>
    <w:rsid w:val="000E6C72"/>
    <w:rsid w:val="000E7708"/>
    <w:rsid w:val="000F0B2B"/>
    <w:rsid w:val="000F3E72"/>
    <w:rsid w:val="000F48B1"/>
    <w:rsid w:val="000F723D"/>
    <w:rsid w:val="00103A67"/>
    <w:rsid w:val="00116EB2"/>
    <w:rsid w:val="00124609"/>
    <w:rsid w:val="00126A4C"/>
    <w:rsid w:val="00134FBB"/>
    <w:rsid w:val="001352E5"/>
    <w:rsid w:val="001425E4"/>
    <w:rsid w:val="00142AB6"/>
    <w:rsid w:val="0014573B"/>
    <w:rsid w:val="00146286"/>
    <w:rsid w:val="00147E70"/>
    <w:rsid w:val="00156DCC"/>
    <w:rsid w:val="001573E4"/>
    <w:rsid w:val="00160756"/>
    <w:rsid w:val="0017232E"/>
    <w:rsid w:val="00174102"/>
    <w:rsid w:val="0017480F"/>
    <w:rsid w:val="001754EE"/>
    <w:rsid w:val="00180157"/>
    <w:rsid w:val="00182467"/>
    <w:rsid w:val="00184EB3"/>
    <w:rsid w:val="00185CB9"/>
    <w:rsid w:val="00186F77"/>
    <w:rsid w:val="00190F3D"/>
    <w:rsid w:val="001926A4"/>
    <w:rsid w:val="00192AD5"/>
    <w:rsid w:val="00193C90"/>
    <w:rsid w:val="001A48F3"/>
    <w:rsid w:val="001B3F62"/>
    <w:rsid w:val="001B45A0"/>
    <w:rsid w:val="001B45C0"/>
    <w:rsid w:val="001B4776"/>
    <w:rsid w:val="001B6F2E"/>
    <w:rsid w:val="001B7D00"/>
    <w:rsid w:val="001C17E7"/>
    <w:rsid w:val="001D055E"/>
    <w:rsid w:val="001E009C"/>
    <w:rsid w:val="001E5FE2"/>
    <w:rsid w:val="001F05A4"/>
    <w:rsid w:val="001F2149"/>
    <w:rsid w:val="001F492E"/>
    <w:rsid w:val="001F6DA3"/>
    <w:rsid w:val="002010BC"/>
    <w:rsid w:val="002016E7"/>
    <w:rsid w:val="00201F98"/>
    <w:rsid w:val="00202E03"/>
    <w:rsid w:val="0020478D"/>
    <w:rsid w:val="0020492C"/>
    <w:rsid w:val="00205A33"/>
    <w:rsid w:val="002124A1"/>
    <w:rsid w:val="00212B57"/>
    <w:rsid w:val="00220E60"/>
    <w:rsid w:val="0022127C"/>
    <w:rsid w:val="0022444D"/>
    <w:rsid w:val="00224DB9"/>
    <w:rsid w:val="00227DCE"/>
    <w:rsid w:val="0023276C"/>
    <w:rsid w:val="00233775"/>
    <w:rsid w:val="00251745"/>
    <w:rsid w:val="00263AC0"/>
    <w:rsid w:val="00264264"/>
    <w:rsid w:val="0026573E"/>
    <w:rsid w:val="0026772D"/>
    <w:rsid w:val="00277554"/>
    <w:rsid w:val="00286874"/>
    <w:rsid w:val="00290AC9"/>
    <w:rsid w:val="00290C63"/>
    <w:rsid w:val="002923ED"/>
    <w:rsid w:val="00296B65"/>
    <w:rsid w:val="0029724D"/>
    <w:rsid w:val="002A117F"/>
    <w:rsid w:val="002A6688"/>
    <w:rsid w:val="002A7DEF"/>
    <w:rsid w:val="002B1003"/>
    <w:rsid w:val="002B573C"/>
    <w:rsid w:val="002C233C"/>
    <w:rsid w:val="002D72E8"/>
    <w:rsid w:val="002D756E"/>
    <w:rsid w:val="002E0A62"/>
    <w:rsid w:val="002E7B22"/>
    <w:rsid w:val="002F7986"/>
    <w:rsid w:val="00301B40"/>
    <w:rsid w:val="00301C80"/>
    <w:rsid w:val="003029A5"/>
    <w:rsid w:val="003029EE"/>
    <w:rsid w:val="0030370B"/>
    <w:rsid w:val="00305611"/>
    <w:rsid w:val="00305CC8"/>
    <w:rsid w:val="00307F6D"/>
    <w:rsid w:val="003130C9"/>
    <w:rsid w:val="003177A2"/>
    <w:rsid w:val="00320869"/>
    <w:rsid w:val="00322138"/>
    <w:rsid w:val="00324147"/>
    <w:rsid w:val="00326B1D"/>
    <w:rsid w:val="003271B5"/>
    <w:rsid w:val="003273C8"/>
    <w:rsid w:val="00327A1E"/>
    <w:rsid w:val="00331264"/>
    <w:rsid w:val="003338A2"/>
    <w:rsid w:val="00333B06"/>
    <w:rsid w:val="00334C8D"/>
    <w:rsid w:val="00335342"/>
    <w:rsid w:val="0033548E"/>
    <w:rsid w:val="00343A18"/>
    <w:rsid w:val="00344473"/>
    <w:rsid w:val="00344D08"/>
    <w:rsid w:val="003457F9"/>
    <w:rsid w:val="00346DAC"/>
    <w:rsid w:val="00347114"/>
    <w:rsid w:val="003518B3"/>
    <w:rsid w:val="003523B4"/>
    <w:rsid w:val="003578CD"/>
    <w:rsid w:val="00360A18"/>
    <w:rsid w:val="003666F2"/>
    <w:rsid w:val="003717D8"/>
    <w:rsid w:val="003846F1"/>
    <w:rsid w:val="003903D4"/>
    <w:rsid w:val="00391042"/>
    <w:rsid w:val="00391BF0"/>
    <w:rsid w:val="003931A7"/>
    <w:rsid w:val="00393646"/>
    <w:rsid w:val="003A0AB9"/>
    <w:rsid w:val="003B484F"/>
    <w:rsid w:val="003B7FBA"/>
    <w:rsid w:val="003D372D"/>
    <w:rsid w:val="003D4EDE"/>
    <w:rsid w:val="003D5BCC"/>
    <w:rsid w:val="003F174D"/>
    <w:rsid w:val="003F572D"/>
    <w:rsid w:val="003F7442"/>
    <w:rsid w:val="00403640"/>
    <w:rsid w:val="00415F31"/>
    <w:rsid w:val="0042205D"/>
    <w:rsid w:val="00423A77"/>
    <w:rsid w:val="004328E3"/>
    <w:rsid w:val="00436ECD"/>
    <w:rsid w:val="00443BCE"/>
    <w:rsid w:val="00452473"/>
    <w:rsid w:val="00452F2A"/>
    <w:rsid w:val="0045777E"/>
    <w:rsid w:val="00461B0F"/>
    <w:rsid w:val="00461C29"/>
    <w:rsid w:val="00472E04"/>
    <w:rsid w:val="00474EC7"/>
    <w:rsid w:val="0047644C"/>
    <w:rsid w:val="00480B4B"/>
    <w:rsid w:val="004854B9"/>
    <w:rsid w:val="00485DC4"/>
    <w:rsid w:val="004A0A5E"/>
    <w:rsid w:val="004A43D1"/>
    <w:rsid w:val="004B355D"/>
    <w:rsid w:val="004B4412"/>
    <w:rsid w:val="004C0C43"/>
    <w:rsid w:val="004C21DE"/>
    <w:rsid w:val="004C348C"/>
    <w:rsid w:val="004C6A30"/>
    <w:rsid w:val="004D1A96"/>
    <w:rsid w:val="004D55BA"/>
    <w:rsid w:val="004E22EC"/>
    <w:rsid w:val="004E2A4C"/>
    <w:rsid w:val="004E31F4"/>
    <w:rsid w:val="004E7A3C"/>
    <w:rsid w:val="004F6A0E"/>
    <w:rsid w:val="00500006"/>
    <w:rsid w:val="00525033"/>
    <w:rsid w:val="00530128"/>
    <w:rsid w:val="00532467"/>
    <w:rsid w:val="00533D7E"/>
    <w:rsid w:val="0053668A"/>
    <w:rsid w:val="00537FD6"/>
    <w:rsid w:val="00541861"/>
    <w:rsid w:val="00564A4D"/>
    <w:rsid w:val="0056588A"/>
    <w:rsid w:val="00567BA5"/>
    <w:rsid w:val="00571B35"/>
    <w:rsid w:val="00571D57"/>
    <w:rsid w:val="00577A09"/>
    <w:rsid w:val="005829C2"/>
    <w:rsid w:val="00584D8F"/>
    <w:rsid w:val="00585A4E"/>
    <w:rsid w:val="00586819"/>
    <w:rsid w:val="00586FD2"/>
    <w:rsid w:val="0059704C"/>
    <w:rsid w:val="005A00D4"/>
    <w:rsid w:val="005A0BCD"/>
    <w:rsid w:val="005A404D"/>
    <w:rsid w:val="005B1E3C"/>
    <w:rsid w:val="005B3FB7"/>
    <w:rsid w:val="005B4D33"/>
    <w:rsid w:val="005B704A"/>
    <w:rsid w:val="005B7B05"/>
    <w:rsid w:val="005C0A7F"/>
    <w:rsid w:val="005C26CC"/>
    <w:rsid w:val="005C4C9C"/>
    <w:rsid w:val="005C6183"/>
    <w:rsid w:val="005C6218"/>
    <w:rsid w:val="005D7BA2"/>
    <w:rsid w:val="005E038C"/>
    <w:rsid w:val="005E101F"/>
    <w:rsid w:val="005E36C2"/>
    <w:rsid w:val="005E3C5B"/>
    <w:rsid w:val="005E74E6"/>
    <w:rsid w:val="005F0183"/>
    <w:rsid w:val="005F6606"/>
    <w:rsid w:val="005F727F"/>
    <w:rsid w:val="006007DE"/>
    <w:rsid w:val="00601638"/>
    <w:rsid w:val="00610EF9"/>
    <w:rsid w:val="00612F4F"/>
    <w:rsid w:val="00614FC9"/>
    <w:rsid w:val="00615C6B"/>
    <w:rsid w:val="00620DC3"/>
    <w:rsid w:val="00621DCE"/>
    <w:rsid w:val="00630E29"/>
    <w:rsid w:val="00632D6D"/>
    <w:rsid w:val="0063481D"/>
    <w:rsid w:val="00640812"/>
    <w:rsid w:val="00642C3E"/>
    <w:rsid w:val="00651C3A"/>
    <w:rsid w:val="00651CB2"/>
    <w:rsid w:val="006560CA"/>
    <w:rsid w:val="0066104A"/>
    <w:rsid w:val="00663DAD"/>
    <w:rsid w:val="00665649"/>
    <w:rsid w:val="00666857"/>
    <w:rsid w:val="00666E20"/>
    <w:rsid w:val="006672AA"/>
    <w:rsid w:val="006715DC"/>
    <w:rsid w:val="00675E20"/>
    <w:rsid w:val="00676679"/>
    <w:rsid w:val="006812E7"/>
    <w:rsid w:val="00683C89"/>
    <w:rsid w:val="00684C16"/>
    <w:rsid w:val="00691D9A"/>
    <w:rsid w:val="006A7CB9"/>
    <w:rsid w:val="006A7D76"/>
    <w:rsid w:val="006B0963"/>
    <w:rsid w:val="006B2395"/>
    <w:rsid w:val="006B45A4"/>
    <w:rsid w:val="006B4CF9"/>
    <w:rsid w:val="006B785B"/>
    <w:rsid w:val="006B7AC8"/>
    <w:rsid w:val="006C1736"/>
    <w:rsid w:val="006C4798"/>
    <w:rsid w:val="006C774D"/>
    <w:rsid w:val="006D0311"/>
    <w:rsid w:val="006D0AD9"/>
    <w:rsid w:val="006D22F2"/>
    <w:rsid w:val="006D550F"/>
    <w:rsid w:val="006E3F76"/>
    <w:rsid w:val="006F1F83"/>
    <w:rsid w:val="006F3AD1"/>
    <w:rsid w:val="006F3FC8"/>
    <w:rsid w:val="006F6183"/>
    <w:rsid w:val="0070011E"/>
    <w:rsid w:val="00701CAB"/>
    <w:rsid w:val="00707563"/>
    <w:rsid w:val="007126C8"/>
    <w:rsid w:val="00720136"/>
    <w:rsid w:val="0072348C"/>
    <w:rsid w:val="0072439B"/>
    <w:rsid w:val="00724A37"/>
    <w:rsid w:val="007303C3"/>
    <w:rsid w:val="00741C46"/>
    <w:rsid w:val="00741E23"/>
    <w:rsid w:val="007429BE"/>
    <w:rsid w:val="00743223"/>
    <w:rsid w:val="00746E01"/>
    <w:rsid w:val="00747794"/>
    <w:rsid w:val="00747EEA"/>
    <w:rsid w:val="00752C8D"/>
    <w:rsid w:val="00752E0E"/>
    <w:rsid w:val="00757364"/>
    <w:rsid w:val="00757BDF"/>
    <w:rsid w:val="007602FC"/>
    <w:rsid w:val="007609D0"/>
    <w:rsid w:val="00763618"/>
    <w:rsid w:val="00763E5D"/>
    <w:rsid w:val="00764349"/>
    <w:rsid w:val="00767740"/>
    <w:rsid w:val="00777EE6"/>
    <w:rsid w:val="00782EEA"/>
    <w:rsid w:val="007A147F"/>
    <w:rsid w:val="007A7002"/>
    <w:rsid w:val="007A7136"/>
    <w:rsid w:val="007A7F63"/>
    <w:rsid w:val="007B011C"/>
    <w:rsid w:val="007B186E"/>
    <w:rsid w:val="007B2C72"/>
    <w:rsid w:val="007B6C52"/>
    <w:rsid w:val="007C1C53"/>
    <w:rsid w:val="007C74BB"/>
    <w:rsid w:val="007C74BF"/>
    <w:rsid w:val="007D456E"/>
    <w:rsid w:val="007E42F4"/>
    <w:rsid w:val="007E4904"/>
    <w:rsid w:val="007E4CB5"/>
    <w:rsid w:val="007E765D"/>
    <w:rsid w:val="007F066B"/>
    <w:rsid w:val="007F213A"/>
    <w:rsid w:val="007F75C4"/>
    <w:rsid w:val="008033C4"/>
    <w:rsid w:val="008057DE"/>
    <w:rsid w:val="00806C88"/>
    <w:rsid w:val="00810070"/>
    <w:rsid w:val="0081034E"/>
    <w:rsid w:val="00812B03"/>
    <w:rsid w:val="00812B2E"/>
    <w:rsid w:val="00815CAC"/>
    <w:rsid w:val="008168E7"/>
    <w:rsid w:val="00821004"/>
    <w:rsid w:val="008221F2"/>
    <w:rsid w:val="00825985"/>
    <w:rsid w:val="00825D2C"/>
    <w:rsid w:val="008301A7"/>
    <w:rsid w:val="008301B2"/>
    <w:rsid w:val="008344F6"/>
    <w:rsid w:val="0083510F"/>
    <w:rsid w:val="008408C5"/>
    <w:rsid w:val="008414FC"/>
    <w:rsid w:val="0084320C"/>
    <w:rsid w:val="00847887"/>
    <w:rsid w:val="00851209"/>
    <w:rsid w:val="0085143D"/>
    <w:rsid w:val="0085722A"/>
    <w:rsid w:val="00862B19"/>
    <w:rsid w:val="00864B35"/>
    <w:rsid w:val="00864ECE"/>
    <w:rsid w:val="00866D99"/>
    <w:rsid w:val="008677B2"/>
    <w:rsid w:val="00867CF6"/>
    <w:rsid w:val="008749E0"/>
    <w:rsid w:val="00874CD0"/>
    <w:rsid w:val="00882481"/>
    <w:rsid w:val="008837AC"/>
    <w:rsid w:val="00895555"/>
    <w:rsid w:val="008A1DF7"/>
    <w:rsid w:val="008A587D"/>
    <w:rsid w:val="008B35CD"/>
    <w:rsid w:val="008B54AF"/>
    <w:rsid w:val="008B5FCC"/>
    <w:rsid w:val="008B7544"/>
    <w:rsid w:val="008C1366"/>
    <w:rsid w:val="008C3374"/>
    <w:rsid w:val="008C39F0"/>
    <w:rsid w:val="008C5486"/>
    <w:rsid w:val="008C63DF"/>
    <w:rsid w:val="008C708B"/>
    <w:rsid w:val="008D1661"/>
    <w:rsid w:val="008D6800"/>
    <w:rsid w:val="008E7031"/>
    <w:rsid w:val="008E77DE"/>
    <w:rsid w:val="008F07A3"/>
    <w:rsid w:val="008F16B3"/>
    <w:rsid w:val="008F34DD"/>
    <w:rsid w:val="009001B6"/>
    <w:rsid w:val="00900E1B"/>
    <w:rsid w:val="00901C3C"/>
    <w:rsid w:val="009038ED"/>
    <w:rsid w:val="009233EE"/>
    <w:rsid w:val="00923CFC"/>
    <w:rsid w:val="00923FA9"/>
    <w:rsid w:val="009272AD"/>
    <w:rsid w:val="009277DC"/>
    <w:rsid w:val="009450DD"/>
    <w:rsid w:val="00945C22"/>
    <w:rsid w:val="009460AA"/>
    <w:rsid w:val="0094641C"/>
    <w:rsid w:val="00951978"/>
    <w:rsid w:val="009549B2"/>
    <w:rsid w:val="00955559"/>
    <w:rsid w:val="00961115"/>
    <w:rsid w:val="00961A4A"/>
    <w:rsid w:val="009661DE"/>
    <w:rsid w:val="00983C25"/>
    <w:rsid w:val="00984F67"/>
    <w:rsid w:val="009856B7"/>
    <w:rsid w:val="00985C86"/>
    <w:rsid w:val="009876B8"/>
    <w:rsid w:val="00996BAF"/>
    <w:rsid w:val="009972D8"/>
    <w:rsid w:val="009A4FAA"/>
    <w:rsid w:val="009A5113"/>
    <w:rsid w:val="009A539D"/>
    <w:rsid w:val="009A5FC3"/>
    <w:rsid w:val="009B5829"/>
    <w:rsid w:val="009B5DC8"/>
    <w:rsid w:val="009B6F84"/>
    <w:rsid w:val="009B7343"/>
    <w:rsid w:val="009B74B0"/>
    <w:rsid w:val="009C691D"/>
    <w:rsid w:val="009D1479"/>
    <w:rsid w:val="009D3906"/>
    <w:rsid w:val="009D6B46"/>
    <w:rsid w:val="009F4940"/>
    <w:rsid w:val="009F5BA1"/>
    <w:rsid w:val="00A0112E"/>
    <w:rsid w:val="00A02A88"/>
    <w:rsid w:val="00A0562E"/>
    <w:rsid w:val="00A06085"/>
    <w:rsid w:val="00A0726D"/>
    <w:rsid w:val="00A16596"/>
    <w:rsid w:val="00A2303E"/>
    <w:rsid w:val="00A2663D"/>
    <w:rsid w:val="00A269C4"/>
    <w:rsid w:val="00A32FBB"/>
    <w:rsid w:val="00A34732"/>
    <w:rsid w:val="00A428EE"/>
    <w:rsid w:val="00A4478A"/>
    <w:rsid w:val="00A44852"/>
    <w:rsid w:val="00A4650A"/>
    <w:rsid w:val="00A50502"/>
    <w:rsid w:val="00A52480"/>
    <w:rsid w:val="00A53AB4"/>
    <w:rsid w:val="00A57D04"/>
    <w:rsid w:val="00A60A26"/>
    <w:rsid w:val="00A61598"/>
    <w:rsid w:val="00A65755"/>
    <w:rsid w:val="00A84A99"/>
    <w:rsid w:val="00A84F46"/>
    <w:rsid w:val="00A871F4"/>
    <w:rsid w:val="00A90AA4"/>
    <w:rsid w:val="00A923BF"/>
    <w:rsid w:val="00A9320D"/>
    <w:rsid w:val="00AB47E1"/>
    <w:rsid w:val="00AC0182"/>
    <w:rsid w:val="00AC1B2C"/>
    <w:rsid w:val="00AC296D"/>
    <w:rsid w:val="00AC3264"/>
    <w:rsid w:val="00AC55BE"/>
    <w:rsid w:val="00AD25B5"/>
    <w:rsid w:val="00AD3884"/>
    <w:rsid w:val="00AD7B56"/>
    <w:rsid w:val="00AE1BF1"/>
    <w:rsid w:val="00AF0DD2"/>
    <w:rsid w:val="00AF55FA"/>
    <w:rsid w:val="00B0209D"/>
    <w:rsid w:val="00B02961"/>
    <w:rsid w:val="00B04908"/>
    <w:rsid w:val="00B04B4C"/>
    <w:rsid w:val="00B069E2"/>
    <w:rsid w:val="00B07CEA"/>
    <w:rsid w:val="00B13048"/>
    <w:rsid w:val="00B1564D"/>
    <w:rsid w:val="00B1716D"/>
    <w:rsid w:val="00B178F6"/>
    <w:rsid w:val="00B17A1D"/>
    <w:rsid w:val="00B207A0"/>
    <w:rsid w:val="00B30ABD"/>
    <w:rsid w:val="00B40CAA"/>
    <w:rsid w:val="00B426DB"/>
    <w:rsid w:val="00B432BF"/>
    <w:rsid w:val="00B514DD"/>
    <w:rsid w:val="00B51F3F"/>
    <w:rsid w:val="00B52AF0"/>
    <w:rsid w:val="00B55621"/>
    <w:rsid w:val="00B561BD"/>
    <w:rsid w:val="00B56E03"/>
    <w:rsid w:val="00B61EDF"/>
    <w:rsid w:val="00B7142F"/>
    <w:rsid w:val="00B74AC5"/>
    <w:rsid w:val="00B757A6"/>
    <w:rsid w:val="00B8080B"/>
    <w:rsid w:val="00B81470"/>
    <w:rsid w:val="00B82223"/>
    <w:rsid w:val="00B84335"/>
    <w:rsid w:val="00B87BA5"/>
    <w:rsid w:val="00B87C39"/>
    <w:rsid w:val="00B9562D"/>
    <w:rsid w:val="00BA0731"/>
    <w:rsid w:val="00BA4665"/>
    <w:rsid w:val="00BA47EE"/>
    <w:rsid w:val="00BB2FB2"/>
    <w:rsid w:val="00BB3304"/>
    <w:rsid w:val="00BB3FD7"/>
    <w:rsid w:val="00BB6848"/>
    <w:rsid w:val="00BB7528"/>
    <w:rsid w:val="00BC18DE"/>
    <w:rsid w:val="00BC2FAF"/>
    <w:rsid w:val="00BC42EF"/>
    <w:rsid w:val="00BC7F1B"/>
    <w:rsid w:val="00BD0920"/>
    <w:rsid w:val="00BD0C45"/>
    <w:rsid w:val="00BD310B"/>
    <w:rsid w:val="00BD3446"/>
    <w:rsid w:val="00BD6C9F"/>
    <w:rsid w:val="00BE1F1B"/>
    <w:rsid w:val="00BE45CA"/>
    <w:rsid w:val="00BE47B5"/>
    <w:rsid w:val="00BF0813"/>
    <w:rsid w:val="00BF0C8F"/>
    <w:rsid w:val="00BF0CD7"/>
    <w:rsid w:val="00BF4266"/>
    <w:rsid w:val="00C04223"/>
    <w:rsid w:val="00C25FA6"/>
    <w:rsid w:val="00C275C4"/>
    <w:rsid w:val="00C276BA"/>
    <w:rsid w:val="00C303D1"/>
    <w:rsid w:val="00C30637"/>
    <w:rsid w:val="00C36F19"/>
    <w:rsid w:val="00C375AD"/>
    <w:rsid w:val="00C42ACA"/>
    <w:rsid w:val="00C5122C"/>
    <w:rsid w:val="00C538A9"/>
    <w:rsid w:val="00C53B5A"/>
    <w:rsid w:val="00C54F5A"/>
    <w:rsid w:val="00C569B4"/>
    <w:rsid w:val="00C56A01"/>
    <w:rsid w:val="00C56A3E"/>
    <w:rsid w:val="00C56AAD"/>
    <w:rsid w:val="00C667E3"/>
    <w:rsid w:val="00C67A92"/>
    <w:rsid w:val="00C71F5D"/>
    <w:rsid w:val="00C7497E"/>
    <w:rsid w:val="00C74D43"/>
    <w:rsid w:val="00C81568"/>
    <w:rsid w:val="00C84560"/>
    <w:rsid w:val="00C84F52"/>
    <w:rsid w:val="00C86679"/>
    <w:rsid w:val="00C902C9"/>
    <w:rsid w:val="00C92C77"/>
    <w:rsid w:val="00C97CDF"/>
    <w:rsid w:val="00CA2ABF"/>
    <w:rsid w:val="00CA2C1D"/>
    <w:rsid w:val="00CA489E"/>
    <w:rsid w:val="00CA52A2"/>
    <w:rsid w:val="00CB0279"/>
    <w:rsid w:val="00CB666B"/>
    <w:rsid w:val="00CC7F1D"/>
    <w:rsid w:val="00CD19EE"/>
    <w:rsid w:val="00CD58CC"/>
    <w:rsid w:val="00CE484B"/>
    <w:rsid w:val="00CE4900"/>
    <w:rsid w:val="00CF0DEE"/>
    <w:rsid w:val="00CF2C05"/>
    <w:rsid w:val="00CF6EDE"/>
    <w:rsid w:val="00D006AE"/>
    <w:rsid w:val="00D01CF0"/>
    <w:rsid w:val="00D01EFD"/>
    <w:rsid w:val="00D0442A"/>
    <w:rsid w:val="00D06055"/>
    <w:rsid w:val="00D066B7"/>
    <w:rsid w:val="00D17683"/>
    <w:rsid w:val="00D266D0"/>
    <w:rsid w:val="00D36FCC"/>
    <w:rsid w:val="00D37C51"/>
    <w:rsid w:val="00D41E80"/>
    <w:rsid w:val="00D45694"/>
    <w:rsid w:val="00D608F6"/>
    <w:rsid w:val="00D60EFF"/>
    <w:rsid w:val="00D61388"/>
    <w:rsid w:val="00D61A54"/>
    <w:rsid w:val="00D62F66"/>
    <w:rsid w:val="00D64275"/>
    <w:rsid w:val="00D64DEA"/>
    <w:rsid w:val="00D7168E"/>
    <w:rsid w:val="00D71E57"/>
    <w:rsid w:val="00D75AA2"/>
    <w:rsid w:val="00D7645E"/>
    <w:rsid w:val="00D7675B"/>
    <w:rsid w:val="00D80893"/>
    <w:rsid w:val="00D84854"/>
    <w:rsid w:val="00D848B4"/>
    <w:rsid w:val="00D90F38"/>
    <w:rsid w:val="00D92CF1"/>
    <w:rsid w:val="00D92D38"/>
    <w:rsid w:val="00D950F5"/>
    <w:rsid w:val="00DA0BCC"/>
    <w:rsid w:val="00DA4752"/>
    <w:rsid w:val="00DA61F3"/>
    <w:rsid w:val="00DA6B93"/>
    <w:rsid w:val="00DA6F94"/>
    <w:rsid w:val="00DB0F93"/>
    <w:rsid w:val="00DB1A67"/>
    <w:rsid w:val="00DB5074"/>
    <w:rsid w:val="00DB5B21"/>
    <w:rsid w:val="00DC7981"/>
    <w:rsid w:val="00DD1C15"/>
    <w:rsid w:val="00DE1093"/>
    <w:rsid w:val="00DE1612"/>
    <w:rsid w:val="00DE1B56"/>
    <w:rsid w:val="00DE38A8"/>
    <w:rsid w:val="00DE4EFA"/>
    <w:rsid w:val="00DE5520"/>
    <w:rsid w:val="00DE563D"/>
    <w:rsid w:val="00DE5E2E"/>
    <w:rsid w:val="00DE772C"/>
    <w:rsid w:val="00DF1D9A"/>
    <w:rsid w:val="00DF312A"/>
    <w:rsid w:val="00E00B4C"/>
    <w:rsid w:val="00E04818"/>
    <w:rsid w:val="00E06442"/>
    <w:rsid w:val="00E06BCF"/>
    <w:rsid w:val="00E1001C"/>
    <w:rsid w:val="00E21DAC"/>
    <w:rsid w:val="00E23993"/>
    <w:rsid w:val="00E257D6"/>
    <w:rsid w:val="00E25B8C"/>
    <w:rsid w:val="00E25DC7"/>
    <w:rsid w:val="00E318C0"/>
    <w:rsid w:val="00E3544F"/>
    <w:rsid w:val="00E4469F"/>
    <w:rsid w:val="00E51353"/>
    <w:rsid w:val="00E51D65"/>
    <w:rsid w:val="00E54DC8"/>
    <w:rsid w:val="00E6200B"/>
    <w:rsid w:val="00E65C85"/>
    <w:rsid w:val="00E66199"/>
    <w:rsid w:val="00E711C7"/>
    <w:rsid w:val="00E7173C"/>
    <w:rsid w:val="00E7494F"/>
    <w:rsid w:val="00E755EC"/>
    <w:rsid w:val="00E7624D"/>
    <w:rsid w:val="00E97242"/>
    <w:rsid w:val="00EA38F3"/>
    <w:rsid w:val="00EA3D42"/>
    <w:rsid w:val="00EA6B1B"/>
    <w:rsid w:val="00EB26E8"/>
    <w:rsid w:val="00EB5BC8"/>
    <w:rsid w:val="00EB606C"/>
    <w:rsid w:val="00EB65B8"/>
    <w:rsid w:val="00EC04F1"/>
    <w:rsid w:val="00EC181B"/>
    <w:rsid w:val="00EC1B2B"/>
    <w:rsid w:val="00EC32E5"/>
    <w:rsid w:val="00EC4287"/>
    <w:rsid w:val="00ED0EC2"/>
    <w:rsid w:val="00ED3474"/>
    <w:rsid w:val="00ED7323"/>
    <w:rsid w:val="00ED749E"/>
    <w:rsid w:val="00EE28F3"/>
    <w:rsid w:val="00EE2C52"/>
    <w:rsid w:val="00EE475E"/>
    <w:rsid w:val="00EE50D1"/>
    <w:rsid w:val="00EE594D"/>
    <w:rsid w:val="00EE77FA"/>
    <w:rsid w:val="00EE7A83"/>
    <w:rsid w:val="00EF082B"/>
    <w:rsid w:val="00EF1B7A"/>
    <w:rsid w:val="00EF5110"/>
    <w:rsid w:val="00F0334E"/>
    <w:rsid w:val="00F07967"/>
    <w:rsid w:val="00F10411"/>
    <w:rsid w:val="00F15882"/>
    <w:rsid w:val="00F171E0"/>
    <w:rsid w:val="00F20789"/>
    <w:rsid w:val="00F20BD3"/>
    <w:rsid w:val="00F2419C"/>
    <w:rsid w:val="00F2526A"/>
    <w:rsid w:val="00F2708A"/>
    <w:rsid w:val="00F33CBA"/>
    <w:rsid w:val="00F34F77"/>
    <w:rsid w:val="00F35081"/>
    <w:rsid w:val="00F373A5"/>
    <w:rsid w:val="00F42E08"/>
    <w:rsid w:val="00F448DB"/>
    <w:rsid w:val="00F47559"/>
    <w:rsid w:val="00F556DC"/>
    <w:rsid w:val="00F57907"/>
    <w:rsid w:val="00F61176"/>
    <w:rsid w:val="00F62A30"/>
    <w:rsid w:val="00F64C7B"/>
    <w:rsid w:val="00F65B25"/>
    <w:rsid w:val="00F676DD"/>
    <w:rsid w:val="00F71667"/>
    <w:rsid w:val="00F73895"/>
    <w:rsid w:val="00F75A26"/>
    <w:rsid w:val="00F76706"/>
    <w:rsid w:val="00F768C8"/>
    <w:rsid w:val="00F81B8D"/>
    <w:rsid w:val="00F83FAD"/>
    <w:rsid w:val="00F85E95"/>
    <w:rsid w:val="00F8653A"/>
    <w:rsid w:val="00F91F55"/>
    <w:rsid w:val="00F92349"/>
    <w:rsid w:val="00F93B21"/>
    <w:rsid w:val="00F952A0"/>
    <w:rsid w:val="00FA22E1"/>
    <w:rsid w:val="00FA3C7F"/>
    <w:rsid w:val="00FB1BF3"/>
    <w:rsid w:val="00FB387C"/>
    <w:rsid w:val="00FB4402"/>
    <w:rsid w:val="00FB60FE"/>
    <w:rsid w:val="00FB74E2"/>
    <w:rsid w:val="00FC71DC"/>
    <w:rsid w:val="00FD2ED2"/>
    <w:rsid w:val="00FD5614"/>
    <w:rsid w:val="00FD5E78"/>
    <w:rsid w:val="00FE0BE1"/>
    <w:rsid w:val="00FE1DE9"/>
    <w:rsid w:val="00FE36AF"/>
    <w:rsid w:val="00FE39C2"/>
    <w:rsid w:val="00FE3C32"/>
    <w:rsid w:val="00FE64AE"/>
    <w:rsid w:val="00FE7F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ind w:left="576"/>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table" w:styleId="MediumList2-Accent1">
    <w:name w:val="Medium List 2 Accent 1"/>
    <w:basedOn w:val="TableNormal"/>
    <w:uiPriority w:val="66"/>
    <w:rsid w:val="009B5829"/>
    <w:pPr>
      <w:spacing w:before="0"/>
    </w:pPr>
    <w:rPr>
      <w:rFonts w:asciiTheme="majorHAnsi" w:eastAsiaTheme="majorEastAsia" w:hAnsiTheme="majorHAnsi" w:cstheme="majorBidi"/>
      <w:color w:val="076A92" w:themeColor="text1"/>
      <w:lang w:val="en-US" w:eastAsia="ja-JP"/>
    </w:r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rPr>
        <w:sz w:val="24"/>
        <w:szCs w:val="24"/>
      </w:rPr>
      <w:tblPr/>
      <w:tcPr>
        <w:tcBorders>
          <w:top w:val="nil"/>
          <w:left w:val="nil"/>
          <w:bottom w:val="single" w:sz="24" w:space="0" w:color="2F002F" w:themeColor="accent1"/>
          <w:right w:val="nil"/>
          <w:insideH w:val="nil"/>
          <w:insideV w:val="nil"/>
        </w:tcBorders>
        <w:shd w:val="clear" w:color="auto" w:fill="FFFFFF" w:themeFill="background1"/>
      </w:tcPr>
    </w:tblStylePr>
    <w:tblStylePr w:type="lastRow">
      <w:tblPr/>
      <w:tcPr>
        <w:tcBorders>
          <w:top w:val="single" w:sz="8" w:space="0" w:color="2F002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F002F" w:themeColor="accent1"/>
          <w:insideH w:val="nil"/>
          <w:insideV w:val="nil"/>
        </w:tcBorders>
        <w:shd w:val="clear" w:color="auto" w:fill="FFFFFF" w:themeFill="background1"/>
      </w:tcPr>
    </w:tblStylePr>
    <w:tblStylePr w:type="lastCol">
      <w:tblPr/>
      <w:tcPr>
        <w:tcBorders>
          <w:top w:val="nil"/>
          <w:left w:val="single" w:sz="8" w:space="0" w:color="2F00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top w:val="nil"/>
          <w:bottom w:val="nil"/>
          <w:insideH w:val="nil"/>
          <w:insideV w:val="nil"/>
        </w:tcBorders>
        <w:shd w:val="clear" w:color="auto" w:fill="FF8CFF"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ind w:left="576"/>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table" w:styleId="MediumList2-Accent1">
    <w:name w:val="Medium List 2 Accent 1"/>
    <w:basedOn w:val="TableNormal"/>
    <w:uiPriority w:val="66"/>
    <w:rsid w:val="009B5829"/>
    <w:pPr>
      <w:spacing w:before="0"/>
    </w:pPr>
    <w:rPr>
      <w:rFonts w:asciiTheme="majorHAnsi" w:eastAsiaTheme="majorEastAsia" w:hAnsiTheme="majorHAnsi" w:cstheme="majorBidi"/>
      <w:color w:val="076A92" w:themeColor="text1"/>
      <w:lang w:val="en-US" w:eastAsia="ja-JP"/>
    </w:r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rPr>
        <w:sz w:val="24"/>
        <w:szCs w:val="24"/>
      </w:rPr>
      <w:tblPr/>
      <w:tcPr>
        <w:tcBorders>
          <w:top w:val="nil"/>
          <w:left w:val="nil"/>
          <w:bottom w:val="single" w:sz="24" w:space="0" w:color="2F002F" w:themeColor="accent1"/>
          <w:right w:val="nil"/>
          <w:insideH w:val="nil"/>
          <w:insideV w:val="nil"/>
        </w:tcBorders>
        <w:shd w:val="clear" w:color="auto" w:fill="FFFFFF" w:themeFill="background1"/>
      </w:tcPr>
    </w:tblStylePr>
    <w:tblStylePr w:type="lastRow">
      <w:tblPr/>
      <w:tcPr>
        <w:tcBorders>
          <w:top w:val="single" w:sz="8" w:space="0" w:color="2F002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F002F" w:themeColor="accent1"/>
          <w:insideH w:val="nil"/>
          <w:insideV w:val="nil"/>
        </w:tcBorders>
        <w:shd w:val="clear" w:color="auto" w:fill="FFFFFF" w:themeFill="background1"/>
      </w:tcPr>
    </w:tblStylePr>
    <w:tblStylePr w:type="lastCol">
      <w:tblPr/>
      <w:tcPr>
        <w:tcBorders>
          <w:top w:val="nil"/>
          <w:left w:val="single" w:sz="8" w:space="0" w:color="2F00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top w:val="nil"/>
          <w:bottom w:val="nil"/>
          <w:insideH w:val="nil"/>
          <w:insideV w:val="nil"/>
        </w:tcBorders>
        <w:shd w:val="clear" w:color="auto" w:fill="FF8CFF"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9B605C-8811-4064-BA52-2516A814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89B998C2</Template>
  <TotalTime>0</TotalTime>
  <Pages>15</Pages>
  <Words>3344</Words>
  <Characters>19063</Characters>
  <Application>Microsoft Office Word</Application>
  <DocSecurity>0</DocSecurity>
  <Lines>158</Lines>
  <Paragraphs>44</Paragraphs>
  <ScaleCrop>false</ScaleCrop>
  <Company/>
  <LinksUpToDate>false</LinksUpToDate>
  <CharactersWithSpaces>22363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2016-05-20T07:59:00Z</dcterms:created>
  <dcterms:modified xsi:type="dcterms:W3CDTF">2016-05-20T07:59:00Z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8575334</vt:lpwstr>
  </property>
</Properties>
</file>