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99EAFE0" wp14:editId="17CE018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13</w:t>
          </w:r>
          <w:r w:rsidR="00DA4752">
            <w:t xml:space="preserve"> </w:t>
          </w:r>
          <w:r w:rsidR="00415F31">
            <w:rPr>
              <w:rFonts w:cs="Arial"/>
            </w:rPr>
            <w:t>–</w:t>
          </w:r>
          <w:r w:rsidR="00DA4752">
            <w:t xml:space="preserve"> </w:t>
          </w:r>
          <w:r w:rsidR="00A06085">
            <w:t>Demand</w:t>
          </w:r>
        </w:p>
        <w:p w:rsidR="000A6C7B" w:rsidRPr="00327A1E" w:rsidRDefault="00832374" w:rsidP="00327A1E">
          <w:pPr>
            <w:pStyle w:val="ReportDate"/>
          </w:pPr>
          <w:r>
            <w:t xml:space="preserve">May </w:t>
          </w:r>
          <w:r w:rsidR="00A2303E">
            <w:t>2016</w:t>
          </w:r>
        </w:p>
      </w:sdtContent>
    </w:sdt>
    <w:p w:rsidR="00327A1E" w:rsidRPr="00290C63" w:rsidRDefault="00327A1E" w:rsidP="00290C63">
      <w:r>
        <w:br w:type="page"/>
      </w:r>
    </w:p>
    <w:p w:rsidR="000A6C7B" w:rsidRDefault="002C525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3051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30519"/>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DF172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30518" w:history="1">
            <w:r w:rsidR="00DF1720" w:rsidRPr="0030384E">
              <w:rPr>
                <w:rStyle w:val="Hyperlink"/>
              </w:rPr>
              <w:t>Note</w:t>
            </w:r>
            <w:r w:rsidR="00DF1720">
              <w:rPr>
                <w:webHidden/>
              </w:rPr>
              <w:tab/>
            </w:r>
            <w:r w:rsidR="00DF1720">
              <w:rPr>
                <w:webHidden/>
              </w:rPr>
              <w:fldChar w:fldCharType="begin"/>
            </w:r>
            <w:r w:rsidR="00DF1720">
              <w:rPr>
                <w:webHidden/>
              </w:rPr>
              <w:instrText xml:space="preserve"> PAGEREF _Toc451530518 \h </w:instrText>
            </w:r>
            <w:r w:rsidR="00DF1720">
              <w:rPr>
                <w:webHidden/>
              </w:rPr>
            </w:r>
            <w:r w:rsidR="00DF1720">
              <w:rPr>
                <w:webHidden/>
              </w:rPr>
              <w:fldChar w:fldCharType="separate"/>
            </w:r>
            <w:r w:rsidR="00DF1720">
              <w:rPr>
                <w:webHidden/>
              </w:rPr>
              <w:t>13-2</w:t>
            </w:r>
            <w:r w:rsidR="00DF1720">
              <w:rPr>
                <w:webHidden/>
              </w:rPr>
              <w:fldChar w:fldCharType="end"/>
            </w:r>
          </w:hyperlink>
        </w:p>
        <w:p w:rsidR="00DF1720" w:rsidRDefault="00DF1720">
          <w:pPr>
            <w:pStyle w:val="TOC1"/>
            <w:rPr>
              <w:rFonts w:asciiTheme="minorHAnsi" w:eastAsiaTheme="minorEastAsia" w:hAnsiTheme="minorHAnsi"/>
              <w:b w:val="0"/>
              <w:color w:val="auto"/>
              <w:sz w:val="22"/>
              <w:lang w:val="en-AU" w:eastAsia="en-AU"/>
            </w:rPr>
          </w:pPr>
          <w:hyperlink w:anchor="_Toc451530519" w:history="1">
            <w:r w:rsidRPr="0030384E">
              <w:rPr>
                <w:rStyle w:val="Hyperlink"/>
              </w:rPr>
              <w:t>Contents</w:t>
            </w:r>
            <w:r>
              <w:rPr>
                <w:webHidden/>
              </w:rPr>
              <w:tab/>
            </w:r>
            <w:r>
              <w:rPr>
                <w:webHidden/>
              </w:rPr>
              <w:fldChar w:fldCharType="begin"/>
            </w:r>
            <w:r>
              <w:rPr>
                <w:webHidden/>
              </w:rPr>
              <w:instrText xml:space="preserve"> PAGEREF _Toc451530519 \h </w:instrText>
            </w:r>
            <w:r>
              <w:rPr>
                <w:webHidden/>
              </w:rPr>
            </w:r>
            <w:r>
              <w:rPr>
                <w:webHidden/>
              </w:rPr>
              <w:fldChar w:fldCharType="separate"/>
            </w:r>
            <w:r>
              <w:rPr>
                <w:webHidden/>
              </w:rPr>
              <w:t>13-3</w:t>
            </w:r>
            <w:r>
              <w:rPr>
                <w:webHidden/>
              </w:rPr>
              <w:fldChar w:fldCharType="end"/>
            </w:r>
          </w:hyperlink>
        </w:p>
        <w:p w:rsidR="00DF1720" w:rsidRDefault="00DF1720">
          <w:pPr>
            <w:pStyle w:val="TOC1"/>
            <w:rPr>
              <w:rFonts w:asciiTheme="minorHAnsi" w:eastAsiaTheme="minorEastAsia" w:hAnsiTheme="minorHAnsi"/>
              <w:b w:val="0"/>
              <w:color w:val="auto"/>
              <w:sz w:val="22"/>
              <w:lang w:val="en-AU" w:eastAsia="en-AU"/>
            </w:rPr>
          </w:pPr>
          <w:hyperlink w:anchor="_Toc451530520" w:history="1">
            <w:r w:rsidRPr="0030384E">
              <w:rPr>
                <w:rStyle w:val="Hyperlink"/>
              </w:rPr>
              <w:t>Shortened forms</w:t>
            </w:r>
            <w:r>
              <w:rPr>
                <w:webHidden/>
              </w:rPr>
              <w:tab/>
            </w:r>
            <w:r>
              <w:rPr>
                <w:webHidden/>
              </w:rPr>
              <w:fldChar w:fldCharType="begin"/>
            </w:r>
            <w:r>
              <w:rPr>
                <w:webHidden/>
              </w:rPr>
              <w:instrText xml:space="preserve"> PAGEREF _Toc451530520 \h </w:instrText>
            </w:r>
            <w:r>
              <w:rPr>
                <w:webHidden/>
              </w:rPr>
            </w:r>
            <w:r>
              <w:rPr>
                <w:webHidden/>
              </w:rPr>
              <w:fldChar w:fldCharType="separate"/>
            </w:r>
            <w:r>
              <w:rPr>
                <w:webHidden/>
              </w:rPr>
              <w:t>13-4</w:t>
            </w:r>
            <w:r>
              <w:rPr>
                <w:webHidden/>
              </w:rPr>
              <w:fldChar w:fldCharType="end"/>
            </w:r>
          </w:hyperlink>
        </w:p>
        <w:p w:rsidR="00DF1720" w:rsidRDefault="00DF1720">
          <w:pPr>
            <w:pStyle w:val="TOC1"/>
            <w:rPr>
              <w:rFonts w:asciiTheme="minorHAnsi" w:eastAsiaTheme="minorEastAsia" w:hAnsiTheme="minorHAnsi"/>
              <w:b w:val="0"/>
              <w:color w:val="auto"/>
              <w:sz w:val="22"/>
              <w:lang w:val="en-AU" w:eastAsia="en-AU"/>
            </w:rPr>
          </w:pPr>
          <w:hyperlink w:anchor="_Toc451530521" w:history="1">
            <w:r w:rsidRPr="0030384E">
              <w:rPr>
                <w:rStyle w:val="Hyperlink"/>
              </w:rPr>
              <w:t>13</w:t>
            </w:r>
            <w:r>
              <w:rPr>
                <w:rFonts w:asciiTheme="minorHAnsi" w:eastAsiaTheme="minorEastAsia" w:hAnsiTheme="minorHAnsi"/>
                <w:b w:val="0"/>
                <w:color w:val="auto"/>
                <w:sz w:val="22"/>
                <w:lang w:val="en-AU" w:eastAsia="en-AU"/>
              </w:rPr>
              <w:tab/>
            </w:r>
            <w:r w:rsidRPr="0030384E">
              <w:rPr>
                <w:rStyle w:val="Hyperlink"/>
              </w:rPr>
              <w:t>Demand</w:t>
            </w:r>
            <w:r>
              <w:rPr>
                <w:webHidden/>
              </w:rPr>
              <w:tab/>
            </w:r>
            <w:r>
              <w:rPr>
                <w:webHidden/>
              </w:rPr>
              <w:fldChar w:fldCharType="begin"/>
            </w:r>
            <w:r>
              <w:rPr>
                <w:webHidden/>
              </w:rPr>
              <w:instrText xml:space="preserve"> PAGEREF _Toc451530521 \h </w:instrText>
            </w:r>
            <w:r>
              <w:rPr>
                <w:webHidden/>
              </w:rPr>
            </w:r>
            <w:r>
              <w:rPr>
                <w:webHidden/>
              </w:rPr>
              <w:fldChar w:fldCharType="separate"/>
            </w:r>
            <w:r>
              <w:rPr>
                <w:webHidden/>
              </w:rPr>
              <w:t>13-6</w:t>
            </w:r>
            <w:r>
              <w:rPr>
                <w:webHidden/>
              </w:rPr>
              <w:fldChar w:fldCharType="end"/>
            </w:r>
          </w:hyperlink>
        </w:p>
        <w:p w:rsidR="00DF1720" w:rsidRDefault="00DF1720">
          <w:pPr>
            <w:pStyle w:val="TOC2"/>
            <w:tabs>
              <w:tab w:val="left" w:pos="1276"/>
            </w:tabs>
            <w:rPr>
              <w:rFonts w:asciiTheme="minorHAnsi" w:eastAsiaTheme="minorEastAsia" w:hAnsiTheme="minorHAnsi"/>
              <w:b w:val="0"/>
              <w:color w:val="auto"/>
              <w:sz w:val="22"/>
              <w:lang w:eastAsia="en-AU"/>
            </w:rPr>
          </w:pPr>
          <w:hyperlink w:anchor="_Toc451530522" w:history="1">
            <w:r w:rsidRPr="0030384E">
              <w:rPr>
                <w:rStyle w:val="Hyperlink"/>
              </w:rPr>
              <w:t>13.1</w:t>
            </w:r>
            <w:r>
              <w:rPr>
                <w:rFonts w:asciiTheme="minorHAnsi" w:eastAsiaTheme="minorEastAsia" w:hAnsiTheme="minorHAnsi"/>
                <w:b w:val="0"/>
                <w:color w:val="auto"/>
                <w:sz w:val="22"/>
                <w:lang w:eastAsia="en-AU"/>
              </w:rPr>
              <w:tab/>
            </w:r>
            <w:r w:rsidRPr="0030384E">
              <w:rPr>
                <w:rStyle w:val="Hyperlink"/>
              </w:rPr>
              <w:t>Final decision</w:t>
            </w:r>
            <w:r>
              <w:rPr>
                <w:webHidden/>
              </w:rPr>
              <w:tab/>
            </w:r>
            <w:r>
              <w:rPr>
                <w:webHidden/>
              </w:rPr>
              <w:fldChar w:fldCharType="begin"/>
            </w:r>
            <w:r>
              <w:rPr>
                <w:webHidden/>
              </w:rPr>
              <w:instrText xml:space="preserve"> PAGEREF _Toc451530522 \h </w:instrText>
            </w:r>
            <w:r>
              <w:rPr>
                <w:webHidden/>
              </w:rPr>
            </w:r>
            <w:r>
              <w:rPr>
                <w:webHidden/>
              </w:rPr>
              <w:fldChar w:fldCharType="separate"/>
            </w:r>
            <w:r>
              <w:rPr>
                <w:webHidden/>
              </w:rPr>
              <w:t>13-6</w:t>
            </w:r>
            <w:r>
              <w:rPr>
                <w:webHidden/>
              </w:rPr>
              <w:fldChar w:fldCharType="end"/>
            </w:r>
          </w:hyperlink>
        </w:p>
        <w:p w:rsidR="00DF1720" w:rsidRDefault="00DF1720">
          <w:pPr>
            <w:pStyle w:val="TOC2"/>
            <w:tabs>
              <w:tab w:val="left" w:pos="1276"/>
            </w:tabs>
            <w:rPr>
              <w:rFonts w:asciiTheme="minorHAnsi" w:eastAsiaTheme="minorEastAsia" w:hAnsiTheme="minorHAnsi"/>
              <w:b w:val="0"/>
              <w:color w:val="auto"/>
              <w:sz w:val="22"/>
              <w:lang w:eastAsia="en-AU"/>
            </w:rPr>
          </w:pPr>
          <w:hyperlink w:anchor="_Toc451530523" w:history="1">
            <w:r w:rsidRPr="0030384E">
              <w:rPr>
                <w:rStyle w:val="Hyperlink"/>
              </w:rPr>
              <w:t>13.2</w:t>
            </w:r>
            <w:r>
              <w:rPr>
                <w:rFonts w:asciiTheme="minorHAnsi" w:eastAsiaTheme="minorEastAsia" w:hAnsiTheme="minorHAnsi"/>
                <w:b w:val="0"/>
                <w:color w:val="auto"/>
                <w:sz w:val="22"/>
                <w:lang w:eastAsia="en-AU"/>
              </w:rPr>
              <w:tab/>
            </w:r>
            <w:r w:rsidRPr="0030384E">
              <w:rPr>
                <w:rStyle w:val="Hyperlink"/>
              </w:rPr>
              <w:t>APTNT’s revised proposal</w:t>
            </w:r>
            <w:r>
              <w:rPr>
                <w:webHidden/>
              </w:rPr>
              <w:tab/>
            </w:r>
            <w:r>
              <w:rPr>
                <w:webHidden/>
              </w:rPr>
              <w:fldChar w:fldCharType="begin"/>
            </w:r>
            <w:r>
              <w:rPr>
                <w:webHidden/>
              </w:rPr>
              <w:instrText xml:space="preserve"> PAGEREF _Toc451530523 \h </w:instrText>
            </w:r>
            <w:r>
              <w:rPr>
                <w:webHidden/>
              </w:rPr>
            </w:r>
            <w:r>
              <w:rPr>
                <w:webHidden/>
              </w:rPr>
              <w:fldChar w:fldCharType="separate"/>
            </w:r>
            <w:r>
              <w:rPr>
                <w:webHidden/>
              </w:rPr>
              <w:t>13-6</w:t>
            </w:r>
            <w:r>
              <w:rPr>
                <w:webHidden/>
              </w:rPr>
              <w:fldChar w:fldCharType="end"/>
            </w:r>
          </w:hyperlink>
        </w:p>
        <w:p w:rsidR="00DF1720" w:rsidRDefault="00DF1720">
          <w:pPr>
            <w:pStyle w:val="TOC2"/>
            <w:tabs>
              <w:tab w:val="left" w:pos="1276"/>
            </w:tabs>
            <w:rPr>
              <w:rFonts w:asciiTheme="minorHAnsi" w:eastAsiaTheme="minorEastAsia" w:hAnsiTheme="minorHAnsi"/>
              <w:b w:val="0"/>
              <w:color w:val="auto"/>
              <w:sz w:val="22"/>
              <w:lang w:eastAsia="en-AU"/>
            </w:rPr>
          </w:pPr>
          <w:hyperlink w:anchor="_Toc451530524" w:history="1">
            <w:r w:rsidRPr="0030384E">
              <w:rPr>
                <w:rStyle w:val="Hyperlink"/>
              </w:rPr>
              <w:t>13.3</w:t>
            </w:r>
            <w:r>
              <w:rPr>
                <w:rFonts w:asciiTheme="minorHAnsi" w:eastAsiaTheme="minorEastAsia" w:hAnsiTheme="minorHAnsi"/>
                <w:b w:val="0"/>
                <w:color w:val="auto"/>
                <w:sz w:val="22"/>
                <w:lang w:eastAsia="en-AU"/>
              </w:rPr>
              <w:tab/>
            </w:r>
            <w:r w:rsidRPr="0030384E">
              <w:rPr>
                <w:rStyle w:val="Hyperlink"/>
              </w:rPr>
              <w:t>AER’s assessment approach</w:t>
            </w:r>
            <w:r>
              <w:rPr>
                <w:webHidden/>
              </w:rPr>
              <w:tab/>
            </w:r>
            <w:r>
              <w:rPr>
                <w:webHidden/>
              </w:rPr>
              <w:fldChar w:fldCharType="begin"/>
            </w:r>
            <w:r>
              <w:rPr>
                <w:webHidden/>
              </w:rPr>
              <w:instrText xml:space="preserve"> PAGEREF _Toc451530524 \h </w:instrText>
            </w:r>
            <w:r>
              <w:rPr>
                <w:webHidden/>
              </w:rPr>
            </w:r>
            <w:r>
              <w:rPr>
                <w:webHidden/>
              </w:rPr>
              <w:fldChar w:fldCharType="separate"/>
            </w:r>
            <w:r>
              <w:rPr>
                <w:webHidden/>
              </w:rPr>
              <w:t>13-6</w:t>
            </w:r>
            <w:r>
              <w:rPr>
                <w:webHidden/>
              </w:rPr>
              <w:fldChar w:fldCharType="end"/>
            </w:r>
          </w:hyperlink>
        </w:p>
        <w:p w:rsidR="00DF1720" w:rsidRDefault="00DF1720">
          <w:pPr>
            <w:pStyle w:val="TOC3"/>
            <w:rPr>
              <w:rFonts w:asciiTheme="minorHAnsi" w:eastAsiaTheme="minorEastAsia" w:hAnsiTheme="minorHAnsi"/>
              <w:lang w:eastAsia="en-AU"/>
            </w:rPr>
          </w:pPr>
          <w:hyperlink w:anchor="_Toc451530525" w:history="1">
            <w:r w:rsidRPr="0030384E">
              <w:rPr>
                <w:rStyle w:val="Hyperlink"/>
              </w:rPr>
              <w:t>13.3.1</w:t>
            </w:r>
            <w:r>
              <w:rPr>
                <w:rFonts w:asciiTheme="minorHAnsi" w:eastAsiaTheme="minorEastAsia" w:hAnsiTheme="minorHAnsi"/>
                <w:lang w:eastAsia="en-AU"/>
              </w:rPr>
              <w:tab/>
            </w:r>
            <w:r w:rsidRPr="0030384E">
              <w:rPr>
                <w:rStyle w:val="Hyperlink"/>
              </w:rPr>
              <w:t>Interrelationships</w:t>
            </w:r>
            <w:r>
              <w:rPr>
                <w:webHidden/>
              </w:rPr>
              <w:tab/>
            </w:r>
            <w:r>
              <w:rPr>
                <w:webHidden/>
              </w:rPr>
              <w:fldChar w:fldCharType="begin"/>
            </w:r>
            <w:r>
              <w:rPr>
                <w:webHidden/>
              </w:rPr>
              <w:instrText xml:space="preserve"> PAGEREF _Toc451530525 \h </w:instrText>
            </w:r>
            <w:r>
              <w:rPr>
                <w:webHidden/>
              </w:rPr>
            </w:r>
            <w:r>
              <w:rPr>
                <w:webHidden/>
              </w:rPr>
              <w:fldChar w:fldCharType="separate"/>
            </w:r>
            <w:r>
              <w:rPr>
                <w:webHidden/>
              </w:rPr>
              <w:t>13-6</w:t>
            </w:r>
            <w:r>
              <w:rPr>
                <w:webHidden/>
              </w:rPr>
              <w:fldChar w:fldCharType="end"/>
            </w:r>
          </w:hyperlink>
        </w:p>
        <w:p w:rsidR="00DF1720" w:rsidRDefault="00DF1720">
          <w:pPr>
            <w:pStyle w:val="TOC2"/>
            <w:tabs>
              <w:tab w:val="left" w:pos="1276"/>
            </w:tabs>
            <w:rPr>
              <w:rFonts w:asciiTheme="minorHAnsi" w:eastAsiaTheme="minorEastAsia" w:hAnsiTheme="minorHAnsi"/>
              <w:b w:val="0"/>
              <w:color w:val="auto"/>
              <w:sz w:val="22"/>
              <w:lang w:eastAsia="en-AU"/>
            </w:rPr>
          </w:pPr>
          <w:hyperlink w:anchor="_Toc451530526" w:history="1">
            <w:r w:rsidRPr="0030384E">
              <w:rPr>
                <w:rStyle w:val="Hyperlink"/>
              </w:rPr>
              <w:t>13.4</w:t>
            </w:r>
            <w:r>
              <w:rPr>
                <w:rFonts w:asciiTheme="minorHAnsi" w:eastAsiaTheme="minorEastAsia" w:hAnsiTheme="minorHAnsi"/>
                <w:b w:val="0"/>
                <w:color w:val="auto"/>
                <w:sz w:val="22"/>
                <w:lang w:eastAsia="en-AU"/>
              </w:rPr>
              <w:tab/>
            </w:r>
            <w:r w:rsidRPr="0030384E">
              <w:rPr>
                <w:rStyle w:val="Hyperlink"/>
              </w:rPr>
              <w:t>Reasons for final decision</w:t>
            </w:r>
            <w:r>
              <w:rPr>
                <w:webHidden/>
              </w:rPr>
              <w:tab/>
            </w:r>
            <w:r>
              <w:rPr>
                <w:webHidden/>
              </w:rPr>
              <w:fldChar w:fldCharType="begin"/>
            </w:r>
            <w:r>
              <w:rPr>
                <w:webHidden/>
              </w:rPr>
              <w:instrText xml:space="preserve"> PAGEREF _Toc451530526 \h </w:instrText>
            </w:r>
            <w:r>
              <w:rPr>
                <w:webHidden/>
              </w:rPr>
            </w:r>
            <w:r>
              <w:rPr>
                <w:webHidden/>
              </w:rPr>
              <w:fldChar w:fldCharType="separate"/>
            </w:r>
            <w:r>
              <w:rPr>
                <w:webHidden/>
              </w:rPr>
              <w:t>13-7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520"/>
      <w:r>
        <w:t>Shortened forms</w:t>
      </w:r>
      <w:bookmarkEnd w:id="8"/>
      <w:bookmarkEnd w:id="9"/>
    </w:p>
    <w:tbl>
      <w:tblPr>
        <w:tblStyle w:val="AERtable-numbers"/>
        <w:tblW w:w="0" w:type="auto"/>
        <w:tblLook w:val="04A0" w:firstRow="1" w:lastRow="0" w:firstColumn="1" w:lastColumn="0" w:noHBand="0" w:noVBand="1"/>
      </w:tblPr>
      <w:tblGrid>
        <w:gridCol w:w="2376"/>
        <w:gridCol w:w="6317"/>
      </w:tblGrid>
      <w:tr w:rsidR="001A745C" w:rsidRPr="00B2363F" w:rsidTr="008D12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1A745C" w:rsidRPr="001A745C" w:rsidRDefault="001A745C" w:rsidP="001A745C">
            <w:pPr>
              <w:numPr>
                <w:ilvl w:val="0"/>
                <w:numId w:val="24"/>
              </w:numPr>
            </w:pPr>
            <w:r w:rsidRPr="001A745C">
              <w:t>Shortened form</w:t>
            </w:r>
          </w:p>
        </w:tc>
        <w:tc>
          <w:tcPr>
            <w:tcW w:w="6317" w:type="dxa"/>
          </w:tcPr>
          <w:p w:rsidR="001A745C" w:rsidRPr="001A745C" w:rsidRDefault="001A745C" w:rsidP="001A745C">
            <w:pPr>
              <w:numPr>
                <w:ilvl w:val="0"/>
                <w:numId w:val="24"/>
              </w:numPr>
              <w:cnfStyle w:val="100000000000" w:firstRow="1" w:lastRow="0" w:firstColumn="0" w:lastColumn="0" w:oddVBand="0" w:evenVBand="0" w:oddHBand="0" w:evenHBand="0" w:firstRowFirstColumn="0" w:firstRowLastColumn="0" w:lastRowFirstColumn="0" w:lastRowLastColumn="0"/>
            </w:pPr>
            <w:r w:rsidRPr="001A745C">
              <w:t>Extended form</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AA</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AAI</w:t>
            </w:r>
          </w:p>
        </w:tc>
        <w:tc>
          <w:tcPr>
            <w:tcW w:w="6317" w:type="dxa"/>
          </w:tcPr>
          <w:p w:rsidR="00104FD6" w:rsidRPr="00104FD6" w:rsidRDefault="00104FD6" w:rsidP="00104FD6">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035E7">
              <w:t>APTNT</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AER</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t>AGP</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t>Amadeus Gas Pipeline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ATO</w:t>
            </w:r>
          </w:p>
        </w:tc>
        <w:tc>
          <w:tcPr>
            <w:tcW w:w="6317" w:type="dxa"/>
          </w:tcPr>
          <w:p w:rsidR="00104FD6" w:rsidRPr="00104FD6" w:rsidRDefault="00104FD6" w:rsidP="00104FD6">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capex</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CAPM</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CPI</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DRP</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B2363F" w:rsidRDefault="00104FD6" w:rsidP="00104FD6">
            <w:pPr>
              <w:numPr>
                <w:ilvl w:val="0"/>
                <w:numId w:val="24"/>
              </w:numPr>
            </w:pPr>
            <w:r>
              <w:t>ECM</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ERP</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Expenditure Guideline</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gamma</w:t>
            </w:r>
          </w:p>
        </w:tc>
        <w:tc>
          <w:tcPr>
            <w:tcW w:w="6317" w:type="dxa"/>
          </w:tcPr>
          <w:p w:rsidR="00104FD6" w:rsidRPr="00104FD6" w:rsidRDefault="00104FD6" w:rsidP="00104FD6">
            <w:pPr>
              <w:cnfStyle w:val="000000010000" w:firstRow="0" w:lastRow="0" w:firstColumn="0" w:lastColumn="0" w:oddVBand="0" w:evenVBand="0" w:oddHBand="0" w:evenHBand="1" w:firstRowFirstColumn="0" w:firstRowLastColumn="0" w:lastRowFirstColumn="0" w:lastRowLastColumn="0"/>
            </w:pPr>
            <w:r>
              <w:t>v</w:t>
            </w:r>
            <w:r w:rsidRPr="00104FD6">
              <w:t>alue of imputation credits</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GTA</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t>G</w:t>
            </w:r>
            <w:r w:rsidRPr="00104FD6">
              <w:t>as Transport Services Agreement</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MRP</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N</w:t>
            </w:r>
            <w:r>
              <w:t>GP</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NGL</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NGO</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NGR</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NPV</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opex</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PTRM</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RBA</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RFM</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RIN</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RPP</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SLCAPM</w:t>
            </w:r>
          </w:p>
        </w:tc>
        <w:tc>
          <w:tcPr>
            <w:tcW w:w="6317" w:type="dxa"/>
          </w:tcPr>
          <w:p w:rsidR="00104FD6" w:rsidRPr="00F13601" w:rsidRDefault="00104FD6" w:rsidP="00104FD6">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TAB</w:t>
            </w:r>
          </w:p>
        </w:tc>
        <w:tc>
          <w:tcPr>
            <w:tcW w:w="6317" w:type="dxa"/>
          </w:tcPr>
          <w:p w:rsidR="00104FD6" w:rsidRPr="00104FD6" w:rsidRDefault="00104FD6" w:rsidP="00104FD6">
            <w:pPr>
              <w:cnfStyle w:val="000000000000" w:firstRow="0" w:lastRow="0" w:firstColumn="0" w:lastColumn="0" w:oddVBand="0" w:evenVBand="0" w:oddHBand="0" w:evenHBand="0" w:firstRowFirstColumn="0" w:firstRowLastColumn="0" w:lastRowFirstColumn="0" w:lastRowLastColumn="0"/>
            </w:pPr>
            <w:r>
              <w:t>t</w:t>
            </w:r>
            <w:r w:rsidRPr="00104FD6">
              <w:t>ax asset base</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UAFG</w:t>
            </w:r>
          </w:p>
        </w:tc>
        <w:tc>
          <w:tcPr>
            <w:tcW w:w="6317" w:type="dxa"/>
          </w:tcPr>
          <w:p w:rsidR="00104FD6" w:rsidRPr="00104FD6" w:rsidRDefault="00104FD6" w:rsidP="00104FD6">
            <w:pPr>
              <w:cnfStyle w:val="000000010000" w:firstRow="0" w:lastRow="0" w:firstColumn="0" w:lastColumn="0" w:oddVBand="0" w:evenVBand="0" w:oddHBand="0" w:evenHBand="1" w:firstRowFirstColumn="0" w:firstRowLastColumn="0" w:lastRowFirstColumn="0" w:lastRowLastColumn="0"/>
            </w:pPr>
            <w:r>
              <w:t>u</w:t>
            </w:r>
            <w:r w:rsidRPr="00104FD6">
              <w:t>naccounted for gas</w:t>
            </w:r>
          </w:p>
        </w:tc>
      </w:tr>
      <w:tr w:rsidR="00104FD6" w:rsidRPr="00B2363F" w:rsidTr="00104FD6">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WACC</w:t>
            </w:r>
          </w:p>
        </w:tc>
        <w:tc>
          <w:tcPr>
            <w:tcW w:w="6317" w:type="dxa"/>
          </w:tcPr>
          <w:p w:rsidR="00104FD6" w:rsidRPr="00F13601" w:rsidRDefault="00104FD6" w:rsidP="00104FD6">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104FD6" w:rsidRPr="00B2363F" w:rsidTr="00104F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04FD6" w:rsidRPr="00F13601" w:rsidRDefault="00104FD6" w:rsidP="00104FD6">
            <w:pPr>
              <w:numPr>
                <w:ilvl w:val="0"/>
                <w:numId w:val="24"/>
              </w:numPr>
            </w:pPr>
            <w:r w:rsidRPr="00F13601">
              <w:t>WPI</w:t>
            </w:r>
          </w:p>
        </w:tc>
        <w:tc>
          <w:tcPr>
            <w:tcW w:w="6317" w:type="dxa"/>
          </w:tcPr>
          <w:p w:rsidR="00104FD6" w:rsidRPr="00104FD6" w:rsidRDefault="00104FD6" w:rsidP="00104FD6">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205A33" w:rsidP="00EE77FA">
      <w:pPr>
        <w:pStyle w:val="Heading1"/>
      </w:pPr>
      <w:bookmarkStart w:id="10" w:name="_Toc451530521"/>
      <w:r>
        <w:t>Demand</w:t>
      </w:r>
      <w:bookmarkEnd w:id="10"/>
    </w:p>
    <w:p w:rsidR="00E248EA" w:rsidRPr="00E248EA" w:rsidRDefault="00E248EA" w:rsidP="00E248EA">
      <w:r w:rsidRPr="00E248EA">
        <w:t xml:space="preserve">This attachment sets out the AER’s assessment of the demand forecasts for </w:t>
      </w:r>
      <w:r>
        <w:t>APTNT for the 2016-21</w:t>
      </w:r>
      <w:r w:rsidRPr="00E248EA">
        <w:t xml:space="preserve"> access arrangement </w:t>
      </w:r>
      <w:proofErr w:type="gramStart"/>
      <w:r w:rsidRPr="00E248EA">
        <w:t>period</w:t>
      </w:r>
      <w:proofErr w:type="gramEnd"/>
      <w:r w:rsidRPr="00E248EA">
        <w:t>. Demand is an importan</w:t>
      </w:r>
      <w:r w:rsidR="00C24C64">
        <w:t xml:space="preserve">t input into the derivation of </w:t>
      </w:r>
      <w:r>
        <w:t>APTNT's</w:t>
      </w:r>
      <w:r w:rsidRPr="00E248EA">
        <w:t xml:space="preserve"> reference tariffs. </w:t>
      </w:r>
    </w:p>
    <w:p w:rsidR="00A2303E" w:rsidRDefault="00A2303E" w:rsidP="00A2303E">
      <w:pPr>
        <w:pStyle w:val="Heading2"/>
      </w:pPr>
      <w:bookmarkStart w:id="11" w:name="_Toc408404320"/>
      <w:bookmarkStart w:id="12" w:name="_Toc419366913"/>
      <w:bookmarkStart w:id="13" w:name="_Toc451530522"/>
      <w:r>
        <w:t>Final</w:t>
      </w:r>
      <w:r w:rsidRPr="0074565D">
        <w:t xml:space="preserve"> decision</w:t>
      </w:r>
      <w:bookmarkEnd w:id="11"/>
      <w:bookmarkEnd w:id="12"/>
      <w:bookmarkEnd w:id="13"/>
    </w:p>
    <w:p w:rsidR="00C24C64" w:rsidRPr="00C24C64" w:rsidRDefault="00C24C64" w:rsidP="00C24C64">
      <w:r w:rsidRPr="00C24C64">
        <w:t>We are satisfied that APTNT’s proposed demand forecasts comply with rule 74(2) of the National Gas Rules (NGR).</w:t>
      </w:r>
    </w:p>
    <w:p w:rsidR="00A2303E" w:rsidRDefault="00A2303E" w:rsidP="00A2303E">
      <w:pPr>
        <w:pStyle w:val="Heading2"/>
      </w:pPr>
      <w:bookmarkStart w:id="14" w:name="_Toc419366914"/>
      <w:bookmarkStart w:id="15" w:name="_Toc451530523"/>
      <w:r>
        <w:t xml:space="preserve">APTNT’s </w:t>
      </w:r>
      <w:r w:rsidR="002C525C">
        <w:t xml:space="preserve">revised </w:t>
      </w:r>
      <w:r>
        <w:t>proposal</w:t>
      </w:r>
      <w:bookmarkEnd w:id="14"/>
      <w:bookmarkEnd w:id="15"/>
    </w:p>
    <w:p w:rsidR="00C24C64" w:rsidRPr="00C24C64" w:rsidRDefault="00C24C64" w:rsidP="00C24C64">
      <w:r w:rsidRPr="00C24C64">
        <w:t>APTNT noted that our draft decision accepted APTNT's demand and pipeline utilisation forecasts for the access arrangement period.</w:t>
      </w:r>
      <w:r w:rsidR="00F476D9">
        <w:rPr>
          <w:rStyle w:val="FootnoteReference"/>
        </w:rPr>
        <w:footnoteReference w:id="1"/>
      </w:r>
      <w:r w:rsidRPr="00C24C64">
        <w:t xml:space="preserve"> APTNT did not propose any further revisions to its demand and pipeline utilisation forecasts.</w:t>
      </w:r>
      <w:r w:rsidR="00F476D9">
        <w:rPr>
          <w:rStyle w:val="FootnoteReference"/>
        </w:rPr>
        <w:footnoteReference w:id="2"/>
      </w:r>
    </w:p>
    <w:p w:rsidR="00A2303E" w:rsidRDefault="00A2303E" w:rsidP="00A2303E">
      <w:pPr>
        <w:pStyle w:val="Heading2"/>
      </w:pPr>
      <w:bookmarkStart w:id="16" w:name="_Toc408404322"/>
      <w:bookmarkStart w:id="17" w:name="_Toc419366915"/>
      <w:bookmarkStart w:id="18" w:name="_Toc451530524"/>
      <w:r w:rsidRPr="0074565D">
        <w:t>AER’s assessment approach</w:t>
      </w:r>
      <w:bookmarkEnd w:id="16"/>
      <w:bookmarkEnd w:id="17"/>
      <w:bookmarkEnd w:id="18"/>
    </w:p>
    <w:p w:rsidR="00C24C64" w:rsidRPr="00C24C64" w:rsidRDefault="001A3C58" w:rsidP="00C24C64">
      <w:r w:rsidRPr="001A3C58">
        <w:t>Our assessment approach is the same as in the draft decision.</w:t>
      </w:r>
      <w:r w:rsidRPr="001A3C58">
        <w:rPr>
          <w:rStyle w:val="FootnoteReference"/>
        </w:rPr>
        <w:footnoteReference w:id="3"/>
      </w:r>
    </w:p>
    <w:p w:rsidR="00880E65" w:rsidRDefault="00880E65" w:rsidP="00880E65">
      <w:pPr>
        <w:pStyle w:val="Heading3"/>
      </w:pPr>
      <w:bookmarkStart w:id="19" w:name="_Toc436045098"/>
      <w:bookmarkStart w:id="20" w:name="_Toc408404324"/>
      <w:bookmarkStart w:id="21" w:name="_Toc419366917"/>
      <w:bookmarkStart w:id="22" w:name="_Toc451530525"/>
      <w:r>
        <w:t>Interrelationships</w:t>
      </w:r>
      <w:bookmarkEnd w:id="19"/>
      <w:bookmarkEnd w:id="22"/>
    </w:p>
    <w:p w:rsidR="00880E65" w:rsidRDefault="00880E65" w:rsidP="00880E65">
      <w:r>
        <w:t>Tariff prices depend on estimates o</w:t>
      </w:r>
      <w:r w:rsidR="001A745C">
        <w:t>f</w:t>
      </w:r>
      <w:r>
        <w:t xml:space="preserve"> forecast total demand (GJ/day). Changes in these forecasts will translate into changed tariff prices. In simple terms, tariff prices are determined by </w:t>
      </w:r>
      <w:r w:rsidR="001A745C">
        <w:t xml:space="preserve">dividing </w:t>
      </w:r>
      <w:r>
        <w:t xml:space="preserve">cost </w:t>
      </w:r>
      <w:r w:rsidR="001A745C">
        <w:t xml:space="preserve">(as reflected in the forecast revenue requirement) </w:t>
      </w:r>
      <w:r>
        <w:t>by total demand (GJ/day), such that an increase in forecast demand has the effect of reducing the tariff price and vice versa.</w:t>
      </w:r>
    </w:p>
    <w:p w:rsidR="003628B4" w:rsidRDefault="003628B4" w:rsidP="00880E65">
      <w:r w:rsidRPr="003628B4">
        <w:t>The demand forecasts also affect capital and operating expenditure linked to increased network capacity. However, APTNT has not proposed to increase the capacity of the network during the access arrangement period.</w:t>
      </w:r>
    </w:p>
    <w:p w:rsidR="00B71174" w:rsidRDefault="001A745C" w:rsidP="00880E65">
      <w:r>
        <w:t>The Power and Water Corporation (</w:t>
      </w:r>
      <w:r w:rsidR="00046878">
        <w:t>PWC</w:t>
      </w:r>
      <w:r>
        <w:t>)</w:t>
      </w:r>
      <w:r w:rsidR="00046878">
        <w:t xml:space="preserve"> submitted that the firm capacity of the AGP will materially increase with the connection of the North</w:t>
      </w:r>
      <w:r>
        <w:t>ern</w:t>
      </w:r>
      <w:r w:rsidR="00046878">
        <w:t xml:space="preserve"> Gas </w:t>
      </w:r>
      <w:r>
        <w:t>Pipeline</w:t>
      </w:r>
      <w:r w:rsidR="00046878">
        <w:t xml:space="preserve"> (NG</w:t>
      </w:r>
      <w:r>
        <w:t>P</w:t>
      </w:r>
      <w:r w:rsidR="00046878">
        <w:t xml:space="preserve">) to the </w:t>
      </w:r>
      <w:r>
        <w:t>Amadeus Gas Pipeline (</w:t>
      </w:r>
      <w:r w:rsidR="00046878">
        <w:t>A</w:t>
      </w:r>
      <w:r w:rsidR="00B71174">
        <w:t>G</w:t>
      </w:r>
      <w:r w:rsidR="00046878">
        <w:t>P</w:t>
      </w:r>
      <w:r>
        <w:t>)</w:t>
      </w:r>
      <w:r w:rsidR="00046878">
        <w:t>.</w:t>
      </w:r>
      <w:r w:rsidR="00553CFA">
        <w:rPr>
          <w:rStyle w:val="FootnoteReference"/>
        </w:rPr>
        <w:footnoteReference w:id="4"/>
      </w:r>
      <w:r w:rsidR="00046878">
        <w:t xml:space="preserve"> PWC also challenged APTNT's view that the reference tariff will be unaffected by the </w:t>
      </w:r>
      <w:r>
        <w:t>NGP</w:t>
      </w:r>
      <w:r w:rsidR="00046878">
        <w:t>, particularly where existing A</w:t>
      </w:r>
      <w:r w:rsidR="00B71174">
        <w:t>G</w:t>
      </w:r>
      <w:r w:rsidR="00046878">
        <w:t xml:space="preserve">P capacity is reallocated from PWC to new </w:t>
      </w:r>
      <w:r>
        <w:t xml:space="preserve">NGP </w:t>
      </w:r>
      <w:r w:rsidR="00046878">
        <w:t>users</w:t>
      </w:r>
      <w:r w:rsidR="00B71174">
        <w:t>.</w:t>
      </w:r>
      <w:r w:rsidR="00553CFA">
        <w:rPr>
          <w:rStyle w:val="FootnoteReference"/>
        </w:rPr>
        <w:footnoteReference w:id="5"/>
      </w:r>
      <w:r w:rsidR="00B71174">
        <w:t xml:space="preserve"> </w:t>
      </w:r>
    </w:p>
    <w:p w:rsidR="00880E65" w:rsidRDefault="00B71174" w:rsidP="00880E65">
      <w:r>
        <w:t xml:space="preserve">We maintain our view that </w:t>
      </w:r>
      <w:r w:rsidR="00880E65" w:rsidRPr="00F91F55">
        <w:t xml:space="preserve">the </w:t>
      </w:r>
      <w:r>
        <w:t xml:space="preserve">connection of the </w:t>
      </w:r>
      <w:r w:rsidR="00880E65" w:rsidRPr="00F91F55">
        <w:t>NG</w:t>
      </w:r>
      <w:r w:rsidR="001A745C">
        <w:t>P</w:t>
      </w:r>
      <w:r w:rsidR="00880E65" w:rsidRPr="00F91F55">
        <w:t xml:space="preserve"> to the AGP may impa</w:t>
      </w:r>
      <w:r>
        <w:t>ct on future demand on the AGP and as a result the reference tariff. As such</w:t>
      </w:r>
      <w:r w:rsidR="001A745C">
        <w:t>,</w:t>
      </w:r>
      <w:r>
        <w:t xml:space="preserve"> </w:t>
      </w:r>
      <w:r w:rsidR="00E465DD">
        <w:t xml:space="preserve">to address this uncertainty </w:t>
      </w:r>
      <w:r>
        <w:t xml:space="preserve">we have retained our approach in the draft decision to </w:t>
      </w:r>
      <w:r w:rsidR="001A3D22">
        <w:t>make provision for an early review of the access arrangement if this becomes necessary (refer to attachment 12)</w:t>
      </w:r>
      <w:r>
        <w:t>.</w:t>
      </w:r>
    </w:p>
    <w:p w:rsidR="00A2303E" w:rsidRDefault="00A2303E" w:rsidP="00A2303E">
      <w:pPr>
        <w:pStyle w:val="Heading2"/>
      </w:pPr>
      <w:bookmarkStart w:id="23" w:name="_Toc451530526"/>
      <w:r w:rsidRPr="0074565D">
        <w:t xml:space="preserve">Reasons for </w:t>
      </w:r>
      <w:r>
        <w:t>final</w:t>
      </w:r>
      <w:r w:rsidRPr="0074565D">
        <w:t xml:space="preserve"> decision</w:t>
      </w:r>
      <w:bookmarkEnd w:id="20"/>
      <w:bookmarkEnd w:id="21"/>
      <w:bookmarkEnd w:id="23"/>
    </w:p>
    <w:p w:rsidR="001A3C58" w:rsidRPr="001A3C58" w:rsidRDefault="001A3C58" w:rsidP="001A3C58">
      <w:r w:rsidRPr="001A3C58">
        <w:t>In our draft decision we accepted APTNT's proposed demand and pipeline utilisation forecasts on the basis that:</w:t>
      </w:r>
      <w:r w:rsidR="00F476D9">
        <w:rPr>
          <w:rStyle w:val="FootnoteReference"/>
        </w:rPr>
        <w:footnoteReference w:id="6"/>
      </w:r>
    </w:p>
    <w:p w:rsidR="001A3C58" w:rsidRPr="001A3C58" w:rsidRDefault="001A3C58" w:rsidP="001A3C58">
      <w:pPr>
        <w:pStyle w:val="AERbulletlistfirststyle"/>
      </w:pPr>
      <w:r w:rsidRPr="001A3C58">
        <w:t>we considered that the demand forecast methodology and assumptions adopted by APTNT were arrived at on a reasonable basis in accordance with the NGR</w:t>
      </w:r>
    </w:p>
    <w:p w:rsidR="001A3C58" w:rsidRPr="001A3C58" w:rsidRDefault="001A3C58" w:rsidP="001A3C58">
      <w:pPr>
        <w:pStyle w:val="AERbulletlistfirststyle"/>
      </w:pPr>
      <w:r w:rsidRPr="001A3C58">
        <w:t xml:space="preserve">we were satisfied that the information in </w:t>
      </w:r>
      <w:r w:rsidR="001A745C">
        <w:t>APTNT's access arrangement information</w:t>
      </w:r>
      <w:r w:rsidRPr="001A3C58">
        <w:t xml:space="preserve"> satisfied the requirements of the NGR in relation to minimum, maximum and average demand from the earlier access arrangement period and forecast pipeline capacity and utilisation over the 2016</w:t>
      </w:r>
      <w:r w:rsidR="001A745C">
        <w:t>–</w:t>
      </w:r>
      <w:r w:rsidRPr="001A3C58">
        <w:t>21 access arrangement period</w:t>
      </w:r>
    </w:p>
    <w:p w:rsidR="001A3C58" w:rsidRDefault="001A3C58" w:rsidP="001A3C58">
      <w:pPr>
        <w:pStyle w:val="AERbulletlistfirststyle"/>
      </w:pPr>
      <w:r w:rsidRPr="001A3C58">
        <w:t xml:space="preserve">we were satisfied that APTNT’s forecast user numbers for the 2016–21 access arrangement period </w:t>
      </w:r>
      <w:r w:rsidR="001A745C">
        <w:t>had</w:t>
      </w:r>
      <w:r w:rsidRPr="001A3C58">
        <w:t xml:space="preserve"> been arrived at on a reasonable basis.</w:t>
      </w:r>
    </w:p>
    <w:p w:rsidR="001A3C58" w:rsidRPr="001A3C58" w:rsidRDefault="00553CFA" w:rsidP="001A3C58">
      <w:r>
        <w:t xml:space="preserve">On the basis </w:t>
      </w:r>
      <w:r w:rsidR="00B20840">
        <w:t>that we have not identified any new information</w:t>
      </w:r>
      <w:r w:rsidR="00B20840" w:rsidRPr="00DF7C79">
        <w:t xml:space="preserve"> which impact</w:t>
      </w:r>
      <w:r w:rsidR="00B20840">
        <w:t>s</w:t>
      </w:r>
      <w:r w:rsidR="00B20840" w:rsidRPr="00DF7C79">
        <w:t xml:space="preserve"> upon our reasoning as set out in the draft decision</w:t>
      </w:r>
      <w:r w:rsidR="00832374">
        <w:t>,</w:t>
      </w:r>
      <w:r w:rsidR="00B20840">
        <w:t xml:space="preserve"> </w:t>
      </w:r>
      <w:r w:rsidR="006E5DB1">
        <w:t>we</w:t>
      </w:r>
      <w:r w:rsidR="001A3C58" w:rsidRPr="001A3C58">
        <w:t xml:space="preserve"> are satisfied that APTNT’s demand forecasts</w:t>
      </w:r>
      <w:r w:rsidR="00F476D9">
        <w:t xml:space="preserve">, including </w:t>
      </w:r>
      <w:r w:rsidR="001A3C58" w:rsidRPr="001A3C58">
        <w:t>forecast</w:t>
      </w:r>
      <w:r w:rsidR="00F476D9">
        <w:t>s</w:t>
      </w:r>
      <w:r w:rsidR="001A3C58" w:rsidRPr="001A3C58">
        <w:t xml:space="preserve"> for capacity utilisation</w:t>
      </w:r>
      <w:r w:rsidR="00F476D9">
        <w:t>,</w:t>
      </w:r>
      <w:r w:rsidR="001A3C58" w:rsidRPr="001A3C58">
        <w:t xml:space="preserve"> are arrived at on a reasonable basis. As such we consider that APTNT’s demand forecasts represent the best estimate possible in the circumstances.</w:t>
      </w:r>
      <w:r w:rsidR="001A3C58" w:rsidRPr="001A3C58">
        <w:rPr>
          <w:rStyle w:val="FootnoteReference"/>
        </w:rPr>
        <w:footnoteReference w:id="7"/>
      </w:r>
      <w:r w:rsidR="001A3C58" w:rsidRPr="001A3C58">
        <w:t xml:space="preserve"> This conclusion must be read in conjunction with our draft decision, which details our analysis of APTNT's demand forecasts.</w:t>
      </w:r>
      <w:r w:rsidR="003628B4">
        <w:rPr>
          <w:rStyle w:val="FootnoteReference"/>
        </w:rPr>
        <w:footnoteReference w:id="8"/>
      </w:r>
    </w:p>
    <w:p w:rsidR="00880E65" w:rsidRPr="00546678" w:rsidRDefault="00880E65" w:rsidP="00880E65"/>
    <w:p w:rsidR="00880E65" w:rsidRPr="00880E65" w:rsidRDefault="00880E65" w:rsidP="00880E65"/>
    <w:sectPr w:rsidR="00880E65" w:rsidRPr="00880E65"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F40B82">
          <w:rPr>
            <w:noProof/>
          </w:rPr>
          <w:t>13-5</w:t>
        </w:r>
        <w:r w:rsidRPr="00CA52A2">
          <w:fldChar w:fldCharType="end"/>
        </w:r>
        <w:r w:rsidRPr="00CA52A2">
          <w:t xml:space="preserve">          Attachment </w:t>
        </w:r>
        <w:r>
          <w:t xml:space="preserve">13 </w:t>
        </w:r>
        <w:r w:rsidRPr="00CA52A2">
          <w:t xml:space="preserve">– </w:t>
        </w:r>
        <w:r>
          <w:t xml:space="preserve">Demand </w:t>
        </w:r>
        <w:r w:rsidRPr="00CA52A2">
          <w:t xml:space="preserve">| </w:t>
        </w:r>
        <w:r w:rsidR="00D32CE0">
          <w:t>Final</w:t>
        </w:r>
        <w:r>
          <w:t xml:space="preserve"> decision: Amadeus Gas Pipeline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E0" w:rsidRDefault="00D32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F476D9" w:rsidRDefault="00F476D9">
      <w:pPr>
        <w:pStyle w:val="FootnoteText"/>
      </w:pPr>
      <w:r>
        <w:rPr>
          <w:rStyle w:val="FootnoteReference"/>
        </w:rPr>
        <w:footnoteRef/>
      </w:r>
      <w:r>
        <w:t xml:space="preserve"> </w:t>
      </w:r>
      <w:r>
        <w:tab/>
        <w:t>AP</w:t>
      </w:r>
      <w:r w:rsidR="001A745C">
        <w:t>TNT</w:t>
      </w:r>
      <w:r>
        <w:t xml:space="preserve">, </w:t>
      </w:r>
      <w:r w:rsidR="001A745C" w:rsidRPr="001A745C">
        <w:rPr>
          <w:rStyle w:val="Emphasis"/>
        </w:rPr>
        <w:t>Amadeus Gas Pipeline Access Arrangement Revised Proposal Response to Draft Decision - Submission</w:t>
      </w:r>
      <w:r>
        <w:t>, January 2016, p.</w:t>
      </w:r>
      <w:r w:rsidR="00832374">
        <w:t xml:space="preserve"> </w:t>
      </w:r>
      <w:r>
        <w:t>28</w:t>
      </w:r>
      <w:r w:rsidR="001A745C">
        <w:t>.</w:t>
      </w:r>
      <w:r>
        <w:t xml:space="preserve"> </w:t>
      </w:r>
    </w:p>
  </w:footnote>
  <w:footnote w:id="2">
    <w:p w:rsidR="00F476D9" w:rsidRDefault="00F476D9">
      <w:pPr>
        <w:pStyle w:val="FootnoteText"/>
      </w:pPr>
      <w:r>
        <w:rPr>
          <w:rStyle w:val="FootnoteReference"/>
        </w:rPr>
        <w:footnoteRef/>
      </w:r>
      <w:r>
        <w:t xml:space="preserve"> </w:t>
      </w:r>
      <w:r>
        <w:tab/>
        <w:t>AP</w:t>
      </w:r>
      <w:r w:rsidR="001A745C">
        <w:t>TNT</w:t>
      </w:r>
      <w:r>
        <w:t xml:space="preserve">, </w:t>
      </w:r>
      <w:r w:rsidR="001A745C" w:rsidRPr="001A745C">
        <w:rPr>
          <w:rStyle w:val="Emphasis"/>
        </w:rPr>
        <w:t>Amadeus Gas Pipeline Access Arrangement Revised Proposal Response to Draft Decision - Submission</w:t>
      </w:r>
      <w:r>
        <w:t>, January 2016, p.</w:t>
      </w:r>
      <w:r w:rsidR="00832374">
        <w:t xml:space="preserve"> </w:t>
      </w:r>
      <w:r>
        <w:t>28</w:t>
      </w:r>
      <w:r w:rsidR="001A745C">
        <w:t>.</w:t>
      </w:r>
    </w:p>
  </w:footnote>
  <w:footnote w:id="3">
    <w:p w:rsidR="001A3C58" w:rsidRDefault="001A3C58" w:rsidP="001A3C58">
      <w:pPr>
        <w:pStyle w:val="FootnoteText"/>
      </w:pPr>
      <w:r>
        <w:rPr>
          <w:rStyle w:val="FootnoteReference"/>
        </w:rPr>
        <w:footnoteRef/>
      </w:r>
      <w:r>
        <w:t xml:space="preserve"> </w:t>
      </w:r>
      <w:r>
        <w:tab/>
      </w:r>
      <w:r w:rsidRPr="00BD5868">
        <w:t xml:space="preserve">AER, </w:t>
      </w:r>
      <w:r w:rsidRPr="00551661">
        <w:rPr>
          <w:rStyle w:val="Emphasis"/>
        </w:rPr>
        <w:t>Draft Decision</w:t>
      </w:r>
      <w:r w:rsidRPr="00BD5868">
        <w:t xml:space="preserve">, </w:t>
      </w:r>
      <w:r w:rsidRPr="00BD5868">
        <w:rPr>
          <w:rStyle w:val="AERtextitalic"/>
        </w:rPr>
        <w:t>Amadeus Gas Pipeline Access Arrang</w:t>
      </w:r>
      <w:r>
        <w:rPr>
          <w:rStyle w:val="AERtextitalic"/>
        </w:rPr>
        <w:t>ement 2016 to 2021, Attachment 13</w:t>
      </w:r>
      <w:r w:rsidRPr="00BD5868">
        <w:rPr>
          <w:rStyle w:val="AERtextitalic"/>
        </w:rPr>
        <w:t xml:space="preserve"> - </w:t>
      </w:r>
      <w:r>
        <w:rPr>
          <w:rStyle w:val="AERtextitalic"/>
        </w:rPr>
        <w:t>Demand</w:t>
      </w:r>
      <w:r>
        <w:t>, November 2015, pp</w:t>
      </w:r>
      <w:r w:rsidR="00832374">
        <w:t>.</w:t>
      </w:r>
      <w:r>
        <w:t xml:space="preserve"> 13-6 to 13-7</w:t>
      </w:r>
      <w:r w:rsidR="001A745C">
        <w:t>.</w:t>
      </w:r>
    </w:p>
  </w:footnote>
  <w:footnote w:id="4">
    <w:p w:rsidR="00553CFA" w:rsidRDefault="00553CFA">
      <w:pPr>
        <w:pStyle w:val="FootnoteText"/>
      </w:pPr>
      <w:r>
        <w:rPr>
          <w:rStyle w:val="FootnoteReference"/>
        </w:rPr>
        <w:footnoteRef/>
      </w:r>
      <w:r>
        <w:t xml:space="preserve"> </w:t>
      </w:r>
      <w:r>
        <w:tab/>
        <w:t xml:space="preserve">Power and Water Corporation, </w:t>
      </w:r>
      <w:r w:rsidR="00832374">
        <w:rPr>
          <w:rStyle w:val="AERtextitalic"/>
        </w:rPr>
        <w:t>S</w:t>
      </w:r>
      <w:r w:rsidRPr="00553CFA">
        <w:rPr>
          <w:rStyle w:val="AERtextitalic"/>
        </w:rPr>
        <w:t>ubmission to Amadeus Gas Pipeline Access Arrangement 2016-21</w:t>
      </w:r>
      <w:r>
        <w:t>, 4 February 2016, p.</w:t>
      </w:r>
      <w:r w:rsidR="00832374">
        <w:t xml:space="preserve"> </w:t>
      </w:r>
      <w:r>
        <w:t>2</w:t>
      </w:r>
      <w:r w:rsidR="001A745C">
        <w:t>.</w:t>
      </w:r>
    </w:p>
  </w:footnote>
  <w:footnote w:id="5">
    <w:p w:rsidR="00553CFA" w:rsidRDefault="00553CFA">
      <w:pPr>
        <w:pStyle w:val="FootnoteText"/>
      </w:pPr>
      <w:r>
        <w:rPr>
          <w:rStyle w:val="FootnoteReference"/>
        </w:rPr>
        <w:footnoteRef/>
      </w:r>
      <w:r>
        <w:t xml:space="preserve"> </w:t>
      </w:r>
      <w:r>
        <w:tab/>
        <w:t xml:space="preserve">Power and Water Corporation, </w:t>
      </w:r>
      <w:r w:rsidR="00832374">
        <w:rPr>
          <w:rStyle w:val="AERtextitalic"/>
        </w:rPr>
        <w:t>S</w:t>
      </w:r>
      <w:r w:rsidRPr="00553CFA">
        <w:rPr>
          <w:rStyle w:val="AERtextitalic"/>
        </w:rPr>
        <w:t>ubmission to Amadeus Gas Pipeline Access Arrangement 2016-21</w:t>
      </w:r>
      <w:r>
        <w:t>, 4 February 2016, p.</w:t>
      </w:r>
      <w:r w:rsidR="00832374">
        <w:t xml:space="preserve"> </w:t>
      </w:r>
      <w:r>
        <w:t>2</w:t>
      </w:r>
      <w:r w:rsidR="001A745C">
        <w:t>.</w:t>
      </w:r>
    </w:p>
  </w:footnote>
  <w:footnote w:id="6">
    <w:p w:rsidR="00F476D9" w:rsidRDefault="00F476D9">
      <w:pPr>
        <w:pStyle w:val="FootnoteText"/>
      </w:pPr>
      <w:r>
        <w:rPr>
          <w:rStyle w:val="FootnoteReference"/>
        </w:rPr>
        <w:footnoteRef/>
      </w:r>
      <w:r>
        <w:t xml:space="preserve"> </w:t>
      </w:r>
      <w:r>
        <w:tab/>
      </w:r>
      <w:r w:rsidRPr="00BD5868">
        <w:t xml:space="preserve">AER, </w:t>
      </w:r>
      <w:r w:rsidRPr="00551661">
        <w:rPr>
          <w:rStyle w:val="Emphasis"/>
        </w:rPr>
        <w:t>Draft Decision,</w:t>
      </w:r>
      <w:r w:rsidRPr="00BD5868">
        <w:t xml:space="preserve"> </w:t>
      </w:r>
      <w:r w:rsidRPr="00BD5868">
        <w:rPr>
          <w:rStyle w:val="AERtextitalic"/>
        </w:rPr>
        <w:t>Amadeus Gas Pipeline Access Arrang</w:t>
      </w:r>
      <w:r>
        <w:rPr>
          <w:rStyle w:val="AERtextitalic"/>
        </w:rPr>
        <w:t>ement 2016 to 2021, Attachment 13</w:t>
      </w:r>
      <w:r w:rsidRPr="00BD5868">
        <w:rPr>
          <w:rStyle w:val="AERtextitalic"/>
        </w:rPr>
        <w:t xml:space="preserve"> - </w:t>
      </w:r>
      <w:r>
        <w:rPr>
          <w:rStyle w:val="AERtextitalic"/>
        </w:rPr>
        <w:t>Demand</w:t>
      </w:r>
      <w:r>
        <w:t>, November 2015</w:t>
      </w:r>
      <w:r w:rsidR="00832374">
        <w:t>.</w:t>
      </w:r>
    </w:p>
  </w:footnote>
  <w:footnote w:id="7">
    <w:p w:rsidR="001A3C58" w:rsidRDefault="001A3C58" w:rsidP="001A3C58">
      <w:pPr>
        <w:pStyle w:val="FootnoteText"/>
      </w:pPr>
      <w:r>
        <w:rPr>
          <w:rStyle w:val="FootnoteReference"/>
        </w:rPr>
        <w:footnoteRef/>
      </w:r>
      <w:r w:rsidR="003628B4">
        <w:t xml:space="preserve"> </w:t>
      </w:r>
      <w:r w:rsidR="003628B4">
        <w:tab/>
      </w:r>
      <w:proofErr w:type="gramStart"/>
      <w:r w:rsidR="003628B4">
        <w:t>NGR, r. 74(2)</w:t>
      </w:r>
      <w:r w:rsidR="001A745C">
        <w:t>.</w:t>
      </w:r>
      <w:proofErr w:type="gramEnd"/>
    </w:p>
  </w:footnote>
  <w:footnote w:id="8">
    <w:p w:rsidR="003628B4" w:rsidRDefault="003628B4">
      <w:pPr>
        <w:pStyle w:val="FootnoteText"/>
      </w:pPr>
      <w:r>
        <w:rPr>
          <w:rStyle w:val="FootnoteReference"/>
        </w:rPr>
        <w:footnoteRef/>
      </w:r>
      <w:r>
        <w:t xml:space="preserve"> </w:t>
      </w:r>
      <w:r>
        <w:tab/>
      </w:r>
      <w:r w:rsidRPr="00BD5868">
        <w:t xml:space="preserve">AER, </w:t>
      </w:r>
      <w:r w:rsidRPr="00551661">
        <w:rPr>
          <w:rStyle w:val="Emphasis"/>
        </w:rPr>
        <w:t>Draft Decision,</w:t>
      </w:r>
      <w:r w:rsidRPr="00BD5868">
        <w:t xml:space="preserve"> </w:t>
      </w:r>
      <w:r w:rsidRPr="00BD5868">
        <w:rPr>
          <w:rStyle w:val="AERtextitalic"/>
        </w:rPr>
        <w:t>Amadeus Gas Pipeline Access Arrang</w:t>
      </w:r>
      <w:r>
        <w:rPr>
          <w:rStyle w:val="AERtextitalic"/>
        </w:rPr>
        <w:t>ement 2016 to 2021, Attachment 13</w:t>
      </w:r>
      <w:r w:rsidRPr="00BD5868">
        <w:rPr>
          <w:rStyle w:val="AERtextitalic"/>
        </w:rPr>
        <w:t xml:space="preserve"> - </w:t>
      </w:r>
      <w:r>
        <w:rPr>
          <w:rStyle w:val="AERtextitalic"/>
        </w:rPr>
        <w:t>Demand</w:t>
      </w:r>
      <w:r>
        <w:t>, November 2015</w:t>
      </w:r>
      <w:r w:rsidR="0083237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F40B8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E0" w:rsidRDefault="00D32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F40B8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3104E6F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VxexIhufcl1saQk6hBQaG2Uz7AkAMWm4ej0yaGnXcs=" w:saltValue="39mqpkJa+uIFv52J7xFwN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584\AER15 2736  3.1.A.1 - Amadeus Gas Pipeline access arrangement - Draft decision - Demand - 30 October 2015 Board meeting.DOCX"/>
  </w:docVars>
  <w:rsids>
    <w:rsidRoot w:val="00961A4A"/>
    <w:rsid w:val="00004633"/>
    <w:rsid w:val="00010286"/>
    <w:rsid w:val="00021202"/>
    <w:rsid w:val="00021C2B"/>
    <w:rsid w:val="0002517F"/>
    <w:rsid w:val="00026495"/>
    <w:rsid w:val="0003578C"/>
    <w:rsid w:val="000401AF"/>
    <w:rsid w:val="00041DDA"/>
    <w:rsid w:val="00046878"/>
    <w:rsid w:val="00063247"/>
    <w:rsid w:val="00063A92"/>
    <w:rsid w:val="00070F9F"/>
    <w:rsid w:val="0007137B"/>
    <w:rsid w:val="00085663"/>
    <w:rsid w:val="00085EBF"/>
    <w:rsid w:val="00085F93"/>
    <w:rsid w:val="00091B15"/>
    <w:rsid w:val="000A1E7C"/>
    <w:rsid w:val="000A3020"/>
    <w:rsid w:val="000A6C7B"/>
    <w:rsid w:val="000B036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04FD6"/>
    <w:rsid w:val="00116EB2"/>
    <w:rsid w:val="00124609"/>
    <w:rsid w:val="00126A4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A3C58"/>
    <w:rsid w:val="001A3D22"/>
    <w:rsid w:val="001A745C"/>
    <w:rsid w:val="001B3F62"/>
    <w:rsid w:val="001B45A0"/>
    <w:rsid w:val="001B45C0"/>
    <w:rsid w:val="001B6F2E"/>
    <w:rsid w:val="001B7D00"/>
    <w:rsid w:val="001C17E7"/>
    <w:rsid w:val="001D055E"/>
    <w:rsid w:val="001E009C"/>
    <w:rsid w:val="001E5FE2"/>
    <w:rsid w:val="001F05A4"/>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63AC0"/>
    <w:rsid w:val="00264264"/>
    <w:rsid w:val="0026772D"/>
    <w:rsid w:val="00277554"/>
    <w:rsid w:val="00286874"/>
    <w:rsid w:val="00290C63"/>
    <w:rsid w:val="00296B65"/>
    <w:rsid w:val="0029724D"/>
    <w:rsid w:val="002A6688"/>
    <w:rsid w:val="002A7DEF"/>
    <w:rsid w:val="002B1003"/>
    <w:rsid w:val="002B573C"/>
    <w:rsid w:val="002C233C"/>
    <w:rsid w:val="002C525C"/>
    <w:rsid w:val="002D72E8"/>
    <w:rsid w:val="002E7B22"/>
    <w:rsid w:val="002F7986"/>
    <w:rsid w:val="00301B40"/>
    <w:rsid w:val="003029A5"/>
    <w:rsid w:val="003029EE"/>
    <w:rsid w:val="0030370B"/>
    <w:rsid w:val="00305CC8"/>
    <w:rsid w:val="00307F6D"/>
    <w:rsid w:val="003130C9"/>
    <w:rsid w:val="003177A2"/>
    <w:rsid w:val="00320869"/>
    <w:rsid w:val="003271B5"/>
    <w:rsid w:val="00327A1E"/>
    <w:rsid w:val="00331264"/>
    <w:rsid w:val="003338A2"/>
    <w:rsid w:val="00334C8D"/>
    <w:rsid w:val="0033548E"/>
    <w:rsid w:val="00343A18"/>
    <w:rsid w:val="00344473"/>
    <w:rsid w:val="00344D08"/>
    <w:rsid w:val="003457F9"/>
    <w:rsid w:val="00347114"/>
    <w:rsid w:val="003518B3"/>
    <w:rsid w:val="003578CD"/>
    <w:rsid w:val="003628B4"/>
    <w:rsid w:val="003666F2"/>
    <w:rsid w:val="003717D8"/>
    <w:rsid w:val="003846F1"/>
    <w:rsid w:val="003903D4"/>
    <w:rsid w:val="00391BF0"/>
    <w:rsid w:val="003931A7"/>
    <w:rsid w:val="00393646"/>
    <w:rsid w:val="003B484F"/>
    <w:rsid w:val="003B7FBA"/>
    <w:rsid w:val="003F174D"/>
    <w:rsid w:val="003F572D"/>
    <w:rsid w:val="003F7442"/>
    <w:rsid w:val="00415F31"/>
    <w:rsid w:val="0042205D"/>
    <w:rsid w:val="00423A77"/>
    <w:rsid w:val="00436ECD"/>
    <w:rsid w:val="0044500D"/>
    <w:rsid w:val="00452473"/>
    <w:rsid w:val="0045777E"/>
    <w:rsid w:val="00461B0F"/>
    <w:rsid w:val="00461C29"/>
    <w:rsid w:val="00474EC7"/>
    <w:rsid w:val="00480B4B"/>
    <w:rsid w:val="00485DC4"/>
    <w:rsid w:val="004A0A5E"/>
    <w:rsid w:val="004A43D1"/>
    <w:rsid w:val="004B355D"/>
    <w:rsid w:val="004B4412"/>
    <w:rsid w:val="004C0C43"/>
    <w:rsid w:val="004C348C"/>
    <w:rsid w:val="004C6A30"/>
    <w:rsid w:val="004D1A96"/>
    <w:rsid w:val="004D55BA"/>
    <w:rsid w:val="004E22EC"/>
    <w:rsid w:val="004E2A4C"/>
    <w:rsid w:val="004F6A0E"/>
    <w:rsid w:val="00530128"/>
    <w:rsid w:val="00532467"/>
    <w:rsid w:val="00537FD6"/>
    <w:rsid w:val="00551661"/>
    <w:rsid w:val="00553CFA"/>
    <w:rsid w:val="00564A4D"/>
    <w:rsid w:val="0056588A"/>
    <w:rsid w:val="00567BA5"/>
    <w:rsid w:val="00571B35"/>
    <w:rsid w:val="00571D57"/>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7BA2"/>
    <w:rsid w:val="005E36C2"/>
    <w:rsid w:val="005F0183"/>
    <w:rsid w:val="005F727F"/>
    <w:rsid w:val="006007DE"/>
    <w:rsid w:val="00601638"/>
    <w:rsid w:val="00610EF9"/>
    <w:rsid w:val="00612F4F"/>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3F76"/>
    <w:rsid w:val="006E5DB1"/>
    <w:rsid w:val="006F1F83"/>
    <w:rsid w:val="006F3AD1"/>
    <w:rsid w:val="006F3FC8"/>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604C"/>
    <w:rsid w:val="00757364"/>
    <w:rsid w:val="00757BDF"/>
    <w:rsid w:val="007609D0"/>
    <w:rsid w:val="00763618"/>
    <w:rsid w:val="00763E5D"/>
    <w:rsid w:val="00767740"/>
    <w:rsid w:val="00777EE6"/>
    <w:rsid w:val="00782EEA"/>
    <w:rsid w:val="0079136E"/>
    <w:rsid w:val="007A7002"/>
    <w:rsid w:val="007A7136"/>
    <w:rsid w:val="007A7F63"/>
    <w:rsid w:val="007B011C"/>
    <w:rsid w:val="007B186E"/>
    <w:rsid w:val="007B2C72"/>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2374"/>
    <w:rsid w:val="008344F6"/>
    <w:rsid w:val="0083510F"/>
    <w:rsid w:val="008408C5"/>
    <w:rsid w:val="008414FC"/>
    <w:rsid w:val="00847887"/>
    <w:rsid w:val="00851209"/>
    <w:rsid w:val="0085722A"/>
    <w:rsid w:val="00862B19"/>
    <w:rsid w:val="00864B35"/>
    <w:rsid w:val="00866D99"/>
    <w:rsid w:val="00867CF6"/>
    <w:rsid w:val="008749E0"/>
    <w:rsid w:val="00874CD0"/>
    <w:rsid w:val="00880E65"/>
    <w:rsid w:val="00882481"/>
    <w:rsid w:val="008837AC"/>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51978"/>
    <w:rsid w:val="00961115"/>
    <w:rsid w:val="00961A4A"/>
    <w:rsid w:val="009661DE"/>
    <w:rsid w:val="00976FEC"/>
    <w:rsid w:val="00983C25"/>
    <w:rsid w:val="009856B7"/>
    <w:rsid w:val="00985C86"/>
    <w:rsid w:val="00996BAF"/>
    <w:rsid w:val="009972D8"/>
    <w:rsid w:val="009A4FAA"/>
    <w:rsid w:val="009A5113"/>
    <w:rsid w:val="009A539D"/>
    <w:rsid w:val="009A5FC3"/>
    <w:rsid w:val="009B5DC8"/>
    <w:rsid w:val="009B6F84"/>
    <w:rsid w:val="009B7343"/>
    <w:rsid w:val="009B74B0"/>
    <w:rsid w:val="009C691D"/>
    <w:rsid w:val="009D3906"/>
    <w:rsid w:val="009D6B46"/>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84A99"/>
    <w:rsid w:val="00A84F46"/>
    <w:rsid w:val="00A871F4"/>
    <w:rsid w:val="00A90AA4"/>
    <w:rsid w:val="00A923BF"/>
    <w:rsid w:val="00AB47E1"/>
    <w:rsid w:val="00AC1B2C"/>
    <w:rsid w:val="00AC3264"/>
    <w:rsid w:val="00AD3884"/>
    <w:rsid w:val="00AD7B56"/>
    <w:rsid w:val="00AE1BF1"/>
    <w:rsid w:val="00AF0DD2"/>
    <w:rsid w:val="00B0209D"/>
    <w:rsid w:val="00B02961"/>
    <w:rsid w:val="00B04908"/>
    <w:rsid w:val="00B04B4C"/>
    <w:rsid w:val="00B07CEA"/>
    <w:rsid w:val="00B13048"/>
    <w:rsid w:val="00B1716D"/>
    <w:rsid w:val="00B17A1D"/>
    <w:rsid w:val="00B207A0"/>
    <w:rsid w:val="00B20840"/>
    <w:rsid w:val="00B40CAA"/>
    <w:rsid w:val="00B50F4C"/>
    <w:rsid w:val="00B514DD"/>
    <w:rsid w:val="00B51F3F"/>
    <w:rsid w:val="00B52AF0"/>
    <w:rsid w:val="00B561BD"/>
    <w:rsid w:val="00B56E03"/>
    <w:rsid w:val="00B61EDF"/>
    <w:rsid w:val="00B71174"/>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4223"/>
    <w:rsid w:val="00C24C64"/>
    <w:rsid w:val="00C25FA6"/>
    <w:rsid w:val="00C275C4"/>
    <w:rsid w:val="00C30637"/>
    <w:rsid w:val="00C36F19"/>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7F1D"/>
    <w:rsid w:val="00CD0C83"/>
    <w:rsid w:val="00CD19EE"/>
    <w:rsid w:val="00CE484B"/>
    <w:rsid w:val="00CE4900"/>
    <w:rsid w:val="00CF0DEE"/>
    <w:rsid w:val="00CF2C05"/>
    <w:rsid w:val="00CF6EDE"/>
    <w:rsid w:val="00D006AE"/>
    <w:rsid w:val="00D01CF0"/>
    <w:rsid w:val="00D01EFD"/>
    <w:rsid w:val="00D0442A"/>
    <w:rsid w:val="00D06055"/>
    <w:rsid w:val="00D066B7"/>
    <w:rsid w:val="00D17683"/>
    <w:rsid w:val="00D32CE0"/>
    <w:rsid w:val="00D36FCC"/>
    <w:rsid w:val="00D45694"/>
    <w:rsid w:val="00D608F6"/>
    <w:rsid w:val="00D60EFF"/>
    <w:rsid w:val="00D61388"/>
    <w:rsid w:val="00D61A54"/>
    <w:rsid w:val="00D64275"/>
    <w:rsid w:val="00D64DEA"/>
    <w:rsid w:val="00D7168E"/>
    <w:rsid w:val="00D71E57"/>
    <w:rsid w:val="00D75AA2"/>
    <w:rsid w:val="00D7645E"/>
    <w:rsid w:val="00D80893"/>
    <w:rsid w:val="00D84854"/>
    <w:rsid w:val="00D848B4"/>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E1093"/>
    <w:rsid w:val="00DE2B43"/>
    <w:rsid w:val="00DE4EFA"/>
    <w:rsid w:val="00DE5520"/>
    <w:rsid w:val="00DE563D"/>
    <w:rsid w:val="00DE5E2E"/>
    <w:rsid w:val="00DE772C"/>
    <w:rsid w:val="00DF1720"/>
    <w:rsid w:val="00DF1D9A"/>
    <w:rsid w:val="00DF312A"/>
    <w:rsid w:val="00E04818"/>
    <w:rsid w:val="00E06442"/>
    <w:rsid w:val="00E06BCF"/>
    <w:rsid w:val="00E1001C"/>
    <w:rsid w:val="00E16A83"/>
    <w:rsid w:val="00E23993"/>
    <w:rsid w:val="00E248EA"/>
    <w:rsid w:val="00E257D6"/>
    <w:rsid w:val="00E25B8C"/>
    <w:rsid w:val="00E3544F"/>
    <w:rsid w:val="00E465DD"/>
    <w:rsid w:val="00E51D65"/>
    <w:rsid w:val="00E6200B"/>
    <w:rsid w:val="00E65C85"/>
    <w:rsid w:val="00E66199"/>
    <w:rsid w:val="00E711C7"/>
    <w:rsid w:val="00E7494F"/>
    <w:rsid w:val="00E755EC"/>
    <w:rsid w:val="00E7624D"/>
    <w:rsid w:val="00E97242"/>
    <w:rsid w:val="00EA38F3"/>
    <w:rsid w:val="00EA3D42"/>
    <w:rsid w:val="00EA6B1B"/>
    <w:rsid w:val="00EB5BC8"/>
    <w:rsid w:val="00EB606C"/>
    <w:rsid w:val="00EC04F1"/>
    <w:rsid w:val="00EC1B2B"/>
    <w:rsid w:val="00EC32E5"/>
    <w:rsid w:val="00ED0EC2"/>
    <w:rsid w:val="00ED3474"/>
    <w:rsid w:val="00ED7323"/>
    <w:rsid w:val="00EE28F3"/>
    <w:rsid w:val="00EE50D1"/>
    <w:rsid w:val="00EE77FA"/>
    <w:rsid w:val="00EE7A83"/>
    <w:rsid w:val="00EF1B7A"/>
    <w:rsid w:val="00EF5110"/>
    <w:rsid w:val="00F0334E"/>
    <w:rsid w:val="00F07967"/>
    <w:rsid w:val="00F10411"/>
    <w:rsid w:val="00F15882"/>
    <w:rsid w:val="00F171E0"/>
    <w:rsid w:val="00F20BD3"/>
    <w:rsid w:val="00F2526A"/>
    <w:rsid w:val="00F35081"/>
    <w:rsid w:val="00F373A5"/>
    <w:rsid w:val="00F40B82"/>
    <w:rsid w:val="00F42E08"/>
    <w:rsid w:val="00F47559"/>
    <w:rsid w:val="00F476D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1B47B6-4F4A-45AF-A454-A1A994D6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B9C49D2A</Template>
  <TotalTime>0</TotalTime>
  <Pages>8</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2016-05-20T08:00:00Z</dcterms:created>
  <dcterms:modified xsi:type="dcterms:W3CDTF">2016-05-20T08:00:00Z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8575318</vt:lpwstr>
  </property>
</Properties>
</file>