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4B9" w:rsidRDefault="00F14EBC" w:rsidP="00290C63">
      <w:pPr>
        <w:rPr>
          <w:rFonts w:eastAsiaTheme="majorEastAsia" w:cstheme="majorBidi"/>
          <w:noProof/>
          <w:sz w:val="36"/>
          <w:szCs w:val="36"/>
          <w:lang w:eastAsia="en-AU"/>
        </w:rPr>
      </w:pPr>
      <w:r w:rsidRPr="00290C63">
        <w:rPr>
          <w:noProof/>
          <w:lang w:eastAsia="en-AU"/>
        </w:rPr>
        <w:drawing>
          <wp:anchor distT="0" distB="0" distL="114300" distR="114300" simplePos="0" relativeHeight="251659264" behindDoc="1" locked="0" layoutInCell="1" allowOverlap="1" wp14:anchorId="6A967FA8" wp14:editId="2AAC38B5">
            <wp:simplePos x="0" y="0"/>
            <wp:positionH relativeFrom="column">
              <wp:posOffset>-1101725</wp:posOffset>
            </wp:positionH>
            <wp:positionV relativeFrom="paragraph">
              <wp:posOffset>-917575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B04B4C" w:rsidRDefault="00B04B4C" w:rsidP="00F171E0"/>
        <w:p w:rsidR="00F171E0" w:rsidRDefault="00F171E0" w:rsidP="00F171E0"/>
        <w:p w:rsidR="00327A1E" w:rsidRDefault="001754EE" w:rsidP="001754EE">
          <w:pPr>
            <w:pStyle w:val="ReportSubtitle"/>
            <w:tabs>
              <w:tab w:val="left" w:pos="1122"/>
              <w:tab w:val="center" w:pos="4238"/>
            </w:tabs>
            <w:jc w:val="left"/>
          </w:pPr>
          <w:r>
            <w:tab/>
          </w:r>
          <w:r>
            <w:tab/>
          </w:r>
          <w:r w:rsidR="00A2303E">
            <w:t>FINAL</w:t>
          </w:r>
          <w:r w:rsidR="00DA4752">
            <w:t xml:space="preserve"> DECISION</w:t>
          </w:r>
        </w:p>
        <w:p w:rsidR="00415F31" w:rsidRDefault="000D64F2" w:rsidP="008F07A3">
          <w:pPr>
            <w:pStyle w:val="ReportSubtitle"/>
          </w:pPr>
          <w:r>
            <w:t>Amadeus</w:t>
          </w:r>
          <w:r w:rsidR="00A06085">
            <w:t xml:space="preserve"> </w:t>
          </w:r>
          <w:r w:rsidR="0033548E">
            <w:t>Gas Pipeline</w:t>
          </w:r>
          <w:r w:rsidR="00CF2C05">
            <w:br/>
            <w:t>Access Arrangement</w:t>
          </w:r>
        </w:p>
        <w:p w:rsidR="000A6C7B" w:rsidRDefault="005C0A7F" w:rsidP="008F07A3">
          <w:pPr>
            <w:pStyle w:val="ReportSubtitle"/>
          </w:pPr>
          <w:r>
            <w:t>20</w:t>
          </w:r>
          <w:r w:rsidR="00DA4752">
            <w:t xml:space="preserve">16 to </w:t>
          </w:r>
          <w:r w:rsidR="00A06085">
            <w:t>2021</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A7259C">
            <w:t>5</w:t>
          </w:r>
          <w:r w:rsidR="00DA4752">
            <w:t xml:space="preserve"> </w:t>
          </w:r>
          <w:r w:rsidR="00415F31">
            <w:rPr>
              <w:rFonts w:cs="Arial"/>
            </w:rPr>
            <w:t>–</w:t>
          </w:r>
          <w:r w:rsidR="00DA4752">
            <w:t xml:space="preserve"> </w:t>
          </w:r>
          <w:r w:rsidR="00A7259C">
            <w:t>Regulatory depreciation</w:t>
          </w:r>
        </w:p>
        <w:p w:rsidR="000A6C7B" w:rsidRPr="00327A1E" w:rsidRDefault="00795272" w:rsidP="00327A1E">
          <w:pPr>
            <w:pStyle w:val="ReportDate"/>
          </w:pPr>
          <w:r>
            <w:t xml:space="preserve">May </w:t>
          </w:r>
          <w:r w:rsidR="00A2303E">
            <w:t>2016</w:t>
          </w:r>
        </w:p>
      </w:sdtContent>
    </w:sdt>
    <w:p w:rsidR="00327A1E" w:rsidRPr="00290C63" w:rsidRDefault="00327A1E" w:rsidP="00290C63">
      <w:r>
        <w:br w:type="page"/>
      </w:r>
    </w:p>
    <w:p w:rsidR="000A6C7B" w:rsidRDefault="0078603A" w:rsidP="00961A4A">
      <w:pPr>
        <w:pStyle w:val="Copyright"/>
      </w:pPr>
      <w:r>
        <w:lastRenderedPageBreak/>
        <w:t>© Commonwealth of Australia 2016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51529402"/>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A2303E">
        <w:t>final</w:t>
      </w:r>
      <w:r w:rsidR="00415F31">
        <w:t xml:space="preserve"> decision on </w:t>
      </w:r>
      <w:r w:rsidR="0033548E">
        <w:t>the</w:t>
      </w:r>
      <w:r w:rsidR="00415F31">
        <w:t xml:space="preserve"> </w:t>
      </w:r>
      <w:r w:rsidR="00CF2C05">
        <w:t>access</w:t>
      </w:r>
      <w:r w:rsidR="00415F31">
        <w:t xml:space="preserve"> </w:t>
      </w:r>
      <w:r w:rsidR="00CF2C05">
        <w:t>arrangement for</w:t>
      </w:r>
      <w:r w:rsidR="00415F31">
        <w:t xml:space="preserve"> </w:t>
      </w:r>
      <w:r w:rsidR="0033548E">
        <w:t xml:space="preserve">the Amadeus Gas Pipeline for </w:t>
      </w:r>
      <w:r w:rsidR="00415F31">
        <w:t>201</w:t>
      </w:r>
      <w:r w:rsidR="005C0A7F">
        <w:t>6</w:t>
      </w:r>
      <w:r w:rsidR="00415F31" w:rsidRPr="00D904FA">
        <w:t>–</w:t>
      </w:r>
      <w:r w:rsidR="00103A67">
        <w:t>21</w:t>
      </w:r>
      <w:r w:rsidR="00415F31">
        <w:t xml:space="preserve">. It should be read with </w:t>
      </w:r>
      <w:r w:rsidR="005C0A7F">
        <w:t xml:space="preserve">all </w:t>
      </w:r>
      <w:r w:rsidR="00415F31">
        <w:t xml:space="preserve">other parts of the </w:t>
      </w:r>
      <w:r w:rsidR="00A2303E">
        <w:t>final</w:t>
      </w:r>
      <w:r w:rsidR="005C0A7F">
        <w:t xml:space="preserve"> </w:t>
      </w:r>
      <w:r w:rsidR="00415F31">
        <w:t>decision.</w:t>
      </w:r>
    </w:p>
    <w:p w:rsidR="00415F31" w:rsidRDefault="00415F31" w:rsidP="00DE772C">
      <w:pPr>
        <w:numPr>
          <w:ilvl w:val="0"/>
          <w:numId w:val="24"/>
        </w:numPr>
        <w:spacing w:before="0" w:after="240" w:line="288" w:lineRule="auto"/>
        <w:jc w:val="both"/>
      </w:pPr>
      <w:r>
        <w:t xml:space="preserve">The </w:t>
      </w:r>
      <w:r w:rsidR="00A2303E">
        <w:t>final</w:t>
      </w:r>
      <w:r w:rsidR="005C0A7F">
        <w:t xml:space="preserve">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 xml:space="preserve">Attachment 1 - </w:t>
      </w:r>
      <w:r w:rsidR="00EE77FA">
        <w:t>Services covered by the access arrangement</w:t>
      </w:r>
    </w:p>
    <w:p w:rsidR="0070011E" w:rsidRDefault="0070011E" w:rsidP="0070011E">
      <w:r>
        <w:t xml:space="preserve">Attachment 2 - </w:t>
      </w:r>
      <w:r w:rsidR="00EE77FA">
        <w:t>Capital base</w:t>
      </w:r>
    </w:p>
    <w:p w:rsidR="0070011E" w:rsidRDefault="0070011E" w:rsidP="0070011E">
      <w:r>
        <w:t xml:space="preserve">Attachment 3 - </w:t>
      </w:r>
      <w:r w:rsidR="00EE77FA">
        <w:t>R</w:t>
      </w:r>
      <w:r>
        <w:t>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 xml:space="preserve">Attachment 9 - Efficiency </w:t>
      </w:r>
      <w:r w:rsidR="00EE77FA">
        <w:t>carryover mechanism</w:t>
      </w:r>
    </w:p>
    <w:p w:rsidR="0070011E" w:rsidRDefault="0070011E" w:rsidP="0070011E">
      <w:r>
        <w:t xml:space="preserve">Attachment 10 - </w:t>
      </w:r>
      <w:r w:rsidR="00EE77FA">
        <w:t>Reference tariff setting</w:t>
      </w:r>
    </w:p>
    <w:p w:rsidR="0070011E" w:rsidRDefault="0070011E" w:rsidP="0070011E">
      <w:r>
        <w:t xml:space="preserve">Attachment 11 - </w:t>
      </w:r>
      <w:r w:rsidR="00EE77FA">
        <w:t>Reference tariff variation mechanism</w:t>
      </w:r>
    </w:p>
    <w:p w:rsidR="0070011E" w:rsidRDefault="0070011E" w:rsidP="0070011E">
      <w:r>
        <w:t xml:space="preserve">Attachment 12 - </w:t>
      </w:r>
      <w:r w:rsidR="00EE77FA">
        <w:t>Non-tariff components</w:t>
      </w:r>
    </w:p>
    <w:p w:rsidR="0070011E" w:rsidRDefault="0070011E" w:rsidP="0070011E">
      <w:r>
        <w:t xml:space="preserve">Attachment 13 - </w:t>
      </w:r>
      <w:r w:rsidR="00EE77FA">
        <w:t>Demand</w:t>
      </w:r>
    </w:p>
    <w:p w:rsidR="00DE563D" w:rsidRPr="00A72B34" w:rsidRDefault="00DE563D" w:rsidP="00DE772C">
      <w:pPr>
        <w:pStyle w:val="UnnumberedHeading"/>
        <w:numPr>
          <w:ilvl w:val="0"/>
          <w:numId w:val="23"/>
        </w:numPr>
      </w:pPr>
      <w:bookmarkStart w:id="5" w:name="_Toc403144133"/>
      <w:bookmarkStart w:id="6" w:name="_Toc451529403"/>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3D0E6B"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51529402" w:history="1">
            <w:r w:rsidR="003D0E6B" w:rsidRPr="002F529B">
              <w:rPr>
                <w:rStyle w:val="Hyperlink"/>
              </w:rPr>
              <w:t>Note</w:t>
            </w:r>
            <w:r w:rsidR="003D0E6B">
              <w:rPr>
                <w:webHidden/>
              </w:rPr>
              <w:tab/>
            </w:r>
            <w:r w:rsidR="003D0E6B">
              <w:rPr>
                <w:webHidden/>
              </w:rPr>
              <w:fldChar w:fldCharType="begin"/>
            </w:r>
            <w:r w:rsidR="003D0E6B">
              <w:rPr>
                <w:webHidden/>
              </w:rPr>
              <w:instrText xml:space="preserve"> PAGEREF _Toc451529402 \h </w:instrText>
            </w:r>
            <w:r w:rsidR="003D0E6B">
              <w:rPr>
                <w:webHidden/>
              </w:rPr>
            </w:r>
            <w:r w:rsidR="003D0E6B">
              <w:rPr>
                <w:webHidden/>
              </w:rPr>
              <w:fldChar w:fldCharType="separate"/>
            </w:r>
            <w:r w:rsidR="003D0E6B">
              <w:rPr>
                <w:webHidden/>
              </w:rPr>
              <w:t>5-2</w:t>
            </w:r>
            <w:r w:rsidR="003D0E6B">
              <w:rPr>
                <w:webHidden/>
              </w:rPr>
              <w:fldChar w:fldCharType="end"/>
            </w:r>
          </w:hyperlink>
        </w:p>
        <w:p w:rsidR="003D0E6B" w:rsidRDefault="003D0E6B">
          <w:pPr>
            <w:pStyle w:val="TOC1"/>
            <w:rPr>
              <w:rFonts w:asciiTheme="minorHAnsi" w:eastAsiaTheme="minorEastAsia" w:hAnsiTheme="minorHAnsi"/>
              <w:b w:val="0"/>
              <w:color w:val="auto"/>
              <w:sz w:val="22"/>
              <w:lang w:val="en-AU" w:eastAsia="en-AU"/>
            </w:rPr>
          </w:pPr>
          <w:hyperlink w:anchor="_Toc451529403" w:history="1">
            <w:r w:rsidRPr="002F529B">
              <w:rPr>
                <w:rStyle w:val="Hyperlink"/>
              </w:rPr>
              <w:t>Contents</w:t>
            </w:r>
            <w:r>
              <w:rPr>
                <w:webHidden/>
              </w:rPr>
              <w:tab/>
            </w:r>
            <w:r>
              <w:rPr>
                <w:webHidden/>
              </w:rPr>
              <w:fldChar w:fldCharType="begin"/>
            </w:r>
            <w:r>
              <w:rPr>
                <w:webHidden/>
              </w:rPr>
              <w:instrText xml:space="preserve"> PAGEREF _Toc451529403 \h </w:instrText>
            </w:r>
            <w:r>
              <w:rPr>
                <w:webHidden/>
              </w:rPr>
            </w:r>
            <w:r>
              <w:rPr>
                <w:webHidden/>
              </w:rPr>
              <w:fldChar w:fldCharType="separate"/>
            </w:r>
            <w:r>
              <w:rPr>
                <w:webHidden/>
              </w:rPr>
              <w:t>5-3</w:t>
            </w:r>
            <w:r>
              <w:rPr>
                <w:webHidden/>
              </w:rPr>
              <w:fldChar w:fldCharType="end"/>
            </w:r>
          </w:hyperlink>
        </w:p>
        <w:p w:rsidR="003D0E6B" w:rsidRDefault="003D0E6B">
          <w:pPr>
            <w:pStyle w:val="TOC1"/>
            <w:rPr>
              <w:rFonts w:asciiTheme="minorHAnsi" w:eastAsiaTheme="minorEastAsia" w:hAnsiTheme="minorHAnsi"/>
              <w:b w:val="0"/>
              <w:color w:val="auto"/>
              <w:sz w:val="22"/>
              <w:lang w:val="en-AU" w:eastAsia="en-AU"/>
            </w:rPr>
          </w:pPr>
          <w:hyperlink w:anchor="_Toc451529404" w:history="1">
            <w:r w:rsidRPr="002F529B">
              <w:rPr>
                <w:rStyle w:val="Hyperlink"/>
              </w:rPr>
              <w:t>Shortened forms</w:t>
            </w:r>
            <w:r>
              <w:rPr>
                <w:webHidden/>
              </w:rPr>
              <w:tab/>
            </w:r>
            <w:r>
              <w:rPr>
                <w:webHidden/>
              </w:rPr>
              <w:fldChar w:fldCharType="begin"/>
            </w:r>
            <w:r>
              <w:rPr>
                <w:webHidden/>
              </w:rPr>
              <w:instrText xml:space="preserve"> PAGEREF _Toc451529404 \h </w:instrText>
            </w:r>
            <w:r>
              <w:rPr>
                <w:webHidden/>
              </w:rPr>
            </w:r>
            <w:r>
              <w:rPr>
                <w:webHidden/>
              </w:rPr>
              <w:fldChar w:fldCharType="separate"/>
            </w:r>
            <w:r>
              <w:rPr>
                <w:webHidden/>
              </w:rPr>
              <w:t>5-4</w:t>
            </w:r>
            <w:r>
              <w:rPr>
                <w:webHidden/>
              </w:rPr>
              <w:fldChar w:fldCharType="end"/>
            </w:r>
          </w:hyperlink>
        </w:p>
        <w:p w:rsidR="003D0E6B" w:rsidRDefault="003D0E6B">
          <w:pPr>
            <w:pStyle w:val="TOC1"/>
            <w:rPr>
              <w:rFonts w:asciiTheme="minorHAnsi" w:eastAsiaTheme="minorEastAsia" w:hAnsiTheme="minorHAnsi"/>
              <w:b w:val="0"/>
              <w:color w:val="auto"/>
              <w:sz w:val="22"/>
              <w:lang w:val="en-AU" w:eastAsia="en-AU"/>
            </w:rPr>
          </w:pPr>
          <w:hyperlink w:anchor="_Toc451529405" w:history="1">
            <w:r w:rsidRPr="002F529B">
              <w:rPr>
                <w:rStyle w:val="Hyperlink"/>
              </w:rPr>
              <w:t>5</w:t>
            </w:r>
            <w:r>
              <w:rPr>
                <w:rFonts w:asciiTheme="minorHAnsi" w:eastAsiaTheme="minorEastAsia" w:hAnsiTheme="minorHAnsi"/>
                <w:b w:val="0"/>
                <w:color w:val="auto"/>
                <w:sz w:val="22"/>
                <w:lang w:val="en-AU" w:eastAsia="en-AU"/>
              </w:rPr>
              <w:tab/>
            </w:r>
            <w:r w:rsidRPr="002F529B">
              <w:rPr>
                <w:rStyle w:val="Hyperlink"/>
              </w:rPr>
              <w:t>Regulatory depreciation</w:t>
            </w:r>
            <w:r>
              <w:rPr>
                <w:webHidden/>
              </w:rPr>
              <w:tab/>
            </w:r>
            <w:r>
              <w:rPr>
                <w:webHidden/>
              </w:rPr>
              <w:fldChar w:fldCharType="begin"/>
            </w:r>
            <w:r>
              <w:rPr>
                <w:webHidden/>
              </w:rPr>
              <w:instrText xml:space="preserve"> PAGEREF _Toc451529405 \h </w:instrText>
            </w:r>
            <w:r>
              <w:rPr>
                <w:webHidden/>
              </w:rPr>
            </w:r>
            <w:r>
              <w:rPr>
                <w:webHidden/>
              </w:rPr>
              <w:fldChar w:fldCharType="separate"/>
            </w:r>
            <w:r>
              <w:rPr>
                <w:webHidden/>
              </w:rPr>
              <w:t>5-6</w:t>
            </w:r>
            <w:r>
              <w:rPr>
                <w:webHidden/>
              </w:rPr>
              <w:fldChar w:fldCharType="end"/>
            </w:r>
          </w:hyperlink>
        </w:p>
        <w:p w:rsidR="003D0E6B" w:rsidRDefault="003D0E6B">
          <w:pPr>
            <w:pStyle w:val="TOC2"/>
            <w:rPr>
              <w:rFonts w:asciiTheme="minorHAnsi" w:eastAsiaTheme="minorEastAsia" w:hAnsiTheme="minorHAnsi"/>
              <w:b w:val="0"/>
              <w:color w:val="auto"/>
              <w:sz w:val="22"/>
              <w:lang w:eastAsia="en-AU"/>
            </w:rPr>
          </w:pPr>
          <w:hyperlink w:anchor="_Toc451529406" w:history="1">
            <w:r w:rsidRPr="002F529B">
              <w:rPr>
                <w:rStyle w:val="Hyperlink"/>
              </w:rPr>
              <w:t>5.1</w:t>
            </w:r>
            <w:r>
              <w:rPr>
                <w:rFonts w:asciiTheme="minorHAnsi" w:eastAsiaTheme="minorEastAsia" w:hAnsiTheme="minorHAnsi"/>
                <w:b w:val="0"/>
                <w:color w:val="auto"/>
                <w:sz w:val="22"/>
                <w:lang w:eastAsia="en-AU"/>
              </w:rPr>
              <w:tab/>
            </w:r>
            <w:r w:rsidRPr="002F529B">
              <w:rPr>
                <w:rStyle w:val="Hyperlink"/>
              </w:rPr>
              <w:t>Final decision</w:t>
            </w:r>
            <w:r>
              <w:rPr>
                <w:webHidden/>
              </w:rPr>
              <w:tab/>
            </w:r>
            <w:r>
              <w:rPr>
                <w:webHidden/>
              </w:rPr>
              <w:fldChar w:fldCharType="begin"/>
            </w:r>
            <w:r>
              <w:rPr>
                <w:webHidden/>
              </w:rPr>
              <w:instrText xml:space="preserve"> PAGEREF _Toc451529406 \h </w:instrText>
            </w:r>
            <w:r>
              <w:rPr>
                <w:webHidden/>
              </w:rPr>
            </w:r>
            <w:r>
              <w:rPr>
                <w:webHidden/>
              </w:rPr>
              <w:fldChar w:fldCharType="separate"/>
            </w:r>
            <w:r>
              <w:rPr>
                <w:webHidden/>
              </w:rPr>
              <w:t>5-6</w:t>
            </w:r>
            <w:r>
              <w:rPr>
                <w:webHidden/>
              </w:rPr>
              <w:fldChar w:fldCharType="end"/>
            </w:r>
          </w:hyperlink>
        </w:p>
        <w:p w:rsidR="003D0E6B" w:rsidRDefault="003D0E6B">
          <w:pPr>
            <w:pStyle w:val="TOC2"/>
            <w:rPr>
              <w:rFonts w:asciiTheme="minorHAnsi" w:eastAsiaTheme="minorEastAsia" w:hAnsiTheme="minorHAnsi"/>
              <w:b w:val="0"/>
              <w:color w:val="auto"/>
              <w:sz w:val="22"/>
              <w:lang w:eastAsia="en-AU"/>
            </w:rPr>
          </w:pPr>
          <w:hyperlink w:anchor="_Toc451529407" w:history="1">
            <w:r w:rsidRPr="002F529B">
              <w:rPr>
                <w:rStyle w:val="Hyperlink"/>
              </w:rPr>
              <w:t>5.2</w:t>
            </w:r>
            <w:r>
              <w:rPr>
                <w:rFonts w:asciiTheme="minorHAnsi" w:eastAsiaTheme="minorEastAsia" w:hAnsiTheme="minorHAnsi"/>
                <w:b w:val="0"/>
                <w:color w:val="auto"/>
                <w:sz w:val="22"/>
                <w:lang w:eastAsia="en-AU"/>
              </w:rPr>
              <w:tab/>
            </w:r>
            <w:r w:rsidRPr="002F529B">
              <w:rPr>
                <w:rStyle w:val="Hyperlink"/>
              </w:rPr>
              <w:t>APTNT’s revised proposal</w:t>
            </w:r>
            <w:r>
              <w:rPr>
                <w:webHidden/>
              </w:rPr>
              <w:tab/>
            </w:r>
            <w:r>
              <w:rPr>
                <w:webHidden/>
              </w:rPr>
              <w:fldChar w:fldCharType="begin"/>
            </w:r>
            <w:r>
              <w:rPr>
                <w:webHidden/>
              </w:rPr>
              <w:instrText xml:space="preserve"> PAGEREF _Toc451529407 \h </w:instrText>
            </w:r>
            <w:r>
              <w:rPr>
                <w:webHidden/>
              </w:rPr>
            </w:r>
            <w:r>
              <w:rPr>
                <w:webHidden/>
              </w:rPr>
              <w:fldChar w:fldCharType="separate"/>
            </w:r>
            <w:r>
              <w:rPr>
                <w:webHidden/>
              </w:rPr>
              <w:t>5-7</w:t>
            </w:r>
            <w:r>
              <w:rPr>
                <w:webHidden/>
              </w:rPr>
              <w:fldChar w:fldCharType="end"/>
            </w:r>
          </w:hyperlink>
        </w:p>
        <w:p w:rsidR="003D0E6B" w:rsidRDefault="003D0E6B">
          <w:pPr>
            <w:pStyle w:val="TOC2"/>
            <w:rPr>
              <w:rFonts w:asciiTheme="minorHAnsi" w:eastAsiaTheme="minorEastAsia" w:hAnsiTheme="minorHAnsi"/>
              <w:b w:val="0"/>
              <w:color w:val="auto"/>
              <w:sz w:val="22"/>
              <w:lang w:eastAsia="en-AU"/>
            </w:rPr>
          </w:pPr>
          <w:hyperlink w:anchor="_Toc451529408" w:history="1">
            <w:r w:rsidRPr="002F529B">
              <w:rPr>
                <w:rStyle w:val="Hyperlink"/>
              </w:rPr>
              <w:t>5.3</w:t>
            </w:r>
            <w:r>
              <w:rPr>
                <w:rFonts w:asciiTheme="minorHAnsi" w:eastAsiaTheme="minorEastAsia" w:hAnsiTheme="minorHAnsi"/>
                <w:b w:val="0"/>
                <w:color w:val="auto"/>
                <w:sz w:val="22"/>
                <w:lang w:eastAsia="en-AU"/>
              </w:rPr>
              <w:tab/>
            </w:r>
            <w:r w:rsidRPr="002F529B">
              <w:rPr>
                <w:rStyle w:val="Hyperlink"/>
              </w:rPr>
              <w:t>AER’s assessment approach</w:t>
            </w:r>
            <w:r>
              <w:rPr>
                <w:webHidden/>
              </w:rPr>
              <w:tab/>
            </w:r>
            <w:r>
              <w:rPr>
                <w:webHidden/>
              </w:rPr>
              <w:fldChar w:fldCharType="begin"/>
            </w:r>
            <w:r>
              <w:rPr>
                <w:webHidden/>
              </w:rPr>
              <w:instrText xml:space="preserve"> PAGEREF _Toc451529408 \h </w:instrText>
            </w:r>
            <w:r>
              <w:rPr>
                <w:webHidden/>
              </w:rPr>
            </w:r>
            <w:r>
              <w:rPr>
                <w:webHidden/>
              </w:rPr>
              <w:fldChar w:fldCharType="separate"/>
            </w:r>
            <w:r>
              <w:rPr>
                <w:webHidden/>
              </w:rPr>
              <w:t>5-8</w:t>
            </w:r>
            <w:r>
              <w:rPr>
                <w:webHidden/>
              </w:rPr>
              <w:fldChar w:fldCharType="end"/>
            </w:r>
          </w:hyperlink>
        </w:p>
        <w:p w:rsidR="003D0E6B" w:rsidRDefault="003D0E6B">
          <w:pPr>
            <w:pStyle w:val="TOC2"/>
            <w:rPr>
              <w:rFonts w:asciiTheme="minorHAnsi" w:eastAsiaTheme="minorEastAsia" w:hAnsiTheme="minorHAnsi"/>
              <w:b w:val="0"/>
              <w:color w:val="auto"/>
              <w:sz w:val="22"/>
              <w:lang w:eastAsia="en-AU"/>
            </w:rPr>
          </w:pPr>
          <w:hyperlink w:anchor="_Toc451529409" w:history="1">
            <w:r w:rsidRPr="002F529B">
              <w:rPr>
                <w:rStyle w:val="Hyperlink"/>
              </w:rPr>
              <w:t>5.4</w:t>
            </w:r>
            <w:r>
              <w:rPr>
                <w:rFonts w:asciiTheme="minorHAnsi" w:eastAsiaTheme="minorEastAsia" w:hAnsiTheme="minorHAnsi"/>
                <w:b w:val="0"/>
                <w:color w:val="auto"/>
                <w:sz w:val="22"/>
                <w:lang w:eastAsia="en-AU"/>
              </w:rPr>
              <w:tab/>
            </w:r>
            <w:r w:rsidRPr="002F529B">
              <w:rPr>
                <w:rStyle w:val="Hyperlink"/>
              </w:rPr>
              <w:t>Reasons for final decision</w:t>
            </w:r>
            <w:r>
              <w:rPr>
                <w:webHidden/>
              </w:rPr>
              <w:tab/>
            </w:r>
            <w:r>
              <w:rPr>
                <w:webHidden/>
              </w:rPr>
              <w:fldChar w:fldCharType="begin"/>
            </w:r>
            <w:r>
              <w:rPr>
                <w:webHidden/>
              </w:rPr>
              <w:instrText xml:space="preserve"> PAGEREF _Toc451529409 \h </w:instrText>
            </w:r>
            <w:r>
              <w:rPr>
                <w:webHidden/>
              </w:rPr>
            </w:r>
            <w:r>
              <w:rPr>
                <w:webHidden/>
              </w:rPr>
              <w:fldChar w:fldCharType="separate"/>
            </w:r>
            <w:r>
              <w:rPr>
                <w:webHidden/>
              </w:rPr>
              <w:t>5-8</w:t>
            </w:r>
            <w:r>
              <w:rPr>
                <w:webHidden/>
              </w:rPr>
              <w:fldChar w:fldCharType="end"/>
            </w:r>
          </w:hyperlink>
        </w:p>
        <w:p w:rsidR="003D0E6B" w:rsidRDefault="003D0E6B">
          <w:pPr>
            <w:pStyle w:val="TOC3"/>
            <w:rPr>
              <w:rFonts w:asciiTheme="minorHAnsi" w:eastAsiaTheme="minorEastAsia" w:hAnsiTheme="minorHAnsi"/>
              <w:lang w:eastAsia="en-AU"/>
            </w:rPr>
          </w:pPr>
          <w:hyperlink w:anchor="_Toc451529410" w:history="1">
            <w:r w:rsidRPr="002F529B">
              <w:rPr>
                <w:rStyle w:val="Hyperlink"/>
              </w:rPr>
              <w:t>5.4.1</w:t>
            </w:r>
            <w:r>
              <w:rPr>
                <w:rFonts w:asciiTheme="minorHAnsi" w:eastAsiaTheme="minorEastAsia" w:hAnsiTheme="minorHAnsi"/>
                <w:lang w:eastAsia="en-AU"/>
              </w:rPr>
              <w:tab/>
            </w:r>
            <w:r w:rsidRPr="002F529B">
              <w:rPr>
                <w:rStyle w:val="Hyperlink"/>
              </w:rPr>
              <w:t>Standard asset lives</w:t>
            </w:r>
            <w:r>
              <w:rPr>
                <w:webHidden/>
              </w:rPr>
              <w:tab/>
            </w:r>
            <w:r>
              <w:rPr>
                <w:webHidden/>
              </w:rPr>
              <w:fldChar w:fldCharType="begin"/>
            </w:r>
            <w:r>
              <w:rPr>
                <w:webHidden/>
              </w:rPr>
              <w:instrText xml:space="preserve"> PAGEREF _Toc451529410 \h </w:instrText>
            </w:r>
            <w:r>
              <w:rPr>
                <w:webHidden/>
              </w:rPr>
            </w:r>
            <w:r>
              <w:rPr>
                <w:webHidden/>
              </w:rPr>
              <w:fldChar w:fldCharType="separate"/>
            </w:r>
            <w:r>
              <w:rPr>
                <w:webHidden/>
              </w:rPr>
              <w:t>5-9</w:t>
            </w:r>
            <w:r>
              <w:rPr>
                <w:webHidden/>
              </w:rPr>
              <w:fldChar w:fldCharType="end"/>
            </w:r>
          </w:hyperlink>
        </w:p>
        <w:p w:rsidR="003D0E6B" w:rsidRDefault="003D0E6B">
          <w:pPr>
            <w:pStyle w:val="TOC3"/>
            <w:rPr>
              <w:rFonts w:asciiTheme="minorHAnsi" w:eastAsiaTheme="minorEastAsia" w:hAnsiTheme="minorHAnsi"/>
              <w:lang w:eastAsia="en-AU"/>
            </w:rPr>
          </w:pPr>
          <w:hyperlink w:anchor="_Toc451529411" w:history="1">
            <w:r w:rsidRPr="002F529B">
              <w:rPr>
                <w:rStyle w:val="Hyperlink"/>
              </w:rPr>
              <w:t>5.4.2</w:t>
            </w:r>
            <w:r>
              <w:rPr>
                <w:rFonts w:asciiTheme="minorHAnsi" w:eastAsiaTheme="minorEastAsia" w:hAnsiTheme="minorHAnsi"/>
                <w:lang w:eastAsia="en-AU"/>
              </w:rPr>
              <w:tab/>
            </w:r>
            <w:r w:rsidRPr="002F529B">
              <w:rPr>
                <w:rStyle w:val="Hyperlink"/>
              </w:rPr>
              <w:t>Remaining asset lives</w:t>
            </w:r>
            <w:r>
              <w:rPr>
                <w:webHidden/>
              </w:rPr>
              <w:tab/>
            </w:r>
            <w:r>
              <w:rPr>
                <w:webHidden/>
              </w:rPr>
              <w:fldChar w:fldCharType="begin"/>
            </w:r>
            <w:r>
              <w:rPr>
                <w:webHidden/>
              </w:rPr>
              <w:instrText xml:space="preserve"> PAGEREF _Toc451529411 \h </w:instrText>
            </w:r>
            <w:r>
              <w:rPr>
                <w:webHidden/>
              </w:rPr>
            </w:r>
            <w:r>
              <w:rPr>
                <w:webHidden/>
              </w:rPr>
              <w:fldChar w:fldCharType="separate"/>
            </w:r>
            <w:r>
              <w:rPr>
                <w:webHidden/>
              </w:rPr>
              <w:t>5-10</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E7494F" w:rsidRDefault="00DE563D" w:rsidP="00DE772C">
      <w:pPr>
        <w:pStyle w:val="UnnumberedHeading"/>
        <w:numPr>
          <w:ilvl w:val="0"/>
          <w:numId w:val="23"/>
        </w:numPr>
      </w:pPr>
      <w:bookmarkStart w:id="7" w:name="_Toc404700925"/>
      <w:bookmarkStart w:id="8" w:name="_Toc451529404"/>
      <w:r>
        <w:lastRenderedPageBreak/>
        <w:t>Shortened forms</w:t>
      </w:r>
      <w:bookmarkEnd w:id="7"/>
      <w:bookmarkEnd w:id="8"/>
    </w:p>
    <w:tbl>
      <w:tblPr>
        <w:tblStyle w:val="AERtable-numbers"/>
        <w:tblW w:w="0" w:type="auto"/>
        <w:tblLook w:val="04A0" w:firstRow="1" w:lastRow="0" w:firstColumn="1" w:lastColumn="0" w:noHBand="0" w:noVBand="1"/>
      </w:tblPr>
      <w:tblGrid>
        <w:gridCol w:w="2376"/>
        <w:gridCol w:w="1276"/>
        <w:gridCol w:w="5041"/>
      </w:tblGrid>
      <w:tr w:rsidR="00E7494F" w:rsidTr="00880C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52" w:type="dxa"/>
            <w:gridSpan w:val="2"/>
          </w:tcPr>
          <w:p w:rsidR="00E7494F" w:rsidRDefault="00E7494F" w:rsidP="00E7494F">
            <w:pPr>
              <w:numPr>
                <w:ilvl w:val="0"/>
                <w:numId w:val="24"/>
              </w:numPr>
            </w:pPr>
            <w:r>
              <w:t>Shortened form</w:t>
            </w:r>
          </w:p>
        </w:tc>
        <w:tc>
          <w:tcPr>
            <w:tcW w:w="5041" w:type="dxa"/>
          </w:tcPr>
          <w:p w:rsidR="00E7494F" w:rsidRDefault="00E7494F" w:rsidP="00E7494F">
            <w:pPr>
              <w:numPr>
                <w:ilvl w:val="0"/>
                <w:numId w:val="24"/>
              </w:numPr>
              <w:cnfStyle w:val="100000000000" w:firstRow="1" w:lastRow="0" w:firstColumn="0" w:lastColumn="0" w:oddVBand="0" w:evenVBand="0" w:oddHBand="0" w:evenHBand="0" w:firstRowFirstColumn="0" w:firstRowLastColumn="0" w:lastRowFirstColumn="0" w:lastRowLastColumn="0"/>
            </w:pPr>
            <w:r>
              <w:t>Extended form</w:t>
            </w:r>
          </w:p>
        </w:tc>
      </w:tr>
      <w:tr w:rsidR="00864C47"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AA</w:t>
            </w:r>
          </w:p>
        </w:tc>
        <w:tc>
          <w:tcPr>
            <w:tcW w:w="6317" w:type="dxa"/>
            <w:gridSpan w:val="2"/>
          </w:tcPr>
          <w:p w:rsidR="00864C47" w:rsidRPr="00864C47" w:rsidRDefault="00864C47" w:rsidP="00864C47">
            <w:pPr>
              <w:cnfStyle w:val="000000000000" w:firstRow="0" w:lastRow="0" w:firstColumn="0" w:lastColumn="0" w:oddVBand="0" w:evenVBand="0" w:oddHBand="0" w:evenHBand="0" w:firstRowFirstColumn="0" w:firstRowLastColumn="0" w:lastRowFirstColumn="0" w:lastRowLastColumn="0"/>
            </w:pPr>
            <w:r w:rsidRPr="00F13601">
              <w:t>Access Arrangement</w:t>
            </w:r>
          </w:p>
        </w:tc>
      </w:tr>
      <w:tr w:rsidR="00864C47"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AAI</w:t>
            </w:r>
          </w:p>
        </w:tc>
        <w:tc>
          <w:tcPr>
            <w:tcW w:w="6317" w:type="dxa"/>
            <w:gridSpan w:val="2"/>
          </w:tcPr>
          <w:p w:rsidR="00864C47" w:rsidRPr="00864C47" w:rsidRDefault="00864C47" w:rsidP="00864C47">
            <w:pPr>
              <w:cnfStyle w:val="000000010000" w:firstRow="0" w:lastRow="0" w:firstColumn="0" w:lastColumn="0" w:oddVBand="0" w:evenVBand="0" w:oddHBand="0" w:evenHBand="1" w:firstRowFirstColumn="0" w:firstRowLastColumn="0" w:lastRowFirstColumn="0" w:lastRowLastColumn="0"/>
            </w:pPr>
            <w:r w:rsidRPr="00F13601">
              <w:t>Access Arrangement Information</w:t>
            </w:r>
          </w:p>
        </w:tc>
      </w:tr>
      <w:tr w:rsidR="00864C47"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035E7">
              <w:t>APTNT</w:t>
            </w:r>
          </w:p>
        </w:tc>
        <w:tc>
          <w:tcPr>
            <w:tcW w:w="6317" w:type="dxa"/>
            <w:gridSpan w:val="2"/>
          </w:tcPr>
          <w:p w:rsidR="00864C47" w:rsidRPr="00F13601" w:rsidRDefault="00864C47" w:rsidP="00864C47">
            <w:pPr>
              <w:numPr>
                <w:ilvl w:val="0"/>
                <w:numId w:val="24"/>
              </w:numPr>
              <w:cnfStyle w:val="000000000000" w:firstRow="0" w:lastRow="0" w:firstColumn="0" w:lastColumn="0" w:oddVBand="0" w:evenVBand="0" w:oddHBand="0" w:evenHBand="0" w:firstRowFirstColumn="0" w:firstRowLastColumn="0" w:lastRowFirstColumn="0" w:lastRowLastColumn="0"/>
            </w:pPr>
            <w:r w:rsidRPr="00F035E7">
              <w:t>APT Pipelines (NT) Pty Limited (APTNT)</w:t>
            </w:r>
          </w:p>
        </w:tc>
      </w:tr>
      <w:tr w:rsidR="00864C47"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AER</w:t>
            </w:r>
          </w:p>
        </w:tc>
        <w:tc>
          <w:tcPr>
            <w:tcW w:w="6317" w:type="dxa"/>
            <w:gridSpan w:val="2"/>
          </w:tcPr>
          <w:p w:rsidR="00864C47" w:rsidRPr="00F13601" w:rsidRDefault="00864C47" w:rsidP="00864C47">
            <w:pPr>
              <w:numPr>
                <w:ilvl w:val="0"/>
                <w:numId w:val="24"/>
              </w:numPr>
              <w:cnfStyle w:val="000000010000" w:firstRow="0" w:lastRow="0" w:firstColumn="0" w:lastColumn="0" w:oddVBand="0" w:evenVBand="0" w:oddHBand="0" w:evenHBand="1" w:firstRowFirstColumn="0" w:firstRowLastColumn="0" w:lastRowFirstColumn="0" w:lastRowLastColumn="0"/>
            </w:pPr>
            <w:r w:rsidRPr="00F13601">
              <w:t>Australian Energy Regulator</w:t>
            </w:r>
          </w:p>
        </w:tc>
      </w:tr>
      <w:tr w:rsidR="00864C47"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t>AGP</w:t>
            </w:r>
          </w:p>
        </w:tc>
        <w:tc>
          <w:tcPr>
            <w:tcW w:w="6317" w:type="dxa"/>
            <w:gridSpan w:val="2"/>
          </w:tcPr>
          <w:p w:rsidR="00864C47" w:rsidRPr="00864C47" w:rsidRDefault="00864C47" w:rsidP="00864C47">
            <w:pPr>
              <w:cnfStyle w:val="000000000000" w:firstRow="0" w:lastRow="0" w:firstColumn="0" w:lastColumn="0" w:oddVBand="0" w:evenVBand="0" w:oddHBand="0" w:evenHBand="0" w:firstRowFirstColumn="0" w:firstRowLastColumn="0" w:lastRowFirstColumn="0" w:lastRowLastColumn="0"/>
            </w:pPr>
            <w:r>
              <w:t>Amadeus Gas Pipeline</w:t>
            </w:r>
          </w:p>
        </w:tc>
      </w:tr>
      <w:tr w:rsidR="00864C47"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ATO</w:t>
            </w:r>
          </w:p>
        </w:tc>
        <w:tc>
          <w:tcPr>
            <w:tcW w:w="6317" w:type="dxa"/>
            <w:gridSpan w:val="2"/>
          </w:tcPr>
          <w:p w:rsidR="00864C47" w:rsidRPr="00864C47" w:rsidRDefault="00864C47" w:rsidP="00864C47">
            <w:pPr>
              <w:cnfStyle w:val="000000010000" w:firstRow="0" w:lastRow="0" w:firstColumn="0" w:lastColumn="0" w:oddVBand="0" w:evenVBand="0" w:oddHBand="0" w:evenHBand="1" w:firstRowFirstColumn="0" w:firstRowLastColumn="0" w:lastRowFirstColumn="0" w:lastRowLastColumn="0"/>
            </w:pPr>
            <w:r w:rsidRPr="00F13601">
              <w:t>Australian Tax Office</w:t>
            </w:r>
          </w:p>
        </w:tc>
      </w:tr>
      <w:tr w:rsidR="00864C47"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capex</w:t>
            </w:r>
          </w:p>
        </w:tc>
        <w:tc>
          <w:tcPr>
            <w:tcW w:w="6317" w:type="dxa"/>
            <w:gridSpan w:val="2"/>
          </w:tcPr>
          <w:p w:rsidR="00864C47" w:rsidRPr="00F13601" w:rsidRDefault="00864C47" w:rsidP="00864C47">
            <w:pPr>
              <w:numPr>
                <w:ilvl w:val="0"/>
                <w:numId w:val="24"/>
              </w:numPr>
              <w:cnfStyle w:val="000000000000" w:firstRow="0" w:lastRow="0" w:firstColumn="0" w:lastColumn="0" w:oddVBand="0" w:evenVBand="0" w:oddHBand="0" w:evenHBand="0" w:firstRowFirstColumn="0" w:firstRowLastColumn="0" w:lastRowFirstColumn="0" w:lastRowLastColumn="0"/>
            </w:pPr>
            <w:r w:rsidRPr="00F13601">
              <w:t>capital expenditure</w:t>
            </w:r>
          </w:p>
        </w:tc>
      </w:tr>
      <w:tr w:rsidR="00864C47"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CAPM</w:t>
            </w:r>
          </w:p>
        </w:tc>
        <w:tc>
          <w:tcPr>
            <w:tcW w:w="6317" w:type="dxa"/>
            <w:gridSpan w:val="2"/>
          </w:tcPr>
          <w:p w:rsidR="00864C47" w:rsidRPr="00F13601" w:rsidRDefault="00864C47" w:rsidP="00864C47">
            <w:pPr>
              <w:numPr>
                <w:ilvl w:val="0"/>
                <w:numId w:val="24"/>
              </w:numPr>
              <w:cnfStyle w:val="000000010000" w:firstRow="0" w:lastRow="0" w:firstColumn="0" w:lastColumn="0" w:oddVBand="0" w:evenVBand="0" w:oddHBand="0" w:evenHBand="1" w:firstRowFirstColumn="0" w:firstRowLastColumn="0" w:lastRowFirstColumn="0" w:lastRowLastColumn="0"/>
            </w:pPr>
            <w:r w:rsidRPr="00F13601">
              <w:t>capital asset pricing model</w:t>
            </w:r>
          </w:p>
        </w:tc>
      </w:tr>
      <w:tr w:rsidR="00864C47"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CPI</w:t>
            </w:r>
          </w:p>
        </w:tc>
        <w:tc>
          <w:tcPr>
            <w:tcW w:w="6317" w:type="dxa"/>
            <w:gridSpan w:val="2"/>
          </w:tcPr>
          <w:p w:rsidR="00864C47" w:rsidRPr="00F13601" w:rsidRDefault="00864C47" w:rsidP="00864C47">
            <w:pPr>
              <w:numPr>
                <w:ilvl w:val="0"/>
                <w:numId w:val="24"/>
              </w:numPr>
              <w:cnfStyle w:val="000000000000" w:firstRow="0" w:lastRow="0" w:firstColumn="0" w:lastColumn="0" w:oddVBand="0" w:evenVBand="0" w:oddHBand="0" w:evenHBand="0" w:firstRowFirstColumn="0" w:firstRowLastColumn="0" w:lastRowFirstColumn="0" w:lastRowLastColumn="0"/>
            </w:pPr>
            <w:r w:rsidRPr="00F13601">
              <w:t>consumer price index</w:t>
            </w:r>
          </w:p>
        </w:tc>
      </w:tr>
      <w:tr w:rsidR="00864C47"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DRP</w:t>
            </w:r>
          </w:p>
        </w:tc>
        <w:tc>
          <w:tcPr>
            <w:tcW w:w="6317" w:type="dxa"/>
            <w:gridSpan w:val="2"/>
          </w:tcPr>
          <w:p w:rsidR="00864C47" w:rsidRPr="00F13601" w:rsidRDefault="00864C47" w:rsidP="00864C47">
            <w:pPr>
              <w:numPr>
                <w:ilvl w:val="0"/>
                <w:numId w:val="24"/>
              </w:numPr>
              <w:cnfStyle w:val="000000010000" w:firstRow="0" w:lastRow="0" w:firstColumn="0" w:lastColumn="0" w:oddVBand="0" w:evenVBand="0" w:oddHBand="0" w:evenHBand="1" w:firstRowFirstColumn="0" w:firstRowLastColumn="0" w:lastRowFirstColumn="0" w:lastRowLastColumn="0"/>
            </w:pPr>
            <w:r w:rsidRPr="00F13601">
              <w:t>debt risk premium</w:t>
            </w:r>
          </w:p>
        </w:tc>
      </w:tr>
      <w:tr w:rsidR="00864C47"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64C47" w:rsidRPr="00B2363F" w:rsidRDefault="00864C47" w:rsidP="00864C47">
            <w:pPr>
              <w:numPr>
                <w:ilvl w:val="0"/>
                <w:numId w:val="24"/>
              </w:numPr>
            </w:pPr>
            <w:r>
              <w:t>ECM</w:t>
            </w:r>
          </w:p>
        </w:tc>
        <w:tc>
          <w:tcPr>
            <w:tcW w:w="6317" w:type="dxa"/>
            <w:gridSpan w:val="2"/>
          </w:tcPr>
          <w:p w:rsidR="00864C47" w:rsidRPr="00864C47" w:rsidRDefault="00864C47" w:rsidP="00864C47">
            <w:pPr>
              <w:cnfStyle w:val="000000000000" w:firstRow="0" w:lastRow="0" w:firstColumn="0" w:lastColumn="0" w:oddVBand="0" w:evenVBand="0" w:oddHBand="0" w:evenHBand="0" w:firstRowFirstColumn="0" w:firstRowLastColumn="0" w:lastRowFirstColumn="0" w:lastRowLastColumn="0"/>
            </w:pPr>
            <w:r>
              <w:t>Efficiency carryover mechanism</w:t>
            </w:r>
          </w:p>
        </w:tc>
      </w:tr>
      <w:tr w:rsidR="00864C47"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ERP</w:t>
            </w:r>
          </w:p>
        </w:tc>
        <w:tc>
          <w:tcPr>
            <w:tcW w:w="6317" w:type="dxa"/>
            <w:gridSpan w:val="2"/>
          </w:tcPr>
          <w:p w:rsidR="00864C47" w:rsidRPr="00F13601" w:rsidRDefault="00864C47" w:rsidP="00864C47">
            <w:pPr>
              <w:numPr>
                <w:ilvl w:val="0"/>
                <w:numId w:val="24"/>
              </w:numPr>
              <w:cnfStyle w:val="000000010000" w:firstRow="0" w:lastRow="0" w:firstColumn="0" w:lastColumn="0" w:oddVBand="0" w:evenVBand="0" w:oddHBand="0" w:evenHBand="1" w:firstRowFirstColumn="0" w:firstRowLastColumn="0" w:lastRowFirstColumn="0" w:lastRowLastColumn="0"/>
            </w:pPr>
            <w:r w:rsidRPr="00F13601">
              <w:t>equity risk premium</w:t>
            </w:r>
          </w:p>
        </w:tc>
      </w:tr>
      <w:tr w:rsidR="00864C47"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Expenditure Guideline</w:t>
            </w:r>
          </w:p>
        </w:tc>
        <w:tc>
          <w:tcPr>
            <w:tcW w:w="6317" w:type="dxa"/>
            <w:gridSpan w:val="2"/>
          </w:tcPr>
          <w:p w:rsidR="00864C47" w:rsidRPr="00864C47" w:rsidRDefault="00864C47" w:rsidP="00864C47">
            <w:pPr>
              <w:cnfStyle w:val="000000000000" w:firstRow="0" w:lastRow="0" w:firstColumn="0" w:lastColumn="0" w:oddVBand="0" w:evenVBand="0" w:oddHBand="0" w:evenHBand="0" w:firstRowFirstColumn="0" w:firstRowLastColumn="0" w:lastRowFirstColumn="0" w:lastRowLastColumn="0"/>
            </w:pPr>
            <w:r w:rsidRPr="00F13601">
              <w:t>Expenditure Forecast Assessment Guideline</w:t>
            </w:r>
          </w:p>
        </w:tc>
      </w:tr>
      <w:tr w:rsidR="00864C47"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gamma</w:t>
            </w:r>
          </w:p>
        </w:tc>
        <w:tc>
          <w:tcPr>
            <w:tcW w:w="6317" w:type="dxa"/>
            <w:gridSpan w:val="2"/>
          </w:tcPr>
          <w:p w:rsidR="00864C47" w:rsidRPr="00864C47" w:rsidRDefault="00864C47" w:rsidP="00864C47">
            <w:pPr>
              <w:cnfStyle w:val="000000010000" w:firstRow="0" w:lastRow="0" w:firstColumn="0" w:lastColumn="0" w:oddVBand="0" w:evenVBand="0" w:oddHBand="0" w:evenHBand="1" w:firstRowFirstColumn="0" w:firstRowLastColumn="0" w:lastRowFirstColumn="0" w:lastRowLastColumn="0"/>
            </w:pPr>
            <w:r>
              <w:t>v</w:t>
            </w:r>
            <w:r w:rsidRPr="00864C47">
              <w:t>alue of imputation credits</w:t>
            </w:r>
          </w:p>
        </w:tc>
      </w:tr>
      <w:tr w:rsidR="00864C47"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GTA</w:t>
            </w:r>
          </w:p>
        </w:tc>
        <w:tc>
          <w:tcPr>
            <w:tcW w:w="6317" w:type="dxa"/>
            <w:gridSpan w:val="2"/>
          </w:tcPr>
          <w:p w:rsidR="00864C47" w:rsidRPr="00864C47" w:rsidRDefault="00864C47" w:rsidP="00864C47">
            <w:pPr>
              <w:cnfStyle w:val="000000000000" w:firstRow="0" w:lastRow="0" w:firstColumn="0" w:lastColumn="0" w:oddVBand="0" w:evenVBand="0" w:oddHBand="0" w:evenHBand="0" w:firstRowFirstColumn="0" w:firstRowLastColumn="0" w:lastRowFirstColumn="0" w:lastRowLastColumn="0"/>
            </w:pPr>
            <w:r>
              <w:t>G</w:t>
            </w:r>
            <w:r w:rsidRPr="00864C47">
              <w:t>as Transport Services Agreement</w:t>
            </w:r>
          </w:p>
        </w:tc>
      </w:tr>
      <w:tr w:rsidR="00864C47"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MRP</w:t>
            </w:r>
          </w:p>
        </w:tc>
        <w:tc>
          <w:tcPr>
            <w:tcW w:w="6317" w:type="dxa"/>
            <w:gridSpan w:val="2"/>
          </w:tcPr>
          <w:p w:rsidR="00864C47" w:rsidRPr="00F13601" w:rsidRDefault="00864C47" w:rsidP="00864C47">
            <w:pPr>
              <w:numPr>
                <w:ilvl w:val="0"/>
                <w:numId w:val="24"/>
              </w:numPr>
              <w:cnfStyle w:val="000000010000" w:firstRow="0" w:lastRow="0" w:firstColumn="0" w:lastColumn="0" w:oddVBand="0" w:evenVBand="0" w:oddHBand="0" w:evenHBand="1" w:firstRowFirstColumn="0" w:firstRowLastColumn="0" w:lastRowFirstColumn="0" w:lastRowLastColumn="0"/>
            </w:pPr>
            <w:r w:rsidRPr="00F13601">
              <w:t>market risk premium</w:t>
            </w:r>
          </w:p>
        </w:tc>
      </w:tr>
      <w:tr w:rsidR="00864C47"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N</w:t>
            </w:r>
            <w:r>
              <w:t>GP</w:t>
            </w:r>
          </w:p>
        </w:tc>
        <w:tc>
          <w:tcPr>
            <w:tcW w:w="6317" w:type="dxa"/>
            <w:gridSpan w:val="2"/>
          </w:tcPr>
          <w:p w:rsidR="00864C47" w:rsidRPr="00F13601" w:rsidRDefault="00864C47" w:rsidP="00864C47">
            <w:pPr>
              <w:numPr>
                <w:ilvl w:val="0"/>
                <w:numId w:val="24"/>
              </w:numPr>
              <w:cnfStyle w:val="000000000000" w:firstRow="0" w:lastRow="0" w:firstColumn="0" w:lastColumn="0" w:oddVBand="0" w:evenVBand="0" w:oddHBand="0" w:evenHBand="0" w:firstRowFirstColumn="0" w:firstRowLastColumn="0" w:lastRowFirstColumn="0" w:lastRowLastColumn="0"/>
            </w:pPr>
            <w:r>
              <w:t>Northern Gas Pipeline (formerly North East Gas Interconnector/NEGI)</w:t>
            </w:r>
          </w:p>
        </w:tc>
      </w:tr>
      <w:tr w:rsidR="00864C47"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NGL</w:t>
            </w:r>
          </w:p>
        </w:tc>
        <w:tc>
          <w:tcPr>
            <w:tcW w:w="6317" w:type="dxa"/>
            <w:gridSpan w:val="2"/>
          </w:tcPr>
          <w:p w:rsidR="00864C47" w:rsidRPr="00F13601" w:rsidRDefault="00864C47" w:rsidP="00864C47">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L</w:t>
            </w:r>
            <w:r w:rsidRPr="00F13601">
              <w:t>aw</w:t>
            </w:r>
          </w:p>
        </w:tc>
      </w:tr>
      <w:tr w:rsidR="00864C47"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NGO</w:t>
            </w:r>
          </w:p>
        </w:tc>
        <w:tc>
          <w:tcPr>
            <w:tcW w:w="6317" w:type="dxa"/>
            <w:gridSpan w:val="2"/>
          </w:tcPr>
          <w:p w:rsidR="00864C47" w:rsidRPr="00F13601" w:rsidRDefault="00864C47" w:rsidP="00864C47">
            <w:pPr>
              <w:numPr>
                <w:ilvl w:val="0"/>
                <w:numId w:val="24"/>
              </w:numPr>
              <w:cnfStyle w:val="000000000000" w:firstRow="0" w:lastRow="0" w:firstColumn="0" w:lastColumn="0" w:oddVBand="0" w:evenVBand="0" w:oddHBand="0" w:evenHBand="0" w:firstRowFirstColumn="0" w:firstRowLastColumn="0" w:lastRowFirstColumn="0" w:lastRowLastColumn="0"/>
            </w:pPr>
            <w:r>
              <w:t>N</w:t>
            </w:r>
            <w:r w:rsidRPr="00F13601">
              <w:t xml:space="preserve">ational </w:t>
            </w:r>
            <w:r>
              <w:t>G</w:t>
            </w:r>
            <w:r w:rsidRPr="00F13601">
              <w:t xml:space="preserve">as </w:t>
            </w:r>
            <w:r>
              <w:t>O</w:t>
            </w:r>
            <w:r w:rsidRPr="00F13601">
              <w:t>bjective</w:t>
            </w:r>
          </w:p>
        </w:tc>
      </w:tr>
      <w:tr w:rsidR="00864C47"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NGR</w:t>
            </w:r>
          </w:p>
        </w:tc>
        <w:tc>
          <w:tcPr>
            <w:tcW w:w="6317" w:type="dxa"/>
            <w:gridSpan w:val="2"/>
          </w:tcPr>
          <w:p w:rsidR="00864C47" w:rsidRPr="00F13601" w:rsidRDefault="00864C47" w:rsidP="00864C47">
            <w:pPr>
              <w:numPr>
                <w:ilvl w:val="0"/>
                <w:numId w:val="24"/>
              </w:numPr>
              <w:cnfStyle w:val="000000010000" w:firstRow="0" w:lastRow="0" w:firstColumn="0" w:lastColumn="0" w:oddVBand="0" w:evenVBand="0" w:oddHBand="0" w:evenHBand="1" w:firstRowFirstColumn="0" w:firstRowLastColumn="0" w:lastRowFirstColumn="0" w:lastRowLastColumn="0"/>
            </w:pPr>
            <w:r>
              <w:t>N</w:t>
            </w:r>
            <w:r w:rsidRPr="00F13601">
              <w:t xml:space="preserve">ational </w:t>
            </w:r>
            <w:r>
              <w:t>G</w:t>
            </w:r>
            <w:r w:rsidRPr="00F13601">
              <w:t xml:space="preserve">as </w:t>
            </w:r>
            <w:r>
              <w:t>R</w:t>
            </w:r>
            <w:r w:rsidRPr="00F13601">
              <w:t>ules</w:t>
            </w:r>
          </w:p>
        </w:tc>
      </w:tr>
      <w:tr w:rsidR="00864C47"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NPV</w:t>
            </w:r>
          </w:p>
        </w:tc>
        <w:tc>
          <w:tcPr>
            <w:tcW w:w="6317" w:type="dxa"/>
            <w:gridSpan w:val="2"/>
          </w:tcPr>
          <w:p w:rsidR="00864C47" w:rsidRPr="00864C47" w:rsidRDefault="00864C47" w:rsidP="00864C47">
            <w:pPr>
              <w:cnfStyle w:val="000000000000" w:firstRow="0" w:lastRow="0" w:firstColumn="0" w:lastColumn="0" w:oddVBand="0" w:evenVBand="0" w:oddHBand="0" w:evenHBand="0" w:firstRowFirstColumn="0" w:firstRowLastColumn="0" w:lastRowFirstColumn="0" w:lastRowLastColumn="0"/>
            </w:pPr>
            <w:r w:rsidRPr="00F13601">
              <w:t>net present value</w:t>
            </w:r>
          </w:p>
        </w:tc>
      </w:tr>
      <w:tr w:rsidR="00864C47"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opex</w:t>
            </w:r>
          </w:p>
        </w:tc>
        <w:tc>
          <w:tcPr>
            <w:tcW w:w="6317" w:type="dxa"/>
            <w:gridSpan w:val="2"/>
          </w:tcPr>
          <w:p w:rsidR="00864C47" w:rsidRPr="00F13601" w:rsidRDefault="00864C47" w:rsidP="00864C47">
            <w:pPr>
              <w:numPr>
                <w:ilvl w:val="0"/>
                <w:numId w:val="24"/>
              </w:numPr>
              <w:cnfStyle w:val="000000010000" w:firstRow="0" w:lastRow="0" w:firstColumn="0" w:lastColumn="0" w:oddVBand="0" w:evenVBand="0" w:oddHBand="0" w:evenHBand="1" w:firstRowFirstColumn="0" w:firstRowLastColumn="0" w:lastRowFirstColumn="0" w:lastRowLastColumn="0"/>
            </w:pPr>
            <w:r w:rsidRPr="00F13601">
              <w:t>operating expenditure</w:t>
            </w:r>
          </w:p>
        </w:tc>
      </w:tr>
      <w:tr w:rsidR="00864C47"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PTRM</w:t>
            </w:r>
          </w:p>
        </w:tc>
        <w:tc>
          <w:tcPr>
            <w:tcW w:w="6317" w:type="dxa"/>
            <w:gridSpan w:val="2"/>
          </w:tcPr>
          <w:p w:rsidR="00864C47" w:rsidRPr="00F13601" w:rsidRDefault="00864C47" w:rsidP="00864C47">
            <w:pPr>
              <w:numPr>
                <w:ilvl w:val="0"/>
                <w:numId w:val="24"/>
              </w:numPr>
              <w:cnfStyle w:val="000000000000" w:firstRow="0" w:lastRow="0" w:firstColumn="0" w:lastColumn="0" w:oddVBand="0" w:evenVBand="0" w:oddHBand="0" w:evenHBand="0" w:firstRowFirstColumn="0" w:firstRowLastColumn="0" w:lastRowFirstColumn="0" w:lastRowLastColumn="0"/>
            </w:pPr>
            <w:r w:rsidRPr="00F13601">
              <w:t>post-tax revenue model</w:t>
            </w:r>
          </w:p>
        </w:tc>
      </w:tr>
      <w:tr w:rsidR="00864C47"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RBA</w:t>
            </w:r>
          </w:p>
        </w:tc>
        <w:tc>
          <w:tcPr>
            <w:tcW w:w="6317" w:type="dxa"/>
            <w:gridSpan w:val="2"/>
          </w:tcPr>
          <w:p w:rsidR="00864C47" w:rsidRPr="00F13601" w:rsidRDefault="00864C47" w:rsidP="00864C47">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Reserve Bank of Australia</w:t>
            </w:r>
          </w:p>
        </w:tc>
      </w:tr>
      <w:tr w:rsidR="00864C47"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RFM</w:t>
            </w:r>
          </w:p>
        </w:tc>
        <w:tc>
          <w:tcPr>
            <w:tcW w:w="6317" w:type="dxa"/>
            <w:gridSpan w:val="2"/>
          </w:tcPr>
          <w:p w:rsidR="00864C47" w:rsidRPr="00F13601" w:rsidRDefault="00864C47" w:rsidP="00864C47">
            <w:pPr>
              <w:numPr>
                <w:ilvl w:val="0"/>
                <w:numId w:val="24"/>
              </w:numPr>
              <w:cnfStyle w:val="000000000000" w:firstRow="0" w:lastRow="0" w:firstColumn="0" w:lastColumn="0" w:oddVBand="0" w:evenVBand="0" w:oddHBand="0" w:evenHBand="0" w:firstRowFirstColumn="0" w:firstRowLastColumn="0" w:lastRowFirstColumn="0" w:lastRowLastColumn="0"/>
            </w:pPr>
            <w:r w:rsidRPr="00F13601">
              <w:t>roll forward model</w:t>
            </w:r>
          </w:p>
        </w:tc>
      </w:tr>
      <w:tr w:rsidR="00864C47"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RIN</w:t>
            </w:r>
          </w:p>
        </w:tc>
        <w:tc>
          <w:tcPr>
            <w:tcW w:w="6317" w:type="dxa"/>
            <w:gridSpan w:val="2"/>
          </w:tcPr>
          <w:p w:rsidR="00864C47" w:rsidRPr="00F13601" w:rsidRDefault="00864C47" w:rsidP="00864C47">
            <w:pPr>
              <w:numPr>
                <w:ilvl w:val="0"/>
                <w:numId w:val="24"/>
              </w:numPr>
              <w:cnfStyle w:val="000000010000" w:firstRow="0" w:lastRow="0" w:firstColumn="0" w:lastColumn="0" w:oddVBand="0" w:evenVBand="0" w:oddHBand="0" w:evenHBand="1" w:firstRowFirstColumn="0" w:firstRowLastColumn="0" w:lastRowFirstColumn="0" w:lastRowLastColumn="0"/>
            </w:pPr>
            <w:r w:rsidRPr="00F13601">
              <w:t>regulatory information notice</w:t>
            </w:r>
          </w:p>
        </w:tc>
      </w:tr>
      <w:tr w:rsidR="00864C47"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RPP</w:t>
            </w:r>
          </w:p>
        </w:tc>
        <w:tc>
          <w:tcPr>
            <w:tcW w:w="6317" w:type="dxa"/>
            <w:gridSpan w:val="2"/>
          </w:tcPr>
          <w:p w:rsidR="00864C47" w:rsidRPr="00F13601" w:rsidRDefault="00864C47" w:rsidP="00864C47">
            <w:pPr>
              <w:numPr>
                <w:ilvl w:val="0"/>
                <w:numId w:val="24"/>
              </w:numPr>
              <w:cnfStyle w:val="000000000000" w:firstRow="0" w:lastRow="0" w:firstColumn="0" w:lastColumn="0" w:oddVBand="0" w:evenVBand="0" w:oddHBand="0" w:evenHBand="0" w:firstRowFirstColumn="0" w:firstRowLastColumn="0" w:lastRowFirstColumn="0" w:lastRowLastColumn="0"/>
            </w:pPr>
            <w:r w:rsidRPr="00F13601">
              <w:t>revenue and pricing principles</w:t>
            </w:r>
          </w:p>
        </w:tc>
      </w:tr>
      <w:tr w:rsidR="00864C47"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SLCAPM</w:t>
            </w:r>
          </w:p>
        </w:tc>
        <w:tc>
          <w:tcPr>
            <w:tcW w:w="6317" w:type="dxa"/>
            <w:gridSpan w:val="2"/>
          </w:tcPr>
          <w:p w:rsidR="00864C47" w:rsidRPr="00F13601" w:rsidRDefault="00864C47" w:rsidP="00864C47">
            <w:pPr>
              <w:numPr>
                <w:ilvl w:val="0"/>
                <w:numId w:val="24"/>
              </w:numPr>
              <w:cnfStyle w:val="000000010000" w:firstRow="0" w:lastRow="0" w:firstColumn="0" w:lastColumn="0" w:oddVBand="0" w:evenVBand="0" w:oddHBand="0" w:evenHBand="1" w:firstRowFirstColumn="0" w:firstRowLastColumn="0" w:lastRowFirstColumn="0" w:lastRowLastColumn="0"/>
            </w:pPr>
            <w:r w:rsidRPr="00F13601">
              <w:t>Sharpe-</w:t>
            </w:r>
            <w:proofErr w:type="spellStart"/>
            <w:r w:rsidRPr="00F13601">
              <w:t>Lintner</w:t>
            </w:r>
            <w:proofErr w:type="spellEnd"/>
            <w:r w:rsidRPr="00F13601">
              <w:t xml:space="preserve"> capital asset pricing model</w:t>
            </w:r>
          </w:p>
        </w:tc>
      </w:tr>
      <w:tr w:rsidR="00864C47"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TAB</w:t>
            </w:r>
          </w:p>
        </w:tc>
        <w:tc>
          <w:tcPr>
            <w:tcW w:w="6317" w:type="dxa"/>
            <w:gridSpan w:val="2"/>
          </w:tcPr>
          <w:p w:rsidR="00864C47" w:rsidRPr="00864C47" w:rsidRDefault="00864C47" w:rsidP="00864C47">
            <w:pPr>
              <w:cnfStyle w:val="000000000000" w:firstRow="0" w:lastRow="0" w:firstColumn="0" w:lastColumn="0" w:oddVBand="0" w:evenVBand="0" w:oddHBand="0" w:evenHBand="0" w:firstRowFirstColumn="0" w:firstRowLastColumn="0" w:lastRowFirstColumn="0" w:lastRowLastColumn="0"/>
            </w:pPr>
            <w:r>
              <w:t>t</w:t>
            </w:r>
            <w:r w:rsidRPr="00864C47">
              <w:t>ax asset base</w:t>
            </w:r>
          </w:p>
        </w:tc>
      </w:tr>
      <w:tr w:rsidR="00864C47"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UAFG</w:t>
            </w:r>
          </w:p>
        </w:tc>
        <w:tc>
          <w:tcPr>
            <w:tcW w:w="6317" w:type="dxa"/>
            <w:gridSpan w:val="2"/>
          </w:tcPr>
          <w:p w:rsidR="00864C47" w:rsidRPr="00864C47" w:rsidRDefault="00864C47" w:rsidP="00864C47">
            <w:pPr>
              <w:cnfStyle w:val="000000010000" w:firstRow="0" w:lastRow="0" w:firstColumn="0" w:lastColumn="0" w:oddVBand="0" w:evenVBand="0" w:oddHBand="0" w:evenHBand="1" w:firstRowFirstColumn="0" w:firstRowLastColumn="0" w:lastRowFirstColumn="0" w:lastRowLastColumn="0"/>
            </w:pPr>
            <w:r>
              <w:t>u</w:t>
            </w:r>
            <w:r w:rsidRPr="00864C47">
              <w:t>naccounted for gas</w:t>
            </w:r>
          </w:p>
        </w:tc>
      </w:tr>
      <w:tr w:rsidR="00864C47" w:rsidRPr="00B2363F" w:rsidTr="00FC5A62">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lastRenderedPageBreak/>
              <w:t>WACC</w:t>
            </w:r>
          </w:p>
        </w:tc>
        <w:tc>
          <w:tcPr>
            <w:tcW w:w="6317" w:type="dxa"/>
            <w:gridSpan w:val="2"/>
          </w:tcPr>
          <w:p w:rsidR="00864C47" w:rsidRPr="00F13601" w:rsidRDefault="00864C47" w:rsidP="00864C47">
            <w:pPr>
              <w:numPr>
                <w:ilvl w:val="0"/>
                <w:numId w:val="24"/>
              </w:numPr>
              <w:cnfStyle w:val="000000000000" w:firstRow="0" w:lastRow="0" w:firstColumn="0" w:lastColumn="0" w:oddVBand="0" w:evenVBand="0" w:oddHBand="0" w:evenHBand="0" w:firstRowFirstColumn="0" w:firstRowLastColumn="0" w:lastRowFirstColumn="0" w:lastRowLastColumn="0"/>
            </w:pPr>
            <w:r w:rsidRPr="00F13601">
              <w:t>weighted average cost of capital</w:t>
            </w:r>
          </w:p>
        </w:tc>
      </w:tr>
      <w:tr w:rsidR="00864C47" w:rsidRPr="00B2363F" w:rsidTr="00FC5A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864C47" w:rsidRPr="00F13601" w:rsidRDefault="00864C47" w:rsidP="00864C47">
            <w:pPr>
              <w:numPr>
                <w:ilvl w:val="0"/>
                <w:numId w:val="24"/>
              </w:numPr>
            </w:pPr>
            <w:r w:rsidRPr="00F13601">
              <w:t>WPI</w:t>
            </w:r>
          </w:p>
        </w:tc>
        <w:tc>
          <w:tcPr>
            <w:tcW w:w="6317" w:type="dxa"/>
            <w:gridSpan w:val="2"/>
          </w:tcPr>
          <w:p w:rsidR="00864C47" w:rsidRPr="00864C47" w:rsidRDefault="00864C47" w:rsidP="00864C47">
            <w:pPr>
              <w:cnfStyle w:val="000000010000" w:firstRow="0" w:lastRow="0" w:firstColumn="0" w:lastColumn="0" w:oddVBand="0" w:evenVBand="0" w:oddHBand="0" w:evenHBand="1" w:firstRowFirstColumn="0" w:firstRowLastColumn="0" w:lastRowFirstColumn="0" w:lastRowLastColumn="0"/>
            </w:pPr>
            <w:r w:rsidRPr="00F13601">
              <w:t>Wage Price Index</w:t>
            </w:r>
          </w:p>
        </w:tc>
      </w:tr>
    </w:tbl>
    <w:p w:rsidR="00DE563D" w:rsidRDefault="00937958" w:rsidP="00A7259C">
      <w:pPr>
        <w:pStyle w:val="Heading1"/>
      </w:pPr>
      <w:bookmarkStart w:id="9" w:name="_Toc451529405"/>
      <w:r>
        <w:lastRenderedPageBreak/>
        <w:t>Regulatory depreciation</w:t>
      </w:r>
      <w:bookmarkEnd w:id="9"/>
    </w:p>
    <w:p w:rsidR="00D1561D" w:rsidRPr="00A575B0" w:rsidRDefault="00D1561D" w:rsidP="00D1561D">
      <w:r w:rsidRPr="00CA36EA">
        <w:t xml:space="preserve">When determining the total revenue for </w:t>
      </w:r>
      <w:r>
        <w:t>APTNT</w:t>
      </w:r>
      <w:r w:rsidRPr="00CA36EA">
        <w:t xml:space="preserve">, </w:t>
      </w:r>
      <w:r>
        <w:t>we</w:t>
      </w:r>
      <w:r w:rsidRPr="00CA36EA">
        <w:t xml:space="preserve"> must decide on the depreciation for the projected capital base (</w:t>
      </w:r>
      <w:r>
        <w:t>otherwise referred to as</w:t>
      </w:r>
      <w:r w:rsidRPr="00CA36EA">
        <w:t xml:space="preserve"> </w:t>
      </w:r>
      <w:r>
        <w:t>‘</w:t>
      </w:r>
      <w:r w:rsidRPr="00CA36EA">
        <w:t>return of capital</w:t>
      </w:r>
      <w:r>
        <w:t>’</w:t>
      </w:r>
      <w:r w:rsidRPr="00CA36EA">
        <w:t>).</w:t>
      </w:r>
      <w:r>
        <w:rPr>
          <w:rStyle w:val="FootnoteReference"/>
        </w:rPr>
        <w:footnoteReference w:id="1"/>
      </w:r>
      <w:r w:rsidRPr="00CA36EA">
        <w:t xml:space="preserve"> Regulatory depreciation is used to model the nominal asset values over the </w:t>
      </w:r>
      <w:r>
        <w:t>2016–21</w:t>
      </w:r>
      <w:r w:rsidRPr="00CA36EA">
        <w:t xml:space="preserve"> access arrangement </w:t>
      </w:r>
      <w:proofErr w:type="gramStart"/>
      <w:r w:rsidRPr="00CA36EA">
        <w:t>period</w:t>
      </w:r>
      <w:proofErr w:type="gramEnd"/>
      <w:r w:rsidRPr="00CA36EA">
        <w:t xml:space="preserve"> and the depreciation allowance in the total revenue requirement.</w:t>
      </w:r>
      <w:r>
        <w:rPr>
          <w:rStyle w:val="FootnoteReference"/>
        </w:rPr>
        <w:footnoteReference w:id="2"/>
      </w:r>
      <w:r>
        <w:t xml:space="preserve"> </w:t>
      </w:r>
    </w:p>
    <w:p w:rsidR="00D1561D" w:rsidRPr="00CA36EA" w:rsidRDefault="00D1561D" w:rsidP="00D1561D">
      <w:r>
        <w:t>This attachment outlines our</w:t>
      </w:r>
      <w:r w:rsidRPr="00CA36EA">
        <w:t xml:space="preserve"> </w:t>
      </w:r>
      <w:r>
        <w:t>final</w:t>
      </w:r>
      <w:r w:rsidRPr="00CA36EA">
        <w:t xml:space="preserve"> decision on </w:t>
      </w:r>
      <w:r>
        <w:t xml:space="preserve">APTNT’s </w:t>
      </w:r>
      <w:r w:rsidRPr="00CA36EA">
        <w:t xml:space="preserve">annual regulatory depreciation allowance </w:t>
      </w:r>
      <w:r>
        <w:t>for the</w:t>
      </w:r>
      <w:r w:rsidRPr="00B41164">
        <w:t xml:space="preserve"> </w:t>
      </w:r>
      <w:r>
        <w:t>2016–21</w:t>
      </w:r>
      <w:r w:rsidRPr="00CA36EA">
        <w:t xml:space="preserve"> access arrangement </w:t>
      </w:r>
      <w:proofErr w:type="gramStart"/>
      <w:r w:rsidRPr="00CA36EA">
        <w:t>period</w:t>
      </w:r>
      <w:proofErr w:type="gramEnd"/>
      <w:r w:rsidRPr="00CA36EA">
        <w:t xml:space="preserve">. </w:t>
      </w:r>
      <w:r>
        <w:t>Our</w:t>
      </w:r>
      <w:r w:rsidRPr="00CA36EA">
        <w:t xml:space="preserve"> consideration of specific matters that affect the estimate of regulatory depreciation is also outlined in this attachment. These include:</w:t>
      </w:r>
    </w:p>
    <w:p w:rsidR="00D1561D" w:rsidRPr="00A575B0" w:rsidRDefault="00D1561D" w:rsidP="00D1561D">
      <w:pPr>
        <w:pStyle w:val="AERbulletlistfirststyle"/>
      </w:pPr>
      <w:r w:rsidRPr="00A575B0">
        <w:t>the standard asset lives for depreciating new assets associated with forecast capex</w:t>
      </w:r>
      <w:r w:rsidRPr="00D1561D">
        <w:rPr>
          <w:rStyle w:val="AERsuperscript"/>
        </w:rPr>
        <w:footnoteReference w:id="3"/>
      </w:r>
    </w:p>
    <w:p w:rsidR="00D1561D" w:rsidRDefault="00D1561D" w:rsidP="00D1561D">
      <w:pPr>
        <w:pStyle w:val="AERbulletlistfirststyle"/>
      </w:pPr>
      <w:proofErr w:type="gramStart"/>
      <w:r w:rsidRPr="00A575B0">
        <w:t>the</w:t>
      </w:r>
      <w:proofErr w:type="gramEnd"/>
      <w:r w:rsidRPr="00A575B0">
        <w:t xml:space="preserve"> remaining asset lives for depreciating existing assets in the opening capital base.</w:t>
      </w:r>
      <w:r w:rsidRPr="00D1561D">
        <w:rPr>
          <w:rStyle w:val="AERsuperscript"/>
        </w:rPr>
        <w:footnoteReference w:id="4"/>
      </w:r>
    </w:p>
    <w:p w:rsidR="00D1561D" w:rsidRDefault="00D1561D" w:rsidP="00D1561D">
      <w:pPr>
        <w:pStyle w:val="Heading2"/>
      </w:pPr>
      <w:bookmarkStart w:id="10" w:name="_Toc429575817"/>
      <w:bookmarkStart w:id="11" w:name="_Toc436042528"/>
      <w:bookmarkStart w:id="12" w:name="_Toc451529406"/>
      <w:r>
        <w:t>Final</w:t>
      </w:r>
      <w:r w:rsidRPr="0074565D">
        <w:t xml:space="preserve"> decision</w:t>
      </w:r>
      <w:bookmarkEnd w:id="10"/>
      <w:bookmarkEnd w:id="11"/>
      <w:bookmarkEnd w:id="12"/>
    </w:p>
    <w:p w:rsidR="00C14C20" w:rsidRDefault="00C14C20" w:rsidP="00D1561D">
      <w:r>
        <w:t xml:space="preserve">Consistent with our draft decision, we approve the real straight-line method used by APTNT to calculate its regulatory depreciation allowance. </w:t>
      </w:r>
      <w:r w:rsidR="006C34F5">
        <w:t>However, w</w:t>
      </w:r>
      <w:r w:rsidR="006C34F5" w:rsidRPr="008F0CF0">
        <w:t xml:space="preserve">e do not approve the amount of the regulatory depreciation allowance </w:t>
      </w:r>
      <w:r w:rsidR="006C34F5">
        <w:t>in APTNT's revised proposal</w:t>
      </w:r>
      <w:r w:rsidR="006C34F5" w:rsidRPr="008F0CF0">
        <w:t xml:space="preserve"> </w:t>
      </w:r>
      <w:r w:rsidR="006C34F5">
        <w:t>for</w:t>
      </w:r>
      <w:r w:rsidR="006C34F5" w:rsidRPr="008F0CF0">
        <w:t xml:space="preserve"> the 201</w:t>
      </w:r>
      <w:r w:rsidR="006C34F5">
        <w:t>6</w:t>
      </w:r>
      <w:r w:rsidR="006C34F5" w:rsidRPr="008F0CF0">
        <w:t>–2</w:t>
      </w:r>
      <w:r w:rsidR="006C34F5">
        <w:t>1</w:t>
      </w:r>
      <w:r w:rsidR="006C34F5" w:rsidRPr="008F0CF0">
        <w:t xml:space="preserve"> access arrangement </w:t>
      </w:r>
      <w:proofErr w:type="gramStart"/>
      <w:r w:rsidR="006C34F5" w:rsidRPr="008F0CF0">
        <w:t>period</w:t>
      </w:r>
      <w:proofErr w:type="gramEnd"/>
      <w:r w:rsidR="006C34F5" w:rsidRPr="008F0CF0">
        <w:t xml:space="preserve">. </w:t>
      </w:r>
      <w:r w:rsidR="006C34F5">
        <w:t>T</w:t>
      </w:r>
      <w:r w:rsidR="006C34F5" w:rsidRPr="008F0CF0">
        <w:rPr>
          <w:rStyle w:val="AERbody"/>
        </w:rPr>
        <w:t xml:space="preserve">his is </w:t>
      </w:r>
      <w:r w:rsidR="006C34F5">
        <w:rPr>
          <w:rStyle w:val="AERbody"/>
        </w:rPr>
        <w:t xml:space="preserve">mainly </w:t>
      </w:r>
      <w:r w:rsidR="006C34F5" w:rsidRPr="008F0CF0">
        <w:rPr>
          <w:rStyle w:val="AERbody"/>
        </w:rPr>
        <w:t xml:space="preserve">because of our </w:t>
      </w:r>
      <w:r w:rsidR="00FF02AC">
        <w:t>amendments to other components of APTNT's revised</w:t>
      </w:r>
      <w:r w:rsidR="00FF02AC" w:rsidRPr="001C0783">
        <w:t xml:space="preserve"> </w:t>
      </w:r>
      <w:r w:rsidR="00FF02AC">
        <w:t xml:space="preserve">proposal </w:t>
      </w:r>
      <w:r w:rsidR="001E6E1A">
        <w:t xml:space="preserve">discussed </w:t>
      </w:r>
      <w:r w:rsidR="00FF02AC">
        <w:t>in other attachments</w:t>
      </w:r>
      <w:r w:rsidR="008A1207">
        <w:t>;</w:t>
      </w:r>
      <w:r w:rsidR="00FF02AC">
        <w:t xml:space="preserve"> these determinations include the projected </w:t>
      </w:r>
      <w:r w:rsidR="00FF02AC" w:rsidRPr="001C0783">
        <w:t xml:space="preserve">opening </w:t>
      </w:r>
      <w:r w:rsidR="00FF02AC">
        <w:t>capital base (attachment 2), the forecast inflation (attachment 3)</w:t>
      </w:r>
      <w:r w:rsidR="00FF02AC">
        <w:rPr>
          <w:rStyle w:val="AERbody"/>
        </w:rPr>
        <w:t xml:space="preserve"> and the</w:t>
      </w:r>
      <w:r w:rsidR="006C34F5" w:rsidRPr="008F0CF0">
        <w:rPr>
          <w:rStyle w:val="AERbody"/>
        </w:rPr>
        <w:t xml:space="preserve"> </w:t>
      </w:r>
      <w:r w:rsidR="006C34F5">
        <w:rPr>
          <w:rStyle w:val="AERbody"/>
        </w:rPr>
        <w:t>forecast capex (attachment 6)</w:t>
      </w:r>
      <w:r w:rsidR="006C34F5" w:rsidRPr="008F0CF0">
        <w:rPr>
          <w:rStyle w:val="AERbody"/>
        </w:rPr>
        <w:t xml:space="preserve">. </w:t>
      </w:r>
      <w:r w:rsidR="00213FDF">
        <w:t>We determine a</w:t>
      </w:r>
      <w:r>
        <w:t xml:space="preserve"> regulatory depreciation allowance </w:t>
      </w:r>
      <w:r w:rsidR="0048488F">
        <w:t>of $</w:t>
      </w:r>
      <w:r w:rsidR="001E6E1A">
        <w:t>5.7</w:t>
      </w:r>
      <w:r w:rsidR="00C310AF">
        <w:t xml:space="preserve"> </w:t>
      </w:r>
      <w:r w:rsidR="0048488F">
        <w:t xml:space="preserve">million ($nominal) </w:t>
      </w:r>
      <w:r>
        <w:t>for the 2016–21 access arrangement period.</w:t>
      </w:r>
      <w:r w:rsidR="00213FDF">
        <w:t xml:space="preserve"> This is $</w:t>
      </w:r>
      <w:r w:rsidR="001E6E1A">
        <w:t>1.4</w:t>
      </w:r>
      <w:r w:rsidR="00FA099F">
        <w:t xml:space="preserve"> </w:t>
      </w:r>
      <w:r w:rsidR="00213FDF">
        <w:t>million (</w:t>
      </w:r>
      <w:r w:rsidR="006C34F5">
        <w:t xml:space="preserve">or </w:t>
      </w:r>
      <w:r w:rsidR="001E6E1A">
        <w:t>33.0</w:t>
      </w:r>
      <w:r w:rsidR="00FA099F">
        <w:t xml:space="preserve"> </w:t>
      </w:r>
      <w:r w:rsidR="00213FDF">
        <w:t xml:space="preserve">per cent) </w:t>
      </w:r>
      <w:r w:rsidR="00FA099F">
        <w:t>higher</w:t>
      </w:r>
      <w:r w:rsidR="00213FDF">
        <w:t xml:space="preserve"> than APTNT's revised proposed</w:t>
      </w:r>
      <w:r w:rsidR="006C34F5">
        <w:t xml:space="preserve"> amount of</w:t>
      </w:r>
      <w:r w:rsidR="00213FDF">
        <w:t xml:space="preserve"> $4.3</w:t>
      </w:r>
      <w:r w:rsidR="006C34F5">
        <w:t> </w:t>
      </w:r>
      <w:r w:rsidR="00213FDF">
        <w:t>million.</w:t>
      </w:r>
      <w:r>
        <w:t xml:space="preserve"> </w:t>
      </w:r>
    </w:p>
    <w:p w:rsidR="001F7633" w:rsidRDefault="001F7633" w:rsidP="00CE283E">
      <w:r>
        <w:t>Consistent with our draft decision, we accept APTNT's weighted average method to calculate the remaining asset lives as at 1 July 2016. In accepting the weighted average method, we have updated APTNT's revised proposed remaining asset lives as at 1 July 2016 to reflect</w:t>
      </w:r>
      <w:r w:rsidR="00070D5E">
        <w:t xml:space="preserve"> changes to the opening capital base arising from our decision on 2015–16 conforming capex and CPI. Also, we accept APTNT's standard asset lives assigned to each of its asset classes for the 2016–21 access arrangement period which are consistent with the draft decision.</w:t>
      </w:r>
    </w:p>
    <w:p w:rsidR="000F52F5" w:rsidRDefault="0048488F" w:rsidP="000F52F5">
      <w:r>
        <w:lastRenderedPageBreak/>
        <w:t>Our final decision on APTNT's regulatory depreciation allowance is set out in</w:t>
      </w:r>
      <w:r w:rsidR="000F52F5">
        <w:t xml:space="preserve"> </w:t>
      </w:r>
      <w:r w:rsidR="000F52F5">
        <w:fldChar w:fldCharType="begin"/>
      </w:r>
      <w:r w:rsidR="000F52F5">
        <w:instrText xml:space="preserve"> REF _Ref447541413 \h </w:instrText>
      </w:r>
      <w:r w:rsidR="000F52F5">
        <w:fldChar w:fldCharType="separate"/>
      </w:r>
      <w:r w:rsidR="000F52F5" w:rsidRPr="001D3081">
        <w:t xml:space="preserve">Table </w:t>
      </w:r>
      <w:r w:rsidR="000F52F5">
        <w:rPr>
          <w:noProof/>
        </w:rPr>
        <w:t>5</w:t>
      </w:r>
      <w:r w:rsidR="000F52F5">
        <w:t>.</w:t>
      </w:r>
      <w:r w:rsidR="000F52F5">
        <w:rPr>
          <w:noProof/>
        </w:rPr>
        <w:t>1</w:t>
      </w:r>
      <w:r w:rsidR="000F52F5">
        <w:fldChar w:fldCharType="end"/>
      </w:r>
      <w:r>
        <w:t xml:space="preserve">. </w:t>
      </w:r>
      <w:bookmarkStart w:id="13" w:name="_Ref398282397"/>
    </w:p>
    <w:p w:rsidR="009259BE" w:rsidRPr="009259BE" w:rsidRDefault="009259BE" w:rsidP="009259BE">
      <w:r w:rsidRPr="009259BE">
        <w:t xml:space="preserve">We have revised the access arrangement having regard to our reasons for refusing to approve </w:t>
      </w:r>
      <w:r>
        <w:t>APTNT</w:t>
      </w:r>
      <w:r w:rsidRPr="009259BE">
        <w:t xml:space="preserve">'s proposal and the further matters identified in the NGR section 64(2). Our revisions are reflected in the </w:t>
      </w:r>
      <w:r w:rsidRPr="009259BE">
        <w:rPr>
          <w:rStyle w:val="Emphasis"/>
        </w:rPr>
        <w:t>Approved Access Arrangement for the Amadeus Gas Pipeline 1 July 2016 to 30 June 2021</w:t>
      </w:r>
      <w:r w:rsidRPr="009259BE">
        <w:t xml:space="preserve">, May 2016, which gives effect to this decision. </w:t>
      </w:r>
    </w:p>
    <w:p w:rsidR="00D1561D" w:rsidRPr="001D3081" w:rsidRDefault="00D1561D" w:rsidP="00D1561D">
      <w:pPr>
        <w:pStyle w:val="Caption"/>
      </w:pPr>
      <w:bookmarkStart w:id="14" w:name="_Ref447541413"/>
      <w:proofErr w:type="gramStart"/>
      <w:r w:rsidRPr="001D3081">
        <w:t xml:space="preserve">Table </w:t>
      </w:r>
      <w:proofErr w:type="gramEnd"/>
      <w:r w:rsidR="00864C47">
        <w:fldChar w:fldCharType="begin"/>
      </w:r>
      <w:r w:rsidR="00864C47">
        <w:instrText xml:space="preserve"> STYLEREF 1 \s </w:instrText>
      </w:r>
      <w:r w:rsidR="00864C47">
        <w:fldChar w:fldCharType="separate"/>
      </w:r>
      <w:r w:rsidR="007A270E">
        <w:rPr>
          <w:noProof/>
        </w:rPr>
        <w:t>5</w:t>
      </w:r>
      <w:r w:rsidR="00864C47">
        <w:rPr>
          <w:noProof/>
        </w:rPr>
        <w:fldChar w:fldCharType="end"/>
      </w:r>
      <w:proofErr w:type="gramStart"/>
      <w:r w:rsidR="004F4CA6">
        <w:t>.</w:t>
      </w:r>
      <w:proofErr w:type="gramEnd"/>
      <w:r w:rsidR="00870C9C">
        <w:fldChar w:fldCharType="begin"/>
      </w:r>
      <w:r w:rsidR="00870C9C">
        <w:instrText xml:space="preserve"> SEQ Table \* ARABIC \s 1 </w:instrText>
      </w:r>
      <w:r w:rsidR="00870C9C">
        <w:fldChar w:fldCharType="separate"/>
      </w:r>
      <w:r w:rsidR="007A270E">
        <w:rPr>
          <w:noProof/>
        </w:rPr>
        <w:t>1</w:t>
      </w:r>
      <w:r w:rsidR="00870C9C">
        <w:rPr>
          <w:noProof/>
        </w:rPr>
        <w:fldChar w:fldCharType="end"/>
      </w:r>
      <w:bookmarkEnd w:id="13"/>
      <w:bookmarkEnd w:id="14"/>
      <w:r w:rsidRPr="001D3081">
        <w:tab/>
        <w:t xml:space="preserve">AER’s </w:t>
      </w:r>
      <w:r w:rsidR="00572E69">
        <w:t>final</w:t>
      </w:r>
      <w:r w:rsidRPr="001D3081">
        <w:t xml:space="preserve"> decision on APTNT’s regulatory depreciation allowance for the 2016–21 access arrangement period ($million, nominal)</w:t>
      </w:r>
    </w:p>
    <w:tbl>
      <w:tblPr>
        <w:tblStyle w:val="AERtable-numbers"/>
        <w:tblW w:w="8755" w:type="dxa"/>
        <w:tblLayout w:type="fixed"/>
        <w:tblLook w:val="04A0" w:firstRow="1" w:lastRow="0" w:firstColumn="1" w:lastColumn="0" w:noHBand="0" w:noVBand="1"/>
      </w:tblPr>
      <w:tblGrid>
        <w:gridCol w:w="2569"/>
        <w:gridCol w:w="1031"/>
        <w:gridCol w:w="1031"/>
        <w:gridCol w:w="1031"/>
        <w:gridCol w:w="1031"/>
        <w:gridCol w:w="1031"/>
        <w:gridCol w:w="1031"/>
      </w:tblGrid>
      <w:tr w:rsidR="00D1561D" w:rsidRPr="00A575B0" w:rsidTr="00880CC5">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D1561D" w:rsidRPr="00A575B0" w:rsidRDefault="00D1561D" w:rsidP="00D1561D"/>
        </w:tc>
        <w:tc>
          <w:tcPr>
            <w:tcW w:w="1031" w:type="dxa"/>
            <w:noWrap/>
          </w:tcPr>
          <w:p w:rsidR="00D1561D" w:rsidRPr="00D1561D" w:rsidRDefault="00D1561D" w:rsidP="00D1561D">
            <w:pPr>
              <w:cnfStyle w:val="100000000000" w:firstRow="1" w:lastRow="0" w:firstColumn="0" w:lastColumn="0" w:oddVBand="0" w:evenVBand="0" w:oddHBand="0" w:evenHBand="0" w:firstRowFirstColumn="0" w:firstRowLastColumn="0" w:lastRowFirstColumn="0" w:lastRowLastColumn="0"/>
            </w:pPr>
            <w:r w:rsidRPr="00A575B0">
              <w:t>2016–17</w:t>
            </w:r>
          </w:p>
        </w:tc>
        <w:tc>
          <w:tcPr>
            <w:tcW w:w="1031" w:type="dxa"/>
            <w:noWrap/>
          </w:tcPr>
          <w:p w:rsidR="00D1561D" w:rsidRPr="00D1561D" w:rsidRDefault="00D1561D" w:rsidP="00D1561D">
            <w:pPr>
              <w:cnfStyle w:val="100000000000" w:firstRow="1" w:lastRow="0" w:firstColumn="0" w:lastColumn="0" w:oddVBand="0" w:evenVBand="0" w:oddHBand="0" w:evenHBand="0" w:firstRowFirstColumn="0" w:firstRowLastColumn="0" w:lastRowFirstColumn="0" w:lastRowLastColumn="0"/>
            </w:pPr>
            <w:r w:rsidRPr="00A575B0">
              <w:t>2017–18</w:t>
            </w:r>
          </w:p>
        </w:tc>
        <w:tc>
          <w:tcPr>
            <w:tcW w:w="1031" w:type="dxa"/>
            <w:noWrap/>
          </w:tcPr>
          <w:p w:rsidR="00D1561D" w:rsidRPr="00D1561D" w:rsidRDefault="00D1561D" w:rsidP="00D1561D">
            <w:pPr>
              <w:cnfStyle w:val="100000000000" w:firstRow="1" w:lastRow="0" w:firstColumn="0" w:lastColumn="0" w:oddVBand="0" w:evenVBand="0" w:oddHBand="0" w:evenHBand="0" w:firstRowFirstColumn="0" w:firstRowLastColumn="0" w:lastRowFirstColumn="0" w:lastRowLastColumn="0"/>
            </w:pPr>
            <w:r w:rsidRPr="005B4094">
              <w:t>2018–19</w:t>
            </w:r>
          </w:p>
        </w:tc>
        <w:tc>
          <w:tcPr>
            <w:tcW w:w="1031" w:type="dxa"/>
            <w:noWrap/>
          </w:tcPr>
          <w:p w:rsidR="00D1561D" w:rsidRPr="00D1561D" w:rsidRDefault="00D1561D" w:rsidP="00D1561D">
            <w:pPr>
              <w:cnfStyle w:val="100000000000" w:firstRow="1" w:lastRow="0" w:firstColumn="0" w:lastColumn="0" w:oddVBand="0" w:evenVBand="0" w:oddHBand="0" w:evenHBand="0" w:firstRowFirstColumn="0" w:firstRowLastColumn="0" w:lastRowFirstColumn="0" w:lastRowLastColumn="0"/>
            </w:pPr>
            <w:r w:rsidRPr="005B4094">
              <w:t>2019–20</w:t>
            </w:r>
          </w:p>
        </w:tc>
        <w:tc>
          <w:tcPr>
            <w:tcW w:w="1031" w:type="dxa"/>
            <w:noWrap/>
          </w:tcPr>
          <w:p w:rsidR="00D1561D" w:rsidRPr="00D1561D" w:rsidRDefault="00D1561D" w:rsidP="00D1561D">
            <w:pPr>
              <w:cnfStyle w:val="100000000000" w:firstRow="1" w:lastRow="0" w:firstColumn="0" w:lastColumn="0" w:oddVBand="0" w:evenVBand="0" w:oddHBand="0" w:evenHBand="0" w:firstRowFirstColumn="0" w:firstRowLastColumn="0" w:lastRowFirstColumn="0" w:lastRowLastColumn="0"/>
            </w:pPr>
            <w:r w:rsidRPr="00F77C82">
              <w:t>2020–21</w:t>
            </w:r>
          </w:p>
        </w:tc>
        <w:tc>
          <w:tcPr>
            <w:tcW w:w="1031" w:type="dxa"/>
          </w:tcPr>
          <w:p w:rsidR="00D1561D" w:rsidRPr="00D1561D" w:rsidRDefault="00D1561D" w:rsidP="00D1561D">
            <w:pPr>
              <w:cnfStyle w:val="100000000000" w:firstRow="1" w:lastRow="0" w:firstColumn="0" w:lastColumn="0" w:oddVBand="0" w:evenVBand="0" w:oddHBand="0" w:evenHBand="0" w:firstRowFirstColumn="0" w:firstRowLastColumn="0" w:lastRowFirstColumn="0" w:lastRowLastColumn="0"/>
            </w:pPr>
            <w:r w:rsidRPr="00F77C82">
              <w:t>Total</w:t>
            </w:r>
          </w:p>
        </w:tc>
      </w:tr>
      <w:tr w:rsidR="00C310AF" w:rsidRPr="009603F9" w:rsidTr="00551D43">
        <w:trPr>
          <w:trHeight w:val="293"/>
        </w:trPr>
        <w:tc>
          <w:tcPr>
            <w:cnfStyle w:val="001000000000" w:firstRow="0" w:lastRow="0" w:firstColumn="1" w:lastColumn="0" w:oddVBand="0" w:evenVBand="0" w:oddHBand="0" w:evenHBand="0" w:firstRowFirstColumn="0" w:firstRowLastColumn="0" w:lastRowFirstColumn="0" w:lastRowLastColumn="0"/>
            <w:tcW w:w="2569" w:type="dxa"/>
            <w:noWrap/>
            <w:hideMark/>
          </w:tcPr>
          <w:p w:rsidR="00C310AF" w:rsidRPr="00C310AF" w:rsidRDefault="00C310AF" w:rsidP="00C310AF">
            <w:r w:rsidRPr="00C310AF">
              <w:t>Straight-line depreciation</w:t>
            </w:r>
          </w:p>
        </w:tc>
        <w:tc>
          <w:tcPr>
            <w:tcW w:w="1031" w:type="dxa"/>
            <w:noWrap/>
          </w:tcPr>
          <w:p w:rsidR="00C310AF" w:rsidRPr="00C310AF" w:rsidRDefault="00E54005" w:rsidP="00C310AF">
            <w:pPr>
              <w:cnfStyle w:val="000000000000" w:firstRow="0" w:lastRow="0" w:firstColumn="0" w:lastColumn="0" w:oddVBand="0" w:evenVBand="0" w:oddHBand="0" w:evenHBand="0" w:firstRowFirstColumn="0" w:firstRowLastColumn="0" w:lastRowFirstColumn="0" w:lastRowLastColumn="0"/>
            </w:pPr>
            <w:r>
              <w:t>3.5</w:t>
            </w:r>
          </w:p>
        </w:tc>
        <w:tc>
          <w:tcPr>
            <w:tcW w:w="1031" w:type="dxa"/>
            <w:noWrap/>
          </w:tcPr>
          <w:p w:rsidR="00C310AF" w:rsidRPr="00C310AF" w:rsidRDefault="00C310AF" w:rsidP="00C310AF">
            <w:pPr>
              <w:cnfStyle w:val="000000000000" w:firstRow="0" w:lastRow="0" w:firstColumn="0" w:lastColumn="0" w:oddVBand="0" w:evenVBand="0" w:oddHBand="0" w:evenHBand="0" w:firstRowFirstColumn="0" w:firstRowLastColumn="0" w:lastRowFirstColumn="0" w:lastRowLastColumn="0"/>
            </w:pPr>
            <w:r w:rsidRPr="00C310AF">
              <w:t>3.9</w:t>
            </w:r>
          </w:p>
        </w:tc>
        <w:tc>
          <w:tcPr>
            <w:tcW w:w="1031" w:type="dxa"/>
            <w:noWrap/>
          </w:tcPr>
          <w:p w:rsidR="00C310AF" w:rsidRPr="00C310AF" w:rsidRDefault="00C310AF" w:rsidP="00C310AF">
            <w:pPr>
              <w:cnfStyle w:val="000000000000" w:firstRow="0" w:lastRow="0" w:firstColumn="0" w:lastColumn="0" w:oddVBand="0" w:evenVBand="0" w:oddHBand="0" w:evenHBand="0" w:firstRowFirstColumn="0" w:firstRowLastColumn="0" w:lastRowFirstColumn="0" w:lastRowLastColumn="0"/>
            </w:pPr>
            <w:r w:rsidRPr="00C310AF">
              <w:t>4.1</w:t>
            </w:r>
          </w:p>
        </w:tc>
        <w:tc>
          <w:tcPr>
            <w:tcW w:w="1031" w:type="dxa"/>
            <w:noWrap/>
          </w:tcPr>
          <w:p w:rsidR="00C310AF" w:rsidRPr="00C310AF" w:rsidRDefault="00C310AF" w:rsidP="007739BF">
            <w:pPr>
              <w:cnfStyle w:val="000000000000" w:firstRow="0" w:lastRow="0" w:firstColumn="0" w:lastColumn="0" w:oddVBand="0" w:evenVBand="0" w:oddHBand="0" w:evenHBand="0" w:firstRowFirstColumn="0" w:firstRowLastColumn="0" w:lastRowFirstColumn="0" w:lastRowLastColumn="0"/>
            </w:pPr>
            <w:r w:rsidRPr="00C310AF">
              <w:t>4.</w:t>
            </w:r>
            <w:r w:rsidR="007739BF">
              <w:t>3</w:t>
            </w:r>
          </w:p>
        </w:tc>
        <w:tc>
          <w:tcPr>
            <w:tcW w:w="1031" w:type="dxa"/>
            <w:noWrap/>
          </w:tcPr>
          <w:p w:rsidR="00C310AF" w:rsidRPr="00C310AF" w:rsidRDefault="00C310AF" w:rsidP="00C310AF">
            <w:pPr>
              <w:cnfStyle w:val="000000000000" w:firstRow="0" w:lastRow="0" w:firstColumn="0" w:lastColumn="0" w:oddVBand="0" w:evenVBand="0" w:oddHBand="0" w:evenHBand="0" w:firstRowFirstColumn="0" w:firstRowLastColumn="0" w:lastRowFirstColumn="0" w:lastRowLastColumn="0"/>
            </w:pPr>
            <w:r w:rsidRPr="00C310AF">
              <w:t>4.6</w:t>
            </w:r>
          </w:p>
        </w:tc>
        <w:tc>
          <w:tcPr>
            <w:tcW w:w="1031" w:type="dxa"/>
          </w:tcPr>
          <w:p w:rsidR="00C310AF" w:rsidRPr="00C310AF" w:rsidRDefault="00E54005" w:rsidP="00C310AF">
            <w:pPr>
              <w:cnfStyle w:val="000000000000" w:firstRow="0" w:lastRow="0" w:firstColumn="0" w:lastColumn="0" w:oddVBand="0" w:evenVBand="0" w:oddHBand="0" w:evenHBand="0" w:firstRowFirstColumn="0" w:firstRowLastColumn="0" w:lastRowFirstColumn="0" w:lastRowLastColumn="0"/>
            </w:pPr>
            <w:r>
              <w:t>20.4</w:t>
            </w:r>
          </w:p>
        </w:tc>
      </w:tr>
      <w:tr w:rsidR="00C310AF" w:rsidRPr="009603F9" w:rsidTr="00E70638">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C310AF" w:rsidRPr="00C310AF" w:rsidRDefault="00C310AF" w:rsidP="00C310AF">
            <w:r w:rsidRPr="00C310AF">
              <w:rPr>
                <w:rStyle w:val="AERtextitalic"/>
              </w:rPr>
              <w:t>Less:</w:t>
            </w:r>
            <w:r w:rsidRPr="00C310AF">
              <w:t xml:space="preserve"> indexation on capital base </w:t>
            </w:r>
          </w:p>
        </w:tc>
        <w:tc>
          <w:tcPr>
            <w:tcW w:w="1031" w:type="dxa"/>
            <w:noWrap/>
          </w:tcPr>
          <w:p w:rsidR="00C310AF" w:rsidRPr="00C310AF" w:rsidRDefault="00E54005" w:rsidP="00C310AF">
            <w:pPr>
              <w:cnfStyle w:val="000000010000" w:firstRow="0" w:lastRow="0" w:firstColumn="0" w:lastColumn="0" w:oddVBand="0" w:evenVBand="0" w:oddHBand="0" w:evenHBand="1" w:firstRowFirstColumn="0" w:firstRowLastColumn="0" w:lastRowFirstColumn="0" w:lastRowLastColumn="0"/>
            </w:pPr>
            <w:r>
              <w:t>2.8</w:t>
            </w:r>
          </w:p>
        </w:tc>
        <w:tc>
          <w:tcPr>
            <w:tcW w:w="1031" w:type="dxa"/>
            <w:noWrap/>
          </w:tcPr>
          <w:p w:rsidR="00C310AF" w:rsidRPr="00C310AF" w:rsidRDefault="00E54005" w:rsidP="00C310AF">
            <w:pPr>
              <w:cnfStyle w:val="000000010000" w:firstRow="0" w:lastRow="0" w:firstColumn="0" w:lastColumn="0" w:oddVBand="0" w:evenVBand="0" w:oddHBand="0" w:evenHBand="1" w:firstRowFirstColumn="0" w:firstRowLastColumn="0" w:lastRowFirstColumn="0" w:lastRowLastColumn="0"/>
            </w:pPr>
            <w:r>
              <w:t>2.9</w:t>
            </w:r>
          </w:p>
        </w:tc>
        <w:tc>
          <w:tcPr>
            <w:tcW w:w="1031" w:type="dxa"/>
            <w:noWrap/>
          </w:tcPr>
          <w:p w:rsidR="00C310AF" w:rsidRPr="00C310AF" w:rsidRDefault="00E54005" w:rsidP="00C310AF">
            <w:pPr>
              <w:cnfStyle w:val="000000010000" w:firstRow="0" w:lastRow="0" w:firstColumn="0" w:lastColumn="0" w:oddVBand="0" w:evenVBand="0" w:oddHBand="0" w:evenHBand="1" w:firstRowFirstColumn="0" w:firstRowLastColumn="0" w:lastRowFirstColumn="0" w:lastRowLastColumn="0"/>
            </w:pPr>
            <w:r>
              <w:t>3.0</w:t>
            </w:r>
          </w:p>
        </w:tc>
        <w:tc>
          <w:tcPr>
            <w:tcW w:w="1031" w:type="dxa"/>
            <w:noWrap/>
          </w:tcPr>
          <w:p w:rsidR="00C310AF" w:rsidRPr="00C310AF" w:rsidRDefault="00E54005" w:rsidP="00C310AF">
            <w:pPr>
              <w:cnfStyle w:val="000000010000" w:firstRow="0" w:lastRow="0" w:firstColumn="0" w:lastColumn="0" w:oddVBand="0" w:evenVBand="0" w:oddHBand="0" w:evenHBand="1" w:firstRowFirstColumn="0" w:firstRowLastColumn="0" w:lastRowFirstColumn="0" w:lastRowLastColumn="0"/>
            </w:pPr>
            <w:r>
              <w:t>3.0</w:t>
            </w:r>
          </w:p>
        </w:tc>
        <w:tc>
          <w:tcPr>
            <w:tcW w:w="1031" w:type="dxa"/>
            <w:noWrap/>
          </w:tcPr>
          <w:p w:rsidR="00C310AF" w:rsidRPr="00C310AF" w:rsidRDefault="00E54005" w:rsidP="00C310AF">
            <w:pPr>
              <w:cnfStyle w:val="000000010000" w:firstRow="0" w:lastRow="0" w:firstColumn="0" w:lastColumn="0" w:oddVBand="0" w:evenVBand="0" w:oddHBand="0" w:evenHBand="1" w:firstRowFirstColumn="0" w:firstRowLastColumn="0" w:lastRowFirstColumn="0" w:lastRowLastColumn="0"/>
            </w:pPr>
            <w:r>
              <w:t>3.0</w:t>
            </w:r>
          </w:p>
        </w:tc>
        <w:tc>
          <w:tcPr>
            <w:tcW w:w="1031" w:type="dxa"/>
          </w:tcPr>
          <w:p w:rsidR="00C310AF" w:rsidRPr="00C310AF" w:rsidRDefault="00E54005" w:rsidP="00C310AF">
            <w:pPr>
              <w:cnfStyle w:val="000000010000" w:firstRow="0" w:lastRow="0" w:firstColumn="0" w:lastColumn="0" w:oddVBand="0" w:evenVBand="0" w:oddHBand="0" w:evenHBand="1" w:firstRowFirstColumn="0" w:firstRowLastColumn="0" w:lastRowFirstColumn="0" w:lastRowLastColumn="0"/>
            </w:pPr>
            <w:r>
              <w:t>14.7</w:t>
            </w:r>
          </w:p>
        </w:tc>
      </w:tr>
      <w:tr w:rsidR="00C310AF" w:rsidRPr="00A575B0" w:rsidTr="00E70638">
        <w:trPr>
          <w:trHeight w:val="293"/>
        </w:trPr>
        <w:tc>
          <w:tcPr>
            <w:cnfStyle w:val="001000000000" w:firstRow="0" w:lastRow="0" w:firstColumn="1" w:lastColumn="0" w:oddVBand="0" w:evenVBand="0" w:oddHBand="0" w:evenHBand="0" w:firstRowFirstColumn="0" w:firstRowLastColumn="0" w:lastRowFirstColumn="0" w:lastRowLastColumn="0"/>
            <w:tcW w:w="2569" w:type="dxa"/>
            <w:noWrap/>
          </w:tcPr>
          <w:p w:rsidR="00C310AF" w:rsidRPr="00C310AF" w:rsidRDefault="00C310AF" w:rsidP="00C310AF">
            <w:pPr>
              <w:rPr>
                <w:rStyle w:val="Strong"/>
              </w:rPr>
            </w:pPr>
            <w:r w:rsidRPr="00C310AF">
              <w:rPr>
                <w:rStyle w:val="Strong"/>
              </w:rPr>
              <w:t>Regulatory depreciation</w:t>
            </w:r>
          </w:p>
        </w:tc>
        <w:tc>
          <w:tcPr>
            <w:tcW w:w="1031" w:type="dxa"/>
            <w:noWrap/>
          </w:tcPr>
          <w:p w:rsidR="00C310AF" w:rsidRPr="00C310AF" w:rsidRDefault="00E54005" w:rsidP="00C310AF">
            <w:pPr>
              <w:cnfStyle w:val="000000000000" w:firstRow="0" w:lastRow="0" w:firstColumn="0" w:lastColumn="0" w:oddVBand="0" w:evenVBand="0" w:oddHBand="0" w:evenHBand="0" w:firstRowFirstColumn="0" w:firstRowLastColumn="0" w:lastRowFirstColumn="0" w:lastRowLastColumn="0"/>
            </w:pPr>
            <w:r>
              <w:t>0.8</w:t>
            </w:r>
          </w:p>
        </w:tc>
        <w:tc>
          <w:tcPr>
            <w:tcW w:w="1031" w:type="dxa"/>
            <w:noWrap/>
          </w:tcPr>
          <w:p w:rsidR="00C310AF" w:rsidRPr="00C310AF" w:rsidRDefault="00E54005" w:rsidP="00C310AF">
            <w:pPr>
              <w:cnfStyle w:val="000000000000" w:firstRow="0" w:lastRow="0" w:firstColumn="0" w:lastColumn="0" w:oddVBand="0" w:evenVBand="0" w:oddHBand="0" w:evenHBand="0" w:firstRowFirstColumn="0" w:firstRowLastColumn="0" w:lastRowFirstColumn="0" w:lastRowLastColumn="0"/>
            </w:pPr>
            <w:r>
              <w:t>0.9</w:t>
            </w:r>
          </w:p>
        </w:tc>
        <w:tc>
          <w:tcPr>
            <w:tcW w:w="1031" w:type="dxa"/>
            <w:noWrap/>
          </w:tcPr>
          <w:p w:rsidR="00C310AF" w:rsidRPr="00C310AF" w:rsidRDefault="00E54005" w:rsidP="00C310AF">
            <w:pPr>
              <w:cnfStyle w:val="000000000000" w:firstRow="0" w:lastRow="0" w:firstColumn="0" w:lastColumn="0" w:oddVBand="0" w:evenVBand="0" w:oddHBand="0" w:evenHBand="0" w:firstRowFirstColumn="0" w:firstRowLastColumn="0" w:lastRowFirstColumn="0" w:lastRowLastColumn="0"/>
            </w:pPr>
            <w:r>
              <w:t>1.1</w:t>
            </w:r>
          </w:p>
        </w:tc>
        <w:tc>
          <w:tcPr>
            <w:tcW w:w="1031" w:type="dxa"/>
            <w:noWrap/>
          </w:tcPr>
          <w:p w:rsidR="00C310AF" w:rsidRPr="00C310AF" w:rsidRDefault="00E54005" w:rsidP="00C310AF">
            <w:pPr>
              <w:cnfStyle w:val="000000000000" w:firstRow="0" w:lastRow="0" w:firstColumn="0" w:lastColumn="0" w:oddVBand="0" w:evenVBand="0" w:oddHBand="0" w:evenHBand="0" w:firstRowFirstColumn="0" w:firstRowLastColumn="0" w:lastRowFirstColumn="0" w:lastRowLastColumn="0"/>
            </w:pPr>
            <w:r>
              <w:t>1.3</w:t>
            </w:r>
          </w:p>
        </w:tc>
        <w:tc>
          <w:tcPr>
            <w:tcW w:w="1031" w:type="dxa"/>
            <w:noWrap/>
          </w:tcPr>
          <w:p w:rsidR="00C310AF" w:rsidRPr="00C310AF" w:rsidRDefault="00E54005" w:rsidP="00C310AF">
            <w:pPr>
              <w:cnfStyle w:val="000000000000" w:firstRow="0" w:lastRow="0" w:firstColumn="0" w:lastColumn="0" w:oddVBand="0" w:evenVBand="0" w:oddHBand="0" w:evenHBand="0" w:firstRowFirstColumn="0" w:firstRowLastColumn="0" w:lastRowFirstColumn="0" w:lastRowLastColumn="0"/>
            </w:pPr>
            <w:r>
              <w:t>1.5</w:t>
            </w:r>
          </w:p>
        </w:tc>
        <w:tc>
          <w:tcPr>
            <w:tcW w:w="1031" w:type="dxa"/>
          </w:tcPr>
          <w:p w:rsidR="00C310AF" w:rsidRPr="00C310AF" w:rsidRDefault="00E54005" w:rsidP="00C310AF">
            <w:pPr>
              <w:cnfStyle w:val="000000000000" w:firstRow="0" w:lastRow="0" w:firstColumn="0" w:lastColumn="0" w:oddVBand="0" w:evenVBand="0" w:oddHBand="0" w:evenHBand="0" w:firstRowFirstColumn="0" w:firstRowLastColumn="0" w:lastRowFirstColumn="0" w:lastRowLastColumn="0"/>
              <w:rPr>
                <w:rStyle w:val="Strong"/>
              </w:rPr>
            </w:pPr>
            <w:r>
              <w:rPr>
                <w:rStyle w:val="Strong"/>
              </w:rPr>
              <w:t>5.7</w:t>
            </w:r>
          </w:p>
        </w:tc>
      </w:tr>
    </w:tbl>
    <w:p w:rsidR="00D1561D" w:rsidRPr="00D1561D" w:rsidRDefault="00D1561D" w:rsidP="00D1561D">
      <w:pPr>
        <w:pStyle w:val="AERtablesource"/>
      </w:pPr>
      <w:r>
        <w:t xml:space="preserve">Source: </w:t>
      </w:r>
      <w:r>
        <w:tab/>
        <w:t xml:space="preserve">AER analysis. </w:t>
      </w:r>
    </w:p>
    <w:p w:rsidR="00D1561D" w:rsidRDefault="00D1561D" w:rsidP="00D1561D">
      <w:pPr>
        <w:pStyle w:val="Heading2"/>
      </w:pPr>
      <w:bookmarkStart w:id="15" w:name="_Toc429575818"/>
      <w:bookmarkStart w:id="16" w:name="_Toc436042529"/>
      <w:bookmarkStart w:id="17" w:name="_Toc451529407"/>
      <w:r>
        <w:t>APTNT’s</w:t>
      </w:r>
      <w:r w:rsidR="00572E69">
        <w:t xml:space="preserve"> revised</w:t>
      </w:r>
      <w:r>
        <w:t xml:space="preserve"> proposal</w:t>
      </w:r>
      <w:bookmarkEnd w:id="15"/>
      <w:bookmarkEnd w:id="16"/>
      <w:bookmarkEnd w:id="17"/>
    </w:p>
    <w:p w:rsidR="0048488F" w:rsidRDefault="0048488F" w:rsidP="00D1561D">
      <w:r>
        <w:t xml:space="preserve">APTNT's revised proposal used the real straight-line approach approved in the draft decision to calculate the amount of annual regulatory depreciation for each asset class. </w:t>
      </w:r>
    </w:p>
    <w:p w:rsidR="00AE5840" w:rsidRDefault="00AE5840" w:rsidP="00D1561D">
      <w:r>
        <w:t>The inputs for the calculation are based on APTNT's:</w:t>
      </w:r>
    </w:p>
    <w:p w:rsidR="00AE5840" w:rsidRDefault="008A1207" w:rsidP="00AE5840">
      <w:pPr>
        <w:pStyle w:val="AERbulletlistfirststyle"/>
      </w:pPr>
      <w:r>
        <w:t>r</w:t>
      </w:r>
      <w:r w:rsidR="00AE5840">
        <w:t xml:space="preserve">evised </w:t>
      </w:r>
      <w:r w:rsidR="00AC54A5">
        <w:t xml:space="preserve">proposed </w:t>
      </w:r>
      <w:r w:rsidR="00AE5840">
        <w:t>opening capital base as at 1 July 2016</w:t>
      </w:r>
    </w:p>
    <w:p w:rsidR="00AE5840" w:rsidRDefault="008A1207" w:rsidP="00AE5840">
      <w:pPr>
        <w:pStyle w:val="AERbulletlistfirststyle"/>
      </w:pPr>
      <w:r>
        <w:t>r</w:t>
      </w:r>
      <w:r w:rsidR="00AE5840">
        <w:t xml:space="preserve">evised </w:t>
      </w:r>
      <w:r w:rsidR="00AC54A5">
        <w:t xml:space="preserve">proposed </w:t>
      </w:r>
      <w:r w:rsidR="00AE5840">
        <w:t>remaining asset lives for depreciating existing assets in the opening capital base</w:t>
      </w:r>
    </w:p>
    <w:p w:rsidR="00AE5840" w:rsidRDefault="008A1207" w:rsidP="00AE5840">
      <w:pPr>
        <w:pStyle w:val="AERbulletlistfirststyle"/>
      </w:pPr>
      <w:r>
        <w:t>r</w:t>
      </w:r>
      <w:r w:rsidR="00E32A63">
        <w:t xml:space="preserve">evised </w:t>
      </w:r>
      <w:r w:rsidR="00AC54A5">
        <w:t xml:space="preserve">proposed </w:t>
      </w:r>
      <w:r w:rsidR="00E32A63">
        <w:t>capex forecasts for the 2016–21 access arrangement period</w:t>
      </w:r>
    </w:p>
    <w:p w:rsidR="00E32A63" w:rsidRDefault="008A1207" w:rsidP="00AE5840">
      <w:pPr>
        <w:pStyle w:val="AERbulletlistfirststyle"/>
      </w:pPr>
      <w:proofErr w:type="gramStart"/>
      <w:r>
        <w:t>s</w:t>
      </w:r>
      <w:r w:rsidR="00E32A63">
        <w:t>tandard</w:t>
      </w:r>
      <w:proofErr w:type="gramEnd"/>
      <w:r w:rsidR="00E32A63">
        <w:t xml:space="preserve"> asset lives, consistent with those approved in the draft decision, for depreciating new assets associated with forecast capex. APTNT's revised proposal adopted our draft decision standard asset lives.</w:t>
      </w:r>
    </w:p>
    <w:p w:rsidR="00E32A63" w:rsidRPr="00E32A63" w:rsidRDefault="00E32A63" w:rsidP="00E32A63">
      <w:pPr>
        <w:pStyle w:val="AERbulletlistfirststyle"/>
        <w:numPr>
          <w:ilvl w:val="0"/>
          <w:numId w:val="0"/>
        </w:numPr>
      </w:pPr>
      <w:r w:rsidRPr="00E32A63">
        <w:t xml:space="preserve">APTNT’s </w:t>
      </w:r>
      <w:r w:rsidR="00AC54A5">
        <w:t xml:space="preserve">revised </w:t>
      </w:r>
      <w:r w:rsidRPr="00E32A63">
        <w:t xml:space="preserve">proposed regulatory depreciation for the 2016–21 access arrangement </w:t>
      </w:r>
      <w:proofErr w:type="gramStart"/>
      <w:r w:rsidRPr="00E32A63">
        <w:t>period</w:t>
      </w:r>
      <w:proofErr w:type="gramEnd"/>
      <w:r w:rsidRPr="00E32A63">
        <w:t xml:space="preserve"> is set out in </w:t>
      </w:r>
      <w:r w:rsidRPr="00E32A63">
        <w:fldChar w:fldCharType="begin"/>
      </w:r>
      <w:r w:rsidRPr="00E32A63">
        <w:instrText xml:space="preserve"> REF  _Ref398892142 \* Lower \h  \* MERGEFORMAT </w:instrText>
      </w:r>
      <w:r w:rsidRPr="00E32A63">
        <w:fldChar w:fldCharType="separate"/>
      </w:r>
      <w:r w:rsidR="007A270E">
        <w:t>table 5.2</w:t>
      </w:r>
      <w:r w:rsidRPr="00E32A63">
        <w:fldChar w:fldCharType="end"/>
      </w:r>
      <w:r w:rsidRPr="00E32A63">
        <w:t>.</w:t>
      </w:r>
    </w:p>
    <w:p w:rsidR="00D1561D" w:rsidRPr="00D1561D" w:rsidRDefault="00D1561D" w:rsidP="00D1561D">
      <w:pPr>
        <w:pStyle w:val="Caption"/>
      </w:pPr>
      <w:bookmarkStart w:id="18" w:name="_Ref398892142"/>
      <w:proofErr w:type="gramStart"/>
      <w:r>
        <w:t xml:space="preserve">Table </w:t>
      </w:r>
      <w:proofErr w:type="gramEnd"/>
      <w:r w:rsidR="00864C47">
        <w:fldChar w:fldCharType="begin"/>
      </w:r>
      <w:r w:rsidR="00864C47">
        <w:instrText xml:space="preserve"> STYLEREF 1 \s </w:instrText>
      </w:r>
      <w:r w:rsidR="00864C47">
        <w:fldChar w:fldCharType="separate"/>
      </w:r>
      <w:r w:rsidR="007A270E">
        <w:rPr>
          <w:noProof/>
        </w:rPr>
        <w:t>5</w:t>
      </w:r>
      <w:r w:rsidR="00864C47">
        <w:rPr>
          <w:noProof/>
        </w:rPr>
        <w:fldChar w:fldCharType="end"/>
      </w:r>
      <w:proofErr w:type="gramStart"/>
      <w:r w:rsidR="004F4CA6">
        <w:t>.</w:t>
      </w:r>
      <w:proofErr w:type="gramEnd"/>
      <w:r w:rsidR="00870C9C">
        <w:fldChar w:fldCharType="begin"/>
      </w:r>
      <w:r w:rsidR="00870C9C">
        <w:instrText xml:space="preserve"> SEQ Table \* ARABIC \s 1 </w:instrText>
      </w:r>
      <w:r w:rsidR="00870C9C">
        <w:fldChar w:fldCharType="separate"/>
      </w:r>
      <w:r w:rsidR="007A270E">
        <w:rPr>
          <w:noProof/>
        </w:rPr>
        <w:t>2</w:t>
      </w:r>
      <w:r w:rsidR="00870C9C">
        <w:rPr>
          <w:noProof/>
        </w:rPr>
        <w:fldChar w:fldCharType="end"/>
      </w:r>
      <w:bookmarkEnd w:id="18"/>
      <w:r w:rsidRPr="00D1561D">
        <w:tab/>
        <w:t>APTNT’s</w:t>
      </w:r>
      <w:r w:rsidR="006C34F5">
        <w:t xml:space="preserve"> revised</w:t>
      </w:r>
      <w:r w:rsidRPr="00D1561D">
        <w:t xml:space="preserve"> proposed regulatory depreciation for the 2016–21 access arrangement period ($million, nominal)</w:t>
      </w:r>
    </w:p>
    <w:tbl>
      <w:tblPr>
        <w:tblStyle w:val="AERtable-numbers"/>
        <w:tblW w:w="8755" w:type="dxa"/>
        <w:tblLayout w:type="fixed"/>
        <w:tblLook w:val="04A0" w:firstRow="1" w:lastRow="0" w:firstColumn="1" w:lastColumn="0" w:noHBand="0" w:noVBand="1"/>
      </w:tblPr>
      <w:tblGrid>
        <w:gridCol w:w="2563"/>
        <w:gridCol w:w="1032"/>
        <w:gridCol w:w="1032"/>
        <w:gridCol w:w="1032"/>
        <w:gridCol w:w="1032"/>
        <w:gridCol w:w="1032"/>
        <w:gridCol w:w="1032"/>
      </w:tblGrid>
      <w:tr w:rsidR="00D1561D" w:rsidRPr="00A575B0" w:rsidTr="00880CC5">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3" w:type="dxa"/>
            <w:noWrap/>
            <w:hideMark/>
          </w:tcPr>
          <w:p w:rsidR="00D1561D" w:rsidRPr="00A575B0" w:rsidRDefault="00D1561D" w:rsidP="00D1561D"/>
        </w:tc>
        <w:tc>
          <w:tcPr>
            <w:tcW w:w="1032" w:type="dxa"/>
            <w:noWrap/>
          </w:tcPr>
          <w:p w:rsidR="00D1561D" w:rsidRPr="00D1561D" w:rsidRDefault="00D1561D" w:rsidP="00D1561D">
            <w:pPr>
              <w:cnfStyle w:val="100000000000" w:firstRow="1" w:lastRow="0" w:firstColumn="0" w:lastColumn="0" w:oddVBand="0" w:evenVBand="0" w:oddHBand="0" w:evenHBand="0" w:firstRowFirstColumn="0" w:firstRowLastColumn="0" w:lastRowFirstColumn="0" w:lastRowLastColumn="0"/>
            </w:pPr>
            <w:r w:rsidRPr="00A575B0">
              <w:t>2016–17</w:t>
            </w:r>
          </w:p>
        </w:tc>
        <w:tc>
          <w:tcPr>
            <w:tcW w:w="1032" w:type="dxa"/>
            <w:noWrap/>
          </w:tcPr>
          <w:p w:rsidR="00D1561D" w:rsidRPr="00D1561D" w:rsidRDefault="00D1561D" w:rsidP="00D1561D">
            <w:pPr>
              <w:cnfStyle w:val="100000000000" w:firstRow="1" w:lastRow="0" w:firstColumn="0" w:lastColumn="0" w:oddVBand="0" w:evenVBand="0" w:oddHBand="0" w:evenHBand="0" w:firstRowFirstColumn="0" w:firstRowLastColumn="0" w:lastRowFirstColumn="0" w:lastRowLastColumn="0"/>
            </w:pPr>
            <w:r w:rsidRPr="005B4094">
              <w:t>2017–18</w:t>
            </w:r>
          </w:p>
        </w:tc>
        <w:tc>
          <w:tcPr>
            <w:tcW w:w="1032" w:type="dxa"/>
            <w:noWrap/>
          </w:tcPr>
          <w:p w:rsidR="00D1561D" w:rsidRPr="00D1561D" w:rsidRDefault="00D1561D" w:rsidP="00D1561D">
            <w:pPr>
              <w:cnfStyle w:val="100000000000" w:firstRow="1" w:lastRow="0" w:firstColumn="0" w:lastColumn="0" w:oddVBand="0" w:evenVBand="0" w:oddHBand="0" w:evenHBand="0" w:firstRowFirstColumn="0" w:firstRowLastColumn="0" w:lastRowFirstColumn="0" w:lastRowLastColumn="0"/>
            </w:pPr>
            <w:r w:rsidRPr="00964F02">
              <w:t>2018–19</w:t>
            </w:r>
          </w:p>
        </w:tc>
        <w:tc>
          <w:tcPr>
            <w:tcW w:w="1032" w:type="dxa"/>
            <w:noWrap/>
          </w:tcPr>
          <w:p w:rsidR="00D1561D" w:rsidRPr="00D1561D" w:rsidRDefault="00D1561D" w:rsidP="00D1561D">
            <w:pPr>
              <w:cnfStyle w:val="100000000000" w:firstRow="1" w:lastRow="0" w:firstColumn="0" w:lastColumn="0" w:oddVBand="0" w:evenVBand="0" w:oddHBand="0" w:evenHBand="0" w:firstRowFirstColumn="0" w:firstRowLastColumn="0" w:lastRowFirstColumn="0" w:lastRowLastColumn="0"/>
            </w:pPr>
            <w:r w:rsidRPr="00964F02">
              <w:t>2019–20</w:t>
            </w:r>
          </w:p>
        </w:tc>
        <w:tc>
          <w:tcPr>
            <w:tcW w:w="1032" w:type="dxa"/>
            <w:noWrap/>
          </w:tcPr>
          <w:p w:rsidR="00D1561D" w:rsidRPr="00D1561D" w:rsidRDefault="00D1561D" w:rsidP="00D1561D">
            <w:pPr>
              <w:cnfStyle w:val="100000000000" w:firstRow="1" w:lastRow="0" w:firstColumn="0" w:lastColumn="0" w:oddVBand="0" w:evenVBand="0" w:oddHBand="0" w:evenHBand="0" w:firstRowFirstColumn="0" w:firstRowLastColumn="0" w:lastRowFirstColumn="0" w:lastRowLastColumn="0"/>
            </w:pPr>
            <w:r w:rsidRPr="00964F02">
              <w:t>2020–21</w:t>
            </w:r>
          </w:p>
        </w:tc>
        <w:tc>
          <w:tcPr>
            <w:tcW w:w="1032" w:type="dxa"/>
          </w:tcPr>
          <w:p w:rsidR="00D1561D" w:rsidRPr="00D1561D" w:rsidRDefault="00D1561D" w:rsidP="00D1561D">
            <w:pPr>
              <w:cnfStyle w:val="100000000000" w:firstRow="1" w:lastRow="0" w:firstColumn="0" w:lastColumn="0" w:oddVBand="0" w:evenVBand="0" w:oddHBand="0" w:evenHBand="0" w:firstRowFirstColumn="0" w:firstRowLastColumn="0" w:lastRowFirstColumn="0" w:lastRowLastColumn="0"/>
            </w:pPr>
            <w:r w:rsidRPr="00964F02">
              <w:t>Total</w:t>
            </w:r>
          </w:p>
        </w:tc>
      </w:tr>
      <w:tr w:rsidR="00D1561D" w:rsidRPr="009603F9" w:rsidTr="00880CC5">
        <w:trPr>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D1561D" w:rsidRPr="00D1561D" w:rsidRDefault="00D1561D" w:rsidP="00D1561D">
            <w:r w:rsidRPr="009603F9">
              <w:t>Straight-line depreciation</w:t>
            </w:r>
          </w:p>
        </w:tc>
        <w:tc>
          <w:tcPr>
            <w:tcW w:w="1032" w:type="dxa"/>
            <w:noWrap/>
          </w:tcPr>
          <w:p w:rsidR="00D1561D" w:rsidRPr="00D1561D" w:rsidRDefault="006746CD" w:rsidP="00D1561D">
            <w:pPr>
              <w:cnfStyle w:val="000000000000" w:firstRow="0" w:lastRow="0" w:firstColumn="0" w:lastColumn="0" w:oddVBand="0" w:evenVBand="0" w:oddHBand="0" w:evenHBand="0" w:firstRowFirstColumn="0" w:firstRowLastColumn="0" w:lastRowFirstColumn="0" w:lastRowLastColumn="0"/>
            </w:pPr>
            <w:r>
              <w:t>3.6</w:t>
            </w:r>
          </w:p>
        </w:tc>
        <w:tc>
          <w:tcPr>
            <w:tcW w:w="1032" w:type="dxa"/>
            <w:noWrap/>
          </w:tcPr>
          <w:p w:rsidR="00D1561D" w:rsidRPr="00D1561D" w:rsidRDefault="006746CD" w:rsidP="00D1561D">
            <w:pPr>
              <w:cnfStyle w:val="000000000000" w:firstRow="0" w:lastRow="0" w:firstColumn="0" w:lastColumn="0" w:oddVBand="0" w:evenVBand="0" w:oddHBand="0" w:evenHBand="0" w:firstRowFirstColumn="0" w:firstRowLastColumn="0" w:lastRowFirstColumn="0" w:lastRowLastColumn="0"/>
            </w:pPr>
            <w:r>
              <w:t>4.1</w:t>
            </w:r>
          </w:p>
        </w:tc>
        <w:tc>
          <w:tcPr>
            <w:tcW w:w="1032" w:type="dxa"/>
            <w:noWrap/>
          </w:tcPr>
          <w:p w:rsidR="00D1561D" w:rsidRPr="00D1561D" w:rsidRDefault="006746CD" w:rsidP="00D1561D">
            <w:pPr>
              <w:cnfStyle w:val="000000000000" w:firstRow="0" w:lastRow="0" w:firstColumn="0" w:lastColumn="0" w:oddVBand="0" w:evenVBand="0" w:oddHBand="0" w:evenHBand="0" w:firstRowFirstColumn="0" w:firstRowLastColumn="0" w:lastRowFirstColumn="0" w:lastRowLastColumn="0"/>
            </w:pPr>
            <w:r>
              <w:t>4.4</w:t>
            </w:r>
          </w:p>
        </w:tc>
        <w:tc>
          <w:tcPr>
            <w:tcW w:w="1032" w:type="dxa"/>
            <w:noWrap/>
          </w:tcPr>
          <w:p w:rsidR="00D1561D" w:rsidRPr="00D1561D" w:rsidRDefault="006746CD" w:rsidP="00D1561D">
            <w:pPr>
              <w:cnfStyle w:val="000000000000" w:firstRow="0" w:lastRow="0" w:firstColumn="0" w:lastColumn="0" w:oddVBand="0" w:evenVBand="0" w:oddHBand="0" w:evenHBand="0" w:firstRowFirstColumn="0" w:firstRowLastColumn="0" w:lastRowFirstColumn="0" w:lastRowLastColumn="0"/>
            </w:pPr>
            <w:r>
              <w:t>4.6</w:t>
            </w:r>
          </w:p>
        </w:tc>
        <w:tc>
          <w:tcPr>
            <w:tcW w:w="1032" w:type="dxa"/>
            <w:noWrap/>
          </w:tcPr>
          <w:p w:rsidR="00D1561D" w:rsidRPr="00D1561D" w:rsidRDefault="006746CD" w:rsidP="00D1561D">
            <w:pPr>
              <w:cnfStyle w:val="000000000000" w:firstRow="0" w:lastRow="0" w:firstColumn="0" w:lastColumn="0" w:oddVBand="0" w:evenVBand="0" w:oddHBand="0" w:evenHBand="0" w:firstRowFirstColumn="0" w:firstRowLastColumn="0" w:lastRowFirstColumn="0" w:lastRowLastColumn="0"/>
            </w:pPr>
            <w:r>
              <w:t>4.8</w:t>
            </w:r>
          </w:p>
        </w:tc>
        <w:tc>
          <w:tcPr>
            <w:tcW w:w="1032" w:type="dxa"/>
          </w:tcPr>
          <w:p w:rsidR="00D1561D" w:rsidRPr="00D1561D" w:rsidRDefault="006746CD" w:rsidP="00D1561D">
            <w:pPr>
              <w:cnfStyle w:val="000000000000" w:firstRow="0" w:lastRow="0" w:firstColumn="0" w:lastColumn="0" w:oddVBand="0" w:evenVBand="0" w:oddHBand="0" w:evenHBand="0" w:firstRowFirstColumn="0" w:firstRowLastColumn="0" w:lastRowFirstColumn="0" w:lastRowLastColumn="0"/>
            </w:pPr>
            <w:r>
              <w:t>21.5</w:t>
            </w:r>
          </w:p>
        </w:tc>
      </w:tr>
      <w:tr w:rsidR="00D1561D" w:rsidRPr="009603F9" w:rsidTr="00880CC5">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D1561D" w:rsidRPr="00D1561D" w:rsidRDefault="00D1561D" w:rsidP="00D1561D">
            <w:r w:rsidRPr="009603F9">
              <w:rPr>
                <w:rStyle w:val="AERtextitalic"/>
              </w:rPr>
              <w:t>Less:</w:t>
            </w:r>
            <w:r w:rsidRPr="00D1561D">
              <w:rPr>
                <w:rStyle w:val="AERtextitalic"/>
              </w:rPr>
              <w:t xml:space="preserve"> </w:t>
            </w:r>
            <w:r w:rsidRPr="00D1561D">
              <w:t xml:space="preserve">indexation on capital base </w:t>
            </w:r>
          </w:p>
        </w:tc>
        <w:tc>
          <w:tcPr>
            <w:tcW w:w="1032" w:type="dxa"/>
            <w:noWrap/>
          </w:tcPr>
          <w:p w:rsidR="00D1561D" w:rsidRPr="00D1561D" w:rsidRDefault="00D1561D" w:rsidP="00D1561D">
            <w:pPr>
              <w:cnfStyle w:val="000000010000" w:firstRow="0" w:lastRow="0" w:firstColumn="0" w:lastColumn="0" w:oddVBand="0" w:evenVBand="0" w:oddHBand="0" w:evenHBand="1" w:firstRowFirstColumn="0" w:firstRowLastColumn="0" w:lastRowFirstColumn="0" w:lastRowLastColumn="0"/>
            </w:pPr>
            <w:r>
              <w:t>3.0</w:t>
            </w:r>
          </w:p>
        </w:tc>
        <w:tc>
          <w:tcPr>
            <w:tcW w:w="1032" w:type="dxa"/>
            <w:noWrap/>
          </w:tcPr>
          <w:p w:rsidR="00D1561D" w:rsidRPr="00D1561D" w:rsidRDefault="00D1561D" w:rsidP="00D1561D">
            <w:pPr>
              <w:cnfStyle w:val="000000010000" w:firstRow="0" w:lastRow="0" w:firstColumn="0" w:lastColumn="0" w:oddVBand="0" w:evenVBand="0" w:oddHBand="0" w:evenHBand="1" w:firstRowFirstColumn="0" w:firstRowLastColumn="0" w:lastRowFirstColumn="0" w:lastRowLastColumn="0"/>
            </w:pPr>
            <w:r>
              <w:t>3.5</w:t>
            </w:r>
          </w:p>
        </w:tc>
        <w:tc>
          <w:tcPr>
            <w:tcW w:w="1032" w:type="dxa"/>
            <w:noWrap/>
          </w:tcPr>
          <w:p w:rsidR="00D1561D" w:rsidRPr="00D1561D" w:rsidRDefault="00D1561D" w:rsidP="00D1561D">
            <w:pPr>
              <w:cnfStyle w:val="000000010000" w:firstRow="0" w:lastRow="0" w:firstColumn="0" w:lastColumn="0" w:oddVBand="0" w:evenVBand="0" w:oddHBand="0" w:evenHBand="1" w:firstRowFirstColumn="0" w:firstRowLastColumn="0" w:lastRowFirstColumn="0" w:lastRowLastColumn="0"/>
            </w:pPr>
            <w:r>
              <w:t>3.5</w:t>
            </w:r>
          </w:p>
        </w:tc>
        <w:tc>
          <w:tcPr>
            <w:tcW w:w="1032" w:type="dxa"/>
            <w:noWrap/>
          </w:tcPr>
          <w:p w:rsidR="00D1561D" w:rsidRPr="00D1561D" w:rsidRDefault="00D1561D" w:rsidP="006746CD">
            <w:pPr>
              <w:cnfStyle w:val="000000010000" w:firstRow="0" w:lastRow="0" w:firstColumn="0" w:lastColumn="0" w:oddVBand="0" w:evenVBand="0" w:oddHBand="0" w:evenHBand="1" w:firstRowFirstColumn="0" w:firstRowLastColumn="0" w:lastRowFirstColumn="0" w:lastRowLastColumn="0"/>
            </w:pPr>
            <w:r>
              <w:t>3.</w:t>
            </w:r>
            <w:r w:rsidR="006746CD">
              <w:t>6</w:t>
            </w:r>
          </w:p>
        </w:tc>
        <w:tc>
          <w:tcPr>
            <w:tcW w:w="1032" w:type="dxa"/>
            <w:noWrap/>
          </w:tcPr>
          <w:p w:rsidR="00D1561D" w:rsidRPr="00D1561D" w:rsidRDefault="00D1561D" w:rsidP="006746CD">
            <w:pPr>
              <w:cnfStyle w:val="000000010000" w:firstRow="0" w:lastRow="0" w:firstColumn="0" w:lastColumn="0" w:oddVBand="0" w:evenVBand="0" w:oddHBand="0" w:evenHBand="1" w:firstRowFirstColumn="0" w:firstRowLastColumn="0" w:lastRowFirstColumn="0" w:lastRowLastColumn="0"/>
            </w:pPr>
            <w:r>
              <w:t>3.</w:t>
            </w:r>
            <w:r w:rsidR="006746CD">
              <w:t>6</w:t>
            </w:r>
          </w:p>
        </w:tc>
        <w:tc>
          <w:tcPr>
            <w:tcW w:w="1032" w:type="dxa"/>
          </w:tcPr>
          <w:p w:rsidR="00D1561D" w:rsidRPr="00D1561D" w:rsidRDefault="00D1561D" w:rsidP="006746CD">
            <w:pPr>
              <w:cnfStyle w:val="000000010000" w:firstRow="0" w:lastRow="0" w:firstColumn="0" w:lastColumn="0" w:oddVBand="0" w:evenVBand="0" w:oddHBand="0" w:evenHBand="1" w:firstRowFirstColumn="0" w:firstRowLastColumn="0" w:lastRowFirstColumn="0" w:lastRowLastColumn="0"/>
            </w:pPr>
            <w:r>
              <w:t>17.</w:t>
            </w:r>
            <w:r w:rsidR="006746CD">
              <w:t>3</w:t>
            </w:r>
          </w:p>
        </w:tc>
      </w:tr>
      <w:tr w:rsidR="00D1561D" w:rsidRPr="00A575B0" w:rsidTr="00880CC5">
        <w:trPr>
          <w:trHeight w:val="308"/>
        </w:trPr>
        <w:tc>
          <w:tcPr>
            <w:cnfStyle w:val="001000000000" w:firstRow="0" w:lastRow="0" w:firstColumn="1" w:lastColumn="0" w:oddVBand="0" w:evenVBand="0" w:oddHBand="0" w:evenHBand="0" w:firstRowFirstColumn="0" w:firstRowLastColumn="0" w:lastRowFirstColumn="0" w:lastRowLastColumn="0"/>
            <w:tcW w:w="2563" w:type="dxa"/>
            <w:noWrap/>
          </w:tcPr>
          <w:p w:rsidR="00D1561D" w:rsidRPr="00D1561D" w:rsidRDefault="00D1561D" w:rsidP="00D1561D">
            <w:pPr>
              <w:rPr>
                <w:rStyle w:val="Strong"/>
              </w:rPr>
            </w:pPr>
            <w:r w:rsidRPr="00A575B0">
              <w:rPr>
                <w:rStyle w:val="Strong"/>
              </w:rPr>
              <w:t>Regulatory depreciation</w:t>
            </w:r>
          </w:p>
        </w:tc>
        <w:tc>
          <w:tcPr>
            <w:tcW w:w="1032" w:type="dxa"/>
            <w:noWrap/>
          </w:tcPr>
          <w:p w:rsidR="00D1561D" w:rsidRPr="00D1561D" w:rsidRDefault="006746CD" w:rsidP="00D1561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0.6</w:t>
            </w:r>
          </w:p>
        </w:tc>
        <w:tc>
          <w:tcPr>
            <w:tcW w:w="1032" w:type="dxa"/>
            <w:noWrap/>
          </w:tcPr>
          <w:p w:rsidR="00D1561D" w:rsidRPr="00D1561D" w:rsidRDefault="006746CD" w:rsidP="00D1561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0.6</w:t>
            </w:r>
          </w:p>
        </w:tc>
        <w:tc>
          <w:tcPr>
            <w:tcW w:w="1032" w:type="dxa"/>
            <w:noWrap/>
          </w:tcPr>
          <w:p w:rsidR="00D1561D" w:rsidRPr="00D1561D" w:rsidRDefault="006746CD" w:rsidP="00D1561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0.8</w:t>
            </w:r>
          </w:p>
        </w:tc>
        <w:tc>
          <w:tcPr>
            <w:tcW w:w="1032" w:type="dxa"/>
            <w:noWrap/>
          </w:tcPr>
          <w:p w:rsidR="00D1561D" w:rsidRPr="00D1561D" w:rsidRDefault="006746CD" w:rsidP="00D1561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1.0</w:t>
            </w:r>
          </w:p>
        </w:tc>
        <w:tc>
          <w:tcPr>
            <w:tcW w:w="1032" w:type="dxa"/>
            <w:noWrap/>
          </w:tcPr>
          <w:p w:rsidR="00D1561D" w:rsidRPr="00D1561D" w:rsidRDefault="006746CD" w:rsidP="00D1561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1.2</w:t>
            </w:r>
          </w:p>
        </w:tc>
        <w:tc>
          <w:tcPr>
            <w:tcW w:w="1032" w:type="dxa"/>
          </w:tcPr>
          <w:p w:rsidR="00D1561D" w:rsidRPr="00D1561D" w:rsidRDefault="006746CD" w:rsidP="00D1561D">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4.3</w:t>
            </w:r>
          </w:p>
        </w:tc>
      </w:tr>
    </w:tbl>
    <w:p w:rsidR="00D1561D" w:rsidRPr="009B1E9B" w:rsidRDefault="00D1561D" w:rsidP="00D1561D">
      <w:pPr>
        <w:pStyle w:val="AERtablesource"/>
        <w:rPr>
          <w:rStyle w:val="AERtextsize8"/>
        </w:rPr>
      </w:pPr>
      <w:r w:rsidRPr="00D1561D">
        <w:rPr>
          <w:rFonts w:eastAsia="Calibri"/>
        </w:rPr>
        <w:t xml:space="preserve">Source: </w:t>
      </w:r>
      <w:r w:rsidRPr="00D1561D">
        <w:rPr>
          <w:rFonts w:eastAsia="Calibri"/>
        </w:rPr>
        <w:tab/>
      </w:r>
      <w:proofErr w:type="gramStart"/>
      <w:r w:rsidRPr="00D1561D">
        <w:rPr>
          <w:rFonts w:eastAsia="Calibri"/>
        </w:rPr>
        <w:t>APTNT</w:t>
      </w:r>
      <w:r w:rsidR="007C3E8E">
        <w:t>,</w:t>
      </w:r>
      <w:proofErr w:type="gramEnd"/>
      <w:r w:rsidRPr="001A2042">
        <w:t xml:space="preserve"> </w:t>
      </w:r>
      <w:r w:rsidR="002E0AE4">
        <w:rPr>
          <w:rStyle w:val="AERtextitalic"/>
        </w:rPr>
        <w:t>Revised p</w:t>
      </w:r>
      <w:r>
        <w:rPr>
          <w:rStyle w:val="AERtextitalic"/>
        </w:rPr>
        <w:t xml:space="preserve">roposed PTRM, </w:t>
      </w:r>
      <w:r w:rsidR="002E0AE4" w:rsidRPr="009B1E9B">
        <w:rPr>
          <w:rStyle w:val="AERtextsize8"/>
        </w:rPr>
        <w:t>January 2016</w:t>
      </w:r>
      <w:r w:rsidRPr="009B1E9B">
        <w:rPr>
          <w:rStyle w:val="AERtextsize8"/>
        </w:rPr>
        <w:t>.</w:t>
      </w:r>
    </w:p>
    <w:p w:rsidR="00D1561D" w:rsidRDefault="00D1561D" w:rsidP="00D1561D">
      <w:pPr>
        <w:pStyle w:val="Heading2"/>
      </w:pPr>
      <w:bookmarkStart w:id="19" w:name="_Toc429575819"/>
      <w:bookmarkStart w:id="20" w:name="_Ref429991037"/>
      <w:bookmarkStart w:id="21" w:name="_Ref435430863"/>
      <w:bookmarkStart w:id="22" w:name="_Toc436042530"/>
      <w:bookmarkStart w:id="23" w:name="_Toc451529408"/>
      <w:r w:rsidRPr="0074565D">
        <w:t>AER’s assessment approach</w:t>
      </w:r>
      <w:bookmarkEnd w:id="19"/>
      <w:bookmarkEnd w:id="20"/>
      <w:bookmarkEnd w:id="21"/>
      <w:bookmarkEnd w:id="22"/>
      <w:bookmarkEnd w:id="23"/>
    </w:p>
    <w:p w:rsidR="00D1561D" w:rsidRPr="00D639D1" w:rsidRDefault="00514C73" w:rsidP="00D1561D">
      <w:pPr>
        <w:rPr>
          <w:rStyle w:val="AERbody"/>
        </w:rPr>
      </w:pPr>
      <w:r>
        <w:t>We have not changed our assessment approach for regulatory depreciation from our draft decision. Section 5.3 of our draft decision details that approach.</w:t>
      </w:r>
    </w:p>
    <w:p w:rsidR="00D1561D" w:rsidRPr="0074565D" w:rsidRDefault="00D1561D" w:rsidP="00D1561D">
      <w:pPr>
        <w:pStyle w:val="Heading2"/>
      </w:pPr>
      <w:bookmarkStart w:id="24" w:name="_Toc429575821"/>
      <w:bookmarkStart w:id="25" w:name="_Toc436042532"/>
      <w:bookmarkStart w:id="26" w:name="_Toc451529409"/>
      <w:r w:rsidRPr="0074565D">
        <w:t xml:space="preserve">Reasons for </w:t>
      </w:r>
      <w:r>
        <w:t>final</w:t>
      </w:r>
      <w:r w:rsidRPr="0074565D">
        <w:t xml:space="preserve"> decision</w:t>
      </w:r>
      <w:bookmarkEnd w:id="24"/>
      <w:bookmarkEnd w:id="25"/>
      <w:bookmarkEnd w:id="26"/>
      <w:r w:rsidRPr="0074565D">
        <w:t xml:space="preserve"> </w:t>
      </w:r>
    </w:p>
    <w:p w:rsidR="00FF02AC" w:rsidRDefault="00D1561D" w:rsidP="00FF02AC">
      <w:r>
        <w:t>We</w:t>
      </w:r>
      <w:r w:rsidRPr="00CA36EA">
        <w:t xml:space="preserve"> approve</w:t>
      </w:r>
      <w:r>
        <w:t xml:space="preserve"> APTNT’s proposed</w:t>
      </w:r>
      <w:r w:rsidRPr="00CA36EA">
        <w:t xml:space="preserve"> method to calculate the re</w:t>
      </w:r>
      <w:r>
        <w:t>gulatory depreciation allowance</w:t>
      </w:r>
      <w:r w:rsidR="006C34F5">
        <w:t>,</w:t>
      </w:r>
      <w:r>
        <w:t xml:space="preserve"> which is the straight-line depreciation less </w:t>
      </w:r>
      <w:r w:rsidRPr="003A447F">
        <w:t>the annual inflation indexation on the projected capital base</w:t>
      </w:r>
      <w:r>
        <w:t xml:space="preserve">. </w:t>
      </w:r>
      <w:r w:rsidR="006C34F5">
        <w:t>However, w</w:t>
      </w:r>
      <w:r w:rsidR="006C34F5" w:rsidRPr="00D639D1">
        <w:rPr>
          <w:rStyle w:val="AERbody"/>
        </w:rPr>
        <w:t>e do not approve</w:t>
      </w:r>
      <w:r w:rsidR="006C34F5">
        <w:rPr>
          <w:rStyle w:val="AERbody"/>
        </w:rPr>
        <w:t xml:space="preserve"> APTNT’</w:t>
      </w:r>
      <w:r w:rsidR="006C34F5" w:rsidRPr="00D639D1">
        <w:rPr>
          <w:rStyle w:val="AERbody"/>
        </w:rPr>
        <w:t>s</w:t>
      </w:r>
      <w:r w:rsidR="006C34F5">
        <w:rPr>
          <w:rStyle w:val="AERbody"/>
        </w:rPr>
        <w:t xml:space="preserve"> revised</w:t>
      </w:r>
      <w:r w:rsidR="006C34F5" w:rsidRPr="00D639D1">
        <w:rPr>
          <w:rStyle w:val="AERbody"/>
        </w:rPr>
        <w:t xml:space="preserve"> proposed regulatory depreciation allowance of $</w:t>
      </w:r>
      <w:r w:rsidR="006C34F5">
        <w:rPr>
          <w:rStyle w:val="AERbody"/>
        </w:rPr>
        <w:t>4.3</w:t>
      </w:r>
      <w:r w:rsidR="006C34F5" w:rsidRPr="00D639D1">
        <w:rPr>
          <w:rStyle w:val="AERbody"/>
        </w:rPr>
        <w:t> million ($nominal) for</w:t>
      </w:r>
      <w:r w:rsidR="006C34F5">
        <w:rPr>
          <w:rStyle w:val="AERbody"/>
        </w:rPr>
        <w:t xml:space="preserve"> </w:t>
      </w:r>
      <w:r w:rsidR="006C34F5" w:rsidRPr="00D639D1">
        <w:rPr>
          <w:rStyle w:val="AERbody"/>
        </w:rPr>
        <w:t xml:space="preserve">the </w:t>
      </w:r>
      <w:r w:rsidR="006C34F5">
        <w:rPr>
          <w:rStyle w:val="AERbody"/>
        </w:rPr>
        <w:t>2016–21</w:t>
      </w:r>
      <w:r w:rsidR="006C34F5" w:rsidRPr="00D639D1">
        <w:rPr>
          <w:rStyle w:val="AERbody"/>
        </w:rPr>
        <w:t xml:space="preserve"> access arrangement period.</w:t>
      </w:r>
      <w:r w:rsidR="006C34F5">
        <w:rPr>
          <w:rStyle w:val="AERbody"/>
        </w:rPr>
        <w:t xml:space="preserve"> </w:t>
      </w:r>
      <w:r w:rsidR="006C34F5" w:rsidRPr="00D639D1">
        <w:rPr>
          <w:rStyle w:val="AERbody"/>
        </w:rPr>
        <w:t xml:space="preserve">Our </w:t>
      </w:r>
      <w:r w:rsidR="00BD7EBD">
        <w:rPr>
          <w:rStyle w:val="AERbody"/>
        </w:rPr>
        <w:t>final</w:t>
      </w:r>
      <w:r w:rsidR="006C34F5" w:rsidRPr="00D639D1">
        <w:rPr>
          <w:rStyle w:val="AERbody"/>
        </w:rPr>
        <w:t xml:space="preserve"> decision on </w:t>
      </w:r>
      <w:r w:rsidR="006C34F5">
        <w:rPr>
          <w:rStyle w:val="AERbody"/>
        </w:rPr>
        <w:t>APTNT’</w:t>
      </w:r>
      <w:r w:rsidR="006C34F5" w:rsidRPr="00D639D1">
        <w:rPr>
          <w:rStyle w:val="AERbody"/>
        </w:rPr>
        <w:t>s regulatory depreciation allowance is</w:t>
      </w:r>
      <w:r w:rsidRPr="00D639D1">
        <w:rPr>
          <w:rStyle w:val="AERbody"/>
        </w:rPr>
        <w:t xml:space="preserve"> $</w:t>
      </w:r>
      <w:r w:rsidR="001E6E1A">
        <w:rPr>
          <w:rStyle w:val="AERbody"/>
        </w:rPr>
        <w:t>5.7</w:t>
      </w:r>
      <w:r w:rsidR="00BD7EBD">
        <w:rPr>
          <w:rStyle w:val="AERbody"/>
        </w:rPr>
        <w:t xml:space="preserve"> </w:t>
      </w:r>
      <w:r w:rsidRPr="00D639D1">
        <w:rPr>
          <w:rStyle w:val="AERbody"/>
        </w:rPr>
        <w:t>million ($nominal) for</w:t>
      </w:r>
      <w:r>
        <w:rPr>
          <w:rStyle w:val="AERbody"/>
        </w:rPr>
        <w:t xml:space="preserve"> </w:t>
      </w:r>
      <w:r w:rsidRPr="00D639D1">
        <w:rPr>
          <w:rStyle w:val="AERbody"/>
        </w:rPr>
        <w:t xml:space="preserve">the </w:t>
      </w:r>
      <w:r>
        <w:rPr>
          <w:rStyle w:val="AERbody"/>
        </w:rPr>
        <w:t>2016–21</w:t>
      </w:r>
      <w:r w:rsidRPr="00D639D1">
        <w:rPr>
          <w:rStyle w:val="AERbody"/>
        </w:rPr>
        <w:t xml:space="preserve"> access arrangement period.</w:t>
      </w:r>
      <w:r>
        <w:rPr>
          <w:rStyle w:val="AERbody"/>
        </w:rPr>
        <w:t xml:space="preserve"> </w:t>
      </w:r>
      <w:r w:rsidR="00F9414D">
        <w:rPr>
          <w:rStyle w:val="AERbody"/>
        </w:rPr>
        <w:t>This is a</w:t>
      </w:r>
      <w:r w:rsidR="00551D43">
        <w:rPr>
          <w:rStyle w:val="AERbody"/>
        </w:rPr>
        <w:t>n</w:t>
      </w:r>
      <w:r w:rsidR="00F9414D">
        <w:rPr>
          <w:rStyle w:val="AERbody"/>
        </w:rPr>
        <w:t xml:space="preserve"> </w:t>
      </w:r>
      <w:r w:rsidR="00551D43">
        <w:rPr>
          <w:rStyle w:val="AERbody"/>
        </w:rPr>
        <w:t xml:space="preserve">increase </w:t>
      </w:r>
      <w:r w:rsidR="00F9414D">
        <w:rPr>
          <w:rStyle w:val="AERbody"/>
        </w:rPr>
        <w:t>of $</w:t>
      </w:r>
      <w:r w:rsidR="001E6E1A">
        <w:rPr>
          <w:rStyle w:val="AERbody"/>
        </w:rPr>
        <w:t>1.4</w:t>
      </w:r>
      <w:r w:rsidR="00551D43">
        <w:rPr>
          <w:rStyle w:val="AERbody"/>
        </w:rPr>
        <w:t xml:space="preserve"> </w:t>
      </w:r>
      <w:r w:rsidR="00F9414D">
        <w:rPr>
          <w:rStyle w:val="AERbody"/>
        </w:rPr>
        <w:t xml:space="preserve">million (or </w:t>
      </w:r>
      <w:r w:rsidR="001E6E1A">
        <w:rPr>
          <w:rStyle w:val="AERbody"/>
        </w:rPr>
        <w:t>33.0</w:t>
      </w:r>
      <w:r w:rsidR="00551D43">
        <w:rPr>
          <w:rStyle w:val="AERbody"/>
        </w:rPr>
        <w:t xml:space="preserve"> </w:t>
      </w:r>
      <w:r w:rsidR="00F9414D">
        <w:rPr>
          <w:rStyle w:val="AERbody"/>
        </w:rPr>
        <w:t>per cent) compared to A</w:t>
      </w:r>
      <w:r w:rsidR="0015067D">
        <w:rPr>
          <w:rStyle w:val="AERbody"/>
        </w:rPr>
        <w:t>PT</w:t>
      </w:r>
      <w:r w:rsidR="00F9414D">
        <w:rPr>
          <w:rStyle w:val="AERbody"/>
        </w:rPr>
        <w:t xml:space="preserve">NT's revised proposed amount. </w:t>
      </w:r>
      <w:r w:rsidR="00FF02AC">
        <w:rPr>
          <w:rStyle w:val="AERbody"/>
        </w:rPr>
        <w:t xml:space="preserve">This </w:t>
      </w:r>
      <w:r w:rsidR="00FB5594">
        <w:rPr>
          <w:rStyle w:val="AERbody"/>
        </w:rPr>
        <w:t xml:space="preserve">increase </w:t>
      </w:r>
      <w:r w:rsidR="00FF02AC">
        <w:rPr>
          <w:rStyle w:val="AERbody"/>
        </w:rPr>
        <w:t xml:space="preserve">is mainly because of </w:t>
      </w:r>
      <w:r w:rsidR="00FF02AC">
        <w:t>our</w:t>
      </w:r>
      <w:r w:rsidR="00FF02AC" w:rsidRPr="001C0783">
        <w:t xml:space="preserve"> </w:t>
      </w:r>
      <w:r w:rsidR="00FF02AC">
        <w:t xml:space="preserve">determinations on other components of </w:t>
      </w:r>
      <w:r w:rsidR="00FF02AC">
        <w:rPr>
          <w:rStyle w:val="AERbody"/>
        </w:rPr>
        <w:t>APTNT</w:t>
      </w:r>
      <w:r w:rsidR="00FF02AC">
        <w:t>’s</w:t>
      </w:r>
      <w:r w:rsidR="00FF02AC" w:rsidRPr="001C0783">
        <w:t xml:space="preserve"> </w:t>
      </w:r>
      <w:r w:rsidR="00FF02AC">
        <w:t>revised proposal which affect the calculation of the regulatory depreciation allowance.</w:t>
      </w:r>
      <w:r w:rsidR="00FF02AC">
        <w:rPr>
          <w:rStyle w:val="FootnoteReference"/>
        </w:rPr>
        <w:footnoteReference w:id="5"/>
      </w:r>
      <w:r w:rsidR="00FF02AC">
        <w:t xml:space="preserve"> These include:</w:t>
      </w:r>
    </w:p>
    <w:p w:rsidR="00755F91" w:rsidRDefault="00755F91" w:rsidP="00FF02AC">
      <w:pPr>
        <w:pStyle w:val="AERbulletlistfirststyle"/>
        <w:rPr>
          <w:rStyle w:val="AERbody"/>
        </w:rPr>
      </w:pPr>
      <w:proofErr w:type="gramStart"/>
      <w:r>
        <w:rPr>
          <w:rStyle w:val="AERbody"/>
        </w:rPr>
        <w:t>a</w:t>
      </w:r>
      <w:proofErr w:type="gramEnd"/>
      <w:r>
        <w:rPr>
          <w:rStyle w:val="AERbody"/>
        </w:rPr>
        <w:t xml:space="preserve"> reduction to APTNT's</w:t>
      </w:r>
      <w:r w:rsidRPr="00755F91">
        <w:rPr>
          <w:rStyle w:val="AERbody"/>
        </w:rPr>
        <w:t xml:space="preserve"> </w:t>
      </w:r>
      <w:r>
        <w:rPr>
          <w:rStyle w:val="AERbody"/>
        </w:rPr>
        <w:t xml:space="preserve">revised </w:t>
      </w:r>
      <w:r w:rsidRPr="00B9583E">
        <w:rPr>
          <w:rStyle w:val="AERbody"/>
        </w:rPr>
        <w:t>opening capital base as at 1 July 2016 of $</w:t>
      </w:r>
      <w:r w:rsidR="001E6E1A">
        <w:rPr>
          <w:rStyle w:val="AERbody"/>
        </w:rPr>
        <w:t>3.7</w:t>
      </w:r>
      <w:r>
        <w:rPr>
          <w:rStyle w:val="AERbody"/>
        </w:rPr>
        <w:t> </w:t>
      </w:r>
      <w:r w:rsidRPr="00B9583E">
        <w:rPr>
          <w:rStyle w:val="AERbody"/>
        </w:rPr>
        <w:t>million ($nominal)</w:t>
      </w:r>
      <w:r>
        <w:rPr>
          <w:rStyle w:val="AERbody"/>
        </w:rPr>
        <w:t xml:space="preserve"> or </w:t>
      </w:r>
      <w:r w:rsidR="001E6E1A">
        <w:rPr>
          <w:rStyle w:val="AERbody"/>
        </w:rPr>
        <w:t>3.1</w:t>
      </w:r>
      <w:r>
        <w:rPr>
          <w:rStyle w:val="AERbody"/>
        </w:rPr>
        <w:t xml:space="preserve"> per cent</w:t>
      </w:r>
      <w:r w:rsidRPr="00B9583E">
        <w:rPr>
          <w:rStyle w:val="AERbody"/>
        </w:rPr>
        <w:t xml:space="preserve">. Our assessment of the </w:t>
      </w:r>
      <w:r>
        <w:rPr>
          <w:rStyle w:val="AERbody"/>
        </w:rPr>
        <w:t xml:space="preserve">revised </w:t>
      </w:r>
      <w:r w:rsidRPr="00B9583E">
        <w:rPr>
          <w:rStyle w:val="AERbody"/>
        </w:rPr>
        <w:t>proposed opening capital base is set out in attachment 2.</w:t>
      </w:r>
    </w:p>
    <w:p w:rsidR="00FF02AC" w:rsidRPr="00B9583E" w:rsidRDefault="00FF02AC" w:rsidP="00FF02AC">
      <w:pPr>
        <w:pStyle w:val="AERbulletlistfirststyle"/>
        <w:rPr>
          <w:rStyle w:val="AERbody"/>
        </w:rPr>
      </w:pPr>
      <w:proofErr w:type="gramStart"/>
      <w:r w:rsidRPr="00B9583E">
        <w:rPr>
          <w:rStyle w:val="AERbody"/>
        </w:rPr>
        <w:t>a</w:t>
      </w:r>
      <w:proofErr w:type="gramEnd"/>
      <w:r w:rsidRPr="00B9583E">
        <w:rPr>
          <w:rStyle w:val="AERbody"/>
        </w:rPr>
        <w:t xml:space="preserve"> reduction to </w:t>
      </w:r>
      <w:r>
        <w:rPr>
          <w:rStyle w:val="AERbody"/>
        </w:rPr>
        <w:t>APTNT'</w:t>
      </w:r>
      <w:r w:rsidRPr="00B9583E">
        <w:rPr>
          <w:rStyle w:val="AERbody"/>
        </w:rPr>
        <w:t xml:space="preserve">s </w:t>
      </w:r>
      <w:r w:rsidR="000A1EED">
        <w:rPr>
          <w:rStyle w:val="AERbody"/>
        </w:rPr>
        <w:t xml:space="preserve">revised </w:t>
      </w:r>
      <w:r w:rsidRPr="00B9583E">
        <w:rPr>
          <w:rStyle w:val="AERbody"/>
        </w:rPr>
        <w:t>forecast net capex of $</w:t>
      </w:r>
      <w:r w:rsidR="001E6E1A">
        <w:rPr>
          <w:rStyle w:val="AERbody"/>
        </w:rPr>
        <w:t>1</w:t>
      </w:r>
      <w:r w:rsidR="00E93626">
        <w:rPr>
          <w:rStyle w:val="AERbody"/>
        </w:rPr>
        <w:t>3.1</w:t>
      </w:r>
      <w:r w:rsidR="001E6E1A">
        <w:rPr>
          <w:rStyle w:val="AERbody"/>
        </w:rPr>
        <w:t xml:space="preserve"> </w:t>
      </w:r>
      <w:r w:rsidRPr="00B9583E">
        <w:rPr>
          <w:rStyle w:val="AERbody"/>
        </w:rPr>
        <w:t>million ($</w:t>
      </w:r>
      <w:r w:rsidR="000A1EED">
        <w:rPr>
          <w:rStyle w:val="AERbody"/>
        </w:rPr>
        <w:t>nominal</w:t>
      </w:r>
      <w:r w:rsidRPr="00B9583E">
        <w:rPr>
          <w:rStyle w:val="AERbody"/>
        </w:rPr>
        <w:t xml:space="preserve">) or </w:t>
      </w:r>
      <w:r w:rsidR="00E25D33">
        <w:rPr>
          <w:rStyle w:val="AERbody"/>
        </w:rPr>
        <w:t>42.1</w:t>
      </w:r>
      <w:r>
        <w:rPr>
          <w:rStyle w:val="AERbody"/>
        </w:rPr>
        <w:t> </w:t>
      </w:r>
      <w:r w:rsidRPr="00B9583E">
        <w:rPr>
          <w:rStyle w:val="AERbody"/>
        </w:rPr>
        <w:t xml:space="preserve">per cent. Our assessment of the </w:t>
      </w:r>
      <w:r w:rsidR="00755F91">
        <w:rPr>
          <w:rStyle w:val="AERbody"/>
        </w:rPr>
        <w:t xml:space="preserve">revised </w:t>
      </w:r>
      <w:r w:rsidRPr="00B9583E">
        <w:rPr>
          <w:rStyle w:val="AERbody"/>
        </w:rPr>
        <w:t xml:space="preserve">proposed forecast capex allowance is set out in </w:t>
      </w:r>
      <w:r>
        <w:rPr>
          <w:rStyle w:val="AERbody"/>
        </w:rPr>
        <w:t xml:space="preserve">capex </w:t>
      </w:r>
      <w:r w:rsidRPr="00B9583E">
        <w:rPr>
          <w:rStyle w:val="AERbody"/>
        </w:rPr>
        <w:t xml:space="preserve">attachment 6. </w:t>
      </w:r>
    </w:p>
    <w:p w:rsidR="00FE2D66" w:rsidRDefault="00FF02AC" w:rsidP="001E6E1A">
      <w:pPr>
        <w:pStyle w:val="AERbulletlistfirststyle"/>
        <w:rPr>
          <w:rStyle w:val="AERbody"/>
        </w:rPr>
      </w:pPr>
      <w:proofErr w:type="gramStart"/>
      <w:r w:rsidRPr="00B9583E">
        <w:rPr>
          <w:rStyle w:val="AERbody"/>
        </w:rPr>
        <w:t>a</w:t>
      </w:r>
      <w:proofErr w:type="gramEnd"/>
      <w:r w:rsidRPr="00B9583E">
        <w:rPr>
          <w:rStyle w:val="AERbody"/>
        </w:rPr>
        <w:t xml:space="preserve"> </w:t>
      </w:r>
      <w:r w:rsidR="00755F91">
        <w:rPr>
          <w:rStyle w:val="AERbody"/>
        </w:rPr>
        <w:t>reduction</w:t>
      </w:r>
      <w:r w:rsidRPr="00B9583E">
        <w:rPr>
          <w:rStyle w:val="AERbody"/>
        </w:rPr>
        <w:t xml:space="preserve"> to </w:t>
      </w:r>
      <w:r>
        <w:rPr>
          <w:rStyle w:val="AERbody"/>
        </w:rPr>
        <w:t>A</w:t>
      </w:r>
      <w:r w:rsidR="00755F91">
        <w:rPr>
          <w:rStyle w:val="AERbody"/>
        </w:rPr>
        <w:t>PTNT</w:t>
      </w:r>
      <w:r>
        <w:rPr>
          <w:rStyle w:val="AERbody"/>
        </w:rPr>
        <w:t>'s</w:t>
      </w:r>
      <w:r w:rsidRPr="00B9583E">
        <w:rPr>
          <w:rStyle w:val="AERbody"/>
        </w:rPr>
        <w:t xml:space="preserve"> </w:t>
      </w:r>
      <w:r w:rsidR="00EA4D30">
        <w:rPr>
          <w:rStyle w:val="AERbody"/>
        </w:rPr>
        <w:t xml:space="preserve">revised </w:t>
      </w:r>
      <w:r w:rsidRPr="00B9583E">
        <w:rPr>
          <w:rStyle w:val="AERbody"/>
        </w:rPr>
        <w:t>forecast inflation for the 2016–21 access arrangement period</w:t>
      </w:r>
      <w:r w:rsidR="00755F91">
        <w:rPr>
          <w:rStyle w:val="AERbody"/>
        </w:rPr>
        <w:t xml:space="preserve"> from 2.5 per cent per annum to 2.39 per cent per annum</w:t>
      </w:r>
      <w:r w:rsidRPr="00B9583E">
        <w:rPr>
          <w:rStyle w:val="AERbody"/>
        </w:rPr>
        <w:t xml:space="preserve">. Our assessment of </w:t>
      </w:r>
      <w:r w:rsidR="00755F91">
        <w:rPr>
          <w:rStyle w:val="AERbody"/>
        </w:rPr>
        <w:t xml:space="preserve">the </w:t>
      </w:r>
      <w:r w:rsidRPr="00B9583E">
        <w:rPr>
          <w:rStyle w:val="AERbody"/>
        </w:rPr>
        <w:t>proposed forecast inflation is set out in</w:t>
      </w:r>
      <w:r>
        <w:rPr>
          <w:rStyle w:val="AERbody"/>
        </w:rPr>
        <w:t xml:space="preserve"> the</w:t>
      </w:r>
      <w:r w:rsidRPr="00B9583E">
        <w:rPr>
          <w:rStyle w:val="AERbody"/>
        </w:rPr>
        <w:t xml:space="preserve"> </w:t>
      </w:r>
      <w:r>
        <w:rPr>
          <w:rStyle w:val="AERbody"/>
        </w:rPr>
        <w:t xml:space="preserve">rate of return </w:t>
      </w:r>
      <w:r w:rsidRPr="00B9583E">
        <w:rPr>
          <w:rStyle w:val="AERbody"/>
        </w:rPr>
        <w:t>attachment 3.</w:t>
      </w:r>
      <w:r w:rsidR="00ED590A">
        <w:rPr>
          <w:rStyle w:val="AERbody"/>
        </w:rPr>
        <w:t xml:space="preserve"> This results in a decrease to the indexation of the capital base component over the 2016–21 access arrangement period by </w:t>
      </w:r>
      <w:r w:rsidR="00ED590A" w:rsidRPr="009656AB">
        <w:rPr>
          <w:rStyle w:val="AERbody"/>
        </w:rPr>
        <w:t>$</w:t>
      </w:r>
      <w:r w:rsidR="00ED590A">
        <w:rPr>
          <w:rStyle w:val="AERbody"/>
        </w:rPr>
        <w:t>2.</w:t>
      </w:r>
      <w:r w:rsidR="00E25D33">
        <w:rPr>
          <w:rStyle w:val="AERbody"/>
        </w:rPr>
        <w:t>5</w:t>
      </w:r>
      <w:r w:rsidR="00ED590A" w:rsidRPr="009656AB">
        <w:rPr>
          <w:rStyle w:val="AERbody"/>
        </w:rPr>
        <w:t xml:space="preserve"> million ($nominal) or </w:t>
      </w:r>
      <w:r w:rsidR="00E25D33">
        <w:rPr>
          <w:rStyle w:val="AERbody"/>
        </w:rPr>
        <w:t>14.5</w:t>
      </w:r>
      <w:r w:rsidR="00EA4D30">
        <w:rPr>
          <w:rStyle w:val="AERbody"/>
        </w:rPr>
        <w:t xml:space="preserve"> </w:t>
      </w:r>
      <w:r w:rsidR="00ED590A" w:rsidRPr="009656AB">
        <w:rPr>
          <w:rStyle w:val="AERbody"/>
        </w:rPr>
        <w:t>per cent</w:t>
      </w:r>
      <w:r w:rsidR="00EA4D30">
        <w:rPr>
          <w:rStyle w:val="AERbody"/>
        </w:rPr>
        <w:t>, causing a net increase in the regulatory depreciation allowance</w:t>
      </w:r>
      <w:r w:rsidR="00ED590A">
        <w:rPr>
          <w:rStyle w:val="AERbody"/>
        </w:rPr>
        <w:t>.</w:t>
      </w:r>
    </w:p>
    <w:p w:rsidR="00A62366" w:rsidRPr="00A62366" w:rsidRDefault="00A62366" w:rsidP="00A62366">
      <w:r w:rsidRPr="00A62366">
        <w:t>Consistent with our draft decision, we accept APTNT's weighted average method to calculate the remaining asset lives as at 1 July 2016. In accepting the weighted average method, we have updated APTNT's revised proposed remaining asset lives as at 1 July 2016 to reflect changes to the opening capital base arising from our decision on 2015–16 conforming capex and CPI. Also, we accept APTNT's standard asset lives assigned to each of its asset classes for the 2016–21 access arrangement period which are consistent with the draft decision.</w:t>
      </w:r>
    </w:p>
    <w:p w:rsidR="005E27E6" w:rsidRDefault="004F4CA6" w:rsidP="003D0E6B">
      <w:pPr>
        <w:keepLines/>
      </w:pPr>
      <w:r>
        <w:fldChar w:fldCharType="begin"/>
      </w:r>
      <w:r>
        <w:instrText xml:space="preserve"> REF _Ref442966454 \h </w:instrText>
      </w:r>
      <w:r>
        <w:fldChar w:fldCharType="separate"/>
      </w:r>
      <w:r w:rsidR="007A270E">
        <w:t xml:space="preserve">Table </w:t>
      </w:r>
      <w:r w:rsidR="007A270E">
        <w:rPr>
          <w:noProof/>
        </w:rPr>
        <w:t>5</w:t>
      </w:r>
      <w:r w:rsidR="007A270E">
        <w:t>.</w:t>
      </w:r>
      <w:r w:rsidR="007A270E">
        <w:rPr>
          <w:noProof/>
        </w:rPr>
        <w:t>3</w:t>
      </w:r>
      <w:r>
        <w:fldChar w:fldCharType="end"/>
      </w:r>
      <w:r>
        <w:t xml:space="preserve"> </w:t>
      </w:r>
      <w:r w:rsidR="005E27E6">
        <w:t>s</w:t>
      </w:r>
      <w:r w:rsidR="005E27E6" w:rsidRPr="009D5ECB">
        <w:t xml:space="preserve">ets out our </w:t>
      </w:r>
      <w:r w:rsidR="005E27E6">
        <w:t>final</w:t>
      </w:r>
      <w:r w:rsidR="005E27E6" w:rsidRPr="009D5ECB">
        <w:t xml:space="preserve"> decision on the </w:t>
      </w:r>
      <w:r w:rsidR="005E27E6">
        <w:t xml:space="preserve">standard and </w:t>
      </w:r>
      <w:r w:rsidR="005E27E6" w:rsidRPr="009D5ECB">
        <w:t xml:space="preserve">remaining </w:t>
      </w:r>
      <w:r w:rsidR="005E27E6">
        <w:t>asset</w:t>
      </w:r>
      <w:r w:rsidR="005E27E6" w:rsidRPr="009D5ECB">
        <w:t xml:space="preserve"> lives </w:t>
      </w:r>
      <w:r w:rsidR="005E27E6" w:rsidRPr="009D5ECB">
        <w:rPr>
          <w:rStyle w:val="AERbody"/>
        </w:rPr>
        <w:t xml:space="preserve">as at </w:t>
      </w:r>
      <w:r w:rsidR="005E27E6">
        <w:rPr>
          <w:rStyle w:val="AERbody"/>
        </w:rPr>
        <w:t>1</w:t>
      </w:r>
      <w:r w:rsidR="008A1207">
        <w:rPr>
          <w:rStyle w:val="AERbody"/>
        </w:rPr>
        <w:t xml:space="preserve"> </w:t>
      </w:r>
      <w:r w:rsidR="005E27E6">
        <w:rPr>
          <w:rStyle w:val="AERbody"/>
        </w:rPr>
        <w:t>July 2016</w:t>
      </w:r>
      <w:r w:rsidR="005E27E6" w:rsidRPr="009D5ECB">
        <w:rPr>
          <w:rStyle w:val="AERbody"/>
        </w:rPr>
        <w:t xml:space="preserve"> for </w:t>
      </w:r>
      <w:r w:rsidR="005E27E6">
        <w:rPr>
          <w:rStyle w:val="AERbody"/>
        </w:rPr>
        <w:t>APTNT</w:t>
      </w:r>
      <w:r w:rsidR="005E27E6" w:rsidRPr="009D5ECB">
        <w:t>.</w:t>
      </w:r>
    </w:p>
    <w:p w:rsidR="00D1561D" w:rsidRPr="0015067D" w:rsidRDefault="004F4CA6" w:rsidP="004F4CA6">
      <w:pPr>
        <w:pStyle w:val="Caption"/>
        <w:rPr>
          <w:rStyle w:val="AERsuperscript"/>
        </w:rPr>
      </w:pPr>
      <w:bookmarkStart w:id="27" w:name="_Ref442966454"/>
      <w:bookmarkStart w:id="28" w:name="_Ref398283146"/>
      <w:proofErr w:type="gramStart"/>
      <w:r>
        <w:t xml:space="preserve">Table </w:t>
      </w:r>
      <w:proofErr w:type="gramEnd"/>
      <w:r w:rsidR="00864C47">
        <w:fldChar w:fldCharType="begin"/>
      </w:r>
      <w:r w:rsidR="00864C47">
        <w:instrText xml:space="preserve"> STYLEREF 1 \s </w:instrText>
      </w:r>
      <w:r w:rsidR="00864C47">
        <w:fldChar w:fldCharType="separate"/>
      </w:r>
      <w:r w:rsidR="007A270E">
        <w:rPr>
          <w:noProof/>
        </w:rPr>
        <w:t>5</w:t>
      </w:r>
      <w:r w:rsidR="00864C47">
        <w:rPr>
          <w:noProof/>
        </w:rPr>
        <w:fldChar w:fldCharType="end"/>
      </w:r>
      <w:proofErr w:type="gramStart"/>
      <w:r>
        <w:t>.</w:t>
      </w:r>
      <w:proofErr w:type="gramEnd"/>
      <w:r w:rsidR="00870C9C">
        <w:fldChar w:fldCharType="begin"/>
      </w:r>
      <w:r w:rsidR="00870C9C">
        <w:instrText xml:space="preserve"> SEQ Table \* ARABIC \s 1 </w:instrText>
      </w:r>
      <w:r w:rsidR="00870C9C">
        <w:fldChar w:fldCharType="separate"/>
      </w:r>
      <w:r w:rsidR="007A270E">
        <w:rPr>
          <w:noProof/>
        </w:rPr>
        <w:t>3</w:t>
      </w:r>
      <w:r w:rsidR="00870C9C">
        <w:rPr>
          <w:noProof/>
        </w:rPr>
        <w:fldChar w:fldCharType="end"/>
      </w:r>
      <w:bookmarkEnd w:id="27"/>
      <w:r>
        <w:t xml:space="preserve"> </w:t>
      </w:r>
      <w:bookmarkEnd w:id="28"/>
      <w:r w:rsidR="00D1561D" w:rsidRPr="00D1561D">
        <w:tab/>
        <w:t xml:space="preserve">AER's </w:t>
      </w:r>
      <w:r w:rsidR="00572E69">
        <w:t>final</w:t>
      </w:r>
      <w:r w:rsidR="00D1561D" w:rsidRPr="00D1561D">
        <w:t xml:space="preserve"> decision on APTNT’s standard and remaining asset lives as at 1 July 2016 (years</w:t>
      </w:r>
      <w:proofErr w:type="gramStart"/>
      <w:r w:rsidR="00D1561D" w:rsidRPr="00D1561D">
        <w:t>)</w:t>
      </w:r>
      <w:r w:rsidR="008460FD">
        <w:rPr>
          <w:rStyle w:val="AERsuperscript"/>
        </w:rPr>
        <w:t>a</w:t>
      </w:r>
      <w:proofErr w:type="gramEnd"/>
    </w:p>
    <w:tbl>
      <w:tblPr>
        <w:tblStyle w:val="AERtable-numbers"/>
        <w:tblW w:w="8755" w:type="dxa"/>
        <w:tblLayout w:type="fixed"/>
        <w:tblLook w:val="04A0" w:firstRow="1" w:lastRow="0" w:firstColumn="1" w:lastColumn="0" w:noHBand="0" w:noVBand="1"/>
      </w:tblPr>
      <w:tblGrid>
        <w:gridCol w:w="4100"/>
        <w:gridCol w:w="2245"/>
        <w:gridCol w:w="2410"/>
      </w:tblGrid>
      <w:tr w:rsidR="00D1561D" w:rsidRPr="000D774E" w:rsidTr="00880CC5">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4100" w:type="dxa"/>
            <w:noWrap/>
            <w:hideMark/>
          </w:tcPr>
          <w:p w:rsidR="00D1561D" w:rsidRPr="00DD35CF" w:rsidRDefault="00D1561D" w:rsidP="00DD35CF"/>
        </w:tc>
        <w:tc>
          <w:tcPr>
            <w:tcW w:w="2245" w:type="dxa"/>
          </w:tcPr>
          <w:p w:rsidR="00D1561D" w:rsidRPr="00DD35CF" w:rsidRDefault="00D1561D" w:rsidP="00DD35CF">
            <w:pPr>
              <w:cnfStyle w:val="100000000000" w:firstRow="1" w:lastRow="0" w:firstColumn="0" w:lastColumn="0" w:oddVBand="0" w:evenVBand="0" w:oddHBand="0" w:evenHBand="0" w:firstRowFirstColumn="0" w:firstRowLastColumn="0" w:lastRowFirstColumn="0" w:lastRowLastColumn="0"/>
            </w:pPr>
            <w:r w:rsidRPr="00DD35CF">
              <w:t xml:space="preserve">Standard asset life </w:t>
            </w:r>
          </w:p>
        </w:tc>
        <w:tc>
          <w:tcPr>
            <w:tcW w:w="2410" w:type="dxa"/>
          </w:tcPr>
          <w:p w:rsidR="00D1561D" w:rsidRPr="00DD35CF" w:rsidRDefault="00D1561D">
            <w:pPr>
              <w:cnfStyle w:val="100000000000" w:firstRow="1" w:lastRow="0" w:firstColumn="0" w:lastColumn="0" w:oddVBand="0" w:evenVBand="0" w:oddHBand="0" w:evenHBand="0" w:firstRowFirstColumn="0" w:firstRowLastColumn="0" w:lastRowFirstColumn="0" w:lastRowLastColumn="0"/>
            </w:pPr>
            <w:r w:rsidRPr="00DD35CF">
              <w:t>Remaining asset life</w:t>
            </w:r>
          </w:p>
        </w:tc>
      </w:tr>
      <w:tr w:rsidR="00D1561D" w:rsidRPr="000D774E" w:rsidTr="00880CC5">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D1561D" w:rsidRPr="00D22136" w:rsidRDefault="00D1561D" w:rsidP="00D22136">
            <w:r w:rsidRPr="00D22136">
              <w:t>Pipelines</w:t>
            </w:r>
          </w:p>
        </w:tc>
        <w:tc>
          <w:tcPr>
            <w:tcW w:w="2245" w:type="dxa"/>
            <w:vAlign w:val="bottom"/>
          </w:tcPr>
          <w:p w:rsidR="00D1561D" w:rsidRPr="00A62366" w:rsidRDefault="00D1561D" w:rsidP="00A62366">
            <w:pPr>
              <w:cnfStyle w:val="000000000000" w:firstRow="0" w:lastRow="0" w:firstColumn="0" w:lastColumn="0" w:oddVBand="0" w:evenVBand="0" w:oddHBand="0" w:evenHBand="0" w:firstRowFirstColumn="0" w:firstRowLastColumn="0" w:lastRowFirstColumn="0" w:lastRowLastColumn="0"/>
            </w:pPr>
            <w:r w:rsidRPr="00A62366">
              <w:t>80</w:t>
            </w:r>
          </w:p>
        </w:tc>
        <w:tc>
          <w:tcPr>
            <w:tcW w:w="2410" w:type="dxa"/>
            <w:vAlign w:val="bottom"/>
          </w:tcPr>
          <w:p w:rsidR="00D1561D" w:rsidRPr="002C4F0C" w:rsidRDefault="002C4F0C" w:rsidP="00A62366">
            <w:pPr>
              <w:cnfStyle w:val="000000000000" w:firstRow="0" w:lastRow="0" w:firstColumn="0" w:lastColumn="0" w:oddVBand="0" w:evenVBand="0" w:oddHBand="0" w:evenHBand="0" w:firstRowFirstColumn="0" w:firstRowLastColumn="0" w:lastRowFirstColumn="0" w:lastRowLastColumn="0"/>
            </w:pPr>
            <w:r>
              <w:t>58.7</w:t>
            </w:r>
          </w:p>
        </w:tc>
      </w:tr>
      <w:tr w:rsidR="00D1561D" w:rsidRPr="000D774E" w:rsidTr="00880C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D1561D" w:rsidRPr="00D22136" w:rsidRDefault="00D1561D" w:rsidP="00D22136">
            <w:r w:rsidRPr="00D22136">
              <w:t>Compression</w:t>
            </w:r>
          </w:p>
        </w:tc>
        <w:tc>
          <w:tcPr>
            <w:tcW w:w="2245" w:type="dxa"/>
            <w:vAlign w:val="bottom"/>
          </w:tcPr>
          <w:p w:rsidR="00D1561D" w:rsidRPr="00A62366" w:rsidRDefault="00D1561D" w:rsidP="00A62366">
            <w:pPr>
              <w:cnfStyle w:val="000000010000" w:firstRow="0" w:lastRow="0" w:firstColumn="0" w:lastColumn="0" w:oddVBand="0" w:evenVBand="0" w:oddHBand="0" w:evenHBand="1" w:firstRowFirstColumn="0" w:firstRowLastColumn="0" w:lastRowFirstColumn="0" w:lastRowLastColumn="0"/>
            </w:pPr>
            <w:r w:rsidRPr="00A62366">
              <w:t>30</w:t>
            </w:r>
          </w:p>
        </w:tc>
        <w:tc>
          <w:tcPr>
            <w:tcW w:w="2410" w:type="dxa"/>
            <w:vAlign w:val="bottom"/>
          </w:tcPr>
          <w:p w:rsidR="00D1561D" w:rsidRPr="002C4F0C" w:rsidRDefault="00D1561D" w:rsidP="00A62366">
            <w:pPr>
              <w:cnfStyle w:val="000000010000" w:firstRow="0" w:lastRow="0" w:firstColumn="0" w:lastColumn="0" w:oddVBand="0" w:evenVBand="0" w:oddHBand="0" w:evenHBand="1" w:firstRowFirstColumn="0" w:firstRowLastColumn="0" w:lastRowFirstColumn="0" w:lastRowLastColumn="0"/>
            </w:pPr>
            <w:r w:rsidRPr="002C4F0C">
              <w:t>15.0</w:t>
            </w:r>
          </w:p>
        </w:tc>
      </w:tr>
      <w:tr w:rsidR="00D1561D" w:rsidRPr="000D774E" w:rsidTr="00880CC5">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D1561D" w:rsidRPr="00D22136" w:rsidRDefault="00D1561D" w:rsidP="00D22136">
            <w:r w:rsidRPr="00D22136">
              <w:t>Meter station</w:t>
            </w:r>
          </w:p>
        </w:tc>
        <w:tc>
          <w:tcPr>
            <w:tcW w:w="2245" w:type="dxa"/>
            <w:vAlign w:val="bottom"/>
          </w:tcPr>
          <w:p w:rsidR="00D1561D" w:rsidRPr="00A62366" w:rsidRDefault="00D1561D" w:rsidP="00A62366">
            <w:pPr>
              <w:cnfStyle w:val="000000000000" w:firstRow="0" w:lastRow="0" w:firstColumn="0" w:lastColumn="0" w:oddVBand="0" w:evenVBand="0" w:oddHBand="0" w:evenHBand="0" w:firstRowFirstColumn="0" w:firstRowLastColumn="0" w:lastRowFirstColumn="0" w:lastRowLastColumn="0"/>
            </w:pPr>
            <w:r w:rsidRPr="00A62366">
              <w:t>50</w:t>
            </w:r>
          </w:p>
        </w:tc>
        <w:tc>
          <w:tcPr>
            <w:tcW w:w="2410" w:type="dxa"/>
            <w:vAlign w:val="bottom"/>
          </w:tcPr>
          <w:p w:rsidR="00D1561D" w:rsidRPr="002C4F0C" w:rsidRDefault="00D1561D" w:rsidP="00A62366">
            <w:pPr>
              <w:cnfStyle w:val="000000000000" w:firstRow="0" w:lastRow="0" w:firstColumn="0" w:lastColumn="0" w:oddVBand="0" w:evenVBand="0" w:oddHBand="0" w:evenHBand="0" w:firstRowFirstColumn="0" w:firstRowLastColumn="0" w:lastRowFirstColumn="0" w:lastRowLastColumn="0"/>
            </w:pPr>
            <w:r w:rsidRPr="002C4F0C">
              <w:t>36.9</w:t>
            </w:r>
          </w:p>
        </w:tc>
      </w:tr>
      <w:tr w:rsidR="00D1561D" w:rsidRPr="000D774E" w:rsidTr="00880C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D1561D" w:rsidRPr="00D22136" w:rsidRDefault="00D1561D" w:rsidP="00D22136">
            <w:r w:rsidRPr="00D22136">
              <w:t>SCADA</w:t>
            </w:r>
          </w:p>
        </w:tc>
        <w:tc>
          <w:tcPr>
            <w:tcW w:w="2245" w:type="dxa"/>
            <w:vAlign w:val="bottom"/>
          </w:tcPr>
          <w:p w:rsidR="00D1561D" w:rsidRPr="00A62366" w:rsidRDefault="00D1561D" w:rsidP="00A62366">
            <w:pPr>
              <w:cnfStyle w:val="000000010000" w:firstRow="0" w:lastRow="0" w:firstColumn="0" w:lastColumn="0" w:oddVBand="0" w:evenVBand="0" w:oddHBand="0" w:evenHBand="1" w:firstRowFirstColumn="0" w:firstRowLastColumn="0" w:lastRowFirstColumn="0" w:lastRowLastColumn="0"/>
            </w:pPr>
            <w:r w:rsidRPr="00A62366">
              <w:t>15</w:t>
            </w:r>
          </w:p>
        </w:tc>
        <w:tc>
          <w:tcPr>
            <w:tcW w:w="2410" w:type="dxa"/>
            <w:vAlign w:val="bottom"/>
          </w:tcPr>
          <w:p w:rsidR="00D1561D" w:rsidRPr="002C4F0C" w:rsidRDefault="002C4F0C" w:rsidP="00A62366">
            <w:pPr>
              <w:cnfStyle w:val="000000010000" w:firstRow="0" w:lastRow="0" w:firstColumn="0" w:lastColumn="0" w:oddVBand="0" w:evenVBand="0" w:oddHBand="0" w:evenHBand="1" w:firstRowFirstColumn="0" w:firstRowLastColumn="0" w:lastRowFirstColumn="0" w:lastRowLastColumn="0"/>
            </w:pPr>
            <w:r>
              <w:t>10.8</w:t>
            </w:r>
          </w:p>
        </w:tc>
      </w:tr>
      <w:tr w:rsidR="00D1561D" w:rsidRPr="000D774E" w:rsidTr="00880CC5">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D1561D" w:rsidRPr="00D22136" w:rsidRDefault="00D1561D" w:rsidP="00D22136">
            <w:r w:rsidRPr="00D22136">
              <w:t>O&amp;M facilities</w:t>
            </w:r>
          </w:p>
        </w:tc>
        <w:tc>
          <w:tcPr>
            <w:tcW w:w="2245" w:type="dxa"/>
            <w:vAlign w:val="bottom"/>
          </w:tcPr>
          <w:p w:rsidR="00D1561D" w:rsidRPr="00A62366" w:rsidRDefault="00D1561D" w:rsidP="00A62366">
            <w:pPr>
              <w:cnfStyle w:val="000000000000" w:firstRow="0" w:lastRow="0" w:firstColumn="0" w:lastColumn="0" w:oddVBand="0" w:evenVBand="0" w:oddHBand="0" w:evenHBand="0" w:firstRowFirstColumn="0" w:firstRowLastColumn="0" w:lastRowFirstColumn="0" w:lastRowLastColumn="0"/>
            </w:pPr>
            <w:r w:rsidRPr="00A62366">
              <w:t>10</w:t>
            </w:r>
          </w:p>
        </w:tc>
        <w:tc>
          <w:tcPr>
            <w:tcW w:w="2410" w:type="dxa"/>
            <w:vAlign w:val="bottom"/>
          </w:tcPr>
          <w:p w:rsidR="00D1561D" w:rsidRPr="002C4F0C" w:rsidRDefault="00D1561D" w:rsidP="00A62366">
            <w:pPr>
              <w:cnfStyle w:val="000000000000" w:firstRow="0" w:lastRow="0" w:firstColumn="0" w:lastColumn="0" w:oddVBand="0" w:evenVBand="0" w:oddHBand="0" w:evenHBand="0" w:firstRowFirstColumn="0" w:firstRowLastColumn="0" w:lastRowFirstColumn="0" w:lastRowLastColumn="0"/>
            </w:pPr>
            <w:r w:rsidRPr="00A62366">
              <w:t>8.2</w:t>
            </w:r>
          </w:p>
        </w:tc>
      </w:tr>
      <w:tr w:rsidR="00D1561D" w:rsidRPr="000D774E" w:rsidTr="00880C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D1561D" w:rsidRPr="00D22136" w:rsidRDefault="00D1561D" w:rsidP="00D22136">
            <w:r w:rsidRPr="00D22136">
              <w:t>Buildings</w:t>
            </w:r>
          </w:p>
        </w:tc>
        <w:tc>
          <w:tcPr>
            <w:tcW w:w="2245" w:type="dxa"/>
            <w:vAlign w:val="bottom"/>
          </w:tcPr>
          <w:p w:rsidR="00D1561D" w:rsidRPr="00A62366" w:rsidRDefault="00D1561D" w:rsidP="00A62366">
            <w:pPr>
              <w:cnfStyle w:val="000000010000" w:firstRow="0" w:lastRow="0" w:firstColumn="0" w:lastColumn="0" w:oddVBand="0" w:evenVBand="0" w:oddHBand="0" w:evenHBand="1" w:firstRowFirstColumn="0" w:firstRowLastColumn="0" w:lastRowFirstColumn="0" w:lastRowLastColumn="0"/>
            </w:pPr>
            <w:r w:rsidRPr="00A62366">
              <w:t>40</w:t>
            </w:r>
          </w:p>
        </w:tc>
        <w:tc>
          <w:tcPr>
            <w:tcW w:w="2410" w:type="dxa"/>
            <w:vAlign w:val="bottom"/>
          </w:tcPr>
          <w:p w:rsidR="00D1561D" w:rsidRPr="002C4F0C" w:rsidRDefault="00D1561D" w:rsidP="00A62366">
            <w:pPr>
              <w:cnfStyle w:val="000000010000" w:firstRow="0" w:lastRow="0" w:firstColumn="0" w:lastColumn="0" w:oddVBand="0" w:evenVBand="0" w:oddHBand="0" w:evenHBand="1" w:firstRowFirstColumn="0" w:firstRowLastColumn="0" w:lastRowFirstColumn="0" w:lastRowLastColumn="0"/>
            </w:pPr>
            <w:r w:rsidRPr="00A62366">
              <w:t>31.0</w:t>
            </w:r>
          </w:p>
        </w:tc>
      </w:tr>
      <w:tr w:rsidR="00D1561D" w:rsidRPr="000D774E" w:rsidTr="00880CC5">
        <w:trPr>
          <w:trHeight w:val="300"/>
        </w:trPr>
        <w:tc>
          <w:tcPr>
            <w:cnfStyle w:val="001000000000" w:firstRow="0" w:lastRow="0" w:firstColumn="1" w:lastColumn="0" w:oddVBand="0" w:evenVBand="0" w:oddHBand="0" w:evenHBand="0" w:firstRowFirstColumn="0" w:firstRowLastColumn="0" w:lastRowFirstColumn="0" w:lastRowLastColumn="0"/>
            <w:tcW w:w="4100" w:type="dxa"/>
            <w:noWrap/>
            <w:vAlign w:val="bottom"/>
          </w:tcPr>
          <w:p w:rsidR="00D1561D" w:rsidRPr="00D22136" w:rsidRDefault="00D1561D" w:rsidP="00D22136">
            <w:r w:rsidRPr="00D22136">
              <w:t>Land and easement</w:t>
            </w:r>
          </w:p>
        </w:tc>
        <w:tc>
          <w:tcPr>
            <w:tcW w:w="2245" w:type="dxa"/>
            <w:vAlign w:val="bottom"/>
          </w:tcPr>
          <w:p w:rsidR="00D1561D" w:rsidRPr="00A62366" w:rsidRDefault="00D1561D" w:rsidP="00A62366">
            <w:pPr>
              <w:cnfStyle w:val="000000000000" w:firstRow="0" w:lastRow="0" w:firstColumn="0" w:lastColumn="0" w:oddVBand="0" w:evenVBand="0" w:oddHBand="0" w:evenHBand="0" w:firstRowFirstColumn="0" w:firstRowLastColumn="0" w:lastRowFirstColumn="0" w:lastRowLastColumn="0"/>
            </w:pPr>
            <w:r w:rsidRPr="00A62366">
              <w:t>n/a</w:t>
            </w:r>
          </w:p>
        </w:tc>
        <w:tc>
          <w:tcPr>
            <w:tcW w:w="2410" w:type="dxa"/>
            <w:vAlign w:val="bottom"/>
          </w:tcPr>
          <w:p w:rsidR="00D1561D" w:rsidRPr="00A62366" w:rsidRDefault="00D1561D" w:rsidP="00A62366">
            <w:pPr>
              <w:cnfStyle w:val="000000000000" w:firstRow="0" w:lastRow="0" w:firstColumn="0" w:lastColumn="0" w:oddVBand="0" w:evenVBand="0" w:oddHBand="0" w:evenHBand="0" w:firstRowFirstColumn="0" w:firstRowLastColumn="0" w:lastRowFirstColumn="0" w:lastRowLastColumn="0"/>
            </w:pPr>
            <w:r w:rsidRPr="00A62366">
              <w:t>n/a</w:t>
            </w:r>
          </w:p>
        </w:tc>
      </w:tr>
    </w:tbl>
    <w:p w:rsidR="00D1561D" w:rsidRDefault="00D1561D" w:rsidP="00D1561D">
      <w:pPr>
        <w:pStyle w:val="AERtablesource"/>
      </w:pPr>
      <w:r w:rsidRPr="009D5ECB">
        <w:t>Source:</w:t>
      </w:r>
      <w:r w:rsidRPr="009D5ECB">
        <w:tab/>
        <w:t>AER analysis.</w:t>
      </w:r>
      <w:r>
        <w:t xml:space="preserve"> </w:t>
      </w:r>
    </w:p>
    <w:p w:rsidR="00D1561D" w:rsidRDefault="00D1561D" w:rsidP="00D1561D">
      <w:pPr>
        <w:pStyle w:val="AERtablesource"/>
      </w:pPr>
      <w:proofErr w:type="gramStart"/>
      <w:r w:rsidRPr="00EA0E36">
        <w:t>n/a</w:t>
      </w:r>
      <w:proofErr w:type="gramEnd"/>
      <w:r w:rsidRPr="00EA0E36">
        <w:tab/>
        <w:t>Not applicable.</w:t>
      </w:r>
    </w:p>
    <w:p w:rsidR="00D1561D" w:rsidRDefault="008460FD" w:rsidP="00D1561D">
      <w:pPr>
        <w:pStyle w:val="AERtablesource"/>
      </w:pPr>
      <w:r w:rsidDel="008460FD">
        <w:t xml:space="preserve"> </w:t>
      </w:r>
      <w:r w:rsidR="00D1561D">
        <w:t>(</w:t>
      </w:r>
      <w:r>
        <w:t>a</w:t>
      </w:r>
      <w:r w:rsidR="00D1561D">
        <w:t>)</w:t>
      </w:r>
      <w:r w:rsidR="00D1561D">
        <w:tab/>
        <w:t>The</w:t>
      </w:r>
      <w:r>
        <w:t xml:space="preserve"> 'Return tariff payment' and</w:t>
      </w:r>
      <w:r w:rsidR="00D1561D">
        <w:t xml:space="preserve"> ‘</w:t>
      </w:r>
      <w:proofErr w:type="gramStart"/>
      <w:r w:rsidR="00D1561D">
        <w:t>Corporate</w:t>
      </w:r>
      <w:proofErr w:type="gramEnd"/>
      <w:r w:rsidR="00D1561D">
        <w:t xml:space="preserve"> assets (IT software)’ asset class</w:t>
      </w:r>
      <w:r>
        <w:t>es contained in APTNT's initial proposal have been removed from our final decision. This is because they are</w:t>
      </w:r>
      <w:r w:rsidR="00D1561D">
        <w:t xml:space="preserve"> no longer used for regulatory depreciation purposes </w:t>
      </w:r>
      <w:r>
        <w:t>due to</w:t>
      </w:r>
      <w:r w:rsidR="00D1561D">
        <w:t xml:space="preserve"> no residual RAB value and no forecast capex allocated to this asset class for the 2016–21 access arrangement period.</w:t>
      </w:r>
    </w:p>
    <w:p w:rsidR="00D1561D" w:rsidRDefault="00D1561D" w:rsidP="0015067D">
      <w:pPr>
        <w:pStyle w:val="Heading3"/>
      </w:pPr>
      <w:bookmarkStart w:id="29" w:name="_Toc428257992"/>
      <w:bookmarkStart w:id="30" w:name="_Ref432606800"/>
      <w:bookmarkStart w:id="31" w:name="_Ref435430820"/>
      <w:bookmarkStart w:id="32" w:name="_Toc451529410"/>
      <w:r>
        <w:t xml:space="preserve">Standard asset </w:t>
      </w:r>
      <w:bookmarkEnd w:id="29"/>
      <w:bookmarkEnd w:id="30"/>
      <w:bookmarkEnd w:id="31"/>
      <w:r w:rsidR="0083451B">
        <w:t>lives</w:t>
      </w:r>
      <w:bookmarkEnd w:id="32"/>
    </w:p>
    <w:p w:rsidR="00D1561D" w:rsidRPr="009D7438" w:rsidRDefault="00C77A9F" w:rsidP="00D1561D">
      <w:pPr>
        <w:rPr>
          <w:rStyle w:val="AERbody"/>
        </w:rPr>
      </w:pPr>
      <w:r>
        <w:rPr>
          <w:rStyle w:val="AERbody"/>
        </w:rPr>
        <w:t xml:space="preserve">In accordance </w:t>
      </w:r>
      <w:r w:rsidR="0083451B">
        <w:rPr>
          <w:rStyle w:val="AERbody"/>
        </w:rPr>
        <w:t>with our draft decision, w</w:t>
      </w:r>
      <w:r w:rsidR="00D1561D" w:rsidRPr="009D7438">
        <w:rPr>
          <w:rStyle w:val="AERbody"/>
        </w:rPr>
        <w:t xml:space="preserve">e accept </w:t>
      </w:r>
      <w:r w:rsidR="00D1561D">
        <w:t>APTNT</w:t>
      </w:r>
      <w:r w:rsidR="00D1561D">
        <w:rPr>
          <w:rStyle w:val="AERbody"/>
        </w:rPr>
        <w:t>’</w:t>
      </w:r>
      <w:r w:rsidR="00D1561D" w:rsidRPr="009D7438">
        <w:rPr>
          <w:rStyle w:val="AERbody"/>
        </w:rPr>
        <w:t>s</w:t>
      </w:r>
      <w:r w:rsidR="00A92B5F">
        <w:rPr>
          <w:rStyle w:val="AERbody"/>
        </w:rPr>
        <w:t xml:space="preserve"> revised</w:t>
      </w:r>
      <w:r w:rsidR="00D1561D" w:rsidRPr="009D7438">
        <w:rPr>
          <w:rStyle w:val="AERbody"/>
        </w:rPr>
        <w:t xml:space="preserve"> proposed standard asset lives for its existing asset classes, because they are:</w:t>
      </w:r>
    </w:p>
    <w:p w:rsidR="00D1561D" w:rsidRPr="009D7438" w:rsidRDefault="00D1561D" w:rsidP="00D1561D">
      <w:pPr>
        <w:pStyle w:val="AERbulletlistfirststyle"/>
      </w:pPr>
      <w:r w:rsidRPr="009D7438">
        <w:t>consistent with our approved s</w:t>
      </w:r>
      <w:r>
        <w:t>tandard asset lives for the 2011–16</w:t>
      </w:r>
      <w:r w:rsidRPr="009D7438">
        <w:t xml:space="preserve"> </w:t>
      </w:r>
      <w:r>
        <w:t>access arrangement period</w:t>
      </w:r>
    </w:p>
    <w:p w:rsidR="00D1561D" w:rsidRPr="009D7438" w:rsidRDefault="00D1561D" w:rsidP="00D1561D">
      <w:pPr>
        <w:pStyle w:val="AERbulletlistfirststyle"/>
      </w:pPr>
      <w:proofErr w:type="gramStart"/>
      <w:r w:rsidRPr="009D7438">
        <w:t>comparable</w:t>
      </w:r>
      <w:proofErr w:type="gramEnd"/>
      <w:r w:rsidRPr="009D7438">
        <w:t xml:space="preserve"> with the standard asset lives approved in our recent determinations for other gas </w:t>
      </w:r>
      <w:r>
        <w:t xml:space="preserve">transmission </w:t>
      </w:r>
      <w:r w:rsidRPr="009D7438">
        <w:t>service providers.</w:t>
      </w:r>
      <w:r w:rsidRPr="00D1561D">
        <w:rPr>
          <w:rStyle w:val="FootnoteReference"/>
        </w:rPr>
        <w:footnoteReference w:id="6"/>
      </w:r>
      <w:r w:rsidRPr="009D7438">
        <w:t xml:space="preserve"> </w:t>
      </w:r>
    </w:p>
    <w:p w:rsidR="004F4CA6" w:rsidRDefault="004F4CA6" w:rsidP="004F4CA6">
      <w:r w:rsidRPr="004F4CA6">
        <w:t>In our draft decision we created a 'Land and easement' asset class for APTNT's forecast land capex in the 2016–21 access arrangement period</w:t>
      </w:r>
      <w:r>
        <w:t>,</w:t>
      </w:r>
      <w:r w:rsidRPr="004F4CA6">
        <w:t xml:space="preserve"> which was not assigned a standard asset life as land assets do not depreciate. APTNT's revised proposal adopted </w:t>
      </w:r>
      <w:r>
        <w:t xml:space="preserve">our draft decision for </w:t>
      </w:r>
      <w:r w:rsidRPr="004F4CA6">
        <w:t>this new asset class.</w:t>
      </w:r>
      <w:r>
        <w:rPr>
          <w:rStyle w:val="FootnoteReference"/>
        </w:rPr>
        <w:footnoteReference w:id="7"/>
      </w:r>
    </w:p>
    <w:p w:rsidR="00D1561D" w:rsidRDefault="00D1561D" w:rsidP="00D1561D">
      <w:r>
        <w:t>W</w:t>
      </w:r>
      <w:r w:rsidRPr="00F909C7">
        <w:t xml:space="preserve">e are satisfied the </w:t>
      </w:r>
      <w:r w:rsidR="004F4CA6">
        <w:t xml:space="preserve">revised </w:t>
      </w:r>
      <w:r w:rsidRPr="00F909C7">
        <w:t xml:space="preserve">proposed standard </w:t>
      </w:r>
      <w:r>
        <w:t>asset</w:t>
      </w:r>
      <w:r w:rsidRPr="00F909C7">
        <w:t xml:space="preserve"> lives reflect </w:t>
      </w:r>
      <w:r>
        <w:t xml:space="preserve">the requirements of rule 89(1) of the </w:t>
      </w:r>
      <w:r w:rsidRPr="00F909C7">
        <w:t>NGR</w:t>
      </w:r>
      <w:r>
        <w:t xml:space="preserve">. </w:t>
      </w:r>
    </w:p>
    <w:p w:rsidR="00D1561D" w:rsidRDefault="00D1561D" w:rsidP="00D1561D">
      <w:r w:rsidRPr="00350754">
        <w:fldChar w:fldCharType="begin"/>
      </w:r>
      <w:r w:rsidRPr="00350754">
        <w:instrText xml:space="preserve"> REF _Ref398283146 \h </w:instrText>
      </w:r>
      <w:r>
        <w:instrText xml:space="preserve"> \* MERGEFORMAT </w:instrText>
      </w:r>
      <w:r w:rsidRPr="00350754">
        <w:fldChar w:fldCharType="separate"/>
      </w:r>
      <w:r w:rsidR="007A270E">
        <w:t xml:space="preserve">Table 5.3 </w:t>
      </w:r>
      <w:r w:rsidRPr="00350754">
        <w:fldChar w:fldCharType="end"/>
      </w:r>
      <w:r>
        <w:t xml:space="preserve"> </w:t>
      </w:r>
      <w:r w:rsidRPr="00350754">
        <w:t xml:space="preserve">sets out our </w:t>
      </w:r>
      <w:r w:rsidR="00A92B5F">
        <w:t>final</w:t>
      </w:r>
      <w:r w:rsidRPr="00350754">
        <w:t xml:space="preserve"> decision on the standard </w:t>
      </w:r>
      <w:r>
        <w:t>asset lives</w:t>
      </w:r>
      <w:r w:rsidRPr="00350754">
        <w:rPr>
          <w:rStyle w:val="AERbody"/>
        </w:rPr>
        <w:t xml:space="preserve"> for </w:t>
      </w:r>
      <w:r>
        <w:t xml:space="preserve">APTNT </w:t>
      </w:r>
      <w:r>
        <w:rPr>
          <w:rStyle w:val="AERbody"/>
        </w:rPr>
        <w:t xml:space="preserve">over the 2016–21 access arrangement </w:t>
      </w:r>
      <w:proofErr w:type="gramStart"/>
      <w:r>
        <w:rPr>
          <w:rStyle w:val="AERbody"/>
        </w:rPr>
        <w:t>period</w:t>
      </w:r>
      <w:proofErr w:type="gramEnd"/>
      <w:r w:rsidRPr="00350754">
        <w:t>.</w:t>
      </w:r>
      <w:r>
        <w:t xml:space="preserve"> </w:t>
      </w:r>
    </w:p>
    <w:p w:rsidR="00D1561D" w:rsidRDefault="00D1561D" w:rsidP="0015067D">
      <w:pPr>
        <w:pStyle w:val="Heading3"/>
      </w:pPr>
      <w:bookmarkStart w:id="34" w:name="_Toc403391033"/>
      <w:bookmarkStart w:id="35" w:name="_Toc403391402"/>
      <w:bookmarkStart w:id="36" w:name="_Toc404353001"/>
      <w:bookmarkStart w:id="37" w:name="_Toc428257993"/>
      <w:bookmarkStart w:id="38" w:name="_Ref435430734"/>
      <w:bookmarkStart w:id="39" w:name="_Ref435430756"/>
      <w:bookmarkStart w:id="40" w:name="_Ref435430826"/>
      <w:bookmarkStart w:id="41" w:name="_Ref435617051"/>
      <w:bookmarkStart w:id="42" w:name="_Toc451529411"/>
      <w:r w:rsidRPr="009D5ECB">
        <w:t xml:space="preserve">Remaining </w:t>
      </w:r>
      <w:r>
        <w:t>asset</w:t>
      </w:r>
      <w:r w:rsidRPr="009D5ECB">
        <w:t xml:space="preserve"> lives</w:t>
      </w:r>
      <w:bookmarkEnd w:id="34"/>
      <w:bookmarkEnd w:id="35"/>
      <w:bookmarkEnd w:id="36"/>
      <w:bookmarkEnd w:id="37"/>
      <w:bookmarkEnd w:id="38"/>
      <w:bookmarkEnd w:id="39"/>
      <w:bookmarkEnd w:id="40"/>
      <w:bookmarkEnd w:id="41"/>
      <w:bookmarkEnd w:id="42"/>
    </w:p>
    <w:p w:rsidR="0024222B" w:rsidRDefault="00C73194" w:rsidP="00D1561D">
      <w:r>
        <w:t>Consistent with our draft decision, w</w:t>
      </w:r>
      <w:r w:rsidR="00D1561D" w:rsidRPr="006733E6">
        <w:t xml:space="preserve">e </w:t>
      </w:r>
      <w:r w:rsidR="00D1561D">
        <w:t>accept APTNT’s</w:t>
      </w:r>
      <w:r w:rsidR="00A92B5F">
        <w:t xml:space="preserve"> </w:t>
      </w:r>
      <w:r w:rsidR="00D1561D">
        <w:t xml:space="preserve">proposed weighted average method to calculate </w:t>
      </w:r>
      <w:r w:rsidR="00D1561D" w:rsidRPr="006733E6">
        <w:t xml:space="preserve">the remaining </w:t>
      </w:r>
      <w:r w:rsidR="00D1561D">
        <w:t xml:space="preserve">asset </w:t>
      </w:r>
      <w:r w:rsidR="00D1561D" w:rsidRPr="006733E6">
        <w:t xml:space="preserve">lives </w:t>
      </w:r>
      <w:r w:rsidR="00D1561D">
        <w:t>as at 1 July 2016</w:t>
      </w:r>
      <w:r w:rsidR="00D1561D" w:rsidRPr="006733E6">
        <w:t>.</w:t>
      </w:r>
      <w:r w:rsidR="00D1561D">
        <w:t xml:space="preserve"> The </w:t>
      </w:r>
      <w:r w:rsidR="00A92B5F">
        <w:t xml:space="preserve">revised </w:t>
      </w:r>
      <w:r w:rsidR="00D1561D">
        <w:t xml:space="preserve">proposed method is consistent with our preferred approach as discussed in </w:t>
      </w:r>
      <w:r>
        <w:t>attachment 5</w:t>
      </w:r>
      <w:r w:rsidR="004A3BEE">
        <w:t xml:space="preserve"> of our draft decision</w:t>
      </w:r>
      <w:r w:rsidR="00880CC5">
        <w:t xml:space="preserve">. </w:t>
      </w:r>
      <w:r w:rsidR="00D21AB6" w:rsidRPr="00D21AB6">
        <w:t>In accepting the weighted average method, we have updated APTNT's revised proposed remaining asset lives as at 1 July 2016 to reflect changes to the opening capital base arising from our decision on 2015–16 conforming capex and CPI.</w:t>
      </w:r>
    </w:p>
    <w:p w:rsidR="00C73194" w:rsidRDefault="00C73194" w:rsidP="00C73194">
      <w:pPr>
        <w:rPr>
          <w:rStyle w:val="AERbody"/>
        </w:rPr>
      </w:pPr>
      <w:r>
        <w:rPr>
          <w:rStyle w:val="AERbody"/>
        </w:rPr>
        <w:t>In our draft decision, we updated the average remaining asset lives for each asset class because we corrected several inputs used in APTNT's calculation. APTNT's revised proposal adopted our draft decision input corrections and updated the average remaining asset lives accordingly.</w:t>
      </w:r>
    </w:p>
    <w:p w:rsidR="0024222B" w:rsidRDefault="00C73194" w:rsidP="00D1561D">
      <w:r>
        <w:t>W</w:t>
      </w:r>
      <w:r w:rsidR="0024222B" w:rsidRPr="0024222B">
        <w:t xml:space="preserve">e noted </w:t>
      </w:r>
      <w:r>
        <w:t xml:space="preserve">in our draft decision </w:t>
      </w:r>
      <w:r w:rsidR="0024222B" w:rsidRPr="0024222B">
        <w:t xml:space="preserve">that the remaining asset lives would be updated </w:t>
      </w:r>
      <w:r w:rsidR="0024222B">
        <w:t>for the final decision because APTNT</w:t>
      </w:r>
      <w:r w:rsidR="0024222B" w:rsidRPr="0024222B">
        <w:t xml:space="preserve">'s revised proposal </w:t>
      </w:r>
      <w:r>
        <w:t>may</w:t>
      </w:r>
      <w:r w:rsidRPr="0024222B">
        <w:t xml:space="preserve"> </w:t>
      </w:r>
      <w:r w:rsidR="0024222B" w:rsidRPr="0024222B">
        <w:t>include revisions for 201</w:t>
      </w:r>
      <w:r w:rsidR="0024222B">
        <w:t>5</w:t>
      </w:r>
      <w:r w:rsidR="0024222B" w:rsidRPr="0024222B">
        <w:t>–1</w:t>
      </w:r>
      <w:r w:rsidR="0024222B">
        <w:t>6</w:t>
      </w:r>
      <w:r w:rsidR="0024222B" w:rsidRPr="0024222B">
        <w:t xml:space="preserve"> estimated capex. This is because the capex </w:t>
      </w:r>
      <w:r w:rsidR="007A57A4">
        <w:t>estimate is</w:t>
      </w:r>
      <w:r w:rsidR="0024222B" w:rsidRPr="0024222B">
        <w:t xml:space="preserve"> used to calculate the closing capital base as at 30 June 201</w:t>
      </w:r>
      <w:r w:rsidR="0024222B">
        <w:t>6</w:t>
      </w:r>
      <w:r w:rsidR="0024222B" w:rsidRPr="0024222B">
        <w:t xml:space="preserve">, which affects the calculation of remaining asset lives under </w:t>
      </w:r>
      <w:r w:rsidR="007A57A4">
        <w:t>the weighted average method</w:t>
      </w:r>
      <w:r w:rsidR="0024222B" w:rsidRPr="0024222B">
        <w:t xml:space="preserve">. </w:t>
      </w:r>
      <w:r w:rsidR="007A57A4">
        <w:t xml:space="preserve">As discussed in attachment 6, we have </w:t>
      </w:r>
      <w:r w:rsidR="00E25064">
        <w:t xml:space="preserve">not </w:t>
      </w:r>
      <w:r w:rsidR="007A57A4">
        <w:t>accepted the revised</w:t>
      </w:r>
      <w:r w:rsidR="00E25064">
        <w:t xml:space="preserve"> proposed</w:t>
      </w:r>
      <w:r w:rsidR="007A57A4">
        <w:t xml:space="preserve"> 2015–16 capex estimate. </w:t>
      </w:r>
      <w:r w:rsidR="0024222B" w:rsidRPr="0024222B">
        <w:t>We</w:t>
      </w:r>
      <w:r w:rsidR="00E25064">
        <w:t xml:space="preserve"> have </w:t>
      </w:r>
      <w:r w:rsidR="007A57A4">
        <w:t xml:space="preserve">therefore </w:t>
      </w:r>
      <w:r w:rsidR="00E25064">
        <w:t xml:space="preserve">updated the remaining asset lives to reflect this decision. </w:t>
      </w:r>
    </w:p>
    <w:p w:rsidR="00D1561D" w:rsidRDefault="00D1561D" w:rsidP="00D1561D">
      <w:r w:rsidRPr="00350754">
        <w:fldChar w:fldCharType="begin"/>
      </w:r>
      <w:r w:rsidRPr="00350754">
        <w:instrText xml:space="preserve"> REF _Ref398283146 \h </w:instrText>
      </w:r>
      <w:r>
        <w:instrText xml:space="preserve"> \* MERGEFORMAT </w:instrText>
      </w:r>
      <w:r w:rsidRPr="00350754">
        <w:fldChar w:fldCharType="separate"/>
      </w:r>
      <w:r w:rsidR="007A270E">
        <w:t xml:space="preserve">Table 5.3 </w:t>
      </w:r>
      <w:r w:rsidRPr="00350754">
        <w:fldChar w:fldCharType="end"/>
      </w:r>
      <w:r w:rsidRPr="00350754">
        <w:t xml:space="preserve">sets out our </w:t>
      </w:r>
      <w:r w:rsidR="00572E69">
        <w:t xml:space="preserve">final </w:t>
      </w:r>
      <w:r w:rsidRPr="00350754">
        <w:t xml:space="preserve">decision on the remaining </w:t>
      </w:r>
      <w:r>
        <w:t>asset</w:t>
      </w:r>
      <w:r w:rsidRPr="00350754">
        <w:t xml:space="preserve"> lives </w:t>
      </w:r>
      <w:r w:rsidRPr="00350754">
        <w:rPr>
          <w:rStyle w:val="AERbody"/>
        </w:rPr>
        <w:t xml:space="preserve">as at </w:t>
      </w:r>
      <w:r>
        <w:rPr>
          <w:rStyle w:val="AERbody"/>
        </w:rPr>
        <w:t>1 July 2016</w:t>
      </w:r>
      <w:r w:rsidRPr="00350754">
        <w:rPr>
          <w:rStyle w:val="AERbody"/>
        </w:rPr>
        <w:t xml:space="preserve"> for </w:t>
      </w:r>
      <w:r>
        <w:t>APTNT</w:t>
      </w:r>
      <w:r w:rsidRPr="00350754">
        <w:t>.</w:t>
      </w:r>
    </w:p>
    <w:p w:rsidR="00D1561D" w:rsidRPr="00546678" w:rsidRDefault="00D1561D" w:rsidP="00FB36BA"/>
    <w:sectPr w:rsidR="00D1561D" w:rsidRPr="00546678" w:rsidSect="00B757A6">
      <w:headerReference w:type="even" r:id="rId12"/>
      <w:footerReference w:type="even" r:id="rId13"/>
      <w:footerReference w:type="default" r:id="rId14"/>
      <w:headerReference w:type="first" r:id="rId15"/>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C7" w:rsidRPr="00290C63" w:rsidRDefault="00E27FC7" w:rsidP="00290C63">
      <w:r>
        <w:separator/>
      </w:r>
    </w:p>
    <w:p w:rsidR="00E27FC7" w:rsidRDefault="00E27FC7"/>
  </w:endnote>
  <w:endnote w:type="continuationSeparator" w:id="0">
    <w:p w:rsidR="00E27FC7" w:rsidRPr="00290C63" w:rsidRDefault="00E27FC7" w:rsidP="00290C63">
      <w:r>
        <w:continuationSeparator/>
      </w:r>
    </w:p>
    <w:p w:rsidR="00E27FC7" w:rsidRDefault="00E27F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altName w:val="Calibri"/>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C7" w:rsidRDefault="00E27FC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E27FC7" w:rsidRDefault="00E27FC7">
    <w:pPr>
      <w:pStyle w:val="Footer"/>
    </w:pPr>
  </w:p>
  <w:p w:rsidR="00E27FC7" w:rsidRDefault="00E27FC7">
    <w:pPr>
      <w:pStyle w:val="Footer"/>
    </w:pPr>
    <w:r>
      <w:fldChar w:fldCharType="begin"/>
    </w:r>
    <w:r>
      <w:instrText xml:space="preserve"> DOCPROPERTY DocumentID \* MERGEFORMAT </w:instrText>
    </w:r>
    <w:r>
      <w:fldChar w:fldCharType="separate"/>
    </w:r>
    <w:r w:rsidR="007A270E">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E27FC7" w:rsidRPr="00CA52A2" w:rsidRDefault="00E27FC7" w:rsidP="00CA52A2">
        <w:pPr>
          <w:pStyle w:val="Footer"/>
        </w:pPr>
        <w:r w:rsidRPr="00CA52A2">
          <w:fldChar w:fldCharType="begin"/>
        </w:r>
        <w:r>
          <w:instrText xml:space="preserve"> PAGE   \* MERGEFORMAT </w:instrText>
        </w:r>
        <w:r w:rsidRPr="00CA52A2">
          <w:fldChar w:fldCharType="separate"/>
        </w:r>
        <w:r w:rsidR="00CE5DE8">
          <w:rPr>
            <w:noProof/>
          </w:rPr>
          <w:t>5-10</w:t>
        </w:r>
        <w:r w:rsidRPr="00CA52A2">
          <w:fldChar w:fldCharType="end"/>
        </w:r>
        <w:r w:rsidRPr="00CA52A2">
          <w:t xml:space="preserve">          Attachment </w:t>
        </w:r>
        <w:r>
          <w:t xml:space="preserve">5 </w:t>
        </w:r>
        <w:r w:rsidRPr="00CA52A2">
          <w:t xml:space="preserve">– </w:t>
        </w:r>
        <w:r>
          <w:t xml:space="preserve">Regulatory depreciation </w:t>
        </w:r>
        <w:r w:rsidRPr="00CA52A2">
          <w:t xml:space="preserve">| </w:t>
        </w:r>
        <w:r>
          <w:t>Final decision: Amadeus Gas Pipeline Access Arrangement 2016</w:t>
        </w:r>
        <w:r w:rsidRPr="00CA52A2">
          <w:t>–</w:t>
        </w:r>
        <w:r>
          <w:t>21</w:t>
        </w:r>
      </w:p>
    </w:sdtContent>
  </w:sdt>
  <w:p w:rsidR="00E27FC7" w:rsidRDefault="00E27FC7">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C7" w:rsidRPr="00290C63" w:rsidRDefault="00E27FC7" w:rsidP="00290C63">
      <w:r>
        <w:separator/>
      </w:r>
    </w:p>
    <w:p w:rsidR="00E27FC7" w:rsidRDefault="00E27FC7"/>
  </w:footnote>
  <w:footnote w:type="continuationSeparator" w:id="0">
    <w:p w:rsidR="00E27FC7" w:rsidRPr="00290C63" w:rsidRDefault="00E27FC7" w:rsidP="00290C63">
      <w:r>
        <w:continuationSeparator/>
      </w:r>
    </w:p>
    <w:p w:rsidR="00E27FC7" w:rsidRDefault="00E27FC7"/>
  </w:footnote>
  <w:footnote w:id="1">
    <w:p w:rsidR="00E27FC7" w:rsidRDefault="00E27FC7" w:rsidP="00D1561D">
      <w:pPr>
        <w:pStyle w:val="FootnoteText"/>
      </w:pPr>
      <w:r>
        <w:rPr>
          <w:rStyle w:val="FootnoteReference"/>
        </w:rPr>
        <w:footnoteRef/>
      </w:r>
      <w:r>
        <w:t xml:space="preserve"> </w:t>
      </w:r>
      <w:r>
        <w:tab/>
      </w:r>
      <w:proofErr w:type="gramStart"/>
      <w:r>
        <w:t>NGR, r. 76(b).</w:t>
      </w:r>
      <w:proofErr w:type="gramEnd"/>
    </w:p>
  </w:footnote>
  <w:footnote w:id="2">
    <w:p w:rsidR="00E27FC7" w:rsidRDefault="00E27FC7" w:rsidP="00D1561D">
      <w:pPr>
        <w:pStyle w:val="FootnoteText"/>
      </w:pPr>
      <w:r>
        <w:rPr>
          <w:rStyle w:val="FootnoteReference"/>
        </w:rPr>
        <w:footnoteRef/>
      </w:r>
      <w:r>
        <w:t xml:space="preserve"> </w:t>
      </w:r>
      <w:r>
        <w:tab/>
        <w:t>Regulatory depreciation allowance is the net total</w:t>
      </w:r>
      <w:r w:rsidRPr="003A447F">
        <w:t xml:space="preserve"> of the straight-line depreciation (negative) and the annual inflation indexation (positive) on the projected capital base</w:t>
      </w:r>
      <w:r>
        <w:t>.</w:t>
      </w:r>
    </w:p>
  </w:footnote>
  <w:footnote w:id="3">
    <w:p w:rsidR="00E27FC7" w:rsidRDefault="00E27FC7" w:rsidP="00D1561D">
      <w:pPr>
        <w:pStyle w:val="FootnoteText"/>
      </w:pPr>
      <w:r>
        <w:rPr>
          <w:rStyle w:val="FootnoteReference"/>
        </w:rPr>
        <w:footnoteRef/>
      </w:r>
      <w:r>
        <w:t xml:space="preserve"> </w:t>
      </w:r>
      <w:r>
        <w:tab/>
        <w:t>The term ‘standard asset life’ is also referred to as ‘</w:t>
      </w:r>
      <w:r w:rsidRPr="003B3083">
        <w:t xml:space="preserve">standard </w:t>
      </w:r>
      <w:r>
        <w:t xml:space="preserve">economic </w:t>
      </w:r>
      <w:r w:rsidRPr="003B3083">
        <w:t>life</w:t>
      </w:r>
      <w:r>
        <w:t>’, ‘asset life’, ‘economic asset life’ or (in APTNT’s proposal) ‘economic life’.</w:t>
      </w:r>
    </w:p>
  </w:footnote>
  <w:footnote w:id="4">
    <w:p w:rsidR="00E27FC7" w:rsidRDefault="00E27FC7" w:rsidP="00D1561D">
      <w:pPr>
        <w:pStyle w:val="FootnoteText"/>
      </w:pPr>
      <w:r>
        <w:rPr>
          <w:rStyle w:val="FootnoteReference"/>
        </w:rPr>
        <w:footnoteRef/>
      </w:r>
      <w:r>
        <w:t xml:space="preserve"> </w:t>
      </w:r>
      <w:r>
        <w:tab/>
      </w:r>
      <w:proofErr w:type="gramStart"/>
      <w:r>
        <w:t>The term ‘remaining asset life’ is also referred to as ‘remaining economic life’ or (in APTNT’s proposal) ‘remaining life’.</w:t>
      </w:r>
      <w:proofErr w:type="gramEnd"/>
      <w:r>
        <w:t xml:space="preserve"> </w:t>
      </w:r>
    </w:p>
  </w:footnote>
  <w:footnote w:id="5">
    <w:p w:rsidR="00FF02AC" w:rsidRDefault="00FF02AC" w:rsidP="00FF02AC">
      <w:pPr>
        <w:pStyle w:val="FootnoteText"/>
      </w:pPr>
      <w:r>
        <w:rPr>
          <w:rStyle w:val="FootnoteReference"/>
        </w:rPr>
        <w:footnoteRef/>
      </w:r>
      <w:r>
        <w:t xml:space="preserve"> </w:t>
      </w:r>
      <w:r>
        <w:tab/>
        <w:t xml:space="preserve">NGR, </w:t>
      </w:r>
      <w:proofErr w:type="spellStart"/>
      <w:proofErr w:type="gramStart"/>
      <w:r>
        <w:t>rr</w:t>
      </w:r>
      <w:proofErr w:type="spellEnd"/>
      <w:proofErr w:type="gramEnd"/>
      <w:r>
        <w:t xml:space="preserve">. </w:t>
      </w:r>
      <w:proofErr w:type="gramStart"/>
      <w:r>
        <w:t>88–90.</w:t>
      </w:r>
      <w:proofErr w:type="gramEnd"/>
    </w:p>
  </w:footnote>
  <w:footnote w:id="6">
    <w:p w:rsidR="00E27FC7" w:rsidRPr="004B0A50" w:rsidRDefault="00E27FC7" w:rsidP="00D1561D">
      <w:pPr>
        <w:pStyle w:val="FootnoteText"/>
        <w:rPr>
          <w:rFonts w:eastAsia="Calibri"/>
          <w:i/>
        </w:rPr>
      </w:pPr>
      <w:r>
        <w:rPr>
          <w:rStyle w:val="FootnoteReference"/>
        </w:rPr>
        <w:footnoteRef/>
      </w:r>
      <w:r>
        <w:t xml:space="preserve"> </w:t>
      </w:r>
      <w:r>
        <w:tab/>
        <w:t xml:space="preserve">For example, </w:t>
      </w:r>
      <w:r>
        <w:rPr>
          <w:rFonts w:eastAsia="Calibri"/>
        </w:rPr>
        <w:t>AER</w:t>
      </w:r>
      <w:r>
        <w:rPr>
          <w:rStyle w:val="AERtextitalic"/>
          <w:rFonts w:eastAsia="Calibri"/>
        </w:rPr>
        <w:t xml:space="preserve">: APT Petroleum </w:t>
      </w:r>
      <w:r w:rsidR="008A1207">
        <w:rPr>
          <w:rStyle w:val="AERtextitalic"/>
          <w:rFonts w:eastAsia="Calibri"/>
        </w:rPr>
        <w:t>P</w:t>
      </w:r>
      <w:r>
        <w:rPr>
          <w:rStyle w:val="AERtextitalic"/>
          <w:rFonts w:eastAsia="Calibri"/>
        </w:rPr>
        <w:t xml:space="preserve">ipeline Pty Ltd access arrangement final decision Roma to Brisbane pipeline, </w:t>
      </w:r>
      <w:r w:rsidRPr="00656176">
        <w:rPr>
          <w:rStyle w:val="AERtextitalic"/>
          <w:rFonts w:eastAsia="Calibri"/>
          <w:i w:val="0"/>
        </w:rPr>
        <w:t>August 2012</w:t>
      </w:r>
      <w:r>
        <w:rPr>
          <w:rStyle w:val="AERtextitalic"/>
          <w:rFonts w:eastAsia="Calibri"/>
          <w:i w:val="0"/>
        </w:rPr>
        <w:t>, p.117</w:t>
      </w:r>
      <w:r w:rsidRPr="00656176">
        <w:rPr>
          <w:rStyle w:val="AERtextitalic"/>
          <w:rFonts w:eastAsia="Calibri"/>
          <w:i w:val="0"/>
        </w:rPr>
        <w:t>;</w:t>
      </w:r>
      <w:r>
        <w:rPr>
          <w:rStyle w:val="AERtextitalic"/>
          <w:rFonts w:eastAsia="Calibri"/>
        </w:rPr>
        <w:t xml:space="preserve"> AER: Access arrangement final decision APA </w:t>
      </w:r>
      <w:proofErr w:type="spellStart"/>
      <w:r>
        <w:rPr>
          <w:rStyle w:val="AERtextitalic"/>
          <w:rFonts w:eastAsia="Calibri"/>
        </w:rPr>
        <w:t>GasNet</w:t>
      </w:r>
      <w:proofErr w:type="spellEnd"/>
      <w:r>
        <w:rPr>
          <w:rStyle w:val="AERtextitalic"/>
          <w:rFonts w:eastAsia="Calibri"/>
        </w:rPr>
        <w:t xml:space="preserve"> Australia (Operations) Pty Ltd 2013–17 Part 2: Attachments, </w:t>
      </w:r>
      <w:r w:rsidRPr="004B0A50">
        <w:rPr>
          <w:rStyle w:val="AERtextitalic"/>
          <w:rFonts w:eastAsia="Calibri"/>
          <w:i w:val="0"/>
        </w:rPr>
        <w:t>March 2013</w:t>
      </w:r>
      <w:r>
        <w:rPr>
          <w:rStyle w:val="AERtextitalic"/>
          <w:rFonts w:eastAsia="Calibri"/>
          <w:i w:val="0"/>
        </w:rPr>
        <w:t>, p.101</w:t>
      </w:r>
      <w:r w:rsidRPr="004B0A50">
        <w:rPr>
          <w:rStyle w:val="AERtextitalic"/>
          <w:rFonts w:eastAsia="Calibri"/>
          <w:i w:val="0"/>
        </w:rPr>
        <w:t>.</w:t>
      </w:r>
    </w:p>
  </w:footnote>
  <w:footnote w:id="7">
    <w:p w:rsidR="00E27FC7" w:rsidRDefault="00E27FC7">
      <w:pPr>
        <w:pStyle w:val="FootnoteText"/>
      </w:pPr>
      <w:r>
        <w:rPr>
          <w:rStyle w:val="FootnoteReference"/>
        </w:rPr>
        <w:footnoteRef/>
      </w:r>
      <w:r>
        <w:t xml:space="preserve"> </w:t>
      </w:r>
      <w:r>
        <w:tab/>
        <w:t>APTNT,</w:t>
      </w:r>
      <w:r w:rsidR="00B83D1D" w:rsidRPr="00B83D1D">
        <w:t xml:space="preserve"> </w:t>
      </w:r>
      <w:r w:rsidR="009B113A" w:rsidRPr="003D0E6B">
        <w:rPr>
          <w:rStyle w:val="AERtextitalic"/>
        </w:rPr>
        <w:t>Amadeus Gas Pipeline Access Arrangement Revised Proposal -</w:t>
      </w:r>
      <w:r w:rsidR="009B113A">
        <w:t xml:space="preserve"> </w:t>
      </w:r>
      <w:r w:rsidR="00B83D1D" w:rsidRPr="00B83D1D">
        <w:rPr>
          <w:rStyle w:val="AERtextitalic"/>
        </w:rPr>
        <w:t>Access Arrangement Information,</w:t>
      </w:r>
      <w:r w:rsidR="00B83D1D" w:rsidRPr="00B83D1D">
        <w:t xml:space="preserve"> January 2016</w:t>
      </w:r>
      <w:bookmarkStart w:id="33" w:name="_GoBack"/>
      <w:bookmarkEnd w:id="33"/>
      <w:r w:rsidR="00B83D1D">
        <w:t>, p.</w:t>
      </w:r>
      <w:r w:rsidR="008A1207">
        <w:t xml:space="preserve"> </w:t>
      </w:r>
      <w:r w:rsidR="00B83D1D">
        <w:t>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C7" w:rsidRDefault="00870C9C">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E27FC7">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FC7" w:rsidRDefault="00870C9C">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3">
    <w:nsid w:val="5ECE4384"/>
    <w:multiLevelType w:val="multilevel"/>
    <w:tmpl w:val="A032232E"/>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432"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5">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AERbulletlistfirststyle"/>
      <w:lvlText w:val=""/>
      <w:lvlJc w:val="left"/>
      <w:pPr>
        <w:ind w:left="644"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7"/>
  </w:num>
  <w:num w:numId="14">
    <w:abstractNumId w:val="10"/>
  </w:num>
  <w:num w:numId="15">
    <w:abstractNumId w:val="12"/>
  </w:num>
  <w:num w:numId="16">
    <w:abstractNumId w:val="18"/>
  </w:num>
  <w:num w:numId="17">
    <w:abstractNumId w:val="9"/>
  </w:num>
  <w:num w:numId="18">
    <w:abstractNumId w:val="14"/>
  </w:num>
  <w:num w:numId="19">
    <w:abstractNumId w:val="19"/>
  </w:num>
  <w:num w:numId="20">
    <w:abstractNumId w:val="25"/>
  </w:num>
  <w:num w:numId="21">
    <w:abstractNumId w:val="22"/>
  </w:num>
  <w:num w:numId="22">
    <w:abstractNumId w:val="20"/>
  </w:num>
  <w:num w:numId="23">
    <w:abstractNumId w:val="15"/>
  </w:num>
  <w:num w:numId="24">
    <w:abstractNumId w:val="21"/>
  </w:num>
  <w:num w:numId="25">
    <w:abstractNumId w:val="23"/>
  </w:num>
  <w:num w:numId="26">
    <w:abstractNumId w:val="16"/>
  </w:num>
  <w:num w:numId="27">
    <w:abstractNumId w:val="13"/>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WmTsfhB0cpMWDEmijrx4ucsJ7KfJfmOFr1W/FZlaSQk=" w:saltValue="KK/Q3DzE0VlI+MwsQud6gw==" w:algorithmName="SHA-256"/>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5424\AER15 4327  AER - Final decision Amadeus Gas Pipeline Access Arrangement - Attachment 6 - Capital expenditure - April 2016.DOCX"/>
  </w:docVars>
  <w:rsids>
    <w:rsidRoot w:val="00961A4A"/>
    <w:rsid w:val="00004633"/>
    <w:rsid w:val="00010286"/>
    <w:rsid w:val="00021202"/>
    <w:rsid w:val="00021C2B"/>
    <w:rsid w:val="0002517F"/>
    <w:rsid w:val="00026495"/>
    <w:rsid w:val="0003578C"/>
    <w:rsid w:val="000401AF"/>
    <w:rsid w:val="00041DDA"/>
    <w:rsid w:val="00063247"/>
    <w:rsid w:val="00063A92"/>
    <w:rsid w:val="00070D5E"/>
    <w:rsid w:val="00070F9F"/>
    <w:rsid w:val="0007137B"/>
    <w:rsid w:val="00085663"/>
    <w:rsid w:val="00085EBF"/>
    <w:rsid w:val="00085F93"/>
    <w:rsid w:val="00091B15"/>
    <w:rsid w:val="000A1210"/>
    <w:rsid w:val="000A1E7C"/>
    <w:rsid w:val="000A1EED"/>
    <w:rsid w:val="000A3020"/>
    <w:rsid w:val="000A6C7B"/>
    <w:rsid w:val="000B0360"/>
    <w:rsid w:val="000C2B40"/>
    <w:rsid w:val="000D01F4"/>
    <w:rsid w:val="000D06C1"/>
    <w:rsid w:val="000D122C"/>
    <w:rsid w:val="000D14D0"/>
    <w:rsid w:val="000D3016"/>
    <w:rsid w:val="000D64F2"/>
    <w:rsid w:val="000D7F32"/>
    <w:rsid w:val="000E1819"/>
    <w:rsid w:val="000E4821"/>
    <w:rsid w:val="000E6C72"/>
    <w:rsid w:val="000F0B2B"/>
    <w:rsid w:val="000F3E72"/>
    <w:rsid w:val="000F48B1"/>
    <w:rsid w:val="000F52F5"/>
    <w:rsid w:val="000F723D"/>
    <w:rsid w:val="00103A67"/>
    <w:rsid w:val="001044F7"/>
    <w:rsid w:val="00116EB2"/>
    <w:rsid w:val="00124609"/>
    <w:rsid w:val="00126A4C"/>
    <w:rsid w:val="00142AB6"/>
    <w:rsid w:val="0014573B"/>
    <w:rsid w:val="00147E70"/>
    <w:rsid w:val="0015067D"/>
    <w:rsid w:val="00156DCC"/>
    <w:rsid w:val="001573E4"/>
    <w:rsid w:val="0015751F"/>
    <w:rsid w:val="00160756"/>
    <w:rsid w:val="0017232E"/>
    <w:rsid w:val="00174102"/>
    <w:rsid w:val="0017480F"/>
    <w:rsid w:val="001754EE"/>
    <w:rsid w:val="00180157"/>
    <w:rsid w:val="00182467"/>
    <w:rsid w:val="00182B97"/>
    <w:rsid w:val="00185CB9"/>
    <w:rsid w:val="00186F77"/>
    <w:rsid w:val="001926A4"/>
    <w:rsid w:val="00192AD5"/>
    <w:rsid w:val="001B3F62"/>
    <w:rsid w:val="001B45A0"/>
    <w:rsid w:val="001B45C0"/>
    <w:rsid w:val="001B6F2E"/>
    <w:rsid w:val="001B7D00"/>
    <w:rsid w:val="001C17E7"/>
    <w:rsid w:val="001D055E"/>
    <w:rsid w:val="001D5B06"/>
    <w:rsid w:val="001E009C"/>
    <w:rsid w:val="001E5FE2"/>
    <w:rsid w:val="001E6E1A"/>
    <w:rsid w:val="001F05A4"/>
    <w:rsid w:val="001F492E"/>
    <w:rsid w:val="001F6DA3"/>
    <w:rsid w:val="001F7633"/>
    <w:rsid w:val="002010BC"/>
    <w:rsid w:val="002016E7"/>
    <w:rsid w:val="00201F98"/>
    <w:rsid w:val="00202E03"/>
    <w:rsid w:val="0020478D"/>
    <w:rsid w:val="0020492C"/>
    <w:rsid w:val="00205A33"/>
    <w:rsid w:val="00213FDF"/>
    <w:rsid w:val="0022273E"/>
    <w:rsid w:val="0022444D"/>
    <w:rsid w:val="00224DB9"/>
    <w:rsid w:val="00227DCE"/>
    <w:rsid w:val="0023276C"/>
    <w:rsid w:val="00233775"/>
    <w:rsid w:val="0024222B"/>
    <w:rsid w:val="002472E0"/>
    <w:rsid w:val="00251745"/>
    <w:rsid w:val="00263AC0"/>
    <w:rsid w:val="00264264"/>
    <w:rsid w:val="0026772D"/>
    <w:rsid w:val="00277554"/>
    <w:rsid w:val="00286874"/>
    <w:rsid w:val="00290C63"/>
    <w:rsid w:val="00296B65"/>
    <w:rsid w:val="0029724D"/>
    <w:rsid w:val="002A4394"/>
    <w:rsid w:val="002A6688"/>
    <w:rsid w:val="002A7DEF"/>
    <w:rsid w:val="002B1003"/>
    <w:rsid w:val="002B573C"/>
    <w:rsid w:val="002C233C"/>
    <w:rsid w:val="002C4F0C"/>
    <w:rsid w:val="002D72E8"/>
    <w:rsid w:val="002E0AE4"/>
    <w:rsid w:val="002E53EB"/>
    <w:rsid w:val="002E62BB"/>
    <w:rsid w:val="002E7B22"/>
    <w:rsid w:val="002F7986"/>
    <w:rsid w:val="00301B40"/>
    <w:rsid w:val="00301F1F"/>
    <w:rsid w:val="003029A5"/>
    <w:rsid w:val="003029EE"/>
    <w:rsid w:val="0030370B"/>
    <w:rsid w:val="00305CC8"/>
    <w:rsid w:val="00307F6D"/>
    <w:rsid w:val="003130C9"/>
    <w:rsid w:val="003177A2"/>
    <w:rsid w:val="00320869"/>
    <w:rsid w:val="00326B1D"/>
    <w:rsid w:val="003271B5"/>
    <w:rsid w:val="003274B9"/>
    <w:rsid w:val="00327A1E"/>
    <w:rsid w:val="00331264"/>
    <w:rsid w:val="003338A2"/>
    <w:rsid w:val="00334C8D"/>
    <w:rsid w:val="0033548E"/>
    <w:rsid w:val="00343A18"/>
    <w:rsid w:val="00344473"/>
    <w:rsid w:val="00344D08"/>
    <w:rsid w:val="003457F9"/>
    <w:rsid w:val="00347114"/>
    <w:rsid w:val="003518B3"/>
    <w:rsid w:val="003578CD"/>
    <w:rsid w:val="003666F2"/>
    <w:rsid w:val="003717D8"/>
    <w:rsid w:val="003846F1"/>
    <w:rsid w:val="003903D4"/>
    <w:rsid w:val="00391BF0"/>
    <w:rsid w:val="003931A7"/>
    <w:rsid w:val="00393646"/>
    <w:rsid w:val="003B484F"/>
    <w:rsid w:val="003B7FBA"/>
    <w:rsid w:val="003D0E6B"/>
    <w:rsid w:val="003F174D"/>
    <w:rsid w:val="003F572D"/>
    <w:rsid w:val="003F7442"/>
    <w:rsid w:val="00415F31"/>
    <w:rsid w:val="0042205D"/>
    <w:rsid w:val="00423A77"/>
    <w:rsid w:val="00436ECD"/>
    <w:rsid w:val="00452473"/>
    <w:rsid w:val="004566FE"/>
    <w:rsid w:val="0045777E"/>
    <w:rsid w:val="00461B0F"/>
    <w:rsid w:val="00461C29"/>
    <w:rsid w:val="00461F1F"/>
    <w:rsid w:val="00474EC7"/>
    <w:rsid w:val="00480B4B"/>
    <w:rsid w:val="0048488F"/>
    <w:rsid w:val="00485DC4"/>
    <w:rsid w:val="00485EB4"/>
    <w:rsid w:val="004A0A5E"/>
    <w:rsid w:val="004A3BEE"/>
    <w:rsid w:val="004A43D1"/>
    <w:rsid w:val="004B355D"/>
    <w:rsid w:val="004B4412"/>
    <w:rsid w:val="004C0C43"/>
    <w:rsid w:val="004C217B"/>
    <w:rsid w:val="004C348C"/>
    <w:rsid w:val="004C6A30"/>
    <w:rsid w:val="004D1A96"/>
    <w:rsid w:val="004D55BA"/>
    <w:rsid w:val="004E22EC"/>
    <w:rsid w:val="004E2A4C"/>
    <w:rsid w:val="004F4CA6"/>
    <w:rsid w:val="004F6A0E"/>
    <w:rsid w:val="00514C73"/>
    <w:rsid w:val="00530128"/>
    <w:rsid w:val="005303E9"/>
    <w:rsid w:val="00532467"/>
    <w:rsid w:val="00537FD6"/>
    <w:rsid w:val="00551D43"/>
    <w:rsid w:val="00564A4D"/>
    <w:rsid w:val="0056588A"/>
    <w:rsid w:val="00567BA5"/>
    <w:rsid w:val="00571B35"/>
    <w:rsid w:val="00571D57"/>
    <w:rsid w:val="00572E69"/>
    <w:rsid w:val="00577A09"/>
    <w:rsid w:val="005829C2"/>
    <w:rsid w:val="00584D8F"/>
    <w:rsid w:val="0058577C"/>
    <w:rsid w:val="00585A4E"/>
    <w:rsid w:val="00586819"/>
    <w:rsid w:val="0059704C"/>
    <w:rsid w:val="005A404D"/>
    <w:rsid w:val="005B1E3C"/>
    <w:rsid w:val="005B3FB7"/>
    <w:rsid w:val="005B4D33"/>
    <w:rsid w:val="005B5375"/>
    <w:rsid w:val="005B704A"/>
    <w:rsid w:val="005C0A7F"/>
    <w:rsid w:val="005C26CC"/>
    <w:rsid w:val="005C4C9C"/>
    <w:rsid w:val="005C6218"/>
    <w:rsid w:val="005D03B1"/>
    <w:rsid w:val="005D7BA2"/>
    <w:rsid w:val="005E27E6"/>
    <w:rsid w:val="005E36C2"/>
    <w:rsid w:val="005F0183"/>
    <w:rsid w:val="005F3643"/>
    <w:rsid w:val="005F5E74"/>
    <w:rsid w:val="005F727F"/>
    <w:rsid w:val="006007DE"/>
    <w:rsid w:val="00601638"/>
    <w:rsid w:val="00610EF9"/>
    <w:rsid w:val="00612F4F"/>
    <w:rsid w:val="00615947"/>
    <w:rsid w:val="00615C6B"/>
    <w:rsid w:val="00620DC3"/>
    <w:rsid w:val="00621DCE"/>
    <w:rsid w:val="00632D6D"/>
    <w:rsid w:val="00640812"/>
    <w:rsid w:val="00642C3E"/>
    <w:rsid w:val="00651C3A"/>
    <w:rsid w:val="00651CB2"/>
    <w:rsid w:val="006560CA"/>
    <w:rsid w:val="0066104A"/>
    <w:rsid w:val="00663DAD"/>
    <w:rsid w:val="00665649"/>
    <w:rsid w:val="00666E20"/>
    <w:rsid w:val="006672AA"/>
    <w:rsid w:val="006746CD"/>
    <w:rsid w:val="00675E20"/>
    <w:rsid w:val="00676679"/>
    <w:rsid w:val="006812E7"/>
    <w:rsid w:val="006819D7"/>
    <w:rsid w:val="00683C89"/>
    <w:rsid w:val="00684C16"/>
    <w:rsid w:val="00691D9A"/>
    <w:rsid w:val="006A7CB9"/>
    <w:rsid w:val="006A7D76"/>
    <w:rsid w:val="006B2395"/>
    <w:rsid w:val="006B45A4"/>
    <w:rsid w:val="006B4CF9"/>
    <w:rsid w:val="006B785B"/>
    <w:rsid w:val="006B7AC8"/>
    <w:rsid w:val="006C1736"/>
    <w:rsid w:val="006C34F5"/>
    <w:rsid w:val="006C4798"/>
    <w:rsid w:val="006C774D"/>
    <w:rsid w:val="006D22F2"/>
    <w:rsid w:val="006D550F"/>
    <w:rsid w:val="006D705B"/>
    <w:rsid w:val="006E3F76"/>
    <w:rsid w:val="006F1F83"/>
    <w:rsid w:val="006F3AD1"/>
    <w:rsid w:val="006F3FC8"/>
    <w:rsid w:val="006F6183"/>
    <w:rsid w:val="0070011E"/>
    <w:rsid w:val="00701CAB"/>
    <w:rsid w:val="00707563"/>
    <w:rsid w:val="00717BA4"/>
    <w:rsid w:val="0072348C"/>
    <w:rsid w:val="00724A37"/>
    <w:rsid w:val="007303C3"/>
    <w:rsid w:val="00741C46"/>
    <w:rsid w:val="00741E23"/>
    <w:rsid w:val="007429BE"/>
    <w:rsid w:val="00743223"/>
    <w:rsid w:val="00745FA2"/>
    <w:rsid w:val="00746E01"/>
    <w:rsid w:val="00747EEA"/>
    <w:rsid w:val="00752C8D"/>
    <w:rsid w:val="00755F91"/>
    <w:rsid w:val="00757364"/>
    <w:rsid w:val="00757BDF"/>
    <w:rsid w:val="007609D0"/>
    <w:rsid w:val="00763618"/>
    <w:rsid w:val="00763E5D"/>
    <w:rsid w:val="00767740"/>
    <w:rsid w:val="007739BF"/>
    <w:rsid w:val="00777EE6"/>
    <w:rsid w:val="00782EEA"/>
    <w:rsid w:val="0078603A"/>
    <w:rsid w:val="00795272"/>
    <w:rsid w:val="007A270E"/>
    <w:rsid w:val="007A57A4"/>
    <w:rsid w:val="007A5D34"/>
    <w:rsid w:val="007A7002"/>
    <w:rsid w:val="007A7136"/>
    <w:rsid w:val="007A7F63"/>
    <w:rsid w:val="007B011C"/>
    <w:rsid w:val="007B186E"/>
    <w:rsid w:val="007B2C72"/>
    <w:rsid w:val="007B6C52"/>
    <w:rsid w:val="007C1C53"/>
    <w:rsid w:val="007C3E8E"/>
    <w:rsid w:val="007C74BB"/>
    <w:rsid w:val="007D456E"/>
    <w:rsid w:val="007E42F4"/>
    <w:rsid w:val="007E4904"/>
    <w:rsid w:val="007E4CB5"/>
    <w:rsid w:val="007F066B"/>
    <w:rsid w:val="007F213A"/>
    <w:rsid w:val="007F71EC"/>
    <w:rsid w:val="007F75C4"/>
    <w:rsid w:val="00802B7C"/>
    <w:rsid w:val="008033C4"/>
    <w:rsid w:val="008057DE"/>
    <w:rsid w:val="00806C88"/>
    <w:rsid w:val="00810070"/>
    <w:rsid w:val="0081034E"/>
    <w:rsid w:val="00812B03"/>
    <w:rsid w:val="00812F7A"/>
    <w:rsid w:val="00815CAC"/>
    <w:rsid w:val="008168E7"/>
    <w:rsid w:val="00817550"/>
    <w:rsid w:val="00821004"/>
    <w:rsid w:val="008221F2"/>
    <w:rsid w:val="00825985"/>
    <w:rsid w:val="008301A7"/>
    <w:rsid w:val="008301B2"/>
    <w:rsid w:val="008344F6"/>
    <w:rsid w:val="0083451B"/>
    <w:rsid w:val="0083510F"/>
    <w:rsid w:val="008408C5"/>
    <w:rsid w:val="008414FC"/>
    <w:rsid w:val="00845A90"/>
    <w:rsid w:val="008460FD"/>
    <w:rsid w:val="00847887"/>
    <w:rsid w:val="00851209"/>
    <w:rsid w:val="0085722A"/>
    <w:rsid w:val="00862B19"/>
    <w:rsid w:val="00864B35"/>
    <w:rsid w:val="00864C47"/>
    <w:rsid w:val="00866D99"/>
    <w:rsid w:val="00867CF6"/>
    <w:rsid w:val="00870C9C"/>
    <w:rsid w:val="008749E0"/>
    <w:rsid w:val="00874CD0"/>
    <w:rsid w:val="00880CC5"/>
    <w:rsid w:val="00882481"/>
    <w:rsid w:val="008837AC"/>
    <w:rsid w:val="008961FE"/>
    <w:rsid w:val="008A1207"/>
    <w:rsid w:val="008A587D"/>
    <w:rsid w:val="008B35CD"/>
    <w:rsid w:val="008B5FCC"/>
    <w:rsid w:val="008B7544"/>
    <w:rsid w:val="008C3374"/>
    <w:rsid w:val="008C39F0"/>
    <w:rsid w:val="008C5486"/>
    <w:rsid w:val="008C63DF"/>
    <w:rsid w:val="008C708B"/>
    <w:rsid w:val="008D1661"/>
    <w:rsid w:val="008D6800"/>
    <w:rsid w:val="008E3A2B"/>
    <w:rsid w:val="008E7031"/>
    <w:rsid w:val="008E77DE"/>
    <w:rsid w:val="008F07A3"/>
    <w:rsid w:val="008F16B3"/>
    <w:rsid w:val="008F34DD"/>
    <w:rsid w:val="009001B6"/>
    <w:rsid w:val="00900E1B"/>
    <w:rsid w:val="00901C3C"/>
    <w:rsid w:val="009038ED"/>
    <w:rsid w:val="009233EE"/>
    <w:rsid w:val="00923CFC"/>
    <w:rsid w:val="00923FA9"/>
    <w:rsid w:val="009259BE"/>
    <w:rsid w:val="009272AD"/>
    <w:rsid w:val="009277DC"/>
    <w:rsid w:val="0093307C"/>
    <w:rsid w:val="00937958"/>
    <w:rsid w:val="009460AA"/>
    <w:rsid w:val="0094641C"/>
    <w:rsid w:val="00951978"/>
    <w:rsid w:val="00961115"/>
    <w:rsid w:val="00961A4A"/>
    <w:rsid w:val="009661DE"/>
    <w:rsid w:val="00983C25"/>
    <w:rsid w:val="009856B7"/>
    <w:rsid w:val="00985C86"/>
    <w:rsid w:val="00996BAF"/>
    <w:rsid w:val="009972D8"/>
    <w:rsid w:val="009A4FAA"/>
    <w:rsid w:val="009A5113"/>
    <w:rsid w:val="009A539D"/>
    <w:rsid w:val="009A5FC3"/>
    <w:rsid w:val="009B113A"/>
    <w:rsid w:val="009B1E9B"/>
    <w:rsid w:val="009B5DC8"/>
    <w:rsid w:val="009B6F84"/>
    <w:rsid w:val="009B7343"/>
    <w:rsid w:val="009B74B0"/>
    <w:rsid w:val="009C691D"/>
    <w:rsid w:val="009D2B38"/>
    <w:rsid w:val="009D3906"/>
    <w:rsid w:val="009D6B46"/>
    <w:rsid w:val="009F4940"/>
    <w:rsid w:val="009F5BA1"/>
    <w:rsid w:val="00A000BD"/>
    <w:rsid w:val="00A02A88"/>
    <w:rsid w:val="00A0562E"/>
    <w:rsid w:val="00A06085"/>
    <w:rsid w:val="00A0726D"/>
    <w:rsid w:val="00A16596"/>
    <w:rsid w:val="00A2303E"/>
    <w:rsid w:val="00A30E79"/>
    <w:rsid w:val="00A32FBB"/>
    <w:rsid w:val="00A365EB"/>
    <w:rsid w:val="00A428EE"/>
    <w:rsid w:val="00A4478A"/>
    <w:rsid w:val="00A44852"/>
    <w:rsid w:val="00A4650A"/>
    <w:rsid w:val="00A50502"/>
    <w:rsid w:val="00A57D04"/>
    <w:rsid w:val="00A60A26"/>
    <w:rsid w:val="00A61598"/>
    <w:rsid w:val="00A62366"/>
    <w:rsid w:val="00A7259C"/>
    <w:rsid w:val="00A84A99"/>
    <w:rsid w:val="00A84F46"/>
    <w:rsid w:val="00A871F4"/>
    <w:rsid w:val="00A90AA4"/>
    <w:rsid w:val="00A923BF"/>
    <w:rsid w:val="00A92B5F"/>
    <w:rsid w:val="00AB47E1"/>
    <w:rsid w:val="00AC1B2C"/>
    <w:rsid w:val="00AC3264"/>
    <w:rsid w:val="00AC54A5"/>
    <w:rsid w:val="00AD3884"/>
    <w:rsid w:val="00AD7B56"/>
    <w:rsid w:val="00AE1BF1"/>
    <w:rsid w:val="00AE5840"/>
    <w:rsid w:val="00AF0DD2"/>
    <w:rsid w:val="00AF48B0"/>
    <w:rsid w:val="00B0209D"/>
    <w:rsid w:val="00B02961"/>
    <w:rsid w:val="00B0420E"/>
    <w:rsid w:val="00B04908"/>
    <w:rsid w:val="00B04B4C"/>
    <w:rsid w:val="00B07CEA"/>
    <w:rsid w:val="00B13048"/>
    <w:rsid w:val="00B1499E"/>
    <w:rsid w:val="00B1716D"/>
    <w:rsid w:val="00B17A1D"/>
    <w:rsid w:val="00B207A0"/>
    <w:rsid w:val="00B40CAA"/>
    <w:rsid w:val="00B514DD"/>
    <w:rsid w:val="00B51F3F"/>
    <w:rsid w:val="00B52AF0"/>
    <w:rsid w:val="00B561BD"/>
    <w:rsid w:val="00B56E03"/>
    <w:rsid w:val="00B61EDF"/>
    <w:rsid w:val="00B74AC5"/>
    <w:rsid w:val="00B757A6"/>
    <w:rsid w:val="00B8080B"/>
    <w:rsid w:val="00B82223"/>
    <w:rsid w:val="00B83D1D"/>
    <w:rsid w:val="00B87BA5"/>
    <w:rsid w:val="00B87C39"/>
    <w:rsid w:val="00B9562D"/>
    <w:rsid w:val="00BA0731"/>
    <w:rsid w:val="00BA4665"/>
    <w:rsid w:val="00BA47EE"/>
    <w:rsid w:val="00BB03BD"/>
    <w:rsid w:val="00BB2FB2"/>
    <w:rsid w:val="00BB3304"/>
    <w:rsid w:val="00BB3FD7"/>
    <w:rsid w:val="00BB6848"/>
    <w:rsid w:val="00BB7528"/>
    <w:rsid w:val="00BC18DE"/>
    <w:rsid w:val="00BC2FAF"/>
    <w:rsid w:val="00BC42EF"/>
    <w:rsid w:val="00BD0920"/>
    <w:rsid w:val="00BD0C45"/>
    <w:rsid w:val="00BD310B"/>
    <w:rsid w:val="00BD3446"/>
    <w:rsid w:val="00BD7EBD"/>
    <w:rsid w:val="00BE1F1B"/>
    <w:rsid w:val="00BE47B5"/>
    <w:rsid w:val="00BF0C8F"/>
    <w:rsid w:val="00BF0CD7"/>
    <w:rsid w:val="00C04223"/>
    <w:rsid w:val="00C1144D"/>
    <w:rsid w:val="00C14C20"/>
    <w:rsid w:val="00C25FA6"/>
    <w:rsid w:val="00C275C4"/>
    <w:rsid w:val="00C30637"/>
    <w:rsid w:val="00C310AF"/>
    <w:rsid w:val="00C36F19"/>
    <w:rsid w:val="00C42ACA"/>
    <w:rsid w:val="00C5122C"/>
    <w:rsid w:val="00C52205"/>
    <w:rsid w:val="00C538A9"/>
    <w:rsid w:val="00C53B5A"/>
    <w:rsid w:val="00C54F5A"/>
    <w:rsid w:val="00C569B4"/>
    <w:rsid w:val="00C56A01"/>
    <w:rsid w:val="00C56A3E"/>
    <w:rsid w:val="00C67A92"/>
    <w:rsid w:val="00C73194"/>
    <w:rsid w:val="00C7497E"/>
    <w:rsid w:val="00C74D43"/>
    <w:rsid w:val="00C77A9F"/>
    <w:rsid w:val="00C81568"/>
    <w:rsid w:val="00C84560"/>
    <w:rsid w:val="00C84F52"/>
    <w:rsid w:val="00C86679"/>
    <w:rsid w:val="00C97CDF"/>
    <w:rsid w:val="00CA2ABF"/>
    <w:rsid w:val="00CA2C1D"/>
    <w:rsid w:val="00CA489E"/>
    <w:rsid w:val="00CA52A2"/>
    <w:rsid w:val="00CB0279"/>
    <w:rsid w:val="00CB666B"/>
    <w:rsid w:val="00CC7F1D"/>
    <w:rsid w:val="00CD19EE"/>
    <w:rsid w:val="00CE283E"/>
    <w:rsid w:val="00CE484B"/>
    <w:rsid w:val="00CE4900"/>
    <w:rsid w:val="00CE5DE8"/>
    <w:rsid w:val="00CF0DEE"/>
    <w:rsid w:val="00CF2C05"/>
    <w:rsid w:val="00CF6EDE"/>
    <w:rsid w:val="00D006AE"/>
    <w:rsid w:val="00D0160F"/>
    <w:rsid w:val="00D01CF0"/>
    <w:rsid w:val="00D01EFD"/>
    <w:rsid w:val="00D0442A"/>
    <w:rsid w:val="00D06055"/>
    <w:rsid w:val="00D066B7"/>
    <w:rsid w:val="00D14CD7"/>
    <w:rsid w:val="00D1561D"/>
    <w:rsid w:val="00D17683"/>
    <w:rsid w:val="00D21AB6"/>
    <w:rsid w:val="00D22136"/>
    <w:rsid w:val="00D36FCC"/>
    <w:rsid w:val="00D41E80"/>
    <w:rsid w:val="00D45694"/>
    <w:rsid w:val="00D46BD3"/>
    <w:rsid w:val="00D608F6"/>
    <w:rsid w:val="00D60EFF"/>
    <w:rsid w:val="00D61388"/>
    <w:rsid w:val="00D61A54"/>
    <w:rsid w:val="00D64275"/>
    <w:rsid w:val="00D64DEA"/>
    <w:rsid w:val="00D7168E"/>
    <w:rsid w:val="00D71E57"/>
    <w:rsid w:val="00D75AA2"/>
    <w:rsid w:val="00D7645E"/>
    <w:rsid w:val="00D80893"/>
    <w:rsid w:val="00D84854"/>
    <w:rsid w:val="00D848B4"/>
    <w:rsid w:val="00D86B06"/>
    <w:rsid w:val="00D909F0"/>
    <w:rsid w:val="00D92C03"/>
    <w:rsid w:val="00D92CF1"/>
    <w:rsid w:val="00D92D38"/>
    <w:rsid w:val="00D950F5"/>
    <w:rsid w:val="00DA0BCC"/>
    <w:rsid w:val="00DA309D"/>
    <w:rsid w:val="00DA4752"/>
    <w:rsid w:val="00DA61F3"/>
    <w:rsid w:val="00DA6B93"/>
    <w:rsid w:val="00DA6F94"/>
    <w:rsid w:val="00DB0F93"/>
    <w:rsid w:val="00DB1A67"/>
    <w:rsid w:val="00DB5074"/>
    <w:rsid w:val="00DB5B21"/>
    <w:rsid w:val="00DC7981"/>
    <w:rsid w:val="00DD1C15"/>
    <w:rsid w:val="00DD35CF"/>
    <w:rsid w:val="00DE1093"/>
    <w:rsid w:val="00DE4EFA"/>
    <w:rsid w:val="00DE5520"/>
    <w:rsid w:val="00DE563D"/>
    <w:rsid w:val="00DE5E2E"/>
    <w:rsid w:val="00DE772C"/>
    <w:rsid w:val="00DF1D9A"/>
    <w:rsid w:val="00DF312A"/>
    <w:rsid w:val="00E04818"/>
    <w:rsid w:val="00E06442"/>
    <w:rsid w:val="00E06BCF"/>
    <w:rsid w:val="00E1001C"/>
    <w:rsid w:val="00E11949"/>
    <w:rsid w:val="00E23993"/>
    <w:rsid w:val="00E25064"/>
    <w:rsid w:val="00E257D6"/>
    <w:rsid w:val="00E25B8C"/>
    <w:rsid w:val="00E25D33"/>
    <w:rsid w:val="00E26F2F"/>
    <w:rsid w:val="00E27FC7"/>
    <w:rsid w:val="00E32A63"/>
    <w:rsid w:val="00E3544F"/>
    <w:rsid w:val="00E46F9B"/>
    <w:rsid w:val="00E51D65"/>
    <w:rsid w:val="00E54005"/>
    <w:rsid w:val="00E6200B"/>
    <w:rsid w:val="00E65C85"/>
    <w:rsid w:val="00E66199"/>
    <w:rsid w:val="00E711C7"/>
    <w:rsid w:val="00E7494F"/>
    <w:rsid w:val="00E755EC"/>
    <w:rsid w:val="00E7624D"/>
    <w:rsid w:val="00E93626"/>
    <w:rsid w:val="00E97242"/>
    <w:rsid w:val="00EA38F3"/>
    <w:rsid w:val="00EA3D42"/>
    <w:rsid w:val="00EA4D30"/>
    <w:rsid w:val="00EA6B1B"/>
    <w:rsid w:val="00EB5BC8"/>
    <w:rsid w:val="00EB606C"/>
    <w:rsid w:val="00EC04F1"/>
    <w:rsid w:val="00EC1B2B"/>
    <w:rsid w:val="00EC2FD1"/>
    <w:rsid w:val="00EC32E5"/>
    <w:rsid w:val="00ED0EC2"/>
    <w:rsid w:val="00ED3474"/>
    <w:rsid w:val="00ED590A"/>
    <w:rsid w:val="00ED7323"/>
    <w:rsid w:val="00EE28F3"/>
    <w:rsid w:val="00EE50D1"/>
    <w:rsid w:val="00EE77FA"/>
    <w:rsid w:val="00EE7A83"/>
    <w:rsid w:val="00EF1B7A"/>
    <w:rsid w:val="00EF22FA"/>
    <w:rsid w:val="00EF5110"/>
    <w:rsid w:val="00F0334E"/>
    <w:rsid w:val="00F040AF"/>
    <w:rsid w:val="00F07967"/>
    <w:rsid w:val="00F10411"/>
    <w:rsid w:val="00F14EBC"/>
    <w:rsid w:val="00F15882"/>
    <w:rsid w:val="00F171E0"/>
    <w:rsid w:val="00F20BD3"/>
    <w:rsid w:val="00F2526A"/>
    <w:rsid w:val="00F34415"/>
    <w:rsid w:val="00F35081"/>
    <w:rsid w:val="00F373A5"/>
    <w:rsid w:val="00F42E08"/>
    <w:rsid w:val="00F47559"/>
    <w:rsid w:val="00F5136E"/>
    <w:rsid w:val="00F57907"/>
    <w:rsid w:val="00F61176"/>
    <w:rsid w:val="00F62A30"/>
    <w:rsid w:val="00F64C7B"/>
    <w:rsid w:val="00F65B25"/>
    <w:rsid w:val="00F676DD"/>
    <w:rsid w:val="00F71667"/>
    <w:rsid w:val="00F73895"/>
    <w:rsid w:val="00F75A26"/>
    <w:rsid w:val="00F76706"/>
    <w:rsid w:val="00F768C8"/>
    <w:rsid w:val="00F81B8D"/>
    <w:rsid w:val="00F83FAD"/>
    <w:rsid w:val="00F8653A"/>
    <w:rsid w:val="00F91F55"/>
    <w:rsid w:val="00F92349"/>
    <w:rsid w:val="00F93B21"/>
    <w:rsid w:val="00F9414D"/>
    <w:rsid w:val="00F952A0"/>
    <w:rsid w:val="00FA099F"/>
    <w:rsid w:val="00FA24BD"/>
    <w:rsid w:val="00FA3C7F"/>
    <w:rsid w:val="00FB1BF3"/>
    <w:rsid w:val="00FB36BA"/>
    <w:rsid w:val="00FB4402"/>
    <w:rsid w:val="00FB5594"/>
    <w:rsid w:val="00FB60FE"/>
    <w:rsid w:val="00FB74E2"/>
    <w:rsid w:val="00FC3C93"/>
    <w:rsid w:val="00FC71DC"/>
    <w:rsid w:val="00FD2ED2"/>
    <w:rsid w:val="00FD5614"/>
    <w:rsid w:val="00FD5E78"/>
    <w:rsid w:val="00FD7525"/>
    <w:rsid w:val="00FE0BE1"/>
    <w:rsid w:val="00FE1DE9"/>
    <w:rsid w:val="00FE2D66"/>
    <w:rsid w:val="00FE36AF"/>
    <w:rsid w:val="00FE39C2"/>
    <w:rsid w:val="00FE3C32"/>
    <w:rsid w:val="00FE64AE"/>
    <w:rsid w:val="00FF02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ind w:left="864"/>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ind w:left="864"/>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60"/>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8598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58FBA3-DA23-4B2B-8B03-6E6A1DE6D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CE862C54</Template>
  <TotalTime>0</TotalTime>
  <Pages>11</Pages>
  <Words>2111</Words>
  <Characters>12038</Characters>
  <Application>Microsoft Office Word</Application>
  <DocSecurity>0</DocSecurity>
  <Lines>100</Lines>
  <Paragraphs>28</Paragraphs>
  <ScaleCrop>false</ScaleCrop>
  <Company/>
  <LinksUpToDate>false</LinksUpToDate>
  <CharactersWithSpaces>14121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2016-05-20T07:43:00Z</dcterms:created>
  <dcterms:modified xsi:type="dcterms:W3CDTF">2016-05-20T07:43:00Z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8575444</vt:lpwstr>
  </property>
</Properties>
</file>