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7F3BE41" wp14:editId="5CD6C696">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A2303E">
            <w:t>FINAL</w:t>
          </w:r>
          <w:r w:rsidR="00DA4752">
            <w:t xml:space="preserve"> DECISION</w:t>
          </w:r>
        </w:p>
        <w:p w:rsidR="00415F31" w:rsidRDefault="000D64F2" w:rsidP="008F07A3">
          <w:pPr>
            <w:pStyle w:val="ReportSubtitle"/>
          </w:pPr>
          <w:r>
            <w:t>Amadeus</w:t>
          </w:r>
          <w:r w:rsidR="00A06085">
            <w:t xml:space="preserve"> </w:t>
          </w:r>
          <w:r w:rsidR="0033548E">
            <w:t>Gas Pipeline</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11949">
            <w:t>6</w:t>
          </w:r>
          <w:r w:rsidR="00DA4752">
            <w:t xml:space="preserve"> </w:t>
          </w:r>
          <w:r w:rsidR="00415F31">
            <w:rPr>
              <w:rFonts w:cs="Arial"/>
            </w:rPr>
            <w:t>–</w:t>
          </w:r>
          <w:r w:rsidR="00DA4752">
            <w:t xml:space="preserve"> </w:t>
          </w:r>
          <w:r w:rsidR="00E11949">
            <w:t>Capital</w:t>
          </w:r>
          <w:r w:rsidR="00D46BD3">
            <w:t xml:space="preserve"> expenditure</w:t>
          </w:r>
        </w:p>
        <w:p w:rsidR="000A6C7B" w:rsidRPr="00327A1E" w:rsidRDefault="00EA588A" w:rsidP="00327A1E">
          <w:pPr>
            <w:pStyle w:val="ReportDate"/>
          </w:pPr>
          <w:r>
            <w:t>May</w:t>
          </w:r>
          <w:r w:rsidR="005C0A7F">
            <w:t xml:space="preserve"> </w:t>
          </w:r>
          <w:r w:rsidR="00A2303E">
            <w:t>2016</w:t>
          </w:r>
        </w:p>
      </w:sdtContent>
    </w:sdt>
    <w:p w:rsidR="00327A1E" w:rsidRPr="00290C63" w:rsidRDefault="00327A1E" w:rsidP="00290C63">
      <w:r>
        <w:br w:type="page"/>
      </w:r>
    </w:p>
    <w:p w:rsidR="000A6C7B" w:rsidRDefault="00F606A0" w:rsidP="00961A4A">
      <w:pPr>
        <w:pStyle w:val="Copyright"/>
      </w:pPr>
      <w:r>
        <w:lastRenderedPageBreak/>
        <w:t>© Commonwealth of Australia 2016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51529898"/>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A2303E">
        <w:t>final</w:t>
      </w:r>
      <w:r w:rsidR="00415F31">
        <w:t xml:space="preserve"> decision on </w:t>
      </w:r>
      <w:r w:rsidR="0033548E">
        <w:t>the</w:t>
      </w:r>
      <w:r w:rsidR="00415F31">
        <w:t xml:space="preserve"> </w:t>
      </w:r>
      <w:r w:rsidR="00CF2C05">
        <w:t>access</w:t>
      </w:r>
      <w:r w:rsidR="00415F31">
        <w:t xml:space="preserve"> </w:t>
      </w:r>
      <w:r w:rsidR="00CF2C05">
        <w:t>arrangement for</w:t>
      </w:r>
      <w:r w:rsidR="00415F31">
        <w:t xml:space="preserve"> </w:t>
      </w:r>
      <w:r w:rsidR="0033548E">
        <w:t xml:space="preserve">the Amadeus Gas Pipeline for </w:t>
      </w:r>
      <w:r w:rsidR="00415F31">
        <w:t>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A2303E">
        <w:t>final</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A2303E">
        <w:t>final</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5" w:name="_Toc403144133"/>
      <w:bookmarkStart w:id="6" w:name="_Toc451529899"/>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bookmarkStart w:id="7" w:name="_GoBack" w:displacedByCustomXml="prev"/>
        <w:bookmarkEnd w:id="7" w:displacedByCustomXml="prev"/>
        <w:p w:rsidR="00E209D5" w:rsidRDefault="008A7C24">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8,2,Heading 9,3" </w:instrText>
          </w:r>
          <w:r>
            <w:rPr>
              <w:color w:val="auto"/>
              <w:sz w:val="22"/>
            </w:rPr>
            <w:fldChar w:fldCharType="separate"/>
          </w:r>
          <w:hyperlink w:anchor="_Toc451529898" w:history="1">
            <w:r w:rsidR="00E209D5" w:rsidRPr="007E38D2">
              <w:rPr>
                <w:rStyle w:val="Hyperlink"/>
              </w:rPr>
              <w:t>Note</w:t>
            </w:r>
            <w:r w:rsidR="00E209D5">
              <w:rPr>
                <w:webHidden/>
              </w:rPr>
              <w:tab/>
            </w:r>
            <w:r w:rsidR="00E209D5">
              <w:rPr>
                <w:webHidden/>
              </w:rPr>
              <w:fldChar w:fldCharType="begin"/>
            </w:r>
            <w:r w:rsidR="00E209D5">
              <w:rPr>
                <w:webHidden/>
              </w:rPr>
              <w:instrText xml:space="preserve"> PAGEREF _Toc451529898 \h </w:instrText>
            </w:r>
            <w:r w:rsidR="00E209D5">
              <w:rPr>
                <w:webHidden/>
              </w:rPr>
            </w:r>
            <w:r w:rsidR="00E209D5">
              <w:rPr>
                <w:webHidden/>
              </w:rPr>
              <w:fldChar w:fldCharType="separate"/>
            </w:r>
            <w:r w:rsidR="00E209D5">
              <w:rPr>
                <w:webHidden/>
              </w:rPr>
              <w:t>6-2</w:t>
            </w:r>
            <w:r w:rsidR="00E209D5">
              <w:rPr>
                <w:webHidden/>
              </w:rPr>
              <w:fldChar w:fldCharType="end"/>
            </w:r>
          </w:hyperlink>
        </w:p>
        <w:p w:rsidR="00E209D5" w:rsidRDefault="00E209D5">
          <w:pPr>
            <w:pStyle w:val="TOC1"/>
            <w:rPr>
              <w:rFonts w:asciiTheme="minorHAnsi" w:eastAsiaTheme="minorEastAsia" w:hAnsiTheme="minorHAnsi"/>
              <w:b w:val="0"/>
              <w:color w:val="auto"/>
              <w:sz w:val="22"/>
              <w:lang w:val="en-AU" w:eastAsia="en-AU"/>
            </w:rPr>
          </w:pPr>
          <w:hyperlink w:anchor="_Toc451529899" w:history="1">
            <w:r w:rsidRPr="007E38D2">
              <w:rPr>
                <w:rStyle w:val="Hyperlink"/>
              </w:rPr>
              <w:t>Contents</w:t>
            </w:r>
            <w:r>
              <w:rPr>
                <w:webHidden/>
              </w:rPr>
              <w:tab/>
            </w:r>
            <w:r>
              <w:rPr>
                <w:webHidden/>
              </w:rPr>
              <w:fldChar w:fldCharType="begin"/>
            </w:r>
            <w:r>
              <w:rPr>
                <w:webHidden/>
              </w:rPr>
              <w:instrText xml:space="preserve"> PAGEREF _Toc451529899 \h </w:instrText>
            </w:r>
            <w:r>
              <w:rPr>
                <w:webHidden/>
              </w:rPr>
            </w:r>
            <w:r>
              <w:rPr>
                <w:webHidden/>
              </w:rPr>
              <w:fldChar w:fldCharType="separate"/>
            </w:r>
            <w:r>
              <w:rPr>
                <w:webHidden/>
              </w:rPr>
              <w:t>6-3</w:t>
            </w:r>
            <w:r>
              <w:rPr>
                <w:webHidden/>
              </w:rPr>
              <w:fldChar w:fldCharType="end"/>
            </w:r>
          </w:hyperlink>
        </w:p>
        <w:p w:rsidR="00E209D5" w:rsidRDefault="00E209D5">
          <w:pPr>
            <w:pStyle w:val="TOC1"/>
            <w:rPr>
              <w:rFonts w:asciiTheme="minorHAnsi" w:eastAsiaTheme="minorEastAsia" w:hAnsiTheme="minorHAnsi"/>
              <w:b w:val="0"/>
              <w:color w:val="auto"/>
              <w:sz w:val="22"/>
              <w:lang w:val="en-AU" w:eastAsia="en-AU"/>
            </w:rPr>
          </w:pPr>
          <w:hyperlink w:anchor="_Toc451529900" w:history="1">
            <w:r w:rsidRPr="007E38D2">
              <w:rPr>
                <w:rStyle w:val="Hyperlink"/>
              </w:rPr>
              <w:t>Shortened forms</w:t>
            </w:r>
            <w:r>
              <w:rPr>
                <w:webHidden/>
              </w:rPr>
              <w:tab/>
            </w:r>
            <w:r>
              <w:rPr>
                <w:webHidden/>
              </w:rPr>
              <w:fldChar w:fldCharType="begin"/>
            </w:r>
            <w:r>
              <w:rPr>
                <w:webHidden/>
              </w:rPr>
              <w:instrText xml:space="preserve"> PAGEREF _Toc451529900 \h </w:instrText>
            </w:r>
            <w:r>
              <w:rPr>
                <w:webHidden/>
              </w:rPr>
            </w:r>
            <w:r>
              <w:rPr>
                <w:webHidden/>
              </w:rPr>
              <w:fldChar w:fldCharType="separate"/>
            </w:r>
            <w:r>
              <w:rPr>
                <w:webHidden/>
              </w:rPr>
              <w:t>6-4</w:t>
            </w:r>
            <w:r>
              <w:rPr>
                <w:webHidden/>
              </w:rPr>
              <w:fldChar w:fldCharType="end"/>
            </w:r>
          </w:hyperlink>
        </w:p>
        <w:p w:rsidR="00E209D5" w:rsidRDefault="00E209D5">
          <w:pPr>
            <w:pStyle w:val="TOC1"/>
            <w:rPr>
              <w:rFonts w:asciiTheme="minorHAnsi" w:eastAsiaTheme="minorEastAsia" w:hAnsiTheme="minorHAnsi"/>
              <w:b w:val="0"/>
              <w:color w:val="auto"/>
              <w:sz w:val="22"/>
              <w:lang w:val="en-AU" w:eastAsia="en-AU"/>
            </w:rPr>
          </w:pPr>
          <w:hyperlink w:anchor="_Toc451529901" w:history="1">
            <w:r w:rsidRPr="007E38D2">
              <w:rPr>
                <w:rStyle w:val="Hyperlink"/>
              </w:rPr>
              <w:t>6</w:t>
            </w:r>
            <w:r>
              <w:rPr>
                <w:rFonts w:asciiTheme="minorHAnsi" w:eastAsiaTheme="minorEastAsia" w:hAnsiTheme="minorHAnsi"/>
                <w:b w:val="0"/>
                <w:color w:val="auto"/>
                <w:sz w:val="22"/>
                <w:lang w:val="en-AU" w:eastAsia="en-AU"/>
              </w:rPr>
              <w:tab/>
            </w:r>
            <w:r w:rsidRPr="007E38D2">
              <w:rPr>
                <w:rStyle w:val="Hyperlink"/>
              </w:rPr>
              <w:t>Capital expenditure</w:t>
            </w:r>
            <w:r>
              <w:rPr>
                <w:webHidden/>
              </w:rPr>
              <w:tab/>
            </w:r>
            <w:r>
              <w:rPr>
                <w:webHidden/>
              </w:rPr>
              <w:fldChar w:fldCharType="begin"/>
            </w:r>
            <w:r>
              <w:rPr>
                <w:webHidden/>
              </w:rPr>
              <w:instrText xml:space="preserve"> PAGEREF _Toc451529901 \h </w:instrText>
            </w:r>
            <w:r>
              <w:rPr>
                <w:webHidden/>
              </w:rPr>
            </w:r>
            <w:r>
              <w:rPr>
                <w:webHidden/>
              </w:rPr>
              <w:fldChar w:fldCharType="separate"/>
            </w:r>
            <w:r>
              <w:rPr>
                <w:webHidden/>
              </w:rPr>
              <w:t>6-6</w:t>
            </w:r>
            <w:r>
              <w:rPr>
                <w:webHidden/>
              </w:rPr>
              <w:fldChar w:fldCharType="end"/>
            </w:r>
          </w:hyperlink>
        </w:p>
        <w:p w:rsidR="00E209D5" w:rsidRDefault="00E209D5">
          <w:pPr>
            <w:pStyle w:val="TOC2"/>
            <w:rPr>
              <w:rFonts w:asciiTheme="minorHAnsi" w:eastAsiaTheme="minorEastAsia" w:hAnsiTheme="minorHAnsi"/>
              <w:b w:val="0"/>
              <w:color w:val="auto"/>
              <w:sz w:val="22"/>
              <w:lang w:eastAsia="en-AU"/>
            </w:rPr>
          </w:pPr>
          <w:hyperlink w:anchor="_Toc451529902" w:history="1">
            <w:r w:rsidRPr="007E38D2">
              <w:rPr>
                <w:rStyle w:val="Hyperlink"/>
              </w:rPr>
              <w:t>6.1</w:t>
            </w:r>
            <w:r>
              <w:rPr>
                <w:rFonts w:asciiTheme="minorHAnsi" w:eastAsiaTheme="minorEastAsia" w:hAnsiTheme="minorHAnsi"/>
                <w:b w:val="0"/>
                <w:color w:val="auto"/>
                <w:sz w:val="22"/>
                <w:lang w:eastAsia="en-AU"/>
              </w:rPr>
              <w:tab/>
            </w:r>
            <w:r w:rsidRPr="007E38D2">
              <w:rPr>
                <w:rStyle w:val="Hyperlink"/>
              </w:rPr>
              <w:t>Final decision</w:t>
            </w:r>
            <w:r>
              <w:rPr>
                <w:webHidden/>
              </w:rPr>
              <w:tab/>
            </w:r>
            <w:r>
              <w:rPr>
                <w:webHidden/>
              </w:rPr>
              <w:fldChar w:fldCharType="begin"/>
            </w:r>
            <w:r>
              <w:rPr>
                <w:webHidden/>
              </w:rPr>
              <w:instrText xml:space="preserve"> PAGEREF _Toc451529902 \h </w:instrText>
            </w:r>
            <w:r>
              <w:rPr>
                <w:webHidden/>
              </w:rPr>
            </w:r>
            <w:r>
              <w:rPr>
                <w:webHidden/>
              </w:rPr>
              <w:fldChar w:fldCharType="separate"/>
            </w:r>
            <w:r>
              <w:rPr>
                <w:webHidden/>
              </w:rPr>
              <w:t>6-6</w:t>
            </w:r>
            <w:r>
              <w:rPr>
                <w:webHidden/>
              </w:rPr>
              <w:fldChar w:fldCharType="end"/>
            </w:r>
          </w:hyperlink>
        </w:p>
        <w:p w:rsidR="00E209D5" w:rsidRDefault="00E209D5">
          <w:pPr>
            <w:pStyle w:val="TOC3"/>
            <w:rPr>
              <w:rFonts w:asciiTheme="minorHAnsi" w:eastAsiaTheme="minorEastAsia" w:hAnsiTheme="minorHAnsi"/>
              <w:lang w:eastAsia="en-AU"/>
            </w:rPr>
          </w:pPr>
          <w:hyperlink w:anchor="_Toc451529903" w:history="1">
            <w:r w:rsidRPr="007E38D2">
              <w:rPr>
                <w:rStyle w:val="Hyperlink"/>
              </w:rPr>
              <w:t>6.1.1</w:t>
            </w:r>
            <w:r>
              <w:rPr>
                <w:rFonts w:asciiTheme="minorHAnsi" w:eastAsiaTheme="minorEastAsia" w:hAnsiTheme="minorHAnsi"/>
                <w:lang w:eastAsia="en-AU"/>
              </w:rPr>
              <w:tab/>
            </w:r>
            <w:r w:rsidRPr="007E38D2">
              <w:rPr>
                <w:rStyle w:val="Hyperlink"/>
              </w:rPr>
              <w:t>Conforming capex for 2010–16</w:t>
            </w:r>
            <w:r>
              <w:rPr>
                <w:webHidden/>
              </w:rPr>
              <w:tab/>
            </w:r>
            <w:r>
              <w:rPr>
                <w:webHidden/>
              </w:rPr>
              <w:fldChar w:fldCharType="begin"/>
            </w:r>
            <w:r>
              <w:rPr>
                <w:webHidden/>
              </w:rPr>
              <w:instrText xml:space="preserve"> PAGEREF _Toc451529903 \h </w:instrText>
            </w:r>
            <w:r>
              <w:rPr>
                <w:webHidden/>
              </w:rPr>
            </w:r>
            <w:r>
              <w:rPr>
                <w:webHidden/>
              </w:rPr>
              <w:fldChar w:fldCharType="separate"/>
            </w:r>
            <w:r>
              <w:rPr>
                <w:webHidden/>
              </w:rPr>
              <w:t>6-6</w:t>
            </w:r>
            <w:r>
              <w:rPr>
                <w:webHidden/>
              </w:rPr>
              <w:fldChar w:fldCharType="end"/>
            </w:r>
          </w:hyperlink>
        </w:p>
        <w:p w:rsidR="00E209D5" w:rsidRDefault="00E209D5">
          <w:pPr>
            <w:pStyle w:val="TOC3"/>
            <w:rPr>
              <w:rFonts w:asciiTheme="minorHAnsi" w:eastAsiaTheme="minorEastAsia" w:hAnsiTheme="minorHAnsi"/>
              <w:lang w:eastAsia="en-AU"/>
            </w:rPr>
          </w:pPr>
          <w:hyperlink w:anchor="_Toc451529904" w:history="1">
            <w:r w:rsidRPr="007E38D2">
              <w:rPr>
                <w:rStyle w:val="Hyperlink"/>
              </w:rPr>
              <w:t>6.1.2</w:t>
            </w:r>
            <w:r>
              <w:rPr>
                <w:rFonts w:asciiTheme="minorHAnsi" w:eastAsiaTheme="minorEastAsia" w:hAnsiTheme="minorHAnsi"/>
                <w:lang w:eastAsia="en-AU"/>
              </w:rPr>
              <w:tab/>
            </w:r>
            <w:r w:rsidRPr="007E38D2">
              <w:rPr>
                <w:rStyle w:val="Hyperlink"/>
              </w:rPr>
              <w:t>Conforming capex for the 2016–21 access arrangement period</w:t>
            </w:r>
            <w:r>
              <w:rPr>
                <w:webHidden/>
              </w:rPr>
              <w:tab/>
            </w:r>
            <w:r>
              <w:rPr>
                <w:webHidden/>
              </w:rPr>
              <w:fldChar w:fldCharType="begin"/>
            </w:r>
            <w:r>
              <w:rPr>
                <w:webHidden/>
              </w:rPr>
              <w:instrText xml:space="preserve"> PAGEREF _Toc451529904 \h </w:instrText>
            </w:r>
            <w:r>
              <w:rPr>
                <w:webHidden/>
              </w:rPr>
            </w:r>
            <w:r>
              <w:rPr>
                <w:webHidden/>
              </w:rPr>
              <w:fldChar w:fldCharType="separate"/>
            </w:r>
            <w:r>
              <w:rPr>
                <w:webHidden/>
              </w:rPr>
              <w:t>6-7</w:t>
            </w:r>
            <w:r>
              <w:rPr>
                <w:webHidden/>
              </w:rPr>
              <w:fldChar w:fldCharType="end"/>
            </w:r>
          </w:hyperlink>
        </w:p>
        <w:p w:rsidR="00E209D5" w:rsidRDefault="00E209D5">
          <w:pPr>
            <w:pStyle w:val="TOC2"/>
            <w:rPr>
              <w:rFonts w:asciiTheme="minorHAnsi" w:eastAsiaTheme="minorEastAsia" w:hAnsiTheme="minorHAnsi"/>
              <w:b w:val="0"/>
              <w:color w:val="auto"/>
              <w:sz w:val="22"/>
              <w:lang w:eastAsia="en-AU"/>
            </w:rPr>
          </w:pPr>
          <w:hyperlink w:anchor="_Toc451529905" w:history="1">
            <w:r w:rsidRPr="007E38D2">
              <w:rPr>
                <w:rStyle w:val="Hyperlink"/>
              </w:rPr>
              <w:t>6.2</w:t>
            </w:r>
            <w:r>
              <w:rPr>
                <w:rFonts w:asciiTheme="minorHAnsi" w:eastAsiaTheme="minorEastAsia" w:hAnsiTheme="minorHAnsi"/>
                <w:b w:val="0"/>
                <w:color w:val="auto"/>
                <w:sz w:val="22"/>
                <w:lang w:eastAsia="en-AU"/>
              </w:rPr>
              <w:tab/>
            </w:r>
            <w:r w:rsidRPr="007E38D2">
              <w:rPr>
                <w:rStyle w:val="Hyperlink"/>
              </w:rPr>
              <w:t>APTNT’s revised proposal</w:t>
            </w:r>
            <w:r>
              <w:rPr>
                <w:webHidden/>
              </w:rPr>
              <w:tab/>
            </w:r>
            <w:r>
              <w:rPr>
                <w:webHidden/>
              </w:rPr>
              <w:fldChar w:fldCharType="begin"/>
            </w:r>
            <w:r>
              <w:rPr>
                <w:webHidden/>
              </w:rPr>
              <w:instrText xml:space="preserve"> PAGEREF _Toc451529905 \h </w:instrText>
            </w:r>
            <w:r>
              <w:rPr>
                <w:webHidden/>
              </w:rPr>
            </w:r>
            <w:r>
              <w:rPr>
                <w:webHidden/>
              </w:rPr>
              <w:fldChar w:fldCharType="separate"/>
            </w:r>
            <w:r>
              <w:rPr>
                <w:webHidden/>
              </w:rPr>
              <w:t>6-9</w:t>
            </w:r>
            <w:r>
              <w:rPr>
                <w:webHidden/>
              </w:rPr>
              <w:fldChar w:fldCharType="end"/>
            </w:r>
          </w:hyperlink>
        </w:p>
        <w:p w:rsidR="00E209D5" w:rsidRDefault="00E209D5">
          <w:pPr>
            <w:pStyle w:val="TOC3"/>
            <w:rPr>
              <w:rFonts w:asciiTheme="minorHAnsi" w:eastAsiaTheme="minorEastAsia" w:hAnsiTheme="minorHAnsi"/>
              <w:lang w:eastAsia="en-AU"/>
            </w:rPr>
          </w:pPr>
          <w:hyperlink w:anchor="_Toc451529906" w:history="1">
            <w:r w:rsidRPr="007E38D2">
              <w:rPr>
                <w:rStyle w:val="Hyperlink"/>
              </w:rPr>
              <w:t>6.2.1</w:t>
            </w:r>
            <w:r>
              <w:rPr>
                <w:rFonts w:asciiTheme="minorHAnsi" w:eastAsiaTheme="minorEastAsia" w:hAnsiTheme="minorHAnsi"/>
                <w:lang w:eastAsia="en-AU"/>
              </w:rPr>
              <w:tab/>
            </w:r>
            <w:r w:rsidRPr="007E38D2">
              <w:rPr>
                <w:rStyle w:val="Hyperlink"/>
              </w:rPr>
              <w:t>Capital expenditure over the 2011–16 access arrangement period</w:t>
            </w:r>
            <w:r>
              <w:rPr>
                <w:webHidden/>
              </w:rPr>
              <w:tab/>
            </w:r>
            <w:r>
              <w:rPr>
                <w:webHidden/>
              </w:rPr>
              <w:fldChar w:fldCharType="begin"/>
            </w:r>
            <w:r>
              <w:rPr>
                <w:webHidden/>
              </w:rPr>
              <w:instrText xml:space="preserve"> PAGEREF _Toc451529906 \h </w:instrText>
            </w:r>
            <w:r>
              <w:rPr>
                <w:webHidden/>
              </w:rPr>
            </w:r>
            <w:r>
              <w:rPr>
                <w:webHidden/>
              </w:rPr>
              <w:fldChar w:fldCharType="separate"/>
            </w:r>
            <w:r>
              <w:rPr>
                <w:webHidden/>
              </w:rPr>
              <w:t>6-9</w:t>
            </w:r>
            <w:r>
              <w:rPr>
                <w:webHidden/>
              </w:rPr>
              <w:fldChar w:fldCharType="end"/>
            </w:r>
          </w:hyperlink>
        </w:p>
        <w:p w:rsidR="00E209D5" w:rsidRDefault="00E209D5">
          <w:pPr>
            <w:pStyle w:val="TOC3"/>
            <w:rPr>
              <w:rFonts w:asciiTheme="minorHAnsi" w:eastAsiaTheme="minorEastAsia" w:hAnsiTheme="minorHAnsi"/>
              <w:lang w:eastAsia="en-AU"/>
            </w:rPr>
          </w:pPr>
          <w:hyperlink w:anchor="_Toc451529907" w:history="1">
            <w:r w:rsidRPr="007E38D2">
              <w:rPr>
                <w:rStyle w:val="Hyperlink"/>
              </w:rPr>
              <w:t>6.2.2</w:t>
            </w:r>
            <w:r>
              <w:rPr>
                <w:rFonts w:asciiTheme="minorHAnsi" w:eastAsiaTheme="minorEastAsia" w:hAnsiTheme="minorHAnsi"/>
                <w:lang w:eastAsia="en-AU"/>
              </w:rPr>
              <w:tab/>
            </w:r>
            <w:r w:rsidRPr="007E38D2">
              <w:rPr>
                <w:rStyle w:val="Hyperlink"/>
              </w:rPr>
              <w:t>Capital expenditure for the 2016–21 access arrangement period</w:t>
            </w:r>
            <w:r>
              <w:rPr>
                <w:webHidden/>
              </w:rPr>
              <w:tab/>
            </w:r>
            <w:r>
              <w:rPr>
                <w:webHidden/>
              </w:rPr>
              <w:fldChar w:fldCharType="begin"/>
            </w:r>
            <w:r>
              <w:rPr>
                <w:webHidden/>
              </w:rPr>
              <w:instrText xml:space="preserve"> PAGEREF _Toc451529907 \h </w:instrText>
            </w:r>
            <w:r>
              <w:rPr>
                <w:webHidden/>
              </w:rPr>
            </w:r>
            <w:r>
              <w:rPr>
                <w:webHidden/>
              </w:rPr>
              <w:fldChar w:fldCharType="separate"/>
            </w:r>
            <w:r>
              <w:rPr>
                <w:webHidden/>
              </w:rPr>
              <w:t>6-10</w:t>
            </w:r>
            <w:r>
              <w:rPr>
                <w:webHidden/>
              </w:rPr>
              <w:fldChar w:fldCharType="end"/>
            </w:r>
          </w:hyperlink>
        </w:p>
        <w:p w:rsidR="00E209D5" w:rsidRDefault="00E209D5">
          <w:pPr>
            <w:pStyle w:val="TOC2"/>
            <w:rPr>
              <w:rFonts w:asciiTheme="minorHAnsi" w:eastAsiaTheme="minorEastAsia" w:hAnsiTheme="minorHAnsi"/>
              <w:b w:val="0"/>
              <w:color w:val="auto"/>
              <w:sz w:val="22"/>
              <w:lang w:eastAsia="en-AU"/>
            </w:rPr>
          </w:pPr>
          <w:hyperlink w:anchor="_Toc451529908" w:history="1">
            <w:r w:rsidRPr="007E38D2">
              <w:rPr>
                <w:rStyle w:val="Hyperlink"/>
              </w:rPr>
              <w:t>6.3</w:t>
            </w:r>
            <w:r>
              <w:rPr>
                <w:rFonts w:asciiTheme="minorHAnsi" w:eastAsiaTheme="minorEastAsia" w:hAnsiTheme="minorHAnsi"/>
                <w:b w:val="0"/>
                <w:color w:val="auto"/>
                <w:sz w:val="22"/>
                <w:lang w:eastAsia="en-AU"/>
              </w:rPr>
              <w:tab/>
            </w:r>
            <w:r w:rsidRPr="007E38D2">
              <w:rPr>
                <w:rStyle w:val="Hyperlink"/>
              </w:rPr>
              <w:t>AER’s assessment approach</w:t>
            </w:r>
            <w:r>
              <w:rPr>
                <w:webHidden/>
              </w:rPr>
              <w:tab/>
            </w:r>
            <w:r>
              <w:rPr>
                <w:webHidden/>
              </w:rPr>
              <w:fldChar w:fldCharType="begin"/>
            </w:r>
            <w:r>
              <w:rPr>
                <w:webHidden/>
              </w:rPr>
              <w:instrText xml:space="preserve"> PAGEREF _Toc451529908 \h </w:instrText>
            </w:r>
            <w:r>
              <w:rPr>
                <w:webHidden/>
              </w:rPr>
            </w:r>
            <w:r>
              <w:rPr>
                <w:webHidden/>
              </w:rPr>
              <w:fldChar w:fldCharType="separate"/>
            </w:r>
            <w:r>
              <w:rPr>
                <w:webHidden/>
              </w:rPr>
              <w:t>6-15</w:t>
            </w:r>
            <w:r>
              <w:rPr>
                <w:webHidden/>
              </w:rPr>
              <w:fldChar w:fldCharType="end"/>
            </w:r>
          </w:hyperlink>
        </w:p>
        <w:p w:rsidR="00E209D5" w:rsidRDefault="00E209D5">
          <w:pPr>
            <w:pStyle w:val="TOC2"/>
            <w:rPr>
              <w:rFonts w:asciiTheme="minorHAnsi" w:eastAsiaTheme="minorEastAsia" w:hAnsiTheme="minorHAnsi"/>
              <w:b w:val="0"/>
              <w:color w:val="auto"/>
              <w:sz w:val="22"/>
              <w:lang w:eastAsia="en-AU"/>
            </w:rPr>
          </w:pPr>
          <w:hyperlink w:anchor="_Toc451529909" w:history="1">
            <w:r w:rsidRPr="007E38D2">
              <w:rPr>
                <w:rStyle w:val="Hyperlink"/>
              </w:rPr>
              <w:t>6.4</w:t>
            </w:r>
            <w:r>
              <w:rPr>
                <w:rFonts w:asciiTheme="minorHAnsi" w:eastAsiaTheme="minorEastAsia" w:hAnsiTheme="minorHAnsi"/>
                <w:b w:val="0"/>
                <w:color w:val="auto"/>
                <w:sz w:val="22"/>
                <w:lang w:eastAsia="en-AU"/>
              </w:rPr>
              <w:tab/>
            </w:r>
            <w:r w:rsidRPr="007E38D2">
              <w:rPr>
                <w:rStyle w:val="Hyperlink"/>
              </w:rPr>
              <w:t>Reasons for final decision</w:t>
            </w:r>
            <w:r>
              <w:rPr>
                <w:webHidden/>
              </w:rPr>
              <w:tab/>
            </w:r>
            <w:r>
              <w:rPr>
                <w:webHidden/>
              </w:rPr>
              <w:fldChar w:fldCharType="begin"/>
            </w:r>
            <w:r>
              <w:rPr>
                <w:webHidden/>
              </w:rPr>
              <w:instrText xml:space="preserve"> PAGEREF _Toc451529909 \h </w:instrText>
            </w:r>
            <w:r>
              <w:rPr>
                <w:webHidden/>
              </w:rPr>
            </w:r>
            <w:r>
              <w:rPr>
                <w:webHidden/>
              </w:rPr>
              <w:fldChar w:fldCharType="separate"/>
            </w:r>
            <w:r>
              <w:rPr>
                <w:webHidden/>
              </w:rPr>
              <w:t>6-16</w:t>
            </w:r>
            <w:r>
              <w:rPr>
                <w:webHidden/>
              </w:rPr>
              <w:fldChar w:fldCharType="end"/>
            </w:r>
          </w:hyperlink>
        </w:p>
        <w:p w:rsidR="00E209D5" w:rsidRDefault="00E209D5">
          <w:pPr>
            <w:pStyle w:val="TOC3"/>
            <w:rPr>
              <w:rFonts w:asciiTheme="minorHAnsi" w:eastAsiaTheme="minorEastAsia" w:hAnsiTheme="minorHAnsi"/>
              <w:lang w:eastAsia="en-AU"/>
            </w:rPr>
          </w:pPr>
          <w:hyperlink w:anchor="_Toc451529910" w:history="1">
            <w:r w:rsidRPr="007E38D2">
              <w:rPr>
                <w:rStyle w:val="Hyperlink"/>
              </w:rPr>
              <w:t>6.4.1</w:t>
            </w:r>
            <w:r>
              <w:rPr>
                <w:rFonts w:asciiTheme="minorHAnsi" w:eastAsiaTheme="minorEastAsia" w:hAnsiTheme="minorHAnsi"/>
                <w:lang w:eastAsia="en-AU"/>
              </w:rPr>
              <w:tab/>
            </w:r>
            <w:r w:rsidRPr="007E38D2">
              <w:rPr>
                <w:rStyle w:val="Hyperlink"/>
              </w:rPr>
              <w:t>Conforming capex for 2010–16</w:t>
            </w:r>
            <w:r>
              <w:rPr>
                <w:webHidden/>
              </w:rPr>
              <w:tab/>
            </w:r>
            <w:r>
              <w:rPr>
                <w:webHidden/>
              </w:rPr>
              <w:fldChar w:fldCharType="begin"/>
            </w:r>
            <w:r>
              <w:rPr>
                <w:webHidden/>
              </w:rPr>
              <w:instrText xml:space="preserve"> PAGEREF _Toc451529910 \h </w:instrText>
            </w:r>
            <w:r>
              <w:rPr>
                <w:webHidden/>
              </w:rPr>
            </w:r>
            <w:r>
              <w:rPr>
                <w:webHidden/>
              </w:rPr>
              <w:fldChar w:fldCharType="separate"/>
            </w:r>
            <w:r>
              <w:rPr>
                <w:webHidden/>
              </w:rPr>
              <w:t>6-16</w:t>
            </w:r>
            <w:r>
              <w:rPr>
                <w:webHidden/>
              </w:rPr>
              <w:fldChar w:fldCharType="end"/>
            </w:r>
          </w:hyperlink>
        </w:p>
        <w:p w:rsidR="00E209D5" w:rsidRDefault="00E209D5">
          <w:pPr>
            <w:pStyle w:val="TOC3"/>
            <w:rPr>
              <w:rFonts w:asciiTheme="minorHAnsi" w:eastAsiaTheme="minorEastAsia" w:hAnsiTheme="minorHAnsi"/>
              <w:lang w:eastAsia="en-AU"/>
            </w:rPr>
          </w:pPr>
          <w:hyperlink w:anchor="_Toc451529911" w:history="1">
            <w:r w:rsidRPr="007E38D2">
              <w:rPr>
                <w:rStyle w:val="Hyperlink"/>
              </w:rPr>
              <w:t>6.4.2</w:t>
            </w:r>
            <w:r>
              <w:rPr>
                <w:rFonts w:asciiTheme="minorHAnsi" w:eastAsiaTheme="minorEastAsia" w:hAnsiTheme="minorHAnsi"/>
                <w:lang w:eastAsia="en-AU"/>
              </w:rPr>
              <w:tab/>
            </w:r>
            <w:r w:rsidRPr="007E38D2">
              <w:rPr>
                <w:rStyle w:val="Hyperlink"/>
              </w:rPr>
              <w:t>Conforming capex for the 2016–21 access arrangement period</w:t>
            </w:r>
            <w:r>
              <w:rPr>
                <w:webHidden/>
              </w:rPr>
              <w:tab/>
            </w:r>
            <w:r>
              <w:rPr>
                <w:webHidden/>
              </w:rPr>
              <w:fldChar w:fldCharType="begin"/>
            </w:r>
            <w:r>
              <w:rPr>
                <w:webHidden/>
              </w:rPr>
              <w:instrText xml:space="preserve"> PAGEREF _Toc451529911 \h </w:instrText>
            </w:r>
            <w:r>
              <w:rPr>
                <w:webHidden/>
              </w:rPr>
            </w:r>
            <w:r>
              <w:rPr>
                <w:webHidden/>
              </w:rPr>
              <w:fldChar w:fldCharType="separate"/>
            </w:r>
            <w:r>
              <w:rPr>
                <w:webHidden/>
              </w:rPr>
              <w:t>6-19</w:t>
            </w:r>
            <w:r>
              <w:rPr>
                <w:webHidden/>
              </w:rPr>
              <w:fldChar w:fldCharType="end"/>
            </w:r>
          </w:hyperlink>
        </w:p>
        <w:p w:rsidR="00E209D5" w:rsidRDefault="00E209D5">
          <w:pPr>
            <w:pStyle w:val="TOC3"/>
            <w:rPr>
              <w:rFonts w:asciiTheme="minorHAnsi" w:eastAsiaTheme="minorEastAsia" w:hAnsiTheme="minorHAnsi"/>
              <w:lang w:eastAsia="en-AU"/>
            </w:rPr>
          </w:pPr>
          <w:hyperlink w:anchor="_Toc451529912" w:history="1">
            <w:r w:rsidRPr="007E38D2">
              <w:rPr>
                <w:rStyle w:val="Hyperlink"/>
              </w:rPr>
              <w:t>6.4.3</w:t>
            </w:r>
            <w:r>
              <w:rPr>
                <w:rFonts w:asciiTheme="minorHAnsi" w:eastAsiaTheme="minorEastAsia" w:hAnsiTheme="minorHAnsi"/>
                <w:lang w:eastAsia="en-AU"/>
              </w:rPr>
              <w:tab/>
            </w:r>
            <w:r w:rsidRPr="007E38D2">
              <w:rPr>
                <w:rStyle w:val="Hyperlink"/>
              </w:rPr>
              <w:t>Labour cost escalation</w:t>
            </w:r>
            <w:r>
              <w:rPr>
                <w:webHidden/>
              </w:rPr>
              <w:tab/>
            </w:r>
            <w:r>
              <w:rPr>
                <w:webHidden/>
              </w:rPr>
              <w:fldChar w:fldCharType="begin"/>
            </w:r>
            <w:r>
              <w:rPr>
                <w:webHidden/>
              </w:rPr>
              <w:instrText xml:space="preserve"> PAGEREF _Toc451529912 \h </w:instrText>
            </w:r>
            <w:r>
              <w:rPr>
                <w:webHidden/>
              </w:rPr>
            </w:r>
            <w:r>
              <w:rPr>
                <w:webHidden/>
              </w:rPr>
              <w:fldChar w:fldCharType="separate"/>
            </w:r>
            <w:r>
              <w:rPr>
                <w:webHidden/>
              </w:rPr>
              <w:t>6-28</w:t>
            </w:r>
            <w:r>
              <w:rPr>
                <w:webHidden/>
              </w:rPr>
              <w:fldChar w:fldCharType="end"/>
            </w:r>
          </w:hyperlink>
        </w:p>
        <w:p w:rsidR="00DE563D" w:rsidRDefault="008A7C24">
          <w:pPr>
            <w:pStyle w:val="TOC1"/>
          </w:pPr>
          <w: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8" w:name="_Toc404700925"/>
      <w:bookmarkStart w:id="9" w:name="_Toc451529900"/>
      <w:r>
        <w:lastRenderedPageBreak/>
        <w:t>Shortened forms</w:t>
      </w:r>
      <w:bookmarkEnd w:id="8"/>
      <w:bookmarkEnd w:id="9"/>
    </w:p>
    <w:tbl>
      <w:tblPr>
        <w:tblStyle w:val="AERtable-numbers"/>
        <w:tblW w:w="8693" w:type="dxa"/>
        <w:tblLook w:val="04A0" w:firstRow="1" w:lastRow="0" w:firstColumn="1" w:lastColumn="0" w:noHBand="0" w:noVBand="1"/>
      </w:tblPr>
      <w:tblGrid>
        <w:gridCol w:w="2376"/>
        <w:gridCol w:w="1276"/>
        <w:gridCol w:w="5041"/>
      </w:tblGrid>
      <w:tr w:rsidR="00E7494F" w:rsidTr="00253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gridSpan w:val="2"/>
          </w:tcPr>
          <w:p w:rsidR="00E7494F" w:rsidRDefault="00E7494F" w:rsidP="00E7494F">
            <w:pPr>
              <w:numPr>
                <w:ilvl w:val="0"/>
                <w:numId w:val="24"/>
              </w:numPr>
            </w:pPr>
            <w:r>
              <w:t>Shortened form</w:t>
            </w:r>
          </w:p>
        </w:tc>
        <w:tc>
          <w:tcPr>
            <w:tcW w:w="5041" w:type="dxa"/>
          </w:tcPr>
          <w:p w:rsidR="00E7494F" w:rsidRDefault="00E7494F" w:rsidP="00E7494F">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253A9F" w:rsidRPr="00B2363F" w:rsidTr="00253A9F">
        <w:tc>
          <w:tcPr>
            <w:cnfStyle w:val="001000000000" w:firstRow="0" w:lastRow="0" w:firstColumn="1" w:lastColumn="0" w:oddVBand="0" w:evenVBand="0" w:oddHBand="0" w:evenHBand="0" w:firstRowFirstColumn="0" w:firstRowLastColumn="0" w:lastRowFirstColumn="0" w:lastRowLastColumn="0"/>
            <w:tcW w:w="2376" w:type="dxa"/>
          </w:tcPr>
          <w:p w:rsidR="00253A9F" w:rsidRPr="00F13601" w:rsidRDefault="00253A9F" w:rsidP="00253A9F">
            <w:pPr>
              <w:numPr>
                <w:ilvl w:val="0"/>
                <w:numId w:val="24"/>
              </w:numPr>
            </w:pPr>
            <w:r w:rsidRPr="00F13601">
              <w:t>AA</w:t>
            </w:r>
          </w:p>
        </w:tc>
        <w:tc>
          <w:tcPr>
            <w:tcW w:w="6317" w:type="dxa"/>
            <w:gridSpan w:val="2"/>
          </w:tcPr>
          <w:p w:rsidR="00253A9F" w:rsidRPr="00F13601" w:rsidRDefault="00253A9F" w:rsidP="00FC5A62">
            <w:pPr>
              <w:cnfStyle w:val="000000000000" w:firstRow="0" w:lastRow="0" w:firstColumn="0" w:lastColumn="0" w:oddVBand="0" w:evenVBand="0" w:oddHBand="0" w:evenHBand="0" w:firstRowFirstColumn="0" w:firstRowLastColumn="0" w:lastRowFirstColumn="0" w:lastRowLastColumn="0"/>
            </w:pPr>
            <w:r w:rsidRPr="00F13601">
              <w:t>Access Arrangement</w:t>
            </w:r>
          </w:p>
        </w:tc>
      </w:tr>
      <w:tr w:rsidR="00253A9F" w:rsidRPr="00B2363F" w:rsidTr="00253A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253A9F" w:rsidRPr="00F13601" w:rsidRDefault="00253A9F" w:rsidP="00253A9F">
            <w:pPr>
              <w:numPr>
                <w:ilvl w:val="0"/>
                <w:numId w:val="24"/>
              </w:numPr>
            </w:pPr>
            <w:r w:rsidRPr="00F13601">
              <w:t>AAI</w:t>
            </w:r>
          </w:p>
        </w:tc>
        <w:tc>
          <w:tcPr>
            <w:tcW w:w="6317" w:type="dxa"/>
            <w:gridSpan w:val="2"/>
          </w:tcPr>
          <w:p w:rsidR="00253A9F" w:rsidRPr="00F13601" w:rsidRDefault="00253A9F" w:rsidP="00FC5A62">
            <w:pPr>
              <w:cnfStyle w:val="000000010000" w:firstRow="0" w:lastRow="0" w:firstColumn="0" w:lastColumn="0" w:oddVBand="0" w:evenVBand="0" w:oddHBand="0" w:evenHBand="1" w:firstRowFirstColumn="0" w:firstRowLastColumn="0" w:lastRowFirstColumn="0" w:lastRowLastColumn="0"/>
            </w:pPr>
            <w:r w:rsidRPr="00F13601">
              <w:t>Access Arrangement Information</w:t>
            </w:r>
          </w:p>
        </w:tc>
      </w:tr>
      <w:tr w:rsidR="00253A9F" w:rsidRPr="00B2363F" w:rsidTr="00253A9F">
        <w:tc>
          <w:tcPr>
            <w:cnfStyle w:val="001000000000" w:firstRow="0" w:lastRow="0" w:firstColumn="1" w:lastColumn="0" w:oddVBand="0" w:evenVBand="0" w:oddHBand="0" w:evenHBand="0" w:firstRowFirstColumn="0" w:firstRowLastColumn="0" w:lastRowFirstColumn="0" w:lastRowLastColumn="0"/>
            <w:tcW w:w="2376" w:type="dxa"/>
          </w:tcPr>
          <w:p w:rsidR="00253A9F" w:rsidRPr="00F13601" w:rsidRDefault="00253A9F" w:rsidP="00253A9F">
            <w:pPr>
              <w:numPr>
                <w:ilvl w:val="0"/>
                <w:numId w:val="24"/>
              </w:numPr>
            </w:pPr>
            <w:r w:rsidRPr="00F035E7">
              <w:t>APTNT</w:t>
            </w:r>
          </w:p>
        </w:tc>
        <w:tc>
          <w:tcPr>
            <w:tcW w:w="6317" w:type="dxa"/>
            <w:gridSpan w:val="2"/>
          </w:tcPr>
          <w:p w:rsidR="00253A9F" w:rsidRPr="00F13601" w:rsidRDefault="00253A9F" w:rsidP="00253A9F">
            <w:pPr>
              <w:numPr>
                <w:ilvl w:val="0"/>
                <w:numId w:val="24"/>
              </w:numPr>
              <w:cnfStyle w:val="000000000000" w:firstRow="0" w:lastRow="0" w:firstColumn="0" w:lastColumn="0" w:oddVBand="0" w:evenVBand="0" w:oddHBand="0" w:evenHBand="0" w:firstRowFirstColumn="0" w:firstRowLastColumn="0" w:lastRowFirstColumn="0" w:lastRowLastColumn="0"/>
            </w:pPr>
            <w:r w:rsidRPr="00F035E7">
              <w:t>APT Pipelines (NT) Pty Limited (APTNT)</w:t>
            </w:r>
          </w:p>
        </w:tc>
      </w:tr>
      <w:tr w:rsidR="00253A9F" w:rsidRPr="00B2363F" w:rsidTr="00253A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253A9F" w:rsidRPr="00F13601" w:rsidRDefault="00253A9F" w:rsidP="00253A9F">
            <w:pPr>
              <w:numPr>
                <w:ilvl w:val="0"/>
                <w:numId w:val="24"/>
              </w:numPr>
            </w:pPr>
            <w:r w:rsidRPr="00F13601">
              <w:t>AER</w:t>
            </w:r>
          </w:p>
        </w:tc>
        <w:tc>
          <w:tcPr>
            <w:tcW w:w="6317" w:type="dxa"/>
            <w:gridSpan w:val="2"/>
          </w:tcPr>
          <w:p w:rsidR="00253A9F" w:rsidRPr="00F13601" w:rsidRDefault="00253A9F" w:rsidP="00253A9F">
            <w:pPr>
              <w:numPr>
                <w:ilvl w:val="0"/>
                <w:numId w:val="24"/>
              </w:numPr>
              <w:cnfStyle w:val="000000010000" w:firstRow="0" w:lastRow="0" w:firstColumn="0" w:lastColumn="0" w:oddVBand="0" w:evenVBand="0" w:oddHBand="0" w:evenHBand="1" w:firstRowFirstColumn="0" w:firstRowLastColumn="0" w:lastRowFirstColumn="0" w:lastRowLastColumn="0"/>
            </w:pPr>
            <w:r w:rsidRPr="00F13601">
              <w:t>Australian Energy Regulator</w:t>
            </w:r>
          </w:p>
        </w:tc>
      </w:tr>
      <w:tr w:rsidR="00253A9F" w:rsidRPr="00B2363F" w:rsidTr="00253A9F">
        <w:tc>
          <w:tcPr>
            <w:cnfStyle w:val="001000000000" w:firstRow="0" w:lastRow="0" w:firstColumn="1" w:lastColumn="0" w:oddVBand="0" w:evenVBand="0" w:oddHBand="0" w:evenHBand="0" w:firstRowFirstColumn="0" w:firstRowLastColumn="0" w:lastRowFirstColumn="0" w:lastRowLastColumn="0"/>
            <w:tcW w:w="2376" w:type="dxa"/>
          </w:tcPr>
          <w:p w:rsidR="00253A9F" w:rsidRPr="00F13601" w:rsidRDefault="00253A9F" w:rsidP="00253A9F">
            <w:pPr>
              <w:numPr>
                <w:ilvl w:val="0"/>
                <w:numId w:val="24"/>
              </w:numPr>
            </w:pPr>
            <w:r>
              <w:t>AGP</w:t>
            </w:r>
          </w:p>
        </w:tc>
        <w:tc>
          <w:tcPr>
            <w:tcW w:w="6317" w:type="dxa"/>
            <w:gridSpan w:val="2"/>
          </w:tcPr>
          <w:p w:rsidR="00253A9F" w:rsidRPr="00F13601" w:rsidRDefault="00253A9F" w:rsidP="00FC5A62">
            <w:pPr>
              <w:cnfStyle w:val="000000000000" w:firstRow="0" w:lastRow="0" w:firstColumn="0" w:lastColumn="0" w:oddVBand="0" w:evenVBand="0" w:oddHBand="0" w:evenHBand="0" w:firstRowFirstColumn="0" w:firstRowLastColumn="0" w:lastRowFirstColumn="0" w:lastRowLastColumn="0"/>
            </w:pPr>
            <w:r>
              <w:t>Amadeus Gas Pipeline</w:t>
            </w:r>
          </w:p>
        </w:tc>
      </w:tr>
      <w:tr w:rsidR="00253A9F" w:rsidRPr="00B2363F" w:rsidTr="00253A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253A9F" w:rsidRPr="00F13601" w:rsidRDefault="00253A9F" w:rsidP="00253A9F">
            <w:pPr>
              <w:numPr>
                <w:ilvl w:val="0"/>
                <w:numId w:val="24"/>
              </w:numPr>
            </w:pPr>
            <w:r w:rsidRPr="00F13601">
              <w:t>ATO</w:t>
            </w:r>
          </w:p>
        </w:tc>
        <w:tc>
          <w:tcPr>
            <w:tcW w:w="6317" w:type="dxa"/>
            <w:gridSpan w:val="2"/>
          </w:tcPr>
          <w:p w:rsidR="00253A9F" w:rsidRPr="00F13601" w:rsidRDefault="00253A9F" w:rsidP="00FC5A62">
            <w:pPr>
              <w:cnfStyle w:val="000000010000" w:firstRow="0" w:lastRow="0" w:firstColumn="0" w:lastColumn="0" w:oddVBand="0" w:evenVBand="0" w:oddHBand="0" w:evenHBand="1" w:firstRowFirstColumn="0" w:firstRowLastColumn="0" w:lastRowFirstColumn="0" w:lastRowLastColumn="0"/>
            </w:pPr>
            <w:r w:rsidRPr="00F13601">
              <w:t>Australian Tax Office</w:t>
            </w:r>
          </w:p>
        </w:tc>
      </w:tr>
      <w:tr w:rsidR="00253A9F" w:rsidRPr="00B2363F" w:rsidTr="00253A9F">
        <w:tc>
          <w:tcPr>
            <w:cnfStyle w:val="001000000000" w:firstRow="0" w:lastRow="0" w:firstColumn="1" w:lastColumn="0" w:oddVBand="0" w:evenVBand="0" w:oddHBand="0" w:evenHBand="0" w:firstRowFirstColumn="0" w:firstRowLastColumn="0" w:lastRowFirstColumn="0" w:lastRowLastColumn="0"/>
            <w:tcW w:w="2376" w:type="dxa"/>
          </w:tcPr>
          <w:p w:rsidR="00253A9F" w:rsidRPr="00F13601" w:rsidRDefault="00253A9F" w:rsidP="00253A9F">
            <w:pPr>
              <w:numPr>
                <w:ilvl w:val="0"/>
                <w:numId w:val="24"/>
              </w:numPr>
            </w:pPr>
            <w:r w:rsidRPr="00F13601">
              <w:t>capex</w:t>
            </w:r>
          </w:p>
        </w:tc>
        <w:tc>
          <w:tcPr>
            <w:tcW w:w="6317" w:type="dxa"/>
            <w:gridSpan w:val="2"/>
          </w:tcPr>
          <w:p w:rsidR="00253A9F" w:rsidRPr="00F13601" w:rsidRDefault="00253A9F" w:rsidP="00253A9F">
            <w:pPr>
              <w:numPr>
                <w:ilvl w:val="0"/>
                <w:numId w:val="24"/>
              </w:numPr>
              <w:cnfStyle w:val="000000000000" w:firstRow="0" w:lastRow="0" w:firstColumn="0" w:lastColumn="0" w:oddVBand="0" w:evenVBand="0" w:oddHBand="0" w:evenHBand="0" w:firstRowFirstColumn="0" w:firstRowLastColumn="0" w:lastRowFirstColumn="0" w:lastRowLastColumn="0"/>
            </w:pPr>
            <w:r w:rsidRPr="00F13601">
              <w:t>capital expenditure</w:t>
            </w:r>
          </w:p>
        </w:tc>
      </w:tr>
      <w:tr w:rsidR="00253A9F" w:rsidRPr="00B2363F" w:rsidTr="00253A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253A9F" w:rsidRPr="00F13601" w:rsidRDefault="00253A9F" w:rsidP="00253A9F">
            <w:pPr>
              <w:numPr>
                <w:ilvl w:val="0"/>
                <w:numId w:val="24"/>
              </w:numPr>
            </w:pPr>
            <w:r w:rsidRPr="00F13601">
              <w:t>CAPM</w:t>
            </w:r>
          </w:p>
        </w:tc>
        <w:tc>
          <w:tcPr>
            <w:tcW w:w="6317" w:type="dxa"/>
            <w:gridSpan w:val="2"/>
          </w:tcPr>
          <w:p w:rsidR="00253A9F" w:rsidRPr="00F13601" w:rsidRDefault="00253A9F" w:rsidP="00253A9F">
            <w:pPr>
              <w:numPr>
                <w:ilvl w:val="0"/>
                <w:numId w:val="24"/>
              </w:numPr>
              <w:cnfStyle w:val="000000010000" w:firstRow="0" w:lastRow="0" w:firstColumn="0" w:lastColumn="0" w:oddVBand="0" w:evenVBand="0" w:oddHBand="0" w:evenHBand="1" w:firstRowFirstColumn="0" w:firstRowLastColumn="0" w:lastRowFirstColumn="0" w:lastRowLastColumn="0"/>
            </w:pPr>
            <w:r w:rsidRPr="00F13601">
              <w:t>capital asset pricing model</w:t>
            </w:r>
          </w:p>
        </w:tc>
      </w:tr>
      <w:tr w:rsidR="00253A9F" w:rsidRPr="00B2363F" w:rsidTr="00253A9F">
        <w:tc>
          <w:tcPr>
            <w:cnfStyle w:val="001000000000" w:firstRow="0" w:lastRow="0" w:firstColumn="1" w:lastColumn="0" w:oddVBand="0" w:evenVBand="0" w:oddHBand="0" w:evenHBand="0" w:firstRowFirstColumn="0" w:firstRowLastColumn="0" w:lastRowFirstColumn="0" w:lastRowLastColumn="0"/>
            <w:tcW w:w="2376" w:type="dxa"/>
          </w:tcPr>
          <w:p w:rsidR="00253A9F" w:rsidRPr="00F13601" w:rsidRDefault="00253A9F" w:rsidP="00253A9F">
            <w:pPr>
              <w:numPr>
                <w:ilvl w:val="0"/>
                <w:numId w:val="24"/>
              </w:numPr>
            </w:pPr>
            <w:r w:rsidRPr="00F13601">
              <w:t>CPI</w:t>
            </w:r>
          </w:p>
        </w:tc>
        <w:tc>
          <w:tcPr>
            <w:tcW w:w="6317" w:type="dxa"/>
            <w:gridSpan w:val="2"/>
          </w:tcPr>
          <w:p w:rsidR="00253A9F" w:rsidRPr="00F13601" w:rsidRDefault="00253A9F" w:rsidP="00253A9F">
            <w:pPr>
              <w:numPr>
                <w:ilvl w:val="0"/>
                <w:numId w:val="24"/>
              </w:numPr>
              <w:cnfStyle w:val="000000000000" w:firstRow="0" w:lastRow="0" w:firstColumn="0" w:lastColumn="0" w:oddVBand="0" w:evenVBand="0" w:oddHBand="0" w:evenHBand="0" w:firstRowFirstColumn="0" w:firstRowLastColumn="0" w:lastRowFirstColumn="0" w:lastRowLastColumn="0"/>
            </w:pPr>
            <w:r w:rsidRPr="00F13601">
              <w:t>consumer price index</w:t>
            </w:r>
          </w:p>
        </w:tc>
      </w:tr>
      <w:tr w:rsidR="00253A9F" w:rsidRPr="00B2363F" w:rsidTr="00253A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253A9F" w:rsidRPr="00F13601" w:rsidRDefault="00253A9F" w:rsidP="00253A9F">
            <w:pPr>
              <w:numPr>
                <w:ilvl w:val="0"/>
                <w:numId w:val="24"/>
              </w:numPr>
            </w:pPr>
            <w:r w:rsidRPr="00F13601">
              <w:t>DRP</w:t>
            </w:r>
          </w:p>
        </w:tc>
        <w:tc>
          <w:tcPr>
            <w:tcW w:w="6317" w:type="dxa"/>
            <w:gridSpan w:val="2"/>
          </w:tcPr>
          <w:p w:rsidR="00253A9F" w:rsidRPr="00F13601" w:rsidRDefault="00253A9F" w:rsidP="00253A9F">
            <w:pPr>
              <w:numPr>
                <w:ilvl w:val="0"/>
                <w:numId w:val="24"/>
              </w:numPr>
              <w:cnfStyle w:val="000000010000" w:firstRow="0" w:lastRow="0" w:firstColumn="0" w:lastColumn="0" w:oddVBand="0" w:evenVBand="0" w:oddHBand="0" w:evenHBand="1" w:firstRowFirstColumn="0" w:firstRowLastColumn="0" w:lastRowFirstColumn="0" w:lastRowLastColumn="0"/>
            </w:pPr>
            <w:r w:rsidRPr="00F13601">
              <w:t>debt risk premium</w:t>
            </w:r>
          </w:p>
        </w:tc>
      </w:tr>
      <w:tr w:rsidR="00253A9F" w:rsidRPr="00B2363F" w:rsidTr="00253A9F">
        <w:tc>
          <w:tcPr>
            <w:cnfStyle w:val="001000000000" w:firstRow="0" w:lastRow="0" w:firstColumn="1" w:lastColumn="0" w:oddVBand="0" w:evenVBand="0" w:oddHBand="0" w:evenHBand="0" w:firstRowFirstColumn="0" w:firstRowLastColumn="0" w:lastRowFirstColumn="0" w:lastRowLastColumn="0"/>
            <w:tcW w:w="2376" w:type="dxa"/>
          </w:tcPr>
          <w:p w:rsidR="00253A9F" w:rsidRPr="00B2363F" w:rsidRDefault="00253A9F" w:rsidP="00253A9F">
            <w:pPr>
              <w:numPr>
                <w:ilvl w:val="0"/>
                <w:numId w:val="24"/>
              </w:numPr>
            </w:pPr>
            <w:r>
              <w:t>ECM</w:t>
            </w:r>
          </w:p>
        </w:tc>
        <w:tc>
          <w:tcPr>
            <w:tcW w:w="6317" w:type="dxa"/>
            <w:gridSpan w:val="2"/>
          </w:tcPr>
          <w:p w:rsidR="00253A9F" w:rsidRPr="00F13601" w:rsidRDefault="00253A9F" w:rsidP="00FC5A62">
            <w:pPr>
              <w:cnfStyle w:val="000000000000" w:firstRow="0" w:lastRow="0" w:firstColumn="0" w:lastColumn="0" w:oddVBand="0" w:evenVBand="0" w:oddHBand="0" w:evenHBand="0" w:firstRowFirstColumn="0" w:firstRowLastColumn="0" w:lastRowFirstColumn="0" w:lastRowLastColumn="0"/>
            </w:pPr>
            <w:r>
              <w:t>Efficiency carryover mechanism</w:t>
            </w:r>
          </w:p>
        </w:tc>
      </w:tr>
      <w:tr w:rsidR="00253A9F" w:rsidRPr="00B2363F" w:rsidTr="00253A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253A9F" w:rsidRPr="00F13601" w:rsidRDefault="00253A9F" w:rsidP="00253A9F">
            <w:pPr>
              <w:numPr>
                <w:ilvl w:val="0"/>
                <w:numId w:val="24"/>
              </w:numPr>
            </w:pPr>
            <w:r w:rsidRPr="00F13601">
              <w:t>ERP</w:t>
            </w:r>
          </w:p>
        </w:tc>
        <w:tc>
          <w:tcPr>
            <w:tcW w:w="6317" w:type="dxa"/>
            <w:gridSpan w:val="2"/>
          </w:tcPr>
          <w:p w:rsidR="00253A9F" w:rsidRPr="00F13601" w:rsidRDefault="00253A9F" w:rsidP="00253A9F">
            <w:pPr>
              <w:numPr>
                <w:ilvl w:val="0"/>
                <w:numId w:val="24"/>
              </w:numPr>
              <w:cnfStyle w:val="000000010000" w:firstRow="0" w:lastRow="0" w:firstColumn="0" w:lastColumn="0" w:oddVBand="0" w:evenVBand="0" w:oddHBand="0" w:evenHBand="1" w:firstRowFirstColumn="0" w:firstRowLastColumn="0" w:lastRowFirstColumn="0" w:lastRowLastColumn="0"/>
            </w:pPr>
            <w:r w:rsidRPr="00F13601">
              <w:t>equity risk premium</w:t>
            </w:r>
          </w:p>
        </w:tc>
      </w:tr>
      <w:tr w:rsidR="00253A9F" w:rsidRPr="00B2363F" w:rsidTr="00253A9F">
        <w:tc>
          <w:tcPr>
            <w:cnfStyle w:val="001000000000" w:firstRow="0" w:lastRow="0" w:firstColumn="1" w:lastColumn="0" w:oddVBand="0" w:evenVBand="0" w:oddHBand="0" w:evenHBand="0" w:firstRowFirstColumn="0" w:firstRowLastColumn="0" w:lastRowFirstColumn="0" w:lastRowLastColumn="0"/>
            <w:tcW w:w="2376" w:type="dxa"/>
          </w:tcPr>
          <w:p w:rsidR="00253A9F" w:rsidRPr="00F13601" w:rsidRDefault="00253A9F" w:rsidP="00253A9F">
            <w:pPr>
              <w:numPr>
                <w:ilvl w:val="0"/>
                <w:numId w:val="24"/>
              </w:numPr>
            </w:pPr>
            <w:r w:rsidRPr="00F13601">
              <w:t>Expenditure Guideline</w:t>
            </w:r>
          </w:p>
        </w:tc>
        <w:tc>
          <w:tcPr>
            <w:tcW w:w="6317" w:type="dxa"/>
            <w:gridSpan w:val="2"/>
          </w:tcPr>
          <w:p w:rsidR="00253A9F" w:rsidRPr="00F13601" w:rsidRDefault="00253A9F" w:rsidP="00FC5A62">
            <w:pPr>
              <w:cnfStyle w:val="000000000000" w:firstRow="0" w:lastRow="0" w:firstColumn="0" w:lastColumn="0" w:oddVBand="0" w:evenVBand="0" w:oddHBand="0" w:evenHBand="0" w:firstRowFirstColumn="0" w:firstRowLastColumn="0" w:lastRowFirstColumn="0" w:lastRowLastColumn="0"/>
            </w:pPr>
            <w:r w:rsidRPr="00F13601">
              <w:t>Expenditure Forecast Assessment Guideline</w:t>
            </w:r>
          </w:p>
        </w:tc>
      </w:tr>
      <w:tr w:rsidR="00253A9F" w:rsidRPr="00B2363F" w:rsidTr="00253A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253A9F" w:rsidRPr="00F13601" w:rsidRDefault="00253A9F" w:rsidP="00253A9F">
            <w:pPr>
              <w:numPr>
                <w:ilvl w:val="0"/>
                <w:numId w:val="24"/>
              </w:numPr>
            </w:pPr>
            <w:r w:rsidRPr="00F13601">
              <w:t>gamma</w:t>
            </w:r>
          </w:p>
        </w:tc>
        <w:tc>
          <w:tcPr>
            <w:tcW w:w="6317" w:type="dxa"/>
            <w:gridSpan w:val="2"/>
          </w:tcPr>
          <w:p w:rsidR="00253A9F" w:rsidRPr="00F13601" w:rsidRDefault="00253A9F" w:rsidP="00FC5A62">
            <w:pPr>
              <w:cnfStyle w:val="000000010000" w:firstRow="0" w:lastRow="0" w:firstColumn="0" w:lastColumn="0" w:oddVBand="0" w:evenVBand="0" w:oddHBand="0" w:evenHBand="1" w:firstRowFirstColumn="0" w:firstRowLastColumn="0" w:lastRowFirstColumn="0" w:lastRowLastColumn="0"/>
            </w:pPr>
            <w:r>
              <w:t>v</w:t>
            </w:r>
            <w:r w:rsidRPr="00F13601">
              <w:t>alue of imputation credits</w:t>
            </w:r>
          </w:p>
        </w:tc>
      </w:tr>
      <w:tr w:rsidR="00253A9F" w:rsidRPr="00B2363F" w:rsidTr="00253A9F">
        <w:tc>
          <w:tcPr>
            <w:cnfStyle w:val="001000000000" w:firstRow="0" w:lastRow="0" w:firstColumn="1" w:lastColumn="0" w:oddVBand="0" w:evenVBand="0" w:oddHBand="0" w:evenHBand="0" w:firstRowFirstColumn="0" w:firstRowLastColumn="0" w:lastRowFirstColumn="0" w:lastRowLastColumn="0"/>
            <w:tcW w:w="2376" w:type="dxa"/>
          </w:tcPr>
          <w:p w:rsidR="00253A9F" w:rsidRPr="00F13601" w:rsidRDefault="00253A9F" w:rsidP="00253A9F">
            <w:pPr>
              <w:numPr>
                <w:ilvl w:val="0"/>
                <w:numId w:val="24"/>
              </w:numPr>
            </w:pPr>
            <w:r w:rsidRPr="00F13601">
              <w:t>GTA</w:t>
            </w:r>
          </w:p>
        </w:tc>
        <w:tc>
          <w:tcPr>
            <w:tcW w:w="6317" w:type="dxa"/>
            <w:gridSpan w:val="2"/>
          </w:tcPr>
          <w:p w:rsidR="00253A9F" w:rsidRPr="00F13601" w:rsidRDefault="00253A9F" w:rsidP="00FC5A62">
            <w:pPr>
              <w:cnfStyle w:val="000000000000" w:firstRow="0" w:lastRow="0" w:firstColumn="0" w:lastColumn="0" w:oddVBand="0" w:evenVBand="0" w:oddHBand="0" w:evenHBand="0" w:firstRowFirstColumn="0" w:firstRowLastColumn="0" w:lastRowFirstColumn="0" w:lastRowLastColumn="0"/>
            </w:pPr>
            <w:r>
              <w:t>G</w:t>
            </w:r>
            <w:r w:rsidRPr="00F13601">
              <w:t>as Transport Services Agreement</w:t>
            </w:r>
          </w:p>
        </w:tc>
      </w:tr>
      <w:tr w:rsidR="00253A9F" w:rsidRPr="00B2363F" w:rsidTr="00253A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253A9F" w:rsidRPr="00F13601" w:rsidRDefault="00253A9F" w:rsidP="00253A9F">
            <w:pPr>
              <w:numPr>
                <w:ilvl w:val="0"/>
                <w:numId w:val="24"/>
              </w:numPr>
            </w:pPr>
            <w:r w:rsidRPr="00F13601">
              <w:t>MRP</w:t>
            </w:r>
          </w:p>
        </w:tc>
        <w:tc>
          <w:tcPr>
            <w:tcW w:w="6317" w:type="dxa"/>
            <w:gridSpan w:val="2"/>
          </w:tcPr>
          <w:p w:rsidR="00253A9F" w:rsidRPr="00F13601" w:rsidRDefault="00253A9F" w:rsidP="00253A9F">
            <w:pPr>
              <w:numPr>
                <w:ilvl w:val="0"/>
                <w:numId w:val="24"/>
              </w:numPr>
              <w:cnfStyle w:val="000000010000" w:firstRow="0" w:lastRow="0" w:firstColumn="0" w:lastColumn="0" w:oddVBand="0" w:evenVBand="0" w:oddHBand="0" w:evenHBand="1" w:firstRowFirstColumn="0" w:firstRowLastColumn="0" w:lastRowFirstColumn="0" w:lastRowLastColumn="0"/>
            </w:pPr>
            <w:r w:rsidRPr="00F13601">
              <w:t>market risk premium</w:t>
            </w:r>
          </w:p>
        </w:tc>
      </w:tr>
      <w:tr w:rsidR="00253A9F" w:rsidRPr="00B2363F" w:rsidTr="00253A9F">
        <w:tc>
          <w:tcPr>
            <w:cnfStyle w:val="001000000000" w:firstRow="0" w:lastRow="0" w:firstColumn="1" w:lastColumn="0" w:oddVBand="0" w:evenVBand="0" w:oddHBand="0" w:evenHBand="0" w:firstRowFirstColumn="0" w:firstRowLastColumn="0" w:lastRowFirstColumn="0" w:lastRowLastColumn="0"/>
            <w:tcW w:w="2376" w:type="dxa"/>
          </w:tcPr>
          <w:p w:rsidR="00253A9F" w:rsidRPr="00F13601" w:rsidRDefault="00253A9F" w:rsidP="00253A9F">
            <w:pPr>
              <w:numPr>
                <w:ilvl w:val="0"/>
                <w:numId w:val="24"/>
              </w:numPr>
            </w:pPr>
            <w:r w:rsidRPr="00F13601">
              <w:t>N</w:t>
            </w:r>
            <w:r>
              <w:t>GP</w:t>
            </w:r>
          </w:p>
        </w:tc>
        <w:tc>
          <w:tcPr>
            <w:tcW w:w="6317" w:type="dxa"/>
            <w:gridSpan w:val="2"/>
          </w:tcPr>
          <w:p w:rsidR="00253A9F" w:rsidRPr="00F13601" w:rsidRDefault="00253A9F" w:rsidP="00253A9F">
            <w:pPr>
              <w:numPr>
                <w:ilvl w:val="0"/>
                <w:numId w:val="24"/>
              </w:numPr>
              <w:cnfStyle w:val="000000000000" w:firstRow="0" w:lastRow="0" w:firstColumn="0" w:lastColumn="0" w:oddVBand="0" w:evenVBand="0" w:oddHBand="0" w:evenHBand="0" w:firstRowFirstColumn="0" w:firstRowLastColumn="0" w:lastRowFirstColumn="0" w:lastRowLastColumn="0"/>
            </w:pPr>
            <w:r>
              <w:t>Northern Gas Pipeline (formerly North East Gas Interconnector/NEGI)</w:t>
            </w:r>
          </w:p>
        </w:tc>
      </w:tr>
      <w:tr w:rsidR="00253A9F" w:rsidRPr="00B2363F" w:rsidTr="00253A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253A9F" w:rsidRPr="00F13601" w:rsidRDefault="00253A9F" w:rsidP="00253A9F">
            <w:pPr>
              <w:numPr>
                <w:ilvl w:val="0"/>
                <w:numId w:val="24"/>
              </w:numPr>
            </w:pPr>
            <w:r w:rsidRPr="00F13601">
              <w:t>NGL</w:t>
            </w:r>
          </w:p>
        </w:tc>
        <w:tc>
          <w:tcPr>
            <w:tcW w:w="6317" w:type="dxa"/>
            <w:gridSpan w:val="2"/>
          </w:tcPr>
          <w:p w:rsidR="00253A9F" w:rsidRPr="00F13601" w:rsidRDefault="00253A9F" w:rsidP="00253A9F">
            <w:pPr>
              <w:numPr>
                <w:ilvl w:val="0"/>
                <w:numId w:val="24"/>
              </w:numPr>
              <w:cnfStyle w:val="000000010000" w:firstRow="0" w:lastRow="0" w:firstColumn="0" w:lastColumn="0" w:oddVBand="0" w:evenVBand="0" w:oddHBand="0" w:evenHBand="1" w:firstRowFirstColumn="0" w:firstRowLastColumn="0" w:lastRowFirstColumn="0" w:lastRowLastColumn="0"/>
            </w:pPr>
            <w:r>
              <w:t>N</w:t>
            </w:r>
            <w:r w:rsidRPr="00F13601">
              <w:t xml:space="preserve">ational </w:t>
            </w:r>
            <w:r>
              <w:t>G</w:t>
            </w:r>
            <w:r w:rsidRPr="00F13601">
              <w:t xml:space="preserve">as </w:t>
            </w:r>
            <w:r>
              <w:t>L</w:t>
            </w:r>
            <w:r w:rsidRPr="00F13601">
              <w:t>aw</w:t>
            </w:r>
          </w:p>
        </w:tc>
      </w:tr>
      <w:tr w:rsidR="00253A9F" w:rsidRPr="00B2363F" w:rsidTr="00253A9F">
        <w:tc>
          <w:tcPr>
            <w:cnfStyle w:val="001000000000" w:firstRow="0" w:lastRow="0" w:firstColumn="1" w:lastColumn="0" w:oddVBand="0" w:evenVBand="0" w:oddHBand="0" w:evenHBand="0" w:firstRowFirstColumn="0" w:firstRowLastColumn="0" w:lastRowFirstColumn="0" w:lastRowLastColumn="0"/>
            <w:tcW w:w="2376" w:type="dxa"/>
          </w:tcPr>
          <w:p w:rsidR="00253A9F" w:rsidRPr="00F13601" w:rsidRDefault="00253A9F" w:rsidP="00253A9F">
            <w:pPr>
              <w:numPr>
                <w:ilvl w:val="0"/>
                <w:numId w:val="24"/>
              </w:numPr>
            </w:pPr>
            <w:r w:rsidRPr="00F13601">
              <w:t>NGO</w:t>
            </w:r>
          </w:p>
        </w:tc>
        <w:tc>
          <w:tcPr>
            <w:tcW w:w="6317" w:type="dxa"/>
            <w:gridSpan w:val="2"/>
          </w:tcPr>
          <w:p w:rsidR="00253A9F" w:rsidRPr="00F13601" w:rsidRDefault="00253A9F" w:rsidP="00253A9F">
            <w:pPr>
              <w:numPr>
                <w:ilvl w:val="0"/>
                <w:numId w:val="24"/>
              </w:numPr>
              <w:cnfStyle w:val="000000000000" w:firstRow="0" w:lastRow="0" w:firstColumn="0" w:lastColumn="0" w:oddVBand="0" w:evenVBand="0" w:oddHBand="0" w:evenHBand="0" w:firstRowFirstColumn="0" w:firstRowLastColumn="0" w:lastRowFirstColumn="0" w:lastRowLastColumn="0"/>
            </w:pPr>
            <w:r>
              <w:t>N</w:t>
            </w:r>
            <w:r w:rsidRPr="00F13601">
              <w:t xml:space="preserve">ational </w:t>
            </w:r>
            <w:r>
              <w:t>G</w:t>
            </w:r>
            <w:r w:rsidRPr="00F13601">
              <w:t xml:space="preserve">as </w:t>
            </w:r>
            <w:r>
              <w:t>O</w:t>
            </w:r>
            <w:r w:rsidRPr="00F13601">
              <w:t>bjective</w:t>
            </w:r>
          </w:p>
        </w:tc>
      </w:tr>
      <w:tr w:rsidR="00253A9F" w:rsidRPr="00B2363F" w:rsidTr="00253A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253A9F" w:rsidRPr="00F13601" w:rsidRDefault="00253A9F" w:rsidP="00253A9F">
            <w:pPr>
              <w:numPr>
                <w:ilvl w:val="0"/>
                <w:numId w:val="24"/>
              </w:numPr>
            </w:pPr>
            <w:r w:rsidRPr="00F13601">
              <w:t>NGR</w:t>
            </w:r>
          </w:p>
        </w:tc>
        <w:tc>
          <w:tcPr>
            <w:tcW w:w="6317" w:type="dxa"/>
            <w:gridSpan w:val="2"/>
          </w:tcPr>
          <w:p w:rsidR="00253A9F" w:rsidRPr="00F13601" w:rsidRDefault="00253A9F" w:rsidP="00253A9F">
            <w:pPr>
              <w:numPr>
                <w:ilvl w:val="0"/>
                <w:numId w:val="24"/>
              </w:numPr>
              <w:cnfStyle w:val="000000010000" w:firstRow="0" w:lastRow="0" w:firstColumn="0" w:lastColumn="0" w:oddVBand="0" w:evenVBand="0" w:oddHBand="0" w:evenHBand="1" w:firstRowFirstColumn="0" w:firstRowLastColumn="0" w:lastRowFirstColumn="0" w:lastRowLastColumn="0"/>
            </w:pPr>
            <w:r>
              <w:t>N</w:t>
            </w:r>
            <w:r w:rsidRPr="00F13601">
              <w:t xml:space="preserve">ational </w:t>
            </w:r>
            <w:r>
              <w:t>G</w:t>
            </w:r>
            <w:r w:rsidRPr="00F13601">
              <w:t xml:space="preserve">as </w:t>
            </w:r>
            <w:r>
              <w:t>R</w:t>
            </w:r>
            <w:r w:rsidRPr="00F13601">
              <w:t>ules</w:t>
            </w:r>
          </w:p>
        </w:tc>
      </w:tr>
      <w:tr w:rsidR="00253A9F" w:rsidRPr="00B2363F" w:rsidTr="00253A9F">
        <w:tc>
          <w:tcPr>
            <w:cnfStyle w:val="001000000000" w:firstRow="0" w:lastRow="0" w:firstColumn="1" w:lastColumn="0" w:oddVBand="0" w:evenVBand="0" w:oddHBand="0" w:evenHBand="0" w:firstRowFirstColumn="0" w:firstRowLastColumn="0" w:lastRowFirstColumn="0" w:lastRowLastColumn="0"/>
            <w:tcW w:w="2376" w:type="dxa"/>
          </w:tcPr>
          <w:p w:rsidR="00253A9F" w:rsidRPr="00F13601" w:rsidRDefault="00253A9F" w:rsidP="00253A9F">
            <w:pPr>
              <w:numPr>
                <w:ilvl w:val="0"/>
                <w:numId w:val="24"/>
              </w:numPr>
            </w:pPr>
            <w:r w:rsidRPr="00F13601">
              <w:t>NPV</w:t>
            </w:r>
          </w:p>
        </w:tc>
        <w:tc>
          <w:tcPr>
            <w:tcW w:w="6317" w:type="dxa"/>
            <w:gridSpan w:val="2"/>
          </w:tcPr>
          <w:p w:rsidR="00253A9F" w:rsidRPr="00F13601" w:rsidRDefault="00253A9F" w:rsidP="00FC5A62">
            <w:pPr>
              <w:cnfStyle w:val="000000000000" w:firstRow="0" w:lastRow="0" w:firstColumn="0" w:lastColumn="0" w:oddVBand="0" w:evenVBand="0" w:oddHBand="0" w:evenHBand="0" w:firstRowFirstColumn="0" w:firstRowLastColumn="0" w:lastRowFirstColumn="0" w:lastRowLastColumn="0"/>
            </w:pPr>
            <w:r w:rsidRPr="00F13601">
              <w:t>net present value</w:t>
            </w:r>
          </w:p>
        </w:tc>
      </w:tr>
      <w:tr w:rsidR="00253A9F" w:rsidRPr="00B2363F" w:rsidTr="00253A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253A9F" w:rsidRPr="00F13601" w:rsidRDefault="00253A9F" w:rsidP="00253A9F">
            <w:pPr>
              <w:numPr>
                <w:ilvl w:val="0"/>
                <w:numId w:val="24"/>
              </w:numPr>
            </w:pPr>
            <w:r w:rsidRPr="00F13601">
              <w:t>opex</w:t>
            </w:r>
          </w:p>
        </w:tc>
        <w:tc>
          <w:tcPr>
            <w:tcW w:w="6317" w:type="dxa"/>
            <w:gridSpan w:val="2"/>
          </w:tcPr>
          <w:p w:rsidR="00253A9F" w:rsidRPr="00F13601" w:rsidRDefault="00253A9F" w:rsidP="00253A9F">
            <w:pPr>
              <w:numPr>
                <w:ilvl w:val="0"/>
                <w:numId w:val="24"/>
              </w:numPr>
              <w:cnfStyle w:val="000000010000" w:firstRow="0" w:lastRow="0" w:firstColumn="0" w:lastColumn="0" w:oddVBand="0" w:evenVBand="0" w:oddHBand="0" w:evenHBand="1" w:firstRowFirstColumn="0" w:firstRowLastColumn="0" w:lastRowFirstColumn="0" w:lastRowLastColumn="0"/>
            </w:pPr>
            <w:r w:rsidRPr="00F13601">
              <w:t>operating expenditure</w:t>
            </w:r>
          </w:p>
        </w:tc>
      </w:tr>
      <w:tr w:rsidR="00253A9F" w:rsidRPr="00B2363F" w:rsidTr="00253A9F">
        <w:tc>
          <w:tcPr>
            <w:cnfStyle w:val="001000000000" w:firstRow="0" w:lastRow="0" w:firstColumn="1" w:lastColumn="0" w:oddVBand="0" w:evenVBand="0" w:oddHBand="0" w:evenHBand="0" w:firstRowFirstColumn="0" w:firstRowLastColumn="0" w:lastRowFirstColumn="0" w:lastRowLastColumn="0"/>
            <w:tcW w:w="2376" w:type="dxa"/>
          </w:tcPr>
          <w:p w:rsidR="00253A9F" w:rsidRPr="00F13601" w:rsidRDefault="00253A9F" w:rsidP="00253A9F">
            <w:pPr>
              <w:numPr>
                <w:ilvl w:val="0"/>
                <w:numId w:val="24"/>
              </w:numPr>
            </w:pPr>
            <w:r w:rsidRPr="00F13601">
              <w:t>PTRM</w:t>
            </w:r>
          </w:p>
        </w:tc>
        <w:tc>
          <w:tcPr>
            <w:tcW w:w="6317" w:type="dxa"/>
            <w:gridSpan w:val="2"/>
          </w:tcPr>
          <w:p w:rsidR="00253A9F" w:rsidRPr="00F13601" w:rsidRDefault="00253A9F" w:rsidP="00253A9F">
            <w:pPr>
              <w:numPr>
                <w:ilvl w:val="0"/>
                <w:numId w:val="24"/>
              </w:numPr>
              <w:cnfStyle w:val="000000000000" w:firstRow="0" w:lastRow="0" w:firstColumn="0" w:lastColumn="0" w:oddVBand="0" w:evenVBand="0" w:oddHBand="0" w:evenHBand="0" w:firstRowFirstColumn="0" w:firstRowLastColumn="0" w:lastRowFirstColumn="0" w:lastRowLastColumn="0"/>
            </w:pPr>
            <w:r w:rsidRPr="00F13601">
              <w:t>post-tax revenue model</w:t>
            </w:r>
          </w:p>
        </w:tc>
      </w:tr>
      <w:tr w:rsidR="00253A9F" w:rsidRPr="00B2363F" w:rsidTr="00253A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253A9F" w:rsidRPr="00F13601" w:rsidRDefault="00253A9F" w:rsidP="00253A9F">
            <w:pPr>
              <w:numPr>
                <w:ilvl w:val="0"/>
                <w:numId w:val="24"/>
              </w:numPr>
            </w:pPr>
            <w:r w:rsidRPr="00F13601">
              <w:t>RBA</w:t>
            </w:r>
          </w:p>
        </w:tc>
        <w:tc>
          <w:tcPr>
            <w:tcW w:w="6317" w:type="dxa"/>
            <w:gridSpan w:val="2"/>
          </w:tcPr>
          <w:p w:rsidR="00253A9F" w:rsidRPr="00F13601" w:rsidRDefault="00253A9F" w:rsidP="00253A9F">
            <w:pPr>
              <w:numPr>
                <w:ilvl w:val="0"/>
                <w:numId w:val="24"/>
              </w:numPr>
              <w:cnfStyle w:val="000000010000" w:firstRow="0" w:lastRow="0" w:firstColumn="0" w:lastColumn="0" w:oddVBand="0" w:evenVBand="0" w:oddHBand="0" w:evenHBand="1" w:firstRowFirstColumn="0" w:firstRowLastColumn="0" w:lastRowFirstColumn="0" w:lastRowLastColumn="0"/>
            </w:pPr>
            <w:r w:rsidRPr="00F13601">
              <w:t>Reserve Bank of Australia</w:t>
            </w:r>
          </w:p>
        </w:tc>
      </w:tr>
      <w:tr w:rsidR="00253A9F" w:rsidRPr="00B2363F" w:rsidTr="00253A9F">
        <w:tc>
          <w:tcPr>
            <w:cnfStyle w:val="001000000000" w:firstRow="0" w:lastRow="0" w:firstColumn="1" w:lastColumn="0" w:oddVBand="0" w:evenVBand="0" w:oddHBand="0" w:evenHBand="0" w:firstRowFirstColumn="0" w:firstRowLastColumn="0" w:lastRowFirstColumn="0" w:lastRowLastColumn="0"/>
            <w:tcW w:w="2376" w:type="dxa"/>
          </w:tcPr>
          <w:p w:rsidR="00253A9F" w:rsidRPr="00F13601" w:rsidRDefault="00253A9F" w:rsidP="00253A9F">
            <w:pPr>
              <w:numPr>
                <w:ilvl w:val="0"/>
                <w:numId w:val="24"/>
              </w:numPr>
            </w:pPr>
            <w:r w:rsidRPr="00F13601">
              <w:t>RFM</w:t>
            </w:r>
          </w:p>
        </w:tc>
        <w:tc>
          <w:tcPr>
            <w:tcW w:w="6317" w:type="dxa"/>
            <w:gridSpan w:val="2"/>
          </w:tcPr>
          <w:p w:rsidR="00253A9F" w:rsidRPr="00F13601" w:rsidRDefault="00253A9F" w:rsidP="00253A9F">
            <w:pPr>
              <w:numPr>
                <w:ilvl w:val="0"/>
                <w:numId w:val="24"/>
              </w:numPr>
              <w:cnfStyle w:val="000000000000" w:firstRow="0" w:lastRow="0" w:firstColumn="0" w:lastColumn="0" w:oddVBand="0" w:evenVBand="0" w:oddHBand="0" w:evenHBand="0" w:firstRowFirstColumn="0" w:firstRowLastColumn="0" w:lastRowFirstColumn="0" w:lastRowLastColumn="0"/>
            </w:pPr>
            <w:r w:rsidRPr="00F13601">
              <w:t>roll forward model</w:t>
            </w:r>
          </w:p>
        </w:tc>
      </w:tr>
      <w:tr w:rsidR="00253A9F" w:rsidRPr="00B2363F" w:rsidTr="00253A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253A9F" w:rsidRPr="00F13601" w:rsidRDefault="00253A9F" w:rsidP="00253A9F">
            <w:pPr>
              <w:numPr>
                <w:ilvl w:val="0"/>
                <w:numId w:val="24"/>
              </w:numPr>
            </w:pPr>
            <w:r w:rsidRPr="00F13601">
              <w:t>RIN</w:t>
            </w:r>
          </w:p>
        </w:tc>
        <w:tc>
          <w:tcPr>
            <w:tcW w:w="6317" w:type="dxa"/>
            <w:gridSpan w:val="2"/>
          </w:tcPr>
          <w:p w:rsidR="00253A9F" w:rsidRPr="00F13601" w:rsidRDefault="00253A9F" w:rsidP="00253A9F">
            <w:pPr>
              <w:numPr>
                <w:ilvl w:val="0"/>
                <w:numId w:val="24"/>
              </w:numPr>
              <w:cnfStyle w:val="000000010000" w:firstRow="0" w:lastRow="0" w:firstColumn="0" w:lastColumn="0" w:oddVBand="0" w:evenVBand="0" w:oddHBand="0" w:evenHBand="1" w:firstRowFirstColumn="0" w:firstRowLastColumn="0" w:lastRowFirstColumn="0" w:lastRowLastColumn="0"/>
            </w:pPr>
            <w:r w:rsidRPr="00F13601">
              <w:t>regulatory information notice</w:t>
            </w:r>
          </w:p>
        </w:tc>
      </w:tr>
      <w:tr w:rsidR="00253A9F" w:rsidRPr="00B2363F" w:rsidTr="00253A9F">
        <w:tc>
          <w:tcPr>
            <w:cnfStyle w:val="001000000000" w:firstRow="0" w:lastRow="0" w:firstColumn="1" w:lastColumn="0" w:oddVBand="0" w:evenVBand="0" w:oddHBand="0" w:evenHBand="0" w:firstRowFirstColumn="0" w:firstRowLastColumn="0" w:lastRowFirstColumn="0" w:lastRowLastColumn="0"/>
            <w:tcW w:w="2376" w:type="dxa"/>
          </w:tcPr>
          <w:p w:rsidR="00253A9F" w:rsidRPr="00F13601" w:rsidRDefault="00253A9F" w:rsidP="00253A9F">
            <w:pPr>
              <w:numPr>
                <w:ilvl w:val="0"/>
                <w:numId w:val="24"/>
              </w:numPr>
            </w:pPr>
            <w:r w:rsidRPr="00F13601">
              <w:t>RPP</w:t>
            </w:r>
          </w:p>
        </w:tc>
        <w:tc>
          <w:tcPr>
            <w:tcW w:w="6317" w:type="dxa"/>
            <w:gridSpan w:val="2"/>
          </w:tcPr>
          <w:p w:rsidR="00253A9F" w:rsidRPr="00F13601" w:rsidRDefault="00253A9F" w:rsidP="00253A9F">
            <w:pPr>
              <w:numPr>
                <w:ilvl w:val="0"/>
                <w:numId w:val="24"/>
              </w:numPr>
              <w:cnfStyle w:val="000000000000" w:firstRow="0" w:lastRow="0" w:firstColumn="0" w:lastColumn="0" w:oddVBand="0" w:evenVBand="0" w:oddHBand="0" w:evenHBand="0" w:firstRowFirstColumn="0" w:firstRowLastColumn="0" w:lastRowFirstColumn="0" w:lastRowLastColumn="0"/>
            </w:pPr>
            <w:r w:rsidRPr="00F13601">
              <w:t>revenue and pricing principles</w:t>
            </w:r>
          </w:p>
        </w:tc>
      </w:tr>
      <w:tr w:rsidR="00253A9F" w:rsidRPr="00B2363F" w:rsidTr="00253A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253A9F" w:rsidRPr="00F13601" w:rsidRDefault="00253A9F" w:rsidP="00253A9F">
            <w:pPr>
              <w:numPr>
                <w:ilvl w:val="0"/>
                <w:numId w:val="24"/>
              </w:numPr>
            </w:pPr>
            <w:r w:rsidRPr="00F13601">
              <w:t>SLCAPM</w:t>
            </w:r>
          </w:p>
        </w:tc>
        <w:tc>
          <w:tcPr>
            <w:tcW w:w="6317" w:type="dxa"/>
            <w:gridSpan w:val="2"/>
          </w:tcPr>
          <w:p w:rsidR="00253A9F" w:rsidRPr="00F13601" w:rsidRDefault="00253A9F" w:rsidP="00253A9F">
            <w:pPr>
              <w:numPr>
                <w:ilvl w:val="0"/>
                <w:numId w:val="24"/>
              </w:numPr>
              <w:cnfStyle w:val="000000010000" w:firstRow="0" w:lastRow="0" w:firstColumn="0" w:lastColumn="0" w:oddVBand="0" w:evenVBand="0" w:oddHBand="0" w:evenHBand="1" w:firstRowFirstColumn="0" w:firstRowLastColumn="0" w:lastRowFirstColumn="0" w:lastRowLastColumn="0"/>
            </w:pPr>
            <w:r w:rsidRPr="00F13601">
              <w:t>Sharpe-</w:t>
            </w:r>
            <w:proofErr w:type="spellStart"/>
            <w:r w:rsidRPr="00F13601">
              <w:t>Lintner</w:t>
            </w:r>
            <w:proofErr w:type="spellEnd"/>
            <w:r w:rsidRPr="00F13601">
              <w:t xml:space="preserve"> capital asset pricing model</w:t>
            </w:r>
          </w:p>
        </w:tc>
      </w:tr>
      <w:tr w:rsidR="00253A9F" w:rsidRPr="00B2363F" w:rsidTr="00253A9F">
        <w:tc>
          <w:tcPr>
            <w:cnfStyle w:val="001000000000" w:firstRow="0" w:lastRow="0" w:firstColumn="1" w:lastColumn="0" w:oddVBand="0" w:evenVBand="0" w:oddHBand="0" w:evenHBand="0" w:firstRowFirstColumn="0" w:firstRowLastColumn="0" w:lastRowFirstColumn="0" w:lastRowLastColumn="0"/>
            <w:tcW w:w="2376" w:type="dxa"/>
          </w:tcPr>
          <w:p w:rsidR="00253A9F" w:rsidRPr="00F13601" w:rsidRDefault="00253A9F" w:rsidP="00253A9F">
            <w:pPr>
              <w:numPr>
                <w:ilvl w:val="0"/>
                <w:numId w:val="24"/>
              </w:numPr>
            </w:pPr>
            <w:r w:rsidRPr="00F13601">
              <w:t>TAB</w:t>
            </w:r>
          </w:p>
        </w:tc>
        <w:tc>
          <w:tcPr>
            <w:tcW w:w="6317" w:type="dxa"/>
            <w:gridSpan w:val="2"/>
          </w:tcPr>
          <w:p w:rsidR="00253A9F" w:rsidRPr="00F13601" w:rsidRDefault="00253A9F" w:rsidP="00FC5A62">
            <w:pPr>
              <w:cnfStyle w:val="000000000000" w:firstRow="0" w:lastRow="0" w:firstColumn="0" w:lastColumn="0" w:oddVBand="0" w:evenVBand="0" w:oddHBand="0" w:evenHBand="0" w:firstRowFirstColumn="0" w:firstRowLastColumn="0" w:lastRowFirstColumn="0" w:lastRowLastColumn="0"/>
            </w:pPr>
            <w:r>
              <w:t>t</w:t>
            </w:r>
            <w:r w:rsidRPr="00F13601">
              <w:t>ax asset base</w:t>
            </w:r>
          </w:p>
        </w:tc>
      </w:tr>
      <w:tr w:rsidR="00253A9F" w:rsidRPr="00B2363F" w:rsidTr="00253A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253A9F" w:rsidRPr="00F13601" w:rsidRDefault="00253A9F" w:rsidP="00253A9F">
            <w:pPr>
              <w:numPr>
                <w:ilvl w:val="0"/>
                <w:numId w:val="24"/>
              </w:numPr>
            </w:pPr>
            <w:r w:rsidRPr="00F13601">
              <w:t>UAFG</w:t>
            </w:r>
          </w:p>
        </w:tc>
        <w:tc>
          <w:tcPr>
            <w:tcW w:w="6317" w:type="dxa"/>
            <w:gridSpan w:val="2"/>
          </w:tcPr>
          <w:p w:rsidR="00253A9F" w:rsidRPr="00F13601" w:rsidRDefault="00253A9F" w:rsidP="00FC5A62">
            <w:pPr>
              <w:cnfStyle w:val="000000010000" w:firstRow="0" w:lastRow="0" w:firstColumn="0" w:lastColumn="0" w:oddVBand="0" w:evenVBand="0" w:oddHBand="0" w:evenHBand="1" w:firstRowFirstColumn="0" w:firstRowLastColumn="0" w:lastRowFirstColumn="0" w:lastRowLastColumn="0"/>
            </w:pPr>
            <w:r>
              <w:t>u</w:t>
            </w:r>
            <w:r w:rsidRPr="00F13601">
              <w:t>naccounted for gas</w:t>
            </w:r>
          </w:p>
        </w:tc>
      </w:tr>
      <w:tr w:rsidR="00253A9F" w:rsidRPr="00B2363F" w:rsidTr="00253A9F">
        <w:tc>
          <w:tcPr>
            <w:cnfStyle w:val="001000000000" w:firstRow="0" w:lastRow="0" w:firstColumn="1" w:lastColumn="0" w:oddVBand="0" w:evenVBand="0" w:oddHBand="0" w:evenHBand="0" w:firstRowFirstColumn="0" w:firstRowLastColumn="0" w:lastRowFirstColumn="0" w:lastRowLastColumn="0"/>
            <w:tcW w:w="2376" w:type="dxa"/>
          </w:tcPr>
          <w:p w:rsidR="00253A9F" w:rsidRPr="00F13601" w:rsidRDefault="00253A9F" w:rsidP="00253A9F">
            <w:pPr>
              <w:numPr>
                <w:ilvl w:val="0"/>
                <w:numId w:val="24"/>
              </w:numPr>
            </w:pPr>
            <w:r w:rsidRPr="00F13601">
              <w:t>WACC</w:t>
            </w:r>
          </w:p>
        </w:tc>
        <w:tc>
          <w:tcPr>
            <w:tcW w:w="6317" w:type="dxa"/>
            <w:gridSpan w:val="2"/>
          </w:tcPr>
          <w:p w:rsidR="00253A9F" w:rsidRPr="00F13601" w:rsidRDefault="00253A9F" w:rsidP="00253A9F">
            <w:pPr>
              <w:numPr>
                <w:ilvl w:val="0"/>
                <w:numId w:val="24"/>
              </w:numPr>
              <w:cnfStyle w:val="000000000000" w:firstRow="0" w:lastRow="0" w:firstColumn="0" w:lastColumn="0" w:oddVBand="0" w:evenVBand="0" w:oddHBand="0" w:evenHBand="0" w:firstRowFirstColumn="0" w:firstRowLastColumn="0" w:lastRowFirstColumn="0" w:lastRowLastColumn="0"/>
            </w:pPr>
            <w:r w:rsidRPr="00F13601">
              <w:t>weighted average cost of capital</w:t>
            </w:r>
          </w:p>
        </w:tc>
      </w:tr>
      <w:tr w:rsidR="00253A9F" w:rsidRPr="00B2363F" w:rsidTr="00253A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253A9F" w:rsidRPr="00F13601" w:rsidRDefault="00253A9F" w:rsidP="00253A9F">
            <w:pPr>
              <w:numPr>
                <w:ilvl w:val="0"/>
                <w:numId w:val="24"/>
              </w:numPr>
            </w:pPr>
            <w:r w:rsidRPr="00F13601">
              <w:t>WPI</w:t>
            </w:r>
          </w:p>
        </w:tc>
        <w:tc>
          <w:tcPr>
            <w:tcW w:w="6317" w:type="dxa"/>
            <w:gridSpan w:val="2"/>
          </w:tcPr>
          <w:p w:rsidR="00253A9F" w:rsidRPr="00F13601" w:rsidRDefault="00253A9F" w:rsidP="00FC5A62">
            <w:pPr>
              <w:cnfStyle w:val="000000010000" w:firstRow="0" w:lastRow="0" w:firstColumn="0" w:lastColumn="0" w:oddVBand="0" w:evenVBand="0" w:oddHBand="0" w:evenHBand="1" w:firstRowFirstColumn="0" w:firstRowLastColumn="0" w:lastRowFirstColumn="0" w:lastRowLastColumn="0"/>
            </w:pPr>
            <w:r w:rsidRPr="00F13601">
              <w:t>Wage Price Index</w:t>
            </w:r>
          </w:p>
        </w:tc>
      </w:tr>
    </w:tbl>
    <w:p w:rsidR="00DE563D" w:rsidRDefault="00E11949" w:rsidP="00E11949">
      <w:pPr>
        <w:pStyle w:val="Heading1"/>
      </w:pPr>
      <w:bookmarkStart w:id="10" w:name="_Toc451529901"/>
      <w:r>
        <w:t>Capital</w:t>
      </w:r>
      <w:r w:rsidR="00D46BD3">
        <w:t xml:space="preserve"> expenditure</w:t>
      </w:r>
      <w:bookmarkEnd w:id="10"/>
    </w:p>
    <w:p w:rsidR="0011291A" w:rsidRPr="00EE384C" w:rsidRDefault="0011291A" w:rsidP="0011291A">
      <w:r w:rsidRPr="00EE386B">
        <w:t xml:space="preserve">This attachment outlines </w:t>
      </w:r>
      <w:r>
        <w:t>our</w:t>
      </w:r>
      <w:r w:rsidRPr="00EE386B">
        <w:t xml:space="preserve"> assessment of </w:t>
      </w:r>
      <w:r w:rsidRPr="0011291A">
        <w:t>APTNT</w:t>
      </w:r>
      <w:r>
        <w:t xml:space="preserve">’s </w:t>
      </w:r>
      <w:r w:rsidR="00723A0B">
        <w:t xml:space="preserve">revised </w:t>
      </w:r>
      <w:r w:rsidRPr="00EE386B">
        <w:t xml:space="preserve">proposed </w:t>
      </w:r>
      <w:r>
        <w:t xml:space="preserve">conforming </w:t>
      </w:r>
      <w:r w:rsidRPr="00EE386B">
        <w:t xml:space="preserve">capex for </w:t>
      </w:r>
      <w:r>
        <w:t>2010</w:t>
      </w:r>
      <w:r w:rsidRPr="00EE386B">
        <w:t>–</w:t>
      </w:r>
      <w:r>
        <w:t xml:space="preserve">2016 </w:t>
      </w:r>
      <w:r w:rsidRPr="00EE386B">
        <w:t xml:space="preserve">and forecast capex for the </w:t>
      </w:r>
      <w:r>
        <w:t>2016–21</w:t>
      </w:r>
      <w:r w:rsidRPr="00EE386B">
        <w:t xml:space="preserve"> access arrangement </w:t>
      </w:r>
      <w:proofErr w:type="gramStart"/>
      <w:r w:rsidRPr="00EE386B">
        <w:t>period</w:t>
      </w:r>
      <w:proofErr w:type="gramEnd"/>
      <w:r w:rsidRPr="00EE386B">
        <w:t>.</w:t>
      </w:r>
    </w:p>
    <w:p w:rsidR="00A2303E" w:rsidRDefault="00A2303E" w:rsidP="00DE70DD">
      <w:pPr>
        <w:pStyle w:val="Heading2"/>
      </w:pPr>
      <w:bookmarkStart w:id="11" w:name="_Toc408404320"/>
      <w:bookmarkStart w:id="12" w:name="_Toc419366913"/>
      <w:bookmarkStart w:id="13" w:name="_Toc451529902"/>
      <w:r>
        <w:t>Final</w:t>
      </w:r>
      <w:r w:rsidRPr="0074565D">
        <w:t xml:space="preserve"> decision</w:t>
      </w:r>
      <w:bookmarkEnd w:id="11"/>
      <w:bookmarkEnd w:id="12"/>
      <w:bookmarkEnd w:id="13"/>
    </w:p>
    <w:p w:rsidR="00723A0B" w:rsidRDefault="00723A0B" w:rsidP="00723A0B">
      <w:pPr>
        <w:pStyle w:val="Heading3"/>
      </w:pPr>
      <w:bookmarkStart w:id="14" w:name="_Toc436042747"/>
      <w:bookmarkStart w:id="15" w:name="_Toc451529903"/>
      <w:r w:rsidRPr="00CA131C">
        <w:t xml:space="preserve">Conforming </w:t>
      </w:r>
      <w:r>
        <w:t xml:space="preserve">capex for </w:t>
      </w:r>
      <w:r w:rsidRPr="00CA131C">
        <w:t>201</w:t>
      </w:r>
      <w:r>
        <w:t>0</w:t>
      </w:r>
      <w:r w:rsidRPr="00CA131C">
        <w:t>–</w:t>
      </w:r>
      <w:r w:rsidRPr="00FF31F7">
        <w:t>16</w:t>
      </w:r>
      <w:bookmarkEnd w:id="14"/>
      <w:bookmarkEnd w:id="15"/>
      <w:r w:rsidRPr="00FF31F7">
        <w:t xml:space="preserve"> </w:t>
      </w:r>
    </w:p>
    <w:p w:rsidR="00723A0B" w:rsidRDefault="00723A0B" w:rsidP="00E145C1">
      <w:r>
        <w:t>We</w:t>
      </w:r>
      <w:r w:rsidRPr="00EE386B">
        <w:t xml:space="preserve"> approve </w:t>
      </w:r>
      <w:r w:rsidR="00624632">
        <w:t xml:space="preserve">$42.1 </w:t>
      </w:r>
      <w:r w:rsidR="00F021D4">
        <w:t xml:space="preserve">million ($2015–16) of </w:t>
      </w:r>
      <w:r w:rsidRPr="00F021D4">
        <w:t>APTNT’s</w:t>
      </w:r>
      <w:r>
        <w:t xml:space="preserve"> proposed </w:t>
      </w:r>
      <w:r w:rsidRPr="00EE386B">
        <w:t>total net capex</w:t>
      </w:r>
      <w:r>
        <w:t xml:space="preserve"> of $</w:t>
      </w:r>
      <w:r w:rsidRPr="00E145C1">
        <w:t>44.4</w:t>
      </w:r>
      <w:r w:rsidR="006F2F85">
        <w:t> </w:t>
      </w:r>
      <w:r>
        <w:t>million</w:t>
      </w:r>
      <w:r w:rsidR="00725057">
        <w:t xml:space="preserve"> ($2015-16)</w:t>
      </w:r>
      <w:r w:rsidRPr="00EE386B">
        <w:t xml:space="preserve"> for </w:t>
      </w:r>
      <w:r>
        <w:t>the 2011–16</w:t>
      </w:r>
      <w:r w:rsidRPr="00EE386B">
        <w:t xml:space="preserve"> </w:t>
      </w:r>
      <w:r>
        <w:t xml:space="preserve">access arrangement </w:t>
      </w:r>
      <w:proofErr w:type="gramStart"/>
      <w:r>
        <w:t>period</w:t>
      </w:r>
      <w:proofErr w:type="gramEnd"/>
      <w:r>
        <w:t xml:space="preserve"> </w:t>
      </w:r>
      <w:r w:rsidRPr="00EE386B">
        <w:t>as conforming capex under r</w:t>
      </w:r>
      <w:r w:rsidR="00722CC1">
        <w:t xml:space="preserve">ule </w:t>
      </w:r>
      <w:r w:rsidRPr="00EE386B">
        <w:t>79(1) of the NGR.</w:t>
      </w:r>
      <w:r>
        <w:t xml:space="preserve"> We also approve APTNT’s actual capex of $4.5</w:t>
      </w:r>
      <w:r w:rsidR="006F2F85">
        <w:t> </w:t>
      </w:r>
      <w:r>
        <w:t xml:space="preserve">million ($2015–16) in the 2010–11 year as conforming capex for the purpose of establishing the opening capital base for the 2011–16 access arrangement </w:t>
      </w:r>
      <w:proofErr w:type="gramStart"/>
      <w:r>
        <w:t>period</w:t>
      </w:r>
      <w:proofErr w:type="gramEnd"/>
      <w:r>
        <w:t xml:space="preserve">. </w:t>
      </w:r>
    </w:p>
    <w:p w:rsidR="00723A0B" w:rsidRDefault="00723A0B" w:rsidP="00723A0B">
      <w:r>
        <w:fldChar w:fldCharType="begin"/>
      </w:r>
      <w:r>
        <w:instrText xml:space="preserve"> REF _Ref404334270 \h </w:instrText>
      </w:r>
      <w:r>
        <w:fldChar w:fldCharType="separate"/>
      </w:r>
      <w:r w:rsidR="00C9476D">
        <w:t xml:space="preserve">Table </w:t>
      </w:r>
      <w:r w:rsidR="00C9476D">
        <w:rPr>
          <w:noProof/>
        </w:rPr>
        <w:t>6</w:t>
      </w:r>
      <w:r w:rsidR="00C9476D">
        <w:t>.</w:t>
      </w:r>
      <w:r w:rsidR="00C9476D">
        <w:rPr>
          <w:noProof/>
        </w:rPr>
        <w:t>1</w:t>
      </w:r>
      <w:r w:rsidR="00C9476D">
        <w:tab/>
      </w:r>
      <w:r>
        <w:fldChar w:fldCharType="end"/>
      </w:r>
      <w:r w:rsidRPr="00CA131C">
        <w:t>shows approved capex for the 201</w:t>
      </w:r>
      <w:r>
        <w:t>0–16</w:t>
      </w:r>
      <w:r w:rsidRPr="00CA131C">
        <w:t xml:space="preserve"> </w:t>
      </w:r>
      <w:proofErr w:type="gramStart"/>
      <w:r w:rsidRPr="00CA131C">
        <w:t>period</w:t>
      </w:r>
      <w:proofErr w:type="gramEnd"/>
      <w:r w:rsidRPr="00CA131C">
        <w:t xml:space="preserve"> by category.</w:t>
      </w:r>
    </w:p>
    <w:p w:rsidR="00723A0B" w:rsidRDefault="00965679" w:rsidP="00965679">
      <w:pPr>
        <w:pStyle w:val="Caption"/>
      </w:pPr>
      <w:bookmarkStart w:id="16" w:name="_Ref447037764"/>
      <w:bookmarkStart w:id="17" w:name="_Ref404334270"/>
      <w:proofErr w:type="gramStart"/>
      <w:r>
        <w:t xml:space="preserve">Table </w:t>
      </w:r>
      <w:r w:rsidR="00CF6C01">
        <w:fldChar w:fldCharType="begin"/>
      </w:r>
      <w:r w:rsidR="00CF6C01">
        <w:instrText xml:space="preserve"> STYLEREF 1 \s </w:instrText>
      </w:r>
      <w:r w:rsidR="00CF6C01">
        <w:fldChar w:fldCharType="separate"/>
      </w:r>
      <w:r w:rsidR="00C9476D">
        <w:rPr>
          <w:noProof/>
        </w:rPr>
        <w:t>6</w:t>
      </w:r>
      <w:r w:rsidR="00CF6C01">
        <w:rPr>
          <w:noProof/>
        </w:rPr>
        <w:fldChar w:fldCharType="end"/>
      </w:r>
      <w:r w:rsidR="00EA4D62">
        <w:t>.</w:t>
      </w:r>
      <w:proofErr w:type="gramEnd"/>
      <w:r w:rsidR="00CF6C01">
        <w:fldChar w:fldCharType="begin"/>
      </w:r>
      <w:r w:rsidR="00CF6C01">
        <w:instrText xml:space="preserve"> SEQ Table \* ARABIC \s 1 </w:instrText>
      </w:r>
      <w:r w:rsidR="00CF6C01">
        <w:fldChar w:fldCharType="separate"/>
      </w:r>
      <w:r w:rsidR="00C9476D">
        <w:rPr>
          <w:noProof/>
        </w:rPr>
        <w:t>1</w:t>
      </w:r>
      <w:r w:rsidR="00CF6C01">
        <w:rPr>
          <w:noProof/>
        </w:rPr>
        <w:fldChar w:fldCharType="end"/>
      </w:r>
      <w:bookmarkEnd w:id="16"/>
      <w:r>
        <w:tab/>
        <w:t>A</w:t>
      </w:r>
      <w:bookmarkEnd w:id="17"/>
      <w:r w:rsidR="00723A0B" w:rsidRPr="00EE71BA">
        <w:t xml:space="preserve">ER approved capital expenditure by </w:t>
      </w:r>
      <w:r w:rsidR="00723A0B">
        <w:t>category</w:t>
      </w:r>
      <w:r w:rsidR="00723A0B" w:rsidRPr="00EE71BA">
        <w:t xml:space="preserve"> over </w:t>
      </w:r>
      <w:r w:rsidR="00723A0B">
        <w:t xml:space="preserve">the </w:t>
      </w:r>
      <w:r w:rsidR="00723A0B" w:rsidRPr="00EE71BA">
        <w:t>20</w:t>
      </w:r>
      <w:r w:rsidR="00723A0B">
        <w:t>10</w:t>
      </w:r>
      <w:r w:rsidR="00723A0B" w:rsidRPr="00EE71BA">
        <w:t>–1</w:t>
      </w:r>
      <w:r w:rsidR="00723A0B">
        <w:t>6 period</w:t>
      </w:r>
      <w:r w:rsidR="00723A0B" w:rsidRPr="00EE71BA">
        <w:t xml:space="preserve"> ($million, </w:t>
      </w:r>
      <w:r w:rsidR="00723A0B">
        <w:t>2015–16</w:t>
      </w:r>
      <w:r w:rsidR="00723A0B" w:rsidRPr="00EE71BA">
        <w:t>)</w:t>
      </w:r>
    </w:p>
    <w:tbl>
      <w:tblPr>
        <w:tblStyle w:val="AERtable-numbers"/>
        <w:tblW w:w="5118" w:type="pct"/>
        <w:tblLook w:val="04A0" w:firstRow="1" w:lastRow="0" w:firstColumn="1" w:lastColumn="0" w:noHBand="0" w:noVBand="1"/>
      </w:tblPr>
      <w:tblGrid>
        <w:gridCol w:w="2093"/>
        <w:gridCol w:w="972"/>
        <w:gridCol w:w="972"/>
        <w:gridCol w:w="972"/>
        <w:gridCol w:w="972"/>
        <w:gridCol w:w="972"/>
        <w:gridCol w:w="972"/>
        <w:gridCol w:w="972"/>
      </w:tblGrid>
      <w:tr w:rsidR="000E260B" w:rsidRPr="000E260B" w:rsidTr="000E260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76" w:type="pct"/>
            <w:hideMark/>
          </w:tcPr>
          <w:p w:rsidR="00723A0B" w:rsidRPr="000E260B" w:rsidRDefault="00723A0B" w:rsidP="000E260B">
            <w:r w:rsidRPr="000E260B">
              <w:t> Category</w:t>
            </w:r>
          </w:p>
        </w:tc>
        <w:tc>
          <w:tcPr>
            <w:tcW w:w="546" w:type="pct"/>
            <w:hideMark/>
          </w:tcPr>
          <w:p w:rsidR="00723A0B" w:rsidRPr="000E260B" w:rsidRDefault="00723A0B" w:rsidP="000E260B">
            <w:pPr>
              <w:cnfStyle w:val="100000000000" w:firstRow="1" w:lastRow="0" w:firstColumn="0" w:lastColumn="0" w:oddVBand="0" w:evenVBand="0" w:oddHBand="0" w:evenHBand="0" w:firstRowFirstColumn="0" w:firstRowLastColumn="0" w:lastRowFirstColumn="0" w:lastRowLastColumn="0"/>
            </w:pPr>
            <w:r w:rsidRPr="000E260B">
              <w:t>2010-11</w:t>
            </w:r>
            <w:r w:rsidRPr="000E260B">
              <w:rPr>
                <w:rStyle w:val="AERsuperscript"/>
              </w:rPr>
              <w:t>(a)</w:t>
            </w:r>
          </w:p>
        </w:tc>
        <w:tc>
          <w:tcPr>
            <w:tcW w:w="546" w:type="pct"/>
            <w:hideMark/>
          </w:tcPr>
          <w:p w:rsidR="00723A0B" w:rsidRPr="000E260B" w:rsidRDefault="00723A0B" w:rsidP="000E260B">
            <w:pPr>
              <w:cnfStyle w:val="100000000000" w:firstRow="1" w:lastRow="0" w:firstColumn="0" w:lastColumn="0" w:oddVBand="0" w:evenVBand="0" w:oddHBand="0" w:evenHBand="0" w:firstRowFirstColumn="0" w:firstRowLastColumn="0" w:lastRowFirstColumn="0" w:lastRowLastColumn="0"/>
            </w:pPr>
            <w:r w:rsidRPr="000E260B">
              <w:t>2011-12</w:t>
            </w:r>
          </w:p>
        </w:tc>
        <w:tc>
          <w:tcPr>
            <w:tcW w:w="546" w:type="pct"/>
            <w:hideMark/>
          </w:tcPr>
          <w:p w:rsidR="00723A0B" w:rsidRPr="000E260B" w:rsidRDefault="00723A0B" w:rsidP="000E260B">
            <w:pPr>
              <w:cnfStyle w:val="100000000000" w:firstRow="1" w:lastRow="0" w:firstColumn="0" w:lastColumn="0" w:oddVBand="0" w:evenVBand="0" w:oddHBand="0" w:evenHBand="0" w:firstRowFirstColumn="0" w:firstRowLastColumn="0" w:lastRowFirstColumn="0" w:lastRowLastColumn="0"/>
            </w:pPr>
            <w:r w:rsidRPr="000E260B">
              <w:t>2012-13</w:t>
            </w:r>
          </w:p>
        </w:tc>
        <w:tc>
          <w:tcPr>
            <w:tcW w:w="546" w:type="pct"/>
            <w:hideMark/>
          </w:tcPr>
          <w:p w:rsidR="00723A0B" w:rsidRPr="000E260B" w:rsidRDefault="00723A0B" w:rsidP="000E260B">
            <w:pPr>
              <w:cnfStyle w:val="100000000000" w:firstRow="1" w:lastRow="0" w:firstColumn="0" w:lastColumn="0" w:oddVBand="0" w:evenVBand="0" w:oddHBand="0" w:evenHBand="0" w:firstRowFirstColumn="0" w:firstRowLastColumn="0" w:lastRowFirstColumn="0" w:lastRowLastColumn="0"/>
            </w:pPr>
            <w:r w:rsidRPr="000E260B">
              <w:t>2013-14</w:t>
            </w:r>
          </w:p>
        </w:tc>
        <w:tc>
          <w:tcPr>
            <w:tcW w:w="546" w:type="pct"/>
            <w:hideMark/>
          </w:tcPr>
          <w:p w:rsidR="00723A0B" w:rsidRPr="000E260B" w:rsidRDefault="00723A0B" w:rsidP="000E260B">
            <w:pPr>
              <w:cnfStyle w:val="100000000000" w:firstRow="1" w:lastRow="0" w:firstColumn="0" w:lastColumn="0" w:oddVBand="0" w:evenVBand="0" w:oddHBand="0" w:evenHBand="0" w:firstRowFirstColumn="0" w:firstRowLastColumn="0" w:lastRowFirstColumn="0" w:lastRowLastColumn="0"/>
            </w:pPr>
            <w:r w:rsidRPr="000E260B">
              <w:t>2014-15</w:t>
            </w:r>
          </w:p>
        </w:tc>
        <w:tc>
          <w:tcPr>
            <w:tcW w:w="546" w:type="pct"/>
          </w:tcPr>
          <w:p w:rsidR="00723A0B" w:rsidRPr="000E260B" w:rsidRDefault="00723A0B" w:rsidP="000E260B">
            <w:pPr>
              <w:cnfStyle w:val="100000000000" w:firstRow="1" w:lastRow="0" w:firstColumn="0" w:lastColumn="0" w:oddVBand="0" w:evenVBand="0" w:oddHBand="0" w:evenHBand="0" w:firstRowFirstColumn="0" w:firstRowLastColumn="0" w:lastRowFirstColumn="0" w:lastRowLastColumn="0"/>
            </w:pPr>
            <w:r w:rsidRPr="000E260B">
              <w:t>2015-16</w:t>
            </w:r>
            <w:r w:rsidRPr="006F2F85">
              <w:rPr>
                <w:rStyle w:val="AERsuperscript"/>
              </w:rPr>
              <w:t>(b)</w:t>
            </w:r>
          </w:p>
        </w:tc>
        <w:tc>
          <w:tcPr>
            <w:tcW w:w="546" w:type="pct"/>
          </w:tcPr>
          <w:p w:rsidR="00723A0B" w:rsidRPr="000E260B" w:rsidRDefault="00723A0B" w:rsidP="000E260B">
            <w:pPr>
              <w:cnfStyle w:val="100000000000" w:firstRow="1" w:lastRow="0" w:firstColumn="0" w:lastColumn="0" w:oddVBand="0" w:evenVBand="0" w:oddHBand="0" w:evenHBand="0" w:firstRowFirstColumn="0" w:firstRowLastColumn="0" w:lastRowFirstColumn="0" w:lastRowLastColumn="0"/>
            </w:pPr>
            <w:r w:rsidRPr="000E260B">
              <w:t>Total (2011-16)</w:t>
            </w:r>
          </w:p>
        </w:tc>
      </w:tr>
      <w:tr w:rsidR="000E260B" w:rsidRPr="000E260B" w:rsidTr="000E260B">
        <w:trPr>
          <w:trHeight w:val="300"/>
        </w:trPr>
        <w:tc>
          <w:tcPr>
            <w:cnfStyle w:val="001000000000" w:firstRow="0" w:lastRow="0" w:firstColumn="1" w:lastColumn="0" w:oddVBand="0" w:evenVBand="0" w:oddHBand="0" w:evenHBand="0" w:firstRowFirstColumn="0" w:firstRowLastColumn="0" w:lastRowFirstColumn="0" w:lastRowLastColumn="0"/>
            <w:tcW w:w="1176" w:type="pct"/>
            <w:hideMark/>
          </w:tcPr>
          <w:p w:rsidR="00723A0B" w:rsidRPr="000E260B" w:rsidRDefault="00723A0B" w:rsidP="000E260B">
            <w:r w:rsidRPr="000E260B">
              <w:t xml:space="preserve">Expansion </w:t>
            </w:r>
          </w:p>
        </w:tc>
        <w:tc>
          <w:tcPr>
            <w:tcW w:w="546" w:type="pct"/>
          </w:tcPr>
          <w:p w:rsidR="00723A0B" w:rsidRPr="000E260B" w:rsidRDefault="00A15B4C" w:rsidP="000E260B">
            <w:pPr>
              <w:cnfStyle w:val="000000000000" w:firstRow="0" w:lastRow="0" w:firstColumn="0" w:lastColumn="0" w:oddVBand="0" w:evenVBand="0" w:oddHBand="0" w:evenHBand="0" w:firstRowFirstColumn="0" w:firstRowLastColumn="0" w:lastRowFirstColumn="0" w:lastRowLastColumn="0"/>
            </w:pPr>
            <w:r w:rsidRPr="000E260B">
              <w:t>3.0</w:t>
            </w:r>
          </w:p>
        </w:tc>
        <w:tc>
          <w:tcPr>
            <w:tcW w:w="546" w:type="pct"/>
          </w:tcPr>
          <w:p w:rsidR="00723A0B" w:rsidRPr="000E260B" w:rsidRDefault="00F911B5" w:rsidP="000E260B">
            <w:pPr>
              <w:cnfStyle w:val="000000000000" w:firstRow="0" w:lastRow="0" w:firstColumn="0" w:lastColumn="0" w:oddVBand="0" w:evenVBand="0" w:oddHBand="0" w:evenHBand="0" w:firstRowFirstColumn="0" w:firstRowLastColumn="0" w:lastRowFirstColumn="0" w:lastRowLastColumn="0"/>
            </w:pPr>
            <w:r w:rsidRPr="000E260B">
              <w:t>0.9</w:t>
            </w:r>
          </w:p>
        </w:tc>
        <w:tc>
          <w:tcPr>
            <w:tcW w:w="546" w:type="pct"/>
          </w:tcPr>
          <w:p w:rsidR="00723A0B" w:rsidRPr="000E260B" w:rsidRDefault="00723A0B" w:rsidP="000E260B">
            <w:pPr>
              <w:cnfStyle w:val="000000000000" w:firstRow="0" w:lastRow="0" w:firstColumn="0" w:lastColumn="0" w:oddVBand="0" w:evenVBand="0" w:oddHBand="0" w:evenHBand="0" w:firstRowFirstColumn="0" w:firstRowLastColumn="0" w:lastRowFirstColumn="0" w:lastRowLastColumn="0"/>
            </w:pPr>
            <w:r w:rsidRPr="000E260B">
              <w:t>0.8</w:t>
            </w:r>
          </w:p>
        </w:tc>
        <w:tc>
          <w:tcPr>
            <w:tcW w:w="546" w:type="pct"/>
          </w:tcPr>
          <w:p w:rsidR="00723A0B" w:rsidRPr="000E260B" w:rsidRDefault="00723A0B" w:rsidP="000E260B">
            <w:pPr>
              <w:cnfStyle w:val="000000000000" w:firstRow="0" w:lastRow="0" w:firstColumn="0" w:lastColumn="0" w:oddVBand="0" w:evenVBand="0" w:oddHBand="0" w:evenHBand="0" w:firstRowFirstColumn="0" w:firstRowLastColumn="0" w:lastRowFirstColumn="0" w:lastRowLastColumn="0"/>
            </w:pPr>
            <w:r w:rsidRPr="000E260B">
              <w:t>0.6</w:t>
            </w:r>
          </w:p>
        </w:tc>
        <w:tc>
          <w:tcPr>
            <w:tcW w:w="546" w:type="pct"/>
          </w:tcPr>
          <w:p w:rsidR="00723A0B" w:rsidRPr="000E260B" w:rsidRDefault="00723A0B" w:rsidP="000E260B">
            <w:pPr>
              <w:cnfStyle w:val="000000000000" w:firstRow="0" w:lastRow="0" w:firstColumn="0" w:lastColumn="0" w:oddVBand="0" w:evenVBand="0" w:oddHBand="0" w:evenHBand="0" w:firstRowFirstColumn="0" w:firstRowLastColumn="0" w:lastRowFirstColumn="0" w:lastRowLastColumn="0"/>
            </w:pPr>
            <w:r w:rsidRPr="000E260B">
              <w:t>0.1</w:t>
            </w:r>
          </w:p>
        </w:tc>
        <w:tc>
          <w:tcPr>
            <w:tcW w:w="546" w:type="pct"/>
          </w:tcPr>
          <w:p w:rsidR="00723A0B" w:rsidRPr="000E260B" w:rsidRDefault="00723A0B" w:rsidP="000E260B">
            <w:pPr>
              <w:cnfStyle w:val="000000000000" w:firstRow="0" w:lastRow="0" w:firstColumn="0" w:lastColumn="0" w:oddVBand="0" w:evenVBand="0" w:oddHBand="0" w:evenHBand="0" w:firstRowFirstColumn="0" w:firstRowLastColumn="0" w:lastRowFirstColumn="0" w:lastRowLastColumn="0"/>
            </w:pPr>
            <w:r w:rsidRPr="000E260B">
              <w:t>-</w:t>
            </w:r>
          </w:p>
        </w:tc>
        <w:tc>
          <w:tcPr>
            <w:tcW w:w="546" w:type="pct"/>
          </w:tcPr>
          <w:p w:rsidR="00723A0B" w:rsidRPr="000E260B" w:rsidRDefault="00F911B5" w:rsidP="000E260B">
            <w:pPr>
              <w:cnfStyle w:val="000000000000" w:firstRow="0" w:lastRow="0" w:firstColumn="0" w:lastColumn="0" w:oddVBand="0" w:evenVBand="0" w:oddHBand="0" w:evenHBand="0" w:firstRowFirstColumn="0" w:firstRowLastColumn="0" w:lastRowFirstColumn="0" w:lastRowLastColumn="0"/>
            </w:pPr>
            <w:r w:rsidRPr="000E260B">
              <w:t>2.</w:t>
            </w:r>
            <w:r w:rsidR="00725057" w:rsidRPr="000E260B">
              <w:t>3</w:t>
            </w:r>
          </w:p>
        </w:tc>
      </w:tr>
      <w:tr w:rsidR="000E260B" w:rsidRPr="000E260B" w:rsidTr="000E260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6" w:type="pct"/>
            <w:hideMark/>
          </w:tcPr>
          <w:p w:rsidR="00723A0B" w:rsidRPr="000E260B" w:rsidRDefault="00723A0B" w:rsidP="000E260B">
            <w:r w:rsidRPr="000E260B">
              <w:t xml:space="preserve">Replacement </w:t>
            </w:r>
          </w:p>
        </w:tc>
        <w:tc>
          <w:tcPr>
            <w:tcW w:w="546" w:type="pct"/>
          </w:tcPr>
          <w:p w:rsidR="00723A0B" w:rsidRPr="000E260B" w:rsidRDefault="00A15B4C" w:rsidP="000E260B">
            <w:pPr>
              <w:cnfStyle w:val="000000010000" w:firstRow="0" w:lastRow="0" w:firstColumn="0" w:lastColumn="0" w:oddVBand="0" w:evenVBand="0" w:oddHBand="0" w:evenHBand="1" w:firstRowFirstColumn="0" w:firstRowLastColumn="0" w:lastRowFirstColumn="0" w:lastRowLastColumn="0"/>
            </w:pPr>
            <w:r w:rsidRPr="000E260B">
              <w:t>1.1</w:t>
            </w:r>
          </w:p>
        </w:tc>
        <w:tc>
          <w:tcPr>
            <w:tcW w:w="546" w:type="pct"/>
          </w:tcPr>
          <w:p w:rsidR="00723A0B" w:rsidRPr="000E260B" w:rsidRDefault="00F911B5" w:rsidP="000E260B">
            <w:pPr>
              <w:cnfStyle w:val="000000010000" w:firstRow="0" w:lastRow="0" w:firstColumn="0" w:lastColumn="0" w:oddVBand="0" w:evenVBand="0" w:oddHBand="0" w:evenHBand="1" w:firstRowFirstColumn="0" w:firstRowLastColumn="0" w:lastRowFirstColumn="0" w:lastRowLastColumn="0"/>
            </w:pPr>
            <w:r w:rsidRPr="000E260B">
              <w:t>3.4</w:t>
            </w:r>
          </w:p>
        </w:tc>
        <w:tc>
          <w:tcPr>
            <w:tcW w:w="546" w:type="pct"/>
          </w:tcPr>
          <w:p w:rsidR="00723A0B" w:rsidRPr="000E260B" w:rsidRDefault="00723A0B" w:rsidP="000E260B">
            <w:pPr>
              <w:cnfStyle w:val="000000010000" w:firstRow="0" w:lastRow="0" w:firstColumn="0" w:lastColumn="0" w:oddVBand="0" w:evenVBand="0" w:oddHBand="0" w:evenHBand="1" w:firstRowFirstColumn="0" w:firstRowLastColumn="0" w:lastRowFirstColumn="0" w:lastRowLastColumn="0"/>
            </w:pPr>
            <w:r w:rsidRPr="000E260B">
              <w:t>14.6</w:t>
            </w:r>
          </w:p>
        </w:tc>
        <w:tc>
          <w:tcPr>
            <w:tcW w:w="546" w:type="pct"/>
          </w:tcPr>
          <w:p w:rsidR="00723A0B" w:rsidRPr="000E260B" w:rsidRDefault="00723A0B" w:rsidP="000E260B">
            <w:pPr>
              <w:cnfStyle w:val="000000010000" w:firstRow="0" w:lastRow="0" w:firstColumn="0" w:lastColumn="0" w:oddVBand="0" w:evenVBand="0" w:oddHBand="0" w:evenHBand="1" w:firstRowFirstColumn="0" w:firstRowLastColumn="0" w:lastRowFirstColumn="0" w:lastRowLastColumn="0"/>
            </w:pPr>
            <w:r w:rsidRPr="000E260B">
              <w:t>2.2</w:t>
            </w:r>
          </w:p>
        </w:tc>
        <w:tc>
          <w:tcPr>
            <w:tcW w:w="546" w:type="pct"/>
          </w:tcPr>
          <w:p w:rsidR="00723A0B" w:rsidRPr="000E260B" w:rsidRDefault="00723A0B" w:rsidP="000E260B">
            <w:pPr>
              <w:cnfStyle w:val="000000010000" w:firstRow="0" w:lastRow="0" w:firstColumn="0" w:lastColumn="0" w:oddVBand="0" w:evenVBand="0" w:oddHBand="0" w:evenHBand="1" w:firstRowFirstColumn="0" w:firstRowLastColumn="0" w:lastRowFirstColumn="0" w:lastRowLastColumn="0"/>
            </w:pPr>
            <w:r w:rsidRPr="000E260B">
              <w:t>2.3</w:t>
            </w:r>
          </w:p>
        </w:tc>
        <w:tc>
          <w:tcPr>
            <w:tcW w:w="546" w:type="pct"/>
          </w:tcPr>
          <w:p w:rsidR="00723A0B" w:rsidRPr="000E260B" w:rsidRDefault="00E145C1" w:rsidP="000E260B">
            <w:pPr>
              <w:cnfStyle w:val="000000010000" w:firstRow="0" w:lastRow="0" w:firstColumn="0" w:lastColumn="0" w:oddVBand="0" w:evenVBand="0" w:oddHBand="0" w:evenHBand="1" w:firstRowFirstColumn="0" w:firstRowLastColumn="0" w:lastRowFirstColumn="0" w:lastRowLastColumn="0"/>
            </w:pPr>
            <w:r w:rsidRPr="000E260B">
              <w:t>10.</w:t>
            </w:r>
            <w:r w:rsidR="00A15B4C" w:rsidRPr="000E260B">
              <w:t>1</w:t>
            </w:r>
          </w:p>
        </w:tc>
        <w:tc>
          <w:tcPr>
            <w:tcW w:w="546" w:type="pct"/>
          </w:tcPr>
          <w:p w:rsidR="00723A0B" w:rsidRPr="000E260B" w:rsidRDefault="00086777" w:rsidP="000E260B">
            <w:pPr>
              <w:cnfStyle w:val="000000010000" w:firstRow="0" w:lastRow="0" w:firstColumn="0" w:lastColumn="0" w:oddVBand="0" w:evenVBand="0" w:oddHBand="0" w:evenHBand="1" w:firstRowFirstColumn="0" w:firstRowLastColumn="0" w:lastRowFirstColumn="0" w:lastRowLastColumn="0"/>
            </w:pPr>
            <w:r w:rsidRPr="000E260B">
              <w:t>3</w:t>
            </w:r>
            <w:r w:rsidR="00E145C1" w:rsidRPr="000E260B">
              <w:t>2.5</w:t>
            </w:r>
          </w:p>
        </w:tc>
      </w:tr>
      <w:tr w:rsidR="000E260B" w:rsidRPr="000E260B" w:rsidTr="000E260B">
        <w:trPr>
          <w:trHeight w:val="300"/>
        </w:trPr>
        <w:tc>
          <w:tcPr>
            <w:cnfStyle w:val="001000000000" w:firstRow="0" w:lastRow="0" w:firstColumn="1" w:lastColumn="0" w:oddVBand="0" w:evenVBand="0" w:oddHBand="0" w:evenHBand="0" w:firstRowFirstColumn="0" w:firstRowLastColumn="0" w:lastRowFirstColumn="0" w:lastRowLastColumn="0"/>
            <w:tcW w:w="1176" w:type="pct"/>
            <w:hideMark/>
          </w:tcPr>
          <w:p w:rsidR="00723A0B" w:rsidRPr="000E260B" w:rsidRDefault="00723A0B" w:rsidP="000E260B">
            <w:r w:rsidRPr="000E260B">
              <w:t>Non-system</w:t>
            </w:r>
          </w:p>
        </w:tc>
        <w:tc>
          <w:tcPr>
            <w:tcW w:w="546" w:type="pct"/>
          </w:tcPr>
          <w:p w:rsidR="00723A0B" w:rsidRPr="000E260B" w:rsidRDefault="00723A0B" w:rsidP="000E260B">
            <w:pPr>
              <w:cnfStyle w:val="000000000000" w:firstRow="0" w:lastRow="0" w:firstColumn="0" w:lastColumn="0" w:oddVBand="0" w:evenVBand="0" w:oddHBand="0" w:evenHBand="0" w:firstRowFirstColumn="0" w:firstRowLastColumn="0" w:lastRowFirstColumn="0" w:lastRowLastColumn="0"/>
            </w:pPr>
            <w:r w:rsidRPr="000E260B">
              <w:t>0.4</w:t>
            </w:r>
          </w:p>
        </w:tc>
        <w:tc>
          <w:tcPr>
            <w:tcW w:w="546" w:type="pct"/>
          </w:tcPr>
          <w:p w:rsidR="00723A0B" w:rsidRPr="000E260B" w:rsidRDefault="00723A0B" w:rsidP="000E260B">
            <w:pPr>
              <w:cnfStyle w:val="000000000000" w:firstRow="0" w:lastRow="0" w:firstColumn="0" w:lastColumn="0" w:oddVBand="0" w:evenVBand="0" w:oddHBand="0" w:evenHBand="0" w:firstRowFirstColumn="0" w:firstRowLastColumn="0" w:lastRowFirstColumn="0" w:lastRowLastColumn="0"/>
            </w:pPr>
            <w:r w:rsidRPr="000E260B">
              <w:t>0.2</w:t>
            </w:r>
          </w:p>
        </w:tc>
        <w:tc>
          <w:tcPr>
            <w:tcW w:w="546" w:type="pct"/>
          </w:tcPr>
          <w:p w:rsidR="00723A0B" w:rsidRPr="000E260B" w:rsidRDefault="00723A0B" w:rsidP="000E260B">
            <w:pPr>
              <w:cnfStyle w:val="000000000000" w:firstRow="0" w:lastRow="0" w:firstColumn="0" w:lastColumn="0" w:oddVBand="0" w:evenVBand="0" w:oddHBand="0" w:evenHBand="0" w:firstRowFirstColumn="0" w:firstRowLastColumn="0" w:lastRowFirstColumn="0" w:lastRowLastColumn="0"/>
            </w:pPr>
            <w:r w:rsidRPr="000E260B">
              <w:t>1.6</w:t>
            </w:r>
          </w:p>
        </w:tc>
        <w:tc>
          <w:tcPr>
            <w:tcW w:w="546" w:type="pct"/>
          </w:tcPr>
          <w:p w:rsidR="00723A0B" w:rsidRPr="000E260B" w:rsidRDefault="00723A0B" w:rsidP="000E260B">
            <w:pPr>
              <w:cnfStyle w:val="000000000000" w:firstRow="0" w:lastRow="0" w:firstColumn="0" w:lastColumn="0" w:oddVBand="0" w:evenVBand="0" w:oddHBand="0" w:evenHBand="0" w:firstRowFirstColumn="0" w:firstRowLastColumn="0" w:lastRowFirstColumn="0" w:lastRowLastColumn="0"/>
            </w:pPr>
            <w:r w:rsidRPr="000E260B">
              <w:t>1.6</w:t>
            </w:r>
          </w:p>
        </w:tc>
        <w:tc>
          <w:tcPr>
            <w:tcW w:w="546" w:type="pct"/>
          </w:tcPr>
          <w:p w:rsidR="00723A0B" w:rsidRPr="000E260B" w:rsidRDefault="00723A0B" w:rsidP="000E260B">
            <w:pPr>
              <w:cnfStyle w:val="000000000000" w:firstRow="0" w:lastRow="0" w:firstColumn="0" w:lastColumn="0" w:oddVBand="0" w:evenVBand="0" w:oddHBand="0" w:evenHBand="0" w:firstRowFirstColumn="0" w:firstRowLastColumn="0" w:lastRowFirstColumn="0" w:lastRowLastColumn="0"/>
            </w:pPr>
            <w:r w:rsidRPr="000E260B">
              <w:t>1.9</w:t>
            </w:r>
          </w:p>
        </w:tc>
        <w:tc>
          <w:tcPr>
            <w:tcW w:w="546" w:type="pct"/>
          </w:tcPr>
          <w:p w:rsidR="00723A0B" w:rsidRPr="000E260B" w:rsidRDefault="00723A0B" w:rsidP="000E260B">
            <w:pPr>
              <w:cnfStyle w:val="000000000000" w:firstRow="0" w:lastRow="0" w:firstColumn="0" w:lastColumn="0" w:oddVBand="0" w:evenVBand="0" w:oddHBand="0" w:evenHBand="0" w:firstRowFirstColumn="0" w:firstRowLastColumn="0" w:lastRowFirstColumn="0" w:lastRowLastColumn="0"/>
            </w:pPr>
            <w:r w:rsidRPr="000E260B">
              <w:t>2.4</w:t>
            </w:r>
          </w:p>
        </w:tc>
        <w:tc>
          <w:tcPr>
            <w:tcW w:w="546" w:type="pct"/>
          </w:tcPr>
          <w:p w:rsidR="00723A0B" w:rsidRPr="000E260B" w:rsidRDefault="00723A0B" w:rsidP="000E260B">
            <w:pPr>
              <w:cnfStyle w:val="000000000000" w:firstRow="0" w:lastRow="0" w:firstColumn="0" w:lastColumn="0" w:oddVBand="0" w:evenVBand="0" w:oddHBand="0" w:evenHBand="0" w:firstRowFirstColumn="0" w:firstRowLastColumn="0" w:lastRowFirstColumn="0" w:lastRowLastColumn="0"/>
            </w:pPr>
            <w:r w:rsidRPr="000E260B">
              <w:t>7.</w:t>
            </w:r>
            <w:r w:rsidR="00A15B4C" w:rsidRPr="000E260B">
              <w:t>7</w:t>
            </w:r>
          </w:p>
        </w:tc>
      </w:tr>
      <w:tr w:rsidR="000E260B" w:rsidRPr="000E260B" w:rsidTr="000E260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6" w:type="pct"/>
            <w:hideMark/>
          </w:tcPr>
          <w:p w:rsidR="00723A0B" w:rsidRPr="000E260B" w:rsidRDefault="00723A0B" w:rsidP="000E260B">
            <w:r w:rsidRPr="000E260B">
              <w:t>GROSS TOTAL CAPITAL EXPENDITURE</w:t>
            </w:r>
          </w:p>
        </w:tc>
        <w:tc>
          <w:tcPr>
            <w:tcW w:w="546" w:type="pct"/>
          </w:tcPr>
          <w:p w:rsidR="00723A0B" w:rsidRPr="000E260B" w:rsidRDefault="00723A0B" w:rsidP="000E260B">
            <w:pPr>
              <w:cnfStyle w:val="000000010000" w:firstRow="0" w:lastRow="0" w:firstColumn="0" w:lastColumn="0" w:oddVBand="0" w:evenVBand="0" w:oddHBand="0" w:evenHBand="1" w:firstRowFirstColumn="0" w:firstRowLastColumn="0" w:lastRowFirstColumn="0" w:lastRowLastColumn="0"/>
            </w:pPr>
            <w:r w:rsidRPr="000E260B">
              <w:t>4.5</w:t>
            </w:r>
          </w:p>
        </w:tc>
        <w:tc>
          <w:tcPr>
            <w:tcW w:w="546" w:type="pct"/>
          </w:tcPr>
          <w:p w:rsidR="00723A0B" w:rsidRPr="000E260B" w:rsidRDefault="00723A0B" w:rsidP="000E260B">
            <w:pPr>
              <w:cnfStyle w:val="000000010000" w:firstRow="0" w:lastRow="0" w:firstColumn="0" w:lastColumn="0" w:oddVBand="0" w:evenVBand="0" w:oddHBand="0" w:evenHBand="1" w:firstRowFirstColumn="0" w:firstRowLastColumn="0" w:lastRowFirstColumn="0" w:lastRowLastColumn="0"/>
            </w:pPr>
            <w:r w:rsidRPr="000E260B">
              <w:t>4.5</w:t>
            </w:r>
          </w:p>
        </w:tc>
        <w:tc>
          <w:tcPr>
            <w:tcW w:w="546" w:type="pct"/>
          </w:tcPr>
          <w:p w:rsidR="00723A0B" w:rsidRPr="000E260B" w:rsidRDefault="00723A0B" w:rsidP="000E260B">
            <w:pPr>
              <w:cnfStyle w:val="000000010000" w:firstRow="0" w:lastRow="0" w:firstColumn="0" w:lastColumn="0" w:oddVBand="0" w:evenVBand="0" w:oddHBand="0" w:evenHBand="1" w:firstRowFirstColumn="0" w:firstRowLastColumn="0" w:lastRowFirstColumn="0" w:lastRowLastColumn="0"/>
            </w:pPr>
            <w:r w:rsidRPr="000E260B">
              <w:t>17.0</w:t>
            </w:r>
          </w:p>
        </w:tc>
        <w:tc>
          <w:tcPr>
            <w:tcW w:w="546" w:type="pct"/>
          </w:tcPr>
          <w:p w:rsidR="00723A0B" w:rsidRPr="000E260B" w:rsidRDefault="00723A0B" w:rsidP="000E260B">
            <w:pPr>
              <w:cnfStyle w:val="000000010000" w:firstRow="0" w:lastRow="0" w:firstColumn="0" w:lastColumn="0" w:oddVBand="0" w:evenVBand="0" w:oddHBand="0" w:evenHBand="1" w:firstRowFirstColumn="0" w:firstRowLastColumn="0" w:lastRowFirstColumn="0" w:lastRowLastColumn="0"/>
            </w:pPr>
            <w:r w:rsidRPr="000E260B">
              <w:t>4.</w:t>
            </w:r>
            <w:r w:rsidR="00725057" w:rsidRPr="000E260B">
              <w:t>3</w:t>
            </w:r>
          </w:p>
        </w:tc>
        <w:tc>
          <w:tcPr>
            <w:tcW w:w="546" w:type="pct"/>
          </w:tcPr>
          <w:p w:rsidR="00723A0B" w:rsidRPr="000E260B" w:rsidRDefault="00723A0B" w:rsidP="000E260B">
            <w:pPr>
              <w:cnfStyle w:val="000000010000" w:firstRow="0" w:lastRow="0" w:firstColumn="0" w:lastColumn="0" w:oddVBand="0" w:evenVBand="0" w:oddHBand="0" w:evenHBand="1" w:firstRowFirstColumn="0" w:firstRowLastColumn="0" w:lastRowFirstColumn="0" w:lastRowLastColumn="0"/>
            </w:pPr>
            <w:r w:rsidRPr="000E260B">
              <w:t>4.</w:t>
            </w:r>
            <w:r w:rsidR="00725057" w:rsidRPr="000E260B">
              <w:t>2</w:t>
            </w:r>
          </w:p>
        </w:tc>
        <w:tc>
          <w:tcPr>
            <w:tcW w:w="546" w:type="pct"/>
          </w:tcPr>
          <w:p w:rsidR="00723A0B" w:rsidRPr="000E260B" w:rsidRDefault="00086777" w:rsidP="000E260B">
            <w:pPr>
              <w:cnfStyle w:val="000000010000" w:firstRow="0" w:lastRow="0" w:firstColumn="0" w:lastColumn="0" w:oddVBand="0" w:evenVBand="0" w:oddHBand="0" w:evenHBand="1" w:firstRowFirstColumn="0" w:firstRowLastColumn="0" w:lastRowFirstColumn="0" w:lastRowLastColumn="0"/>
            </w:pPr>
            <w:r w:rsidRPr="000E260B">
              <w:t>1</w:t>
            </w:r>
            <w:r w:rsidR="00E145C1" w:rsidRPr="000E260B">
              <w:t>2.</w:t>
            </w:r>
            <w:r w:rsidR="00A15B4C" w:rsidRPr="000E260B">
              <w:t>6</w:t>
            </w:r>
          </w:p>
        </w:tc>
        <w:tc>
          <w:tcPr>
            <w:tcW w:w="546" w:type="pct"/>
          </w:tcPr>
          <w:p w:rsidR="00723A0B" w:rsidRPr="000E260B" w:rsidRDefault="00E145C1" w:rsidP="000E260B">
            <w:pPr>
              <w:cnfStyle w:val="000000010000" w:firstRow="0" w:lastRow="0" w:firstColumn="0" w:lastColumn="0" w:oddVBand="0" w:evenVBand="0" w:oddHBand="0" w:evenHBand="1" w:firstRowFirstColumn="0" w:firstRowLastColumn="0" w:lastRowFirstColumn="0" w:lastRowLastColumn="0"/>
            </w:pPr>
            <w:r w:rsidRPr="000E260B">
              <w:t>42.5</w:t>
            </w:r>
          </w:p>
        </w:tc>
      </w:tr>
      <w:tr w:rsidR="000E260B" w:rsidRPr="000E260B" w:rsidTr="000E260B">
        <w:trPr>
          <w:trHeight w:val="300"/>
        </w:trPr>
        <w:tc>
          <w:tcPr>
            <w:cnfStyle w:val="001000000000" w:firstRow="0" w:lastRow="0" w:firstColumn="1" w:lastColumn="0" w:oddVBand="0" w:evenVBand="0" w:oddHBand="0" w:evenHBand="0" w:firstRowFirstColumn="0" w:firstRowLastColumn="0" w:lastRowFirstColumn="0" w:lastRowLastColumn="0"/>
            <w:tcW w:w="1176" w:type="pct"/>
          </w:tcPr>
          <w:p w:rsidR="00723A0B" w:rsidRPr="000E260B" w:rsidRDefault="00723A0B" w:rsidP="000E260B">
            <w:r w:rsidRPr="000E260B">
              <w:t>Contributions</w:t>
            </w:r>
          </w:p>
        </w:tc>
        <w:tc>
          <w:tcPr>
            <w:tcW w:w="546" w:type="pct"/>
          </w:tcPr>
          <w:p w:rsidR="00723A0B" w:rsidRPr="000E260B" w:rsidRDefault="00723A0B" w:rsidP="000E260B">
            <w:pPr>
              <w:cnfStyle w:val="000000000000" w:firstRow="0" w:lastRow="0" w:firstColumn="0" w:lastColumn="0" w:oddVBand="0" w:evenVBand="0" w:oddHBand="0" w:evenHBand="0" w:firstRowFirstColumn="0" w:firstRowLastColumn="0" w:lastRowFirstColumn="0" w:lastRowLastColumn="0"/>
            </w:pPr>
            <w:r w:rsidRPr="000E260B">
              <w:t>-</w:t>
            </w:r>
          </w:p>
        </w:tc>
        <w:tc>
          <w:tcPr>
            <w:tcW w:w="546" w:type="pct"/>
          </w:tcPr>
          <w:p w:rsidR="00723A0B" w:rsidRPr="000E260B" w:rsidRDefault="00723A0B" w:rsidP="000E260B">
            <w:pPr>
              <w:cnfStyle w:val="000000000000" w:firstRow="0" w:lastRow="0" w:firstColumn="0" w:lastColumn="0" w:oddVBand="0" w:evenVBand="0" w:oddHBand="0" w:evenHBand="0" w:firstRowFirstColumn="0" w:firstRowLastColumn="0" w:lastRowFirstColumn="0" w:lastRowLastColumn="0"/>
            </w:pPr>
            <w:r w:rsidRPr="000E260B">
              <w:t>-</w:t>
            </w:r>
          </w:p>
        </w:tc>
        <w:tc>
          <w:tcPr>
            <w:tcW w:w="546" w:type="pct"/>
          </w:tcPr>
          <w:p w:rsidR="00723A0B" w:rsidRPr="000E260B" w:rsidRDefault="00723A0B" w:rsidP="000E260B">
            <w:pPr>
              <w:cnfStyle w:val="000000000000" w:firstRow="0" w:lastRow="0" w:firstColumn="0" w:lastColumn="0" w:oddVBand="0" w:evenVBand="0" w:oddHBand="0" w:evenHBand="0" w:firstRowFirstColumn="0" w:firstRowLastColumn="0" w:lastRowFirstColumn="0" w:lastRowLastColumn="0"/>
            </w:pPr>
            <w:r w:rsidRPr="000E260B">
              <w:t>-</w:t>
            </w:r>
          </w:p>
        </w:tc>
        <w:tc>
          <w:tcPr>
            <w:tcW w:w="546" w:type="pct"/>
          </w:tcPr>
          <w:p w:rsidR="00723A0B" w:rsidRPr="000E260B" w:rsidRDefault="00723A0B" w:rsidP="000E260B">
            <w:pPr>
              <w:cnfStyle w:val="000000000000" w:firstRow="0" w:lastRow="0" w:firstColumn="0" w:lastColumn="0" w:oddVBand="0" w:evenVBand="0" w:oddHBand="0" w:evenHBand="0" w:firstRowFirstColumn="0" w:firstRowLastColumn="0" w:lastRowFirstColumn="0" w:lastRowLastColumn="0"/>
            </w:pPr>
            <w:r w:rsidRPr="000E260B">
              <w:t>-</w:t>
            </w:r>
          </w:p>
        </w:tc>
        <w:tc>
          <w:tcPr>
            <w:tcW w:w="546" w:type="pct"/>
          </w:tcPr>
          <w:p w:rsidR="00723A0B" w:rsidRPr="000E260B" w:rsidRDefault="00723A0B" w:rsidP="000E260B">
            <w:pPr>
              <w:cnfStyle w:val="000000000000" w:firstRow="0" w:lastRow="0" w:firstColumn="0" w:lastColumn="0" w:oddVBand="0" w:evenVBand="0" w:oddHBand="0" w:evenHBand="0" w:firstRowFirstColumn="0" w:firstRowLastColumn="0" w:lastRowFirstColumn="0" w:lastRowLastColumn="0"/>
            </w:pPr>
            <w:r w:rsidRPr="000E260B">
              <w:t>-</w:t>
            </w:r>
          </w:p>
        </w:tc>
        <w:tc>
          <w:tcPr>
            <w:tcW w:w="546" w:type="pct"/>
          </w:tcPr>
          <w:p w:rsidR="00723A0B" w:rsidRPr="000E260B" w:rsidRDefault="00723A0B" w:rsidP="000E260B">
            <w:pPr>
              <w:cnfStyle w:val="000000000000" w:firstRow="0" w:lastRow="0" w:firstColumn="0" w:lastColumn="0" w:oddVBand="0" w:evenVBand="0" w:oddHBand="0" w:evenHBand="0" w:firstRowFirstColumn="0" w:firstRowLastColumn="0" w:lastRowFirstColumn="0" w:lastRowLastColumn="0"/>
            </w:pPr>
            <w:r w:rsidRPr="000E260B">
              <w:t>-</w:t>
            </w:r>
          </w:p>
        </w:tc>
        <w:tc>
          <w:tcPr>
            <w:tcW w:w="546" w:type="pct"/>
          </w:tcPr>
          <w:p w:rsidR="00723A0B" w:rsidRPr="000E260B" w:rsidRDefault="00723A0B" w:rsidP="000E260B">
            <w:pPr>
              <w:cnfStyle w:val="000000000000" w:firstRow="0" w:lastRow="0" w:firstColumn="0" w:lastColumn="0" w:oddVBand="0" w:evenVBand="0" w:oddHBand="0" w:evenHBand="0" w:firstRowFirstColumn="0" w:firstRowLastColumn="0" w:lastRowFirstColumn="0" w:lastRowLastColumn="0"/>
            </w:pPr>
            <w:r w:rsidRPr="000E260B">
              <w:t>-</w:t>
            </w:r>
          </w:p>
        </w:tc>
      </w:tr>
      <w:tr w:rsidR="000E260B" w:rsidRPr="000E260B" w:rsidTr="000E260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6" w:type="pct"/>
          </w:tcPr>
          <w:p w:rsidR="00723A0B" w:rsidRPr="000E260B" w:rsidRDefault="00723A0B" w:rsidP="000E260B">
            <w:r w:rsidRPr="000E260B">
              <w:t>Asset disposals</w:t>
            </w:r>
          </w:p>
        </w:tc>
        <w:tc>
          <w:tcPr>
            <w:tcW w:w="546" w:type="pct"/>
          </w:tcPr>
          <w:p w:rsidR="00723A0B" w:rsidRPr="000E260B" w:rsidRDefault="00723A0B" w:rsidP="000E260B">
            <w:pPr>
              <w:cnfStyle w:val="000000010000" w:firstRow="0" w:lastRow="0" w:firstColumn="0" w:lastColumn="0" w:oddVBand="0" w:evenVBand="0" w:oddHBand="0" w:evenHBand="1" w:firstRowFirstColumn="0" w:firstRowLastColumn="0" w:lastRowFirstColumn="0" w:lastRowLastColumn="0"/>
            </w:pPr>
            <w:r w:rsidRPr="000E260B">
              <w:t>-</w:t>
            </w:r>
          </w:p>
        </w:tc>
        <w:tc>
          <w:tcPr>
            <w:tcW w:w="546" w:type="pct"/>
          </w:tcPr>
          <w:p w:rsidR="00723A0B" w:rsidRPr="000E260B" w:rsidRDefault="00723A0B" w:rsidP="000E260B">
            <w:pPr>
              <w:cnfStyle w:val="000000010000" w:firstRow="0" w:lastRow="0" w:firstColumn="0" w:lastColumn="0" w:oddVBand="0" w:evenVBand="0" w:oddHBand="0" w:evenHBand="1" w:firstRowFirstColumn="0" w:firstRowLastColumn="0" w:lastRowFirstColumn="0" w:lastRowLastColumn="0"/>
            </w:pPr>
            <w:r w:rsidRPr="000E260B">
              <w:t>-</w:t>
            </w:r>
          </w:p>
        </w:tc>
        <w:tc>
          <w:tcPr>
            <w:tcW w:w="546" w:type="pct"/>
          </w:tcPr>
          <w:p w:rsidR="00723A0B" w:rsidRPr="000E260B" w:rsidRDefault="00723A0B" w:rsidP="000E260B">
            <w:pPr>
              <w:cnfStyle w:val="000000010000" w:firstRow="0" w:lastRow="0" w:firstColumn="0" w:lastColumn="0" w:oddVBand="0" w:evenVBand="0" w:oddHBand="0" w:evenHBand="1" w:firstRowFirstColumn="0" w:firstRowLastColumn="0" w:lastRowFirstColumn="0" w:lastRowLastColumn="0"/>
            </w:pPr>
            <w:r w:rsidRPr="000E260B">
              <w:t>0.0</w:t>
            </w:r>
          </w:p>
        </w:tc>
        <w:tc>
          <w:tcPr>
            <w:tcW w:w="546" w:type="pct"/>
          </w:tcPr>
          <w:p w:rsidR="00723A0B" w:rsidRPr="000E260B" w:rsidRDefault="00723A0B" w:rsidP="000E260B">
            <w:pPr>
              <w:cnfStyle w:val="000000010000" w:firstRow="0" w:lastRow="0" w:firstColumn="0" w:lastColumn="0" w:oddVBand="0" w:evenVBand="0" w:oddHBand="0" w:evenHBand="1" w:firstRowFirstColumn="0" w:firstRowLastColumn="0" w:lastRowFirstColumn="0" w:lastRowLastColumn="0"/>
            </w:pPr>
            <w:r w:rsidRPr="000E260B">
              <w:t>0.3</w:t>
            </w:r>
          </w:p>
        </w:tc>
        <w:tc>
          <w:tcPr>
            <w:tcW w:w="546" w:type="pct"/>
          </w:tcPr>
          <w:p w:rsidR="00723A0B" w:rsidRPr="000E260B" w:rsidRDefault="00723A0B" w:rsidP="000E260B">
            <w:pPr>
              <w:cnfStyle w:val="000000010000" w:firstRow="0" w:lastRow="0" w:firstColumn="0" w:lastColumn="0" w:oddVBand="0" w:evenVBand="0" w:oddHBand="0" w:evenHBand="1" w:firstRowFirstColumn="0" w:firstRowLastColumn="0" w:lastRowFirstColumn="0" w:lastRowLastColumn="0"/>
            </w:pPr>
            <w:r w:rsidRPr="000E260B">
              <w:t>0.1</w:t>
            </w:r>
          </w:p>
        </w:tc>
        <w:tc>
          <w:tcPr>
            <w:tcW w:w="546" w:type="pct"/>
          </w:tcPr>
          <w:p w:rsidR="00723A0B" w:rsidRPr="000E260B" w:rsidRDefault="00723A0B" w:rsidP="000E260B">
            <w:pPr>
              <w:cnfStyle w:val="000000010000" w:firstRow="0" w:lastRow="0" w:firstColumn="0" w:lastColumn="0" w:oddVBand="0" w:evenVBand="0" w:oddHBand="0" w:evenHBand="1" w:firstRowFirstColumn="0" w:firstRowLastColumn="0" w:lastRowFirstColumn="0" w:lastRowLastColumn="0"/>
            </w:pPr>
            <w:r w:rsidRPr="000E260B">
              <w:t>-</w:t>
            </w:r>
          </w:p>
        </w:tc>
        <w:tc>
          <w:tcPr>
            <w:tcW w:w="546" w:type="pct"/>
          </w:tcPr>
          <w:p w:rsidR="00723A0B" w:rsidRPr="000E260B" w:rsidRDefault="00723A0B" w:rsidP="000E260B">
            <w:pPr>
              <w:cnfStyle w:val="000000010000" w:firstRow="0" w:lastRow="0" w:firstColumn="0" w:lastColumn="0" w:oddVBand="0" w:evenVBand="0" w:oddHBand="0" w:evenHBand="1" w:firstRowFirstColumn="0" w:firstRowLastColumn="0" w:lastRowFirstColumn="0" w:lastRowLastColumn="0"/>
            </w:pPr>
            <w:r w:rsidRPr="000E260B">
              <w:t>0.4</w:t>
            </w:r>
          </w:p>
        </w:tc>
      </w:tr>
      <w:tr w:rsidR="000E260B" w:rsidRPr="000E260B" w:rsidTr="000E260B">
        <w:trPr>
          <w:trHeight w:val="300"/>
        </w:trPr>
        <w:tc>
          <w:tcPr>
            <w:cnfStyle w:val="001000000000" w:firstRow="0" w:lastRow="0" w:firstColumn="1" w:lastColumn="0" w:oddVBand="0" w:evenVBand="0" w:oddHBand="0" w:evenHBand="0" w:firstRowFirstColumn="0" w:firstRowLastColumn="0" w:lastRowFirstColumn="0" w:lastRowLastColumn="0"/>
            <w:tcW w:w="1176" w:type="pct"/>
          </w:tcPr>
          <w:p w:rsidR="00723A0B" w:rsidRPr="000E260B" w:rsidRDefault="00723A0B" w:rsidP="000E260B">
            <w:r w:rsidRPr="000E260B">
              <w:t>NET TOTAL CAPITAL EXPENDITURE</w:t>
            </w:r>
          </w:p>
        </w:tc>
        <w:tc>
          <w:tcPr>
            <w:tcW w:w="546" w:type="pct"/>
          </w:tcPr>
          <w:p w:rsidR="00723A0B" w:rsidRPr="000E260B" w:rsidRDefault="00723A0B" w:rsidP="000E260B">
            <w:pPr>
              <w:cnfStyle w:val="000000000000" w:firstRow="0" w:lastRow="0" w:firstColumn="0" w:lastColumn="0" w:oddVBand="0" w:evenVBand="0" w:oddHBand="0" w:evenHBand="0" w:firstRowFirstColumn="0" w:firstRowLastColumn="0" w:lastRowFirstColumn="0" w:lastRowLastColumn="0"/>
            </w:pPr>
            <w:r w:rsidRPr="000E260B">
              <w:t>4.5</w:t>
            </w:r>
          </w:p>
        </w:tc>
        <w:tc>
          <w:tcPr>
            <w:tcW w:w="546" w:type="pct"/>
          </w:tcPr>
          <w:p w:rsidR="00723A0B" w:rsidRPr="000E260B" w:rsidRDefault="00723A0B" w:rsidP="000E260B">
            <w:pPr>
              <w:cnfStyle w:val="000000000000" w:firstRow="0" w:lastRow="0" w:firstColumn="0" w:lastColumn="0" w:oddVBand="0" w:evenVBand="0" w:oddHBand="0" w:evenHBand="0" w:firstRowFirstColumn="0" w:firstRowLastColumn="0" w:lastRowFirstColumn="0" w:lastRowLastColumn="0"/>
            </w:pPr>
            <w:r w:rsidRPr="000E260B">
              <w:t>4.5</w:t>
            </w:r>
          </w:p>
        </w:tc>
        <w:tc>
          <w:tcPr>
            <w:tcW w:w="546" w:type="pct"/>
          </w:tcPr>
          <w:p w:rsidR="00723A0B" w:rsidRPr="000E260B" w:rsidRDefault="00723A0B" w:rsidP="000E260B">
            <w:pPr>
              <w:cnfStyle w:val="000000000000" w:firstRow="0" w:lastRow="0" w:firstColumn="0" w:lastColumn="0" w:oddVBand="0" w:evenVBand="0" w:oddHBand="0" w:evenHBand="0" w:firstRowFirstColumn="0" w:firstRowLastColumn="0" w:lastRowFirstColumn="0" w:lastRowLastColumn="0"/>
            </w:pPr>
            <w:r w:rsidRPr="000E260B">
              <w:t>16.9</w:t>
            </w:r>
          </w:p>
        </w:tc>
        <w:tc>
          <w:tcPr>
            <w:tcW w:w="546" w:type="pct"/>
          </w:tcPr>
          <w:p w:rsidR="00723A0B" w:rsidRPr="000E260B" w:rsidRDefault="00723A0B" w:rsidP="000E260B">
            <w:pPr>
              <w:cnfStyle w:val="000000000000" w:firstRow="0" w:lastRow="0" w:firstColumn="0" w:lastColumn="0" w:oddVBand="0" w:evenVBand="0" w:oddHBand="0" w:evenHBand="0" w:firstRowFirstColumn="0" w:firstRowLastColumn="0" w:lastRowFirstColumn="0" w:lastRowLastColumn="0"/>
            </w:pPr>
            <w:r w:rsidRPr="000E260B">
              <w:t>4.0</w:t>
            </w:r>
          </w:p>
        </w:tc>
        <w:tc>
          <w:tcPr>
            <w:tcW w:w="546" w:type="pct"/>
          </w:tcPr>
          <w:p w:rsidR="00723A0B" w:rsidRPr="000E260B" w:rsidRDefault="00723A0B" w:rsidP="000E260B">
            <w:pPr>
              <w:cnfStyle w:val="000000000000" w:firstRow="0" w:lastRow="0" w:firstColumn="0" w:lastColumn="0" w:oddVBand="0" w:evenVBand="0" w:oddHBand="0" w:evenHBand="0" w:firstRowFirstColumn="0" w:firstRowLastColumn="0" w:lastRowFirstColumn="0" w:lastRowLastColumn="0"/>
            </w:pPr>
            <w:r w:rsidRPr="000E260B">
              <w:t>4.1</w:t>
            </w:r>
          </w:p>
        </w:tc>
        <w:tc>
          <w:tcPr>
            <w:tcW w:w="546" w:type="pct"/>
          </w:tcPr>
          <w:p w:rsidR="00723A0B" w:rsidRPr="000E260B" w:rsidRDefault="004D24B7" w:rsidP="000E260B">
            <w:pPr>
              <w:cnfStyle w:val="000000000000" w:firstRow="0" w:lastRow="0" w:firstColumn="0" w:lastColumn="0" w:oddVBand="0" w:evenVBand="0" w:oddHBand="0" w:evenHBand="0" w:firstRowFirstColumn="0" w:firstRowLastColumn="0" w:lastRowFirstColumn="0" w:lastRowLastColumn="0"/>
            </w:pPr>
            <w:r w:rsidRPr="000E260B">
              <w:t>1</w:t>
            </w:r>
            <w:r w:rsidR="00E145C1" w:rsidRPr="000E260B">
              <w:t>2.</w:t>
            </w:r>
            <w:r w:rsidR="00A15B4C" w:rsidRPr="000E260B">
              <w:t>6</w:t>
            </w:r>
          </w:p>
        </w:tc>
        <w:tc>
          <w:tcPr>
            <w:tcW w:w="546" w:type="pct"/>
          </w:tcPr>
          <w:p w:rsidR="00723A0B" w:rsidRPr="000E260B" w:rsidRDefault="00E145C1" w:rsidP="000E260B">
            <w:pPr>
              <w:cnfStyle w:val="000000000000" w:firstRow="0" w:lastRow="0" w:firstColumn="0" w:lastColumn="0" w:oddVBand="0" w:evenVBand="0" w:oddHBand="0" w:evenHBand="0" w:firstRowFirstColumn="0" w:firstRowLastColumn="0" w:lastRowFirstColumn="0" w:lastRowLastColumn="0"/>
            </w:pPr>
            <w:r w:rsidRPr="000E260B">
              <w:t>42.1</w:t>
            </w:r>
          </w:p>
        </w:tc>
      </w:tr>
    </w:tbl>
    <w:p w:rsidR="00723A0B" w:rsidRDefault="00723A0B" w:rsidP="00723A0B">
      <w:pPr>
        <w:pStyle w:val="AERtablesource"/>
      </w:pPr>
      <w:r w:rsidRPr="00F61681">
        <w:t>Source:</w:t>
      </w:r>
      <w:r w:rsidRPr="00F61681">
        <w:tab/>
        <w:t>AER analysis.</w:t>
      </w:r>
      <w:r w:rsidR="00502593">
        <w:t xml:space="preserve"> </w:t>
      </w:r>
      <w:r w:rsidR="00502593" w:rsidRPr="002D5654">
        <w:t xml:space="preserve">Totals may not add </w:t>
      </w:r>
      <w:r w:rsidR="00477939">
        <w:t xml:space="preserve">up </w:t>
      </w:r>
      <w:r w:rsidR="00502593" w:rsidRPr="002D5654">
        <w:t>due to rounding.</w:t>
      </w:r>
    </w:p>
    <w:p w:rsidR="00723A0B" w:rsidRDefault="00723A0B" w:rsidP="00723A0B">
      <w:pPr>
        <w:pStyle w:val="AERtablesource"/>
      </w:pPr>
      <w:r>
        <w:t>Notes</w:t>
      </w:r>
      <w:r w:rsidRPr="005A3660">
        <w:t>:</w:t>
      </w:r>
      <w:r w:rsidRPr="005A3660">
        <w:tab/>
      </w:r>
      <w:r>
        <w:t xml:space="preserve">(a) We have made a decision on conforming capex for the 2010-11 year for the purposes of establishing the opening capital base for the 2011–16 access arrangement </w:t>
      </w:r>
      <w:proofErr w:type="gramStart"/>
      <w:r>
        <w:t>period</w:t>
      </w:r>
      <w:proofErr w:type="gramEnd"/>
      <w:r>
        <w:t>.</w:t>
      </w:r>
    </w:p>
    <w:p w:rsidR="00723A0B" w:rsidRDefault="00723A0B" w:rsidP="00723A0B">
      <w:pPr>
        <w:pStyle w:val="AERtablesource"/>
      </w:pPr>
      <w:r>
        <w:tab/>
      </w:r>
      <w:r w:rsidRPr="00942B45">
        <w:t>(</w:t>
      </w:r>
      <w:r>
        <w:t>b</w:t>
      </w:r>
      <w:r w:rsidRPr="00942B45">
        <w:t>) This is our estimate of conforming capex for this year</w:t>
      </w:r>
      <w:r w:rsidR="00E145C1">
        <w:t>, including our labour escalation adjustment.</w:t>
      </w:r>
      <w:r w:rsidRPr="00942B45">
        <w:t xml:space="preserve"> We will assess whether APTNT’s actual capex for 2015–16 is conforming capex under the NGR in the next access arrangement review. We will adjust the capital base </w:t>
      </w:r>
      <w:r>
        <w:t xml:space="preserve">actual conforming capex </w:t>
      </w:r>
      <w:r w:rsidRPr="00942B45">
        <w:t>at that time as required.</w:t>
      </w:r>
    </w:p>
    <w:p w:rsidR="00723A0B" w:rsidRDefault="00CF6C01" w:rsidP="00723A0B">
      <w:r>
        <w:fldChar w:fldCharType="begin"/>
      </w:r>
      <w:r>
        <w:instrText xml:space="preserve"> REF _Ref446595307 </w:instrText>
      </w:r>
      <w:r>
        <w:fldChar w:fldCharType="separate"/>
      </w:r>
      <w:r w:rsidR="00C9476D">
        <w:t xml:space="preserve">Table </w:t>
      </w:r>
      <w:r w:rsidR="00C9476D">
        <w:rPr>
          <w:noProof/>
        </w:rPr>
        <w:t>6</w:t>
      </w:r>
      <w:r w:rsidR="00C9476D">
        <w:t>.</w:t>
      </w:r>
      <w:r w:rsidR="00C9476D">
        <w:rPr>
          <w:noProof/>
        </w:rPr>
        <w:t>2</w:t>
      </w:r>
      <w:r>
        <w:rPr>
          <w:noProof/>
        </w:rPr>
        <w:fldChar w:fldCharType="end"/>
      </w:r>
      <w:r w:rsidR="00965679">
        <w:t xml:space="preserve"> shows APTNT's proposed capex compared with our approved conforming capex for each category in the 2011–16 access arrangement </w:t>
      </w:r>
      <w:proofErr w:type="gramStart"/>
      <w:r w:rsidR="00965679">
        <w:t>period</w:t>
      </w:r>
      <w:proofErr w:type="gramEnd"/>
      <w:r w:rsidR="00965679">
        <w:t>.</w:t>
      </w:r>
      <w:r w:rsidR="00053EEA">
        <w:t xml:space="preserve"> The reason for our reduction is that, after submitting its revised access arr</w:t>
      </w:r>
      <w:r w:rsidR="00227412">
        <w:t xml:space="preserve">angement proposal, APTNT </w:t>
      </w:r>
      <w:r w:rsidR="00A570D7">
        <w:t>reduced its</w:t>
      </w:r>
      <w:r w:rsidR="00227412">
        <w:t xml:space="preserve"> estimate of </w:t>
      </w:r>
      <w:r w:rsidR="00A570D7">
        <w:t xml:space="preserve">likely </w:t>
      </w:r>
      <w:r w:rsidR="00227412">
        <w:t>costs for the below</w:t>
      </w:r>
      <w:r w:rsidR="00FD2CEE">
        <w:t xml:space="preserve"> </w:t>
      </w:r>
      <w:r w:rsidR="00227412">
        <w:t>ground station pipework recoating project.</w:t>
      </w:r>
      <w:r w:rsidR="001E340B">
        <w:t xml:space="preserve"> </w:t>
      </w:r>
      <w:r w:rsidR="00227412">
        <w:t>We have t</w:t>
      </w:r>
      <w:r w:rsidR="00A570D7">
        <w:t>herefore reduced</w:t>
      </w:r>
      <w:r w:rsidR="00227412">
        <w:t xml:space="preserve"> conforming capex in the 2015–16 year by $2.</w:t>
      </w:r>
      <w:r w:rsidR="00A570D7">
        <w:t>3</w:t>
      </w:r>
      <w:r w:rsidR="006F2F85">
        <w:t> </w:t>
      </w:r>
      <w:r w:rsidR="00227412">
        <w:t>million</w:t>
      </w:r>
      <w:r w:rsidR="009B0698">
        <w:t xml:space="preserve"> ($2015–16) to account for</w:t>
      </w:r>
      <w:r w:rsidR="00A570D7">
        <w:t xml:space="preserve"> APTNT's</w:t>
      </w:r>
      <w:r w:rsidR="009B0698">
        <w:t xml:space="preserve"> revised </w:t>
      </w:r>
      <w:r w:rsidR="00A570D7">
        <w:t xml:space="preserve">estimate of </w:t>
      </w:r>
      <w:r w:rsidR="009B0698">
        <w:t>cost</w:t>
      </w:r>
      <w:r w:rsidR="00A570D7">
        <w:t>s.</w:t>
      </w:r>
      <w:r w:rsidR="009B0698">
        <w:t xml:space="preserve"> </w:t>
      </w:r>
    </w:p>
    <w:p w:rsidR="00965679" w:rsidRDefault="00965679" w:rsidP="00E145C1">
      <w:pPr>
        <w:pStyle w:val="Caption"/>
      </w:pPr>
      <w:bookmarkStart w:id="18" w:name="_Ref446595307"/>
      <w:proofErr w:type="gramStart"/>
      <w:r>
        <w:t xml:space="preserve">Table </w:t>
      </w:r>
      <w:r w:rsidR="00CF6C01">
        <w:fldChar w:fldCharType="begin"/>
      </w:r>
      <w:r w:rsidR="00CF6C01">
        <w:instrText xml:space="preserve"> STYLEREF 1 \s </w:instrText>
      </w:r>
      <w:r w:rsidR="00CF6C01">
        <w:fldChar w:fldCharType="separate"/>
      </w:r>
      <w:r w:rsidR="00C9476D">
        <w:rPr>
          <w:noProof/>
        </w:rPr>
        <w:t>6</w:t>
      </w:r>
      <w:r w:rsidR="00CF6C01">
        <w:rPr>
          <w:noProof/>
        </w:rPr>
        <w:fldChar w:fldCharType="end"/>
      </w:r>
      <w:r w:rsidR="00EA4D62">
        <w:t>.</w:t>
      </w:r>
      <w:proofErr w:type="gramEnd"/>
      <w:r w:rsidR="00CF6C01">
        <w:fldChar w:fldCharType="begin"/>
      </w:r>
      <w:r w:rsidR="00CF6C01">
        <w:instrText xml:space="preserve"> SEQ Table \* ARABIC \s 1 </w:instrText>
      </w:r>
      <w:r w:rsidR="00CF6C01">
        <w:fldChar w:fldCharType="separate"/>
      </w:r>
      <w:r w:rsidR="00C9476D">
        <w:rPr>
          <w:noProof/>
        </w:rPr>
        <w:t>2</w:t>
      </w:r>
      <w:r w:rsidR="00CF6C01">
        <w:rPr>
          <w:noProof/>
        </w:rPr>
        <w:fldChar w:fldCharType="end"/>
      </w:r>
      <w:bookmarkEnd w:id="18"/>
      <w:r>
        <w:tab/>
      </w:r>
      <w:r w:rsidRPr="00A4447D">
        <w:t xml:space="preserve">Comparison of AER approved and </w:t>
      </w:r>
      <w:r>
        <w:t xml:space="preserve">APTNT’s revised </w:t>
      </w:r>
      <w:r w:rsidRPr="00A4447D">
        <w:t xml:space="preserve">proposed capital expenditure over the </w:t>
      </w:r>
      <w:r>
        <w:t>2011–16</w:t>
      </w:r>
      <w:r w:rsidRPr="00A4447D">
        <w:t xml:space="preserve"> access arrangement period ($million, 201</w:t>
      </w:r>
      <w:r>
        <w:t>5–16</w:t>
      </w:r>
      <w:r w:rsidRPr="00A4447D">
        <w:t>)</w:t>
      </w:r>
    </w:p>
    <w:tbl>
      <w:tblPr>
        <w:tblStyle w:val="AERtable-numbers"/>
        <w:tblW w:w="5000" w:type="pct"/>
        <w:tblLook w:val="04A0" w:firstRow="1" w:lastRow="0" w:firstColumn="1" w:lastColumn="0" w:noHBand="0" w:noVBand="1"/>
      </w:tblPr>
      <w:tblGrid>
        <w:gridCol w:w="2669"/>
        <w:gridCol w:w="1507"/>
        <w:gridCol w:w="1507"/>
        <w:gridCol w:w="1505"/>
        <w:gridCol w:w="1504"/>
      </w:tblGrid>
      <w:tr w:rsidR="00965679" w:rsidRPr="000E260B" w:rsidTr="00965679">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35" w:type="pct"/>
            <w:hideMark/>
          </w:tcPr>
          <w:p w:rsidR="00965679" w:rsidRPr="000E260B" w:rsidRDefault="00965679" w:rsidP="000E260B">
            <w:r w:rsidRPr="000E260B">
              <w:t> Category</w:t>
            </w:r>
          </w:p>
        </w:tc>
        <w:tc>
          <w:tcPr>
            <w:tcW w:w="867" w:type="pct"/>
            <w:hideMark/>
          </w:tcPr>
          <w:p w:rsidR="00965679" w:rsidRPr="000E260B" w:rsidRDefault="00965679" w:rsidP="000E260B">
            <w:pPr>
              <w:cnfStyle w:val="100000000000" w:firstRow="1" w:lastRow="0" w:firstColumn="0" w:lastColumn="0" w:oddVBand="0" w:evenVBand="0" w:oddHBand="0" w:evenHBand="0" w:firstRowFirstColumn="0" w:firstRowLastColumn="0" w:lastRowFirstColumn="0" w:lastRowLastColumn="0"/>
            </w:pPr>
            <w:r w:rsidRPr="000E260B">
              <w:t>Proposed</w:t>
            </w:r>
          </w:p>
        </w:tc>
        <w:tc>
          <w:tcPr>
            <w:tcW w:w="867" w:type="pct"/>
            <w:hideMark/>
          </w:tcPr>
          <w:p w:rsidR="00965679" w:rsidRPr="000E260B" w:rsidRDefault="00965679" w:rsidP="000E260B">
            <w:pPr>
              <w:cnfStyle w:val="100000000000" w:firstRow="1" w:lastRow="0" w:firstColumn="0" w:lastColumn="0" w:oddVBand="0" w:evenVBand="0" w:oddHBand="0" w:evenHBand="0" w:firstRowFirstColumn="0" w:firstRowLastColumn="0" w:lastRowFirstColumn="0" w:lastRowLastColumn="0"/>
            </w:pPr>
            <w:r w:rsidRPr="000E260B">
              <w:t>Approved(a)</w:t>
            </w:r>
          </w:p>
        </w:tc>
        <w:tc>
          <w:tcPr>
            <w:tcW w:w="866" w:type="pct"/>
          </w:tcPr>
          <w:p w:rsidR="00965679" w:rsidRPr="000E260B" w:rsidRDefault="00965679" w:rsidP="000E260B">
            <w:pPr>
              <w:cnfStyle w:val="100000000000" w:firstRow="1" w:lastRow="0" w:firstColumn="0" w:lastColumn="0" w:oddVBand="0" w:evenVBand="0" w:oddHBand="0" w:evenHBand="0" w:firstRowFirstColumn="0" w:firstRowLastColumn="0" w:lastRowFirstColumn="0" w:lastRowLastColumn="0"/>
            </w:pPr>
            <w:r w:rsidRPr="000E260B">
              <w:t>Difference ($millions)</w:t>
            </w:r>
          </w:p>
        </w:tc>
        <w:tc>
          <w:tcPr>
            <w:tcW w:w="865" w:type="pct"/>
          </w:tcPr>
          <w:p w:rsidR="00965679" w:rsidRPr="000E260B" w:rsidRDefault="00965679" w:rsidP="000E260B">
            <w:pPr>
              <w:cnfStyle w:val="100000000000" w:firstRow="1" w:lastRow="0" w:firstColumn="0" w:lastColumn="0" w:oddVBand="0" w:evenVBand="0" w:oddHBand="0" w:evenHBand="0" w:firstRowFirstColumn="0" w:firstRowLastColumn="0" w:lastRowFirstColumn="0" w:lastRowLastColumn="0"/>
            </w:pPr>
            <w:r w:rsidRPr="000E260B">
              <w:t>Difference (%)</w:t>
            </w:r>
          </w:p>
        </w:tc>
      </w:tr>
      <w:tr w:rsidR="00965679" w:rsidRPr="000E260B" w:rsidTr="00965679">
        <w:trPr>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965679" w:rsidRPr="000E260B" w:rsidRDefault="00965679" w:rsidP="000E260B">
            <w:r w:rsidRPr="000E260B">
              <w:t xml:space="preserve">Expansion </w:t>
            </w:r>
          </w:p>
        </w:tc>
        <w:tc>
          <w:tcPr>
            <w:tcW w:w="867" w:type="pct"/>
          </w:tcPr>
          <w:p w:rsidR="00965679" w:rsidRPr="000E260B" w:rsidRDefault="00634F83" w:rsidP="000E260B">
            <w:pPr>
              <w:cnfStyle w:val="000000000000" w:firstRow="0" w:lastRow="0" w:firstColumn="0" w:lastColumn="0" w:oddVBand="0" w:evenVBand="0" w:oddHBand="0" w:evenHBand="0" w:firstRowFirstColumn="0" w:firstRowLastColumn="0" w:lastRowFirstColumn="0" w:lastRowLastColumn="0"/>
            </w:pPr>
            <w:r w:rsidRPr="000E260B">
              <w:t>2.3</w:t>
            </w:r>
          </w:p>
        </w:tc>
        <w:tc>
          <w:tcPr>
            <w:tcW w:w="867" w:type="pct"/>
          </w:tcPr>
          <w:p w:rsidR="00965679" w:rsidRPr="000E260B" w:rsidRDefault="00634F83" w:rsidP="000E260B">
            <w:pPr>
              <w:cnfStyle w:val="000000000000" w:firstRow="0" w:lastRow="0" w:firstColumn="0" w:lastColumn="0" w:oddVBand="0" w:evenVBand="0" w:oddHBand="0" w:evenHBand="0" w:firstRowFirstColumn="0" w:firstRowLastColumn="0" w:lastRowFirstColumn="0" w:lastRowLastColumn="0"/>
            </w:pPr>
            <w:r w:rsidRPr="000E260B">
              <w:t>2.3</w:t>
            </w:r>
          </w:p>
        </w:tc>
        <w:tc>
          <w:tcPr>
            <w:tcW w:w="866" w:type="pct"/>
          </w:tcPr>
          <w:p w:rsidR="00965679" w:rsidRPr="000E260B" w:rsidRDefault="00965679" w:rsidP="000E260B">
            <w:pPr>
              <w:cnfStyle w:val="000000000000" w:firstRow="0" w:lastRow="0" w:firstColumn="0" w:lastColumn="0" w:oddVBand="0" w:evenVBand="0" w:oddHBand="0" w:evenHBand="0" w:firstRowFirstColumn="0" w:firstRowLastColumn="0" w:lastRowFirstColumn="0" w:lastRowLastColumn="0"/>
            </w:pPr>
            <w:r w:rsidRPr="000E260B">
              <w:t>-</w:t>
            </w:r>
          </w:p>
        </w:tc>
        <w:tc>
          <w:tcPr>
            <w:tcW w:w="865" w:type="pct"/>
          </w:tcPr>
          <w:p w:rsidR="00965679" w:rsidRPr="000E260B" w:rsidRDefault="00965679" w:rsidP="000E260B">
            <w:pPr>
              <w:cnfStyle w:val="000000000000" w:firstRow="0" w:lastRow="0" w:firstColumn="0" w:lastColumn="0" w:oddVBand="0" w:evenVBand="0" w:oddHBand="0" w:evenHBand="0" w:firstRowFirstColumn="0" w:firstRowLastColumn="0" w:lastRowFirstColumn="0" w:lastRowLastColumn="0"/>
            </w:pPr>
            <w:r w:rsidRPr="000E260B">
              <w:t>-</w:t>
            </w:r>
          </w:p>
        </w:tc>
      </w:tr>
      <w:tr w:rsidR="00965679" w:rsidRPr="000E260B" w:rsidTr="009656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965679" w:rsidRPr="000E260B" w:rsidRDefault="00965679" w:rsidP="000E260B">
            <w:r w:rsidRPr="000E260B">
              <w:t xml:space="preserve">Replacement </w:t>
            </w:r>
          </w:p>
        </w:tc>
        <w:tc>
          <w:tcPr>
            <w:tcW w:w="867" w:type="pct"/>
          </w:tcPr>
          <w:p w:rsidR="00965679" w:rsidRPr="000E260B" w:rsidRDefault="00634F83" w:rsidP="000E260B">
            <w:pPr>
              <w:cnfStyle w:val="000000010000" w:firstRow="0" w:lastRow="0" w:firstColumn="0" w:lastColumn="0" w:oddVBand="0" w:evenVBand="0" w:oddHBand="0" w:evenHBand="1" w:firstRowFirstColumn="0" w:firstRowLastColumn="0" w:lastRowFirstColumn="0" w:lastRowLastColumn="0"/>
            </w:pPr>
            <w:r w:rsidRPr="000E260B">
              <w:t>34.8</w:t>
            </w:r>
          </w:p>
        </w:tc>
        <w:tc>
          <w:tcPr>
            <w:tcW w:w="867" w:type="pct"/>
          </w:tcPr>
          <w:p w:rsidR="00965679" w:rsidRPr="000E260B" w:rsidRDefault="00634F83" w:rsidP="000E260B">
            <w:pPr>
              <w:cnfStyle w:val="000000010000" w:firstRow="0" w:lastRow="0" w:firstColumn="0" w:lastColumn="0" w:oddVBand="0" w:evenVBand="0" w:oddHBand="0" w:evenHBand="1" w:firstRowFirstColumn="0" w:firstRowLastColumn="0" w:lastRowFirstColumn="0" w:lastRowLastColumn="0"/>
            </w:pPr>
            <w:r w:rsidRPr="000E260B">
              <w:t>32.5</w:t>
            </w:r>
          </w:p>
        </w:tc>
        <w:tc>
          <w:tcPr>
            <w:tcW w:w="866" w:type="pct"/>
          </w:tcPr>
          <w:p w:rsidR="00965679" w:rsidRPr="000E260B" w:rsidRDefault="001A6931" w:rsidP="000E260B">
            <w:pPr>
              <w:cnfStyle w:val="000000010000" w:firstRow="0" w:lastRow="0" w:firstColumn="0" w:lastColumn="0" w:oddVBand="0" w:evenVBand="0" w:oddHBand="0" w:evenHBand="1" w:firstRowFirstColumn="0" w:firstRowLastColumn="0" w:lastRowFirstColumn="0" w:lastRowLastColumn="0"/>
            </w:pPr>
            <w:r w:rsidRPr="000E260B">
              <w:t>-</w:t>
            </w:r>
            <w:r w:rsidR="00634F83" w:rsidRPr="000E260B">
              <w:t>2.3</w:t>
            </w:r>
          </w:p>
        </w:tc>
        <w:tc>
          <w:tcPr>
            <w:tcW w:w="865" w:type="pct"/>
          </w:tcPr>
          <w:p w:rsidR="00965679" w:rsidRPr="000E260B" w:rsidRDefault="001A6931" w:rsidP="000E260B">
            <w:pPr>
              <w:cnfStyle w:val="000000010000" w:firstRow="0" w:lastRow="0" w:firstColumn="0" w:lastColumn="0" w:oddVBand="0" w:evenVBand="0" w:oddHBand="0" w:evenHBand="1" w:firstRowFirstColumn="0" w:firstRowLastColumn="0" w:lastRowFirstColumn="0" w:lastRowLastColumn="0"/>
            </w:pPr>
            <w:r w:rsidRPr="000E260B">
              <w:t>-</w:t>
            </w:r>
            <w:r w:rsidR="00634F83" w:rsidRPr="000E260B">
              <w:t>6.6%</w:t>
            </w:r>
          </w:p>
        </w:tc>
      </w:tr>
      <w:tr w:rsidR="00965679" w:rsidRPr="000E260B" w:rsidTr="00965679">
        <w:trPr>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965679" w:rsidRPr="000E260B" w:rsidRDefault="00965679" w:rsidP="000E260B">
            <w:r w:rsidRPr="000E260B">
              <w:t>Non-system</w:t>
            </w:r>
          </w:p>
        </w:tc>
        <w:tc>
          <w:tcPr>
            <w:tcW w:w="867" w:type="pct"/>
          </w:tcPr>
          <w:p w:rsidR="00965679" w:rsidRPr="000E260B" w:rsidRDefault="00634F83" w:rsidP="000E260B">
            <w:pPr>
              <w:cnfStyle w:val="000000000000" w:firstRow="0" w:lastRow="0" w:firstColumn="0" w:lastColumn="0" w:oddVBand="0" w:evenVBand="0" w:oddHBand="0" w:evenHBand="0" w:firstRowFirstColumn="0" w:firstRowLastColumn="0" w:lastRowFirstColumn="0" w:lastRowLastColumn="0"/>
            </w:pPr>
            <w:r w:rsidRPr="000E260B">
              <w:t>7.6</w:t>
            </w:r>
          </w:p>
        </w:tc>
        <w:tc>
          <w:tcPr>
            <w:tcW w:w="867" w:type="pct"/>
          </w:tcPr>
          <w:p w:rsidR="00965679" w:rsidRPr="000E260B" w:rsidRDefault="00634F83" w:rsidP="000E260B">
            <w:pPr>
              <w:cnfStyle w:val="000000000000" w:firstRow="0" w:lastRow="0" w:firstColumn="0" w:lastColumn="0" w:oddVBand="0" w:evenVBand="0" w:oddHBand="0" w:evenHBand="0" w:firstRowFirstColumn="0" w:firstRowLastColumn="0" w:lastRowFirstColumn="0" w:lastRowLastColumn="0"/>
            </w:pPr>
            <w:r w:rsidRPr="000E260B">
              <w:t>7.</w:t>
            </w:r>
            <w:r w:rsidR="00D277D5" w:rsidRPr="000E260B">
              <w:t>7</w:t>
            </w:r>
          </w:p>
        </w:tc>
        <w:tc>
          <w:tcPr>
            <w:tcW w:w="866" w:type="pct"/>
          </w:tcPr>
          <w:p w:rsidR="00965679" w:rsidRPr="000E260B" w:rsidRDefault="00A15B4C" w:rsidP="000E260B">
            <w:pPr>
              <w:cnfStyle w:val="000000000000" w:firstRow="0" w:lastRow="0" w:firstColumn="0" w:lastColumn="0" w:oddVBand="0" w:evenVBand="0" w:oddHBand="0" w:evenHBand="0" w:firstRowFirstColumn="0" w:firstRowLastColumn="0" w:lastRowFirstColumn="0" w:lastRowLastColumn="0"/>
            </w:pPr>
            <w:r w:rsidRPr="000E260B">
              <w:t>0.0</w:t>
            </w:r>
          </w:p>
        </w:tc>
        <w:tc>
          <w:tcPr>
            <w:tcW w:w="865" w:type="pct"/>
          </w:tcPr>
          <w:p w:rsidR="00965679" w:rsidRPr="000E260B" w:rsidRDefault="00A15B4C" w:rsidP="000E260B">
            <w:pPr>
              <w:cnfStyle w:val="000000000000" w:firstRow="0" w:lastRow="0" w:firstColumn="0" w:lastColumn="0" w:oddVBand="0" w:evenVBand="0" w:oddHBand="0" w:evenHBand="0" w:firstRowFirstColumn="0" w:firstRowLastColumn="0" w:lastRowFirstColumn="0" w:lastRowLastColumn="0"/>
            </w:pPr>
            <w:r w:rsidRPr="000E260B">
              <w:t>0.6%</w:t>
            </w:r>
          </w:p>
        </w:tc>
      </w:tr>
      <w:tr w:rsidR="00965679" w:rsidRPr="000E260B" w:rsidTr="009656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965679" w:rsidRPr="000E260B" w:rsidRDefault="00965679" w:rsidP="000E260B">
            <w:r w:rsidRPr="000E260B">
              <w:t>GROSS TOTAL CAPITAL EXPENDITURE</w:t>
            </w:r>
          </w:p>
        </w:tc>
        <w:tc>
          <w:tcPr>
            <w:tcW w:w="867" w:type="pct"/>
          </w:tcPr>
          <w:p w:rsidR="00965679" w:rsidRPr="000E260B" w:rsidRDefault="00634F83" w:rsidP="000E260B">
            <w:pPr>
              <w:cnfStyle w:val="000000010000" w:firstRow="0" w:lastRow="0" w:firstColumn="0" w:lastColumn="0" w:oddVBand="0" w:evenVBand="0" w:oddHBand="0" w:evenHBand="1" w:firstRowFirstColumn="0" w:firstRowLastColumn="0" w:lastRowFirstColumn="0" w:lastRowLastColumn="0"/>
            </w:pPr>
            <w:r w:rsidRPr="000E260B">
              <w:t>44.8</w:t>
            </w:r>
          </w:p>
        </w:tc>
        <w:tc>
          <w:tcPr>
            <w:tcW w:w="867" w:type="pct"/>
          </w:tcPr>
          <w:p w:rsidR="00965679" w:rsidRPr="000E260B" w:rsidRDefault="00634F83" w:rsidP="000E260B">
            <w:pPr>
              <w:cnfStyle w:val="000000010000" w:firstRow="0" w:lastRow="0" w:firstColumn="0" w:lastColumn="0" w:oddVBand="0" w:evenVBand="0" w:oddHBand="0" w:evenHBand="1" w:firstRowFirstColumn="0" w:firstRowLastColumn="0" w:lastRowFirstColumn="0" w:lastRowLastColumn="0"/>
            </w:pPr>
            <w:r w:rsidRPr="000E260B">
              <w:t>42.5</w:t>
            </w:r>
          </w:p>
        </w:tc>
        <w:tc>
          <w:tcPr>
            <w:tcW w:w="866" w:type="pct"/>
          </w:tcPr>
          <w:p w:rsidR="00965679" w:rsidRPr="000E260B" w:rsidRDefault="001A6931" w:rsidP="000E260B">
            <w:pPr>
              <w:cnfStyle w:val="000000010000" w:firstRow="0" w:lastRow="0" w:firstColumn="0" w:lastColumn="0" w:oddVBand="0" w:evenVBand="0" w:oddHBand="0" w:evenHBand="1" w:firstRowFirstColumn="0" w:firstRowLastColumn="0" w:lastRowFirstColumn="0" w:lastRowLastColumn="0"/>
            </w:pPr>
            <w:r w:rsidRPr="000E260B">
              <w:t>-</w:t>
            </w:r>
            <w:r w:rsidR="00634F83" w:rsidRPr="000E260B">
              <w:t>2.3</w:t>
            </w:r>
          </w:p>
        </w:tc>
        <w:tc>
          <w:tcPr>
            <w:tcW w:w="865" w:type="pct"/>
          </w:tcPr>
          <w:p w:rsidR="00965679" w:rsidRPr="000E260B" w:rsidRDefault="001A6931" w:rsidP="000E260B">
            <w:pPr>
              <w:cnfStyle w:val="000000010000" w:firstRow="0" w:lastRow="0" w:firstColumn="0" w:lastColumn="0" w:oddVBand="0" w:evenVBand="0" w:oddHBand="0" w:evenHBand="1" w:firstRowFirstColumn="0" w:firstRowLastColumn="0" w:lastRowFirstColumn="0" w:lastRowLastColumn="0"/>
            </w:pPr>
            <w:r w:rsidRPr="000E260B">
              <w:t>-5.0</w:t>
            </w:r>
            <w:r w:rsidR="00634F83" w:rsidRPr="000E260B">
              <w:t>%</w:t>
            </w:r>
          </w:p>
        </w:tc>
      </w:tr>
      <w:tr w:rsidR="00965679" w:rsidRPr="000E260B" w:rsidTr="00965679">
        <w:trPr>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965679" w:rsidRPr="000E260B" w:rsidRDefault="00965679" w:rsidP="000E260B">
            <w:r w:rsidRPr="000E260B">
              <w:t>Contributions</w:t>
            </w:r>
          </w:p>
        </w:tc>
        <w:tc>
          <w:tcPr>
            <w:tcW w:w="867" w:type="pct"/>
          </w:tcPr>
          <w:p w:rsidR="00965679" w:rsidRPr="000E260B" w:rsidRDefault="00965679" w:rsidP="000E260B">
            <w:pPr>
              <w:cnfStyle w:val="000000000000" w:firstRow="0" w:lastRow="0" w:firstColumn="0" w:lastColumn="0" w:oddVBand="0" w:evenVBand="0" w:oddHBand="0" w:evenHBand="0" w:firstRowFirstColumn="0" w:firstRowLastColumn="0" w:lastRowFirstColumn="0" w:lastRowLastColumn="0"/>
            </w:pPr>
            <w:r w:rsidRPr="000E260B">
              <w:t>-</w:t>
            </w:r>
          </w:p>
        </w:tc>
        <w:tc>
          <w:tcPr>
            <w:tcW w:w="867" w:type="pct"/>
          </w:tcPr>
          <w:p w:rsidR="00965679" w:rsidRPr="000E260B" w:rsidRDefault="00965679" w:rsidP="000E260B">
            <w:pPr>
              <w:cnfStyle w:val="000000000000" w:firstRow="0" w:lastRow="0" w:firstColumn="0" w:lastColumn="0" w:oddVBand="0" w:evenVBand="0" w:oddHBand="0" w:evenHBand="0" w:firstRowFirstColumn="0" w:firstRowLastColumn="0" w:lastRowFirstColumn="0" w:lastRowLastColumn="0"/>
            </w:pPr>
            <w:r w:rsidRPr="000E260B">
              <w:t>-</w:t>
            </w:r>
          </w:p>
        </w:tc>
        <w:tc>
          <w:tcPr>
            <w:tcW w:w="866" w:type="pct"/>
          </w:tcPr>
          <w:p w:rsidR="00965679" w:rsidRPr="000E260B" w:rsidRDefault="00965679" w:rsidP="000E260B">
            <w:pPr>
              <w:cnfStyle w:val="000000000000" w:firstRow="0" w:lastRow="0" w:firstColumn="0" w:lastColumn="0" w:oddVBand="0" w:evenVBand="0" w:oddHBand="0" w:evenHBand="0" w:firstRowFirstColumn="0" w:firstRowLastColumn="0" w:lastRowFirstColumn="0" w:lastRowLastColumn="0"/>
            </w:pPr>
            <w:r w:rsidRPr="000E260B">
              <w:t>-</w:t>
            </w:r>
          </w:p>
        </w:tc>
        <w:tc>
          <w:tcPr>
            <w:tcW w:w="865" w:type="pct"/>
          </w:tcPr>
          <w:p w:rsidR="00965679" w:rsidRPr="000E260B" w:rsidRDefault="00965679" w:rsidP="000E260B">
            <w:pPr>
              <w:cnfStyle w:val="000000000000" w:firstRow="0" w:lastRow="0" w:firstColumn="0" w:lastColumn="0" w:oddVBand="0" w:evenVBand="0" w:oddHBand="0" w:evenHBand="0" w:firstRowFirstColumn="0" w:firstRowLastColumn="0" w:lastRowFirstColumn="0" w:lastRowLastColumn="0"/>
            </w:pPr>
            <w:r w:rsidRPr="000E260B">
              <w:t>-</w:t>
            </w:r>
          </w:p>
        </w:tc>
      </w:tr>
      <w:tr w:rsidR="00965679" w:rsidRPr="000E260B" w:rsidTr="009656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965679" w:rsidRPr="000E260B" w:rsidRDefault="00965679" w:rsidP="000E260B">
            <w:r w:rsidRPr="000E260B">
              <w:t>Asset disposals</w:t>
            </w:r>
          </w:p>
        </w:tc>
        <w:tc>
          <w:tcPr>
            <w:tcW w:w="867" w:type="pct"/>
          </w:tcPr>
          <w:p w:rsidR="00965679" w:rsidRPr="000E260B" w:rsidRDefault="00965679" w:rsidP="000E260B">
            <w:pPr>
              <w:cnfStyle w:val="000000010000" w:firstRow="0" w:lastRow="0" w:firstColumn="0" w:lastColumn="0" w:oddVBand="0" w:evenVBand="0" w:oddHBand="0" w:evenHBand="1" w:firstRowFirstColumn="0" w:firstRowLastColumn="0" w:lastRowFirstColumn="0" w:lastRowLastColumn="0"/>
            </w:pPr>
            <w:r w:rsidRPr="000E260B">
              <w:t>0.</w:t>
            </w:r>
            <w:r w:rsidR="00634F83" w:rsidRPr="000E260B">
              <w:t>4</w:t>
            </w:r>
          </w:p>
        </w:tc>
        <w:tc>
          <w:tcPr>
            <w:tcW w:w="867" w:type="pct"/>
          </w:tcPr>
          <w:p w:rsidR="00965679" w:rsidRPr="000E260B" w:rsidRDefault="00965679" w:rsidP="000E260B">
            <w:pPr>
              <w:cnfStyle w:val="000000010000" w:firstRow="0" w:lastRow="0" w:firstColumn="0" w:lastColumn="0" w:oddVBand="0" w:evenVBand="0" w:oddHBand="0" w:evenHBand="1" w:firstRowFirstColumn="0" w:firstRowLastColumn="0" w:lastRowFirstColumn="0" w:lastRowLastColumn="0"/>
            </w:pPr>
            <w:r w:rsidRPr="000E260B">
              <w:t>0.</w:t>
            </w:r>
            <w:r w:rsidR="00634F83" w:rsidRPr="000E260B">
              <w:t>4</w:t>
            </w:r>
          </w:p>
        </w:tc>
        <w:tc>
          <w:tcPr>
            <w:tcW w:w="866" w:type="pct"/>
          </w:tcPr>
          <w:p w:rsidR="00965679" w:rsidRPr="000E260B" w:rsidRDefault="00965679" w:rsidP="000E260B">
            <w:pPr>
              <w:cnfStyle w:val="000000010000" w:firstRow="0" w:lastRow="0" w:firstColumn="0" w:lastColumn="0" w:oddVBand="0" w:evenVBand="0" w:oddHBand="0" w:evenHBand="1" w:firstRowFirstColumn="0" w:firstRowLastColumn="0" w:lastRowFirstColumn="0" w:lastRowLastColumn="0"/>
            </w:pPr>
            <w:r w:rsidRPr="000E260B">
              <w:t>-</w:t>
            </w:r>
          </w:p>
        </w:tc>
        <w:tc>
          <w:tcPr>
            <w:tcW w:w="865" w:type="pct"/>
          </w:tcPr>
          <w:p w:rsidR="00965679" w:rsidRPr="000E260B" w:rsidRDefault="00965679" w:rsidP="000E260B">
            <w:pPr>
              <w:cnfStyle w:val="000000010000" w:firstRow="0" w:lastRow="0" w:firstColumn="0" w:lastColumn="0" w:oddVBand="0" w:evenVBand="0" w:oddHBand="0" w:evenHBand="1" w:firstRowFirstColumn="0" w:firstRowLastColumn="0" w:lastRowFirstColumn="0" w:lastRowLastColumn="0"/>
            </w:pPr>
            <w:r w:rsidRPr="000E260B">
              <w:t>-</w:t>
            </w:r>
          </w:p>
        </w:tc>
      </w:tr>
      <w:tr w:rsidR="00965679" w:rsidRPr="000E260B" w:rsidTr="00965679">
        <w:trPr>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965679" w:rsidRPr="000E260B" w:rsidRDefault="00965679" w:rsidP="000E260B">
            <w:r w:rsidRPr="000E260B">
              <w:t>NET TOTAL CAPITAL EXPENDITURE</w:t>
            </w:r>
          </w:p>
        </w:tc>
        <w:tc>
          <w:tcPr>
            <w:tcW w:w="867" w:type="pct"/>
          </w:tcPr>
          <w:p w:rsidR="00965679" w:rsidRPr="000E260B" w:rsidRDefault="00634F83" w:rsidP="000E260B">
            <w:pPr>
              <w:cnfStyle w:val="000000000000" w:firstRow="0" w:lastRow="0" w:firstColumn="0" w:lastColumn="0" w:oddVBand="0" w:evenVBand="0" w:oddHBand="0" w:evenHBand="0" w:firstRowFirstColumn="0" w:firstRowLastColumn="0" w:lastRowFirstColumn="0" w:lastRowLastColumn="0"/>
            </w:pPr>
            <w:r w:rsidRPr="000E260B">
              <w:t>44.4</w:t>
            </w:r>
          </w:p>
        </w:tc>
        <w:tc>
          <w:tcPr>
            <w:tcW w:w="867" w:type="pct"/>
          </w:tcPr>
          <w:p w:rsidR="00965679" w:rsidRPr="000E260B" w:rsidRDefault="00634F83" w:rsidP="000E260B">
            <w:pPr>
              <w:cnfStyle w:val="000000000000" w:firstRow="0" w:lastRow="0" w:firstColumn="0" w:lastColumn="0" w:oddVBand="0" w:evenVBand="0" w:oddHBand="0" w:evenHBand="0" w:firstRowFirstColumn="0" w:firstRowLastColumn="0" w:lastRowFirstColumn="0" w:lastRowLastColumn="0"/>
            </w:pPr>
            <w:r w:rsidRPr="000E260B">
              <w:t>42.1</w:t>
            </w:r>
          </w:p>
        </w:tc>
        <w:tc>
          <w:tcPr>
            <w:tcW w:w="866" w:type="pct"/>
          </w:tcPr>
          <w:p w:rsidR="00965679" w:rsidRPr="000E260B" w:rsidRDefault="00634F83" w:rsidP="000E260B">
            <w:pPr>
              <w:cnfStyle w:val="000000000000" w:firstRow="0" w:lastRow="0" w:firstColumn="0" w:lastColumn="0" w:oddVBand="0" w:evenVBand="0" w:oddHBand="0" w:evenHBand="0" w:firstRowFirstColumn="0" w:firstRowLastColumn="0" w:lastRowFirstColumn="0" w:lastRowLastColumn="0"/>
            </w:pPr>
            <w:r w:rsidRPr="000E260B">
              <w:t>2.3</w:t>
            </w:r>
          </w:p>
        </w:tc>
        <w:tc>
          <w:tcPr>
            <w:tcW w:w="865" w:type="pct"/>
          </w:tcPr>
          <w:p w:rsidR="00965679" w:rsidRPr="000E260B" w:rsidRDefault="001A6931" w:rsidP="000E260B">
            <w:pPr>
              <w:cnfStyle w:val="000000000000" w:firstRow="0" w:lastRow="0" w:firstColumn="0" w:lastColumn="0" w:oddVBand="0" w:evenVBand="0" w:oddHBand="0" w:evenHBand="0" w:firstRowFirstColumn="0" w:firstRowLastColumn="0" w:lastRowFirstColumn="0" w:lastRowLastColumn="0"/>
            </w:pPr>
            <w:r w:rsidRPr="000E260B">
              <w:t>-5.1</w:t>
            </w:r>
            <w:r w:rsidR="00634F83" w:rsidRPr="000E260B">
              <w:t>%</w:t>
            </w:r>
          </w:p>
        </w:tc>
      </w:tr>
    </w:tbl>
    <w:p w:rsidR="00A570D7" w:rsidRDefault="00A570D7" w:rsidP="00A570D7">
      <w:pPr>
        <w:pStyle w:val="AERtablesource"/>
      </w:pPr>
      <w:r w:rsidRPr="00DE44F6">
        <w:t>Source:</w:t>
      </w:r>
      <w:r w:rsidRPr="00DE44F6">
        <w:tab/>
        <w:t>AER analysis.</w:t>
      </w:r>
      <w:r w:rsidR="00502593">
        <w:t xml:space="preserve"> </w:t>
      </w:r>
    </w:p>
    <w:p w:rsidR="006D6533" w:rsidRPr="006D6533" w:rsidRDefault="006D6533" w:rsidP="006D6533">
      <w:pPr>
        <w:pStyle w:val="AERtablesource"/>
      </w:pPr>
      <w:r w:rsidRPr="006D6533">
        <w:t>Note:</w:t>
      </w:r>
      <w:r w:rsidRPr="006D6533">
        <w:tab/>
        <w:t>(a) Including AER labour escalation adjustments.</w:t>
      </w:r>
    </w:p>
    <w:p w:rsidR="00723A0B" w:rsidRDefault="00723A0B" w:rsidP="00723A0B">
      <w:pPr>
        <w:pStyle w:val="Heading3"/>
      </w:pPr>
      <w:bookmarkStart w:id="19" w:name="_Toc436042748"/>
      <w:bookmarkStart w:id="20" w:name="_Toc451529904"/>
      <w:r w:rsidRPr="00CA131C">
        <w:t xml:space="preserve">Conforming </w:t>
      </w:r>
      <w:r>
        <w:t xml:space="preserve">capex </w:t>
      </w:r>
      <w:r w:rsidRPr="00CA131C">
        <w:t xml:space="preserve">for the </w:t>
      </w:r>
      <w:r>
        <w:t>2016–21</w:t>
      </w:r>
      <w:r w:rsidRPr="00CA131C">
        <w:t xml:space="preserve"> access arrangement period</w:t>
      </w:r>
      <w:bookmarkEnd w:id="19"/>
      <w:bookmarkEnd w:id="20"/>
    </w:p>
    <w:p w:rsidR="00A9129F" w:rsidRPr="00A9129F" w:rsidRDefault="00A9129F" w:rsidP="00DF7171">
      <w:r w:rsidRPr="00A9129F">
        <w:t xml:space="preserve">We </w:t>
      </w:r>
      <w:r w:rsidRPr="00DF7171">
        <w:t>approve $</w:t>
      </w:r>
      <w:r w:rsidR="006F2F85">
        <w:t>16.8</w:t>
      </w:r>
      <w:r w:rsidR="00A570D7" w:rsidRPr="00DF7171">
        <w:t xml:space="preserve"> </w:t>
      </w:r>
      <w:r w:rsidRPr="00DF7171">
        <w:t>million</w:t>
      </w:r>
      <w:r w:rsidRPr="00A9129F">
        <w:t xml:space="preserve"> ($2015–16) of APTNT’s proposed $29.</w:t>
      </w:r>
      <w:r w:rsidR="0031573D">
        <w:t>0</w:t>
      </w:r>
      <w:r w:rsidRPr="00A9129F">
        <w:t xml:space="preserve"> million ($2015–16) total net capex for 2016–21 as conforming capex under r. 79(1) of the NGR. </w:t>
      </w:r>
    </w:p>
    <w:p w:rsidR="00A9129F" w:rsidRPr="00A9129F" w:rsidRDefault="00CF6C01" w:rsidP="00A9129F">
      <w:r>
        <w:fldChar w:fldCharType="begin"/>
      </w:r>
      <w:r>
        <w:instrText xml:space="preserve"> REF _Ref4465</w:instrText>
      </w:r>
      <w:r>
        <w:instrText xml:space="preserve">98173 </w:instrText>
      </w:r>
      <w:r>
        <w:fldChar w:fldCharType="separate"/>
      </w:r>
      <w:r w:rsidR="00C9476D">
        <w:t xml:space="preserve">Table </w:t>
      </w:r>
      <w:r w:rsidR="00C9476D">
        <w:rPr>
          <w:noProof/>
        </w:rPr>
        <w:t>6</w:t>
      </w:r>
      <w:r w:rsidR="00C9476D">
        <w:t>.</w:t>
      </w:r>
      <w:r w:rsidR="00C9476D">
        <w:rPr>
          <w:noProof/>
        </w:rPr>
        <w:t>3</w:t>
      </w:r>
      <w:r>
        <w:rPr>
          <w:noProof/>
        </w:rPr>
        <w:fldChar w:fldCharType="end"/>
      </w:r>
      <w:r w:rsidR="00A9129F" w:rsidRPr="00A9129F">
        <w:t xml:space="preserve"> shows approved capex for the 2016–21 access arrangement </w:t>
      </w:r>
      <w:proofErr w:type="gramStart"/>
      <w:r w:rsidR="00A9129F" w:rsidRPr="00A9129F">
        <w:t>period</w:t>
      </w:r>
      <w:proofErr w:type="gramEnd"/>
      <w:r w:rsidR="00A9129F" w:rsidRPr="00A9129F">
        <w:t xml:space="preserve"> by category.</w:t>
      </w:r>
    </w:p>
    <w:p w:rsidR="00A9129F" w:rsidRDefault="00A570D7" w:rsidP="00A570D7">
      <w:pPr>
        <w:pStyle w:val="Caption"/>
      </w:pPr>
      <w:bookmarkStart w:id="21" w:name="_Ref446598173"/>
      <w:proofErr w:type="gramStart"/>
      <w:r>
        <w:t xml:space="preserve">Table </w:t>
      </w:r>
      <w:r w:rsidR="00CF6C01">
        <w:fldChar w:fldCharType="begin"/>
      </w:r>
      <w:r w:rsidR="00CF6C01">
        <w:instrText xml:space="preserve"> STYLEREF 1 \s </w:instrText>
      </w:r>
      <w:r w:rsidR="00CF6C01">
        <w:fldChar w:fldCharType="separate"/>
      </w:r>
      <w:r w:rsidR="00C9476D">
        <w:rPr>
          <w:noProof/>
        </w:rPr>
        <w:t>6</w:t>
      </w:r>
      <w:r w:rsidR="00CF6C01">
        <w:rPr>
          <w:noProof/>
        </w:rPr>
        <w:fldChar w:fldCharType="end"/>
      </w:r>
      <w:r w:rsidR="00EA4D62">
        <w:t>.</w:t>
      </w:r>
      <w:proofErr w:type="gramEnd"/>
      <w:r w:rsidR="00CF6C01">
        <w:fldChar w:fldCharType="begin"/>
      </w:r>
      <w:r w:rsidR="00CF6C01">
        <w:instrText xml:space="preserve"> SEQ Table \* ARABIC \s 1 </w:instrText>
      </w:r>
      <w:r w:rsidR="00CF6C01">
        <w:fldChar w:fldCharType="separate"/>
      </w:r>
      <w:r w:rsidR="00C9476D">
        <w:rPr>
          <w:noProof/>
        </w:rPr>
        <w:t>3</w:t>
      </w:r>
      <w:r w:rsidR="00CF6C01">
        <w:rPr>
          <w:noProof/>
        </w:rPr>
        <w:fldChar w:fldCharType="end"/>
      </w:r>
      <w:bookmarkEnd w:id="21"/>
      <w:r w:rsidR="00A9129F">
        <w:tab/>
      </w:r>
      <w:r w:rsidR="00A9129F" w:rsidRPr="00EE71BA">
        <w:t xml:space="preserve">AER approved capital </w:t>
      </w:r>
      <w:proofErr w:type="gramStart"/>
      <w:r w:rsidR="00A9129F" w:rsidRPr="00EE71BA">
        <w:t>expenditure</w:t>
      </w:r>
      <w:r w:rsidR="006F2F85" w:rsidRPr="004023D2">
        <w:rPr>
          <w:rStyle w:val="AERsuperscript"/>
          <w:sz w:val="24"/>
          <w:szCs w:val="24"/>
        </w:rPr>
        <w:t>(</w:t>
      </w:r>
      <w:proofErr w:type="gramEnd"/>
      <w:r w:rsidR="006F2F85" w:rsidRPr="004023D2">
        <w:rPr>
          <w:rStyle w:val="AERsuperscript"/>
          <w:sz w:val="24"/>
          <w:szCs w:val="24"/>
        </w:rPr>
        <w:t>a)</w:t>
      </w:r>
      <w:r w:rsidR="00A9129F" w:rsidRPr="00EE71BA">
        <w:t xml:space="preserve"> by </w:t>
      </w:r>
      <w:r w:rsidR="00A9129F">
        <w:t>category</w:t>
      </w:r>
      <w:r w:rsidR="00A9129F" w:rsidRPr="00EE71BA">
        <w:t xml:space="preserve"> over </w:t>
      </w:r>
      <w:r w:rsidR="00A9129F">
        <w:t xml:space="preserve">the </w:t>
      </w:r>
      <w:r w:rsidR="00A9129F" w:rsidRPr="00EE71BA">
        <w:t>20</w:t>
      </w:r>
      <w:r w:rsidR="00A9129F">
        <w:t>16</w:t>
      </w:r>
      <w:r w:rsidR="00A9129F" w:rsidRPr="00EE71BA">
        <w:t>–</w:t>
      </w:r>
      <w:r w:rsidR="00A9129F">
        <w:t>21 access arrangement period</w:t>
      </w:r>
      <w:r w:rsidR="00A9129F" w:rsidRPr="00EE71BA">
        <w:t xml:space="preserve"> ($million, </w:t>
      </w:r>
      <w:r w:rsidR="00A9129F">
        <w:t>2015–16</w:t>
      </w:r>
      <w:r w:rsidR="00A9129F" w:rsidRPr="00EE71BA">
        <w:t>)</w:t>
      </w:r>
    </w:p>
    <w:tbl>
      <w:tblPr>
        <w:tblStyle w:val="AERtable-numbers"/>
        <w:tblW w:w="0" w:type="auto"/>
        <w:tblLayout w:type="fixed"/>
        <w:tblLook w:val="04A0" w:firstRow="1" w:lastRow="0" w:firstColumn="1" w:lastColumn="0" w:noHBand="0" w:noVBand="1"/>
      </w:tblPr>
      <w:tblGrid>
        <w:gridCol w:w="2096"/>
        <w:gridCol w:w="1039"/>
        <w:gridCol w:w="1039"/>
        <w:gridCol w:w="1039"/>
        <w:gridCol w:w="1039"/>
        <w:gridCol w:w="1039"/>
        <w:gridCol w:w="1039"/>
      </w:tblGrid>
      <w:tr w:rsidR="00A9129F" w:rsidRPr="006F2F85" w:rsidTr="00A9129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96" w:type="dxa"/>
            <w:hideMark/>
          </w:tcPr>
          <w:p w:rsidR="00A9129F" w:rsidRPr="006F2F85" w:rsidRDefault="00A9129F" w:rsidP="006F2F85">
            <w:r w:rsidRPr="006F2F85">
              <w:t> Category</w:t>
            </w:r>
          </w:p>
        </w:tc>
        <w:tc>
          <w:tcPr>
            <w:tcW w:w="1039" w:type="dxa"/>
            <w:hideMark/>
          </w:tcPr>
          <w:p w:rsidR="00A9129F" w:rsidRPr="006F2F85" w:rsidRDefault="00A9129F" w:rsidP="006F2F85">
            <w:pPr>
              <w:cnfStyle w:val="100000000000" w:firstRow="1" w:lastRow="0" w:firstColumn="0" w:lastColumn="0" w:oddVBand="0" w:evenVBand="0" w:oddHBand="0" w:evenHBand="0" w:firstRowFirstColumn="0" w:firstRowLastColumn="0" w:lastRowFirstColumn="0" w:lastRowLastColumn="0"/>
            </w:pPr>
            <w:r w:rsidRPr="006F2F85">
              <w:t>201</w:t>
            </w:r>
            <w:r w:rsidR="00A84FFE" w:rsidRPr="006F2F85">
              <w:t>6</w:t>
            </w:r>
            <w:r w:rsidRPr="006F2F85">
              <w:t>-1</w:t>
            </w:r>
            <w:r w:rsidR="00A84FFE" w:rsidRPr="006F2F85">
              <w:t>7</w:t>
            </w:r>
          </w:p>
        </w:tc>
        <w:tc>
          <w:tcPr>
            <w:tcW w:w="1039" w:type="dxa"/>
            <w:hideMark/>
          </w:tcPr>
          <w:p w:rsidR="00A9129F" w:rsidRPr="006F2F85" w:rsidRDefault="00A9129F" w:rsidP="006F2F85">
            <w:pPr>
              <w:cnfStyle w:val="100000000000" w:firstRow="1" w:lastRow="0" w:firstColumn="0" w:lastColumn="0" w:oddVBand="0" w:evenVBand="0" w:oddHBand="0" w:evenHBand="0" w:firstRowFirstColumn="0" w:firstRowLastColumn="0" w:lastRowFirstColumn="0" w:lastRowLastColumn="0"/>
            </w:pPr>
            <w:r w:rsidRPr="006F2F85">
              <w:t>201</w:t>
            </w:r>
            <w:r w:rsidR="00A84FFE" w:rsidRPr="006F2F85">
              <w:t>7</w:t>
            </w:r>
            <w:r w:rsidRPr="006F2F85">
              <w:t>-1</w:t>
            </w:r>
            <w:r w:rsidR="00A84FFE" w:rsidRPr="006F2F85">
              <w:t>8</w:t>
            </w:r>
          </w:p>
        </w:tc>
        <w:tc>
          <w:tcPr>
            <w:tcW w:w="1039" w:type="dxa"/>
            <w:hideMark/>
          </w:tcPr>
          <w:p w:rsidR="00A9129F" w:rsidRPr="006F2F85" w:rsidRDefault="00A9129F" w:rsidP="006F2F85">
            <w:pPr>
              <w:cnfStyle w:val="100000000000" w:firstRow="1" w:lastRow="0" w:firstColumn="0" w:lastColumn="0" w:oddVBand="0" w:evenVBand="0" w:oddHBand="0" w:evenHBand="0" w:firstRowFirstColumn="0" w:firstRowLastColumn="0" w:lastRowFirstColumn="0" w:lastRowLastColumn="0"/>
            </w:pPr>
            <w:r w:rsidRPr="006F2F85">
              <w:t>201</w:t>
            </w:r>
            <w:r w:rsidR="00A84FFE" w:rsidRPr="006F2F85">
              <w:t>8</w:t>
            </w:r>
            <w:r w:rsidRPr="006F2F85">
              <w:t>-1</w:t>
            </w:r>
            <w:r w:rsidR="00A84FFE" w:rsidRPr="006F2F85">
              <w:t>9</w:t>
            </w:r>
          </w:p>
        </w:tc>
        <w:tc>
          <w:tcPr>
            <w:tcW w:w="1039" w:type="dxa"/>
            <w:hideMark/>
          </w:tcPr>
          <w:p w:rsidR="00A9129F" w:rsidRPr="006F2F85" w:rsidRDefault="00A9129F" w:rsidP="006F2F85">
            <w:pPr>
              <w:cnfStyle w:val="100000000000" w:firstRow="1" w:lastRow="0" w:firstColumn="0" w:lastColumn="0" w:oddVBand="0" w:evenVBand="0" w:oddHBand="0" w:evenHBand="0" w:firstRowFirstColumn="0" w:firstRowLastColumn="0" w:lastRowFirstColumn="0" w:lastRowLastColumn="0"/>
            </w:pPr>
            <w:r w:rsidRPr="006F2F85">
              <w:t>201</w:t>
            </w:r>
            <w:r w:rsidR="00A84FFE" w:rsidRPr="006F2F85">
              <w:t>9</w:t>
            </w:r>
            <w:r w:rsidRPr="006F2F85">
              <w:t>-</w:t>
            </w:r>
            <w:r w:rsidR="00A84FFE" w:rsidRPr="006F2F85">
              <w:t>20</w:t>
            </w:r>
          </w:p>
        </w:tc>
        <w:tc>
          <w:tcPr>
            <w:tcW w:w="1039" w:type="dxa"/>
          </w:tcPr>
          <w:p w:rsidR="00A9129F" w:rsidRPr="006F2F85" w:rsidRDefault="00A9129F" w:rsidP="006F2F85">
            <w:pPr>
              <w:cnfStyle w:val="100000000000" w:firstRow="1" w:lastRow="0" w:firstColumn="0" w:lastColumn="0" w:oddVBand="0" w:evenVBand="0" w:oddHBand="0" w:evenHBand="0" w:firstRowFirstColumn="0" w:firstRowLastColumn="0" w:lastRowFirstColumn="0" w:lastRowLastColumn="0"/>
            </w:pPr>
            <w:r w:rsidRPr="006F2F85">
              <w:t>20</w:t>
            </w:r>
            <w:r w:rsidR="00A84FFE" w:rsidRPr="006F2F85">
              <w:t>20</w:t>
            </w:r>
            <w:r w:rsidRPr="006F2F85">
              <w:t>-</w:t>
            </w:r>
            <w:r w:rsidR="00A84FFE" w:rsidRPr="006F2F85">
              <w:t>2</w:t>
            </w:r>
            <w:r w:rsidRPr="006F2F85">
              <w:t>1</w:t>
            </w:r>
          </w:p>
        </w:tc>
        <w:tc>
          <w:tcPr>
            <w:tcW w:w="1039" w:type="dxa"/>
          </w:tcPr>
          <w:p w:rsidR="00A9129F" w:rsidRPr="006F2F85" w:rsidRDefault="00A9129F" w:rsidP="006F2F85">
            <w:pPr>
              <w:cnfStyle w:val="100000000000" w:firstRow="1" w:lastRow="0" w:firstColumn="0" w:lastColumn="0" w:oddVBand="0" w:evenVBand="0" w:oddHBand="0" w:evenHBand="0" w:firstRowFirstColumn="0" w:firstRowLastColumn="0" w:lastRowFirstColumn="0" w:lastRowLastColumn="0"/>
            </w:pPr>
            <w:r w:rsidRPr="006F2F85">
              <w:t>Total</w:t>
            </w:r>
          </w:p>
        </w:tc>
      </w:tr>
      <w:tr w:rsidR="0031573D" w:rsidRPr="006F2F85" w:rsidTr="00116F2B">
        <w:trPr>
          <w:trHeight w:val="300"/>
        </w:trPr>
        <w:tc>
          <w:tcPr>
            <w:cnfStyle w:val="001000000000" w:firstRow="0" w:lastRow="0" w:firstColumn="1" w:lastColumn="0" w:oddVBand="0" w:evenVBand="0" w:oddHBand="0" w:evenHBand="0" w:firstRowFirstColumn="0" w:firstRowLastColumn="0" w:lastRowFirstColumn="0" w:lastRowLastColumn="0"/>
            <w:tcW w:w="2096" w:type="dxa"/>
            <w:hideMark/>
          </w:tcPr>
          <w:p w:rsidR="0031573D" w:rsidRPr="006F2F85" w:rsidRDefault="0031573D" w:rsidP="006F2F85">
            <w:r w:rsidRPr="006F2F85">
              <w:t xml:space="preserve">Expansion </w:t>
            </w:r>
          </w:p>
        </w:tc>
        <w:tc>
          <w:tcPr>
            <w:tcW w:w="1039" w:type="dxa"/>
            <w:vAlign w:val="top"/>
          </w:tcPr>
          <w:p w:rsidR="0031573D" w:rsidRPr="006F2F85" w:rsidRDefault="0031573D" w:rsidP="006F2F85">
            <w:pPr>
              <w:cnfStyle w:val="000000000000" w:firstRow="0" w:lastRow="0" w:firstColumn="0" w:lastColumn="0" w:oddVBand="0" w:evenVBand="0" w:oddHBand="0" w:evenHBand="0" w:firstRowFirstColumn="0" w:firstRowLastColumn="0" w:lastRowFirstColumn="0" w:lastRowLastColumn="0"/>
            </w:pPr>
            <w:r w:rsidRPr="006F2F85">
              <w:t>-</w:t>
            </w:r>
          </w:p>
        </w:tc>
        <w:tc>
          <w:tcPr>
            <w:tcW w:w="1039" w:type="dxa"/>
            <w:vAlign w:val="top"/>
          </w:tcPr>
          <w:p w:rsidR="0031573D" w:rsidRPr="006F2F85" w:rsidRDefault="0031573D" w:rsidP="006F2F85">
            <w:pPr>
              <w:cnfStyle w:val="000000000000" w:firstRow="0" w:lastRow="0" w:firstColumn="0" w:lastColumn="0" w:oddVBand="0" w:evenVBand="0" w:oddHBand="0" w:evenHBand="0" w:firstRowFirstColumn="0" w:firstRowLastColumn="0" w:lastRowFirstColumn="0" w:lastRowLastColumn="0"/>
            </w:pPr>
            <w:r w:rsidRPr="006F2F85">
              <w:t>-</w:t>
            </w:r>
          </w:p>
        </w:tc>
        <w:tc>
          <w:tcPr>
            <w:tcW w:w="1039" w:type="dxa"/>
            <w:vAlign w:val="top"/>
          </w:tcPr>
          <w:p w:rsidR="0031573D" w:rsidRPr="006F2F85" w:rsidRDefault="0031573D" w:rsidP="006F2F85">
            <w:pPr>
              <w:cnfStyle w:val="000000000000" w:firstRow="0" w:lastRow="0" w:firstColumn="0" w:lastColumn="0" w:oddVBand="0" w:evenVBand="0" w:oddHBand="0" w:evenHBand="0" w:firstRowFirstColumn="0" w:firstRowLastColumn="0" w:lastRowFirstColumn="0" w:lastRowLastColumn="0"/>
            </w:pPr>
            <w:r w:rsidRPr="006F2F85">
              <w:t>-</w:t>
            </w:r>
          </w:p>
        </w:tc>
        <w:tc>
          <w:tcPr>
            <w:tcW w:w="1039" w:type="dxa"/>
            <w:vAlign w:val="top"/>
          </w:tcPr>
          <w:p w:rsidR="0031573D" w:rsidRPr="006F2F85" w:rsidRDefault="0031573D" w:rsidP="006F2F85">
            <w:pPr>
              <w:cnfStyle w:val="000000000000" w:firstRow="0" w:lastRow="0" w:firstColumn="0" w:lastColumn="0" w:oddVBand="0" w:evenVBand="0" w:oddHBand="0" w:evenHBand="0" w:firstRowFirstColumn="0" w:firstRowLastColumn="0" w:lastRowFirstColumn="0" w:lastRowLastColumn="0"/>
            </w:pPr>
            <w:r w:rsidRPr="006F2F85">
              <w:t>-</w:t>
            </w:r>
          </w:p>
        </w:tc>
        <w:tc>
          <w:tcPr>
            <w:tcW w:w="1039" w:type="dxa"/>
            <w:vAlign w:val="top"/>
          </w:tcPr>
          <w:p w:rsidR="0031573D" w:rsidRPr="006F2F85" w:rsidRDefault="0031573D" w:rsidP="006F2F85">
            <w:pPr>
              <w:cnfStyle w:val="000000000000" w:firstRow="0" w:lastRow="0" w:firstColumn="0" w:lastColumn="0" w:oddVBand="0" w:evenVBand="0" w:oddHBand="0" w:evenHBand="0" w:firstRowFirstColumn="0" w:firstRowLastColumn="0" w:lastRowFirstColumn="0" w:lastRowLastColumn="0"/>
            </w:pPr>
            <w:r w:rsidRPr="006F2F85">
              <w:t>-</w:t>
            </w:r>
          </w:p>
        </w:tc>
        <w:tc>
          <w:tcPr>
            <w:tcW w:w="1039" w:type="dxa"/>
            <w:vAlign w:val="top"/>
          </w:tcPr>
          <w:p w:rsidR="0031573D" w:rsidRPr="006F2F85" w:rsidRDefault="0031573D" w:rsidP="006F2F85">
            <w:pPr>
              <w:cnfStyle w:val="000000000000" w:firstRow="0" w:lastRow="0" w:firstColumn="0" w:lastColumn="0" w:oddVBand="0" w:evenVBand="0" w:oddHBand="0" w:evenHBand="0" w:firstRowFirstColumn="0" w:firstRowLastColumn="0" w:lastRowFirstColumn="0" w:lastRowLastColumn="0"/>
            </w:pPr>
            <w:r w:rsidRPr="006F2F85">
              <w:t>-</w:t>
            </w:r>
          </w:p>
        </w:tc>
      </w:tr>
      <w:tr w:rsidR="00A9129F" w:rsidRPr="006F2F85" w:rsidTr="00A9129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6" w:type="dxa"/>
            <w:hideMark/>
          </w:tcPr>
          <w:p w:rsidR="00A9129F" w:rsidRPr="006F2F85" w:rsidRDefault="00A9129F" w:rsidP="006F2F85">
            <w:r w:rsidRPr="006F2F85">
              <w:t xml:space="preserve">Replacement </w:t>
            </w:r>
          </w:p>
        </w:tc>
        <w:tc>
          <w:tcPr>
            <w:tcW w:w="1039" w:type="dxa"/>
          </w:tcPr>
          <w:p w:rsidR="00A9129F" w:rsidRPr="006F2F85" w:rsidRDefault="00DF7171" w:rsidP="006F2F85">
            <w:pPr>
              <w:cnfStyle w:val="000000010000" w:firstRow="0" w:lastRow="0" w:firstColumn="0" w:lastColumn="0" w:oddVBand="0" w:evenVBand="0" w:oddHBand="0" w:evenHBand="1" w:firstRowFirstColumn="0" w:firstRowLastColumn="0" w:lastRowFirstColumn="0" w:lastRowLastColumn="0"/>
            </w:pPr>
            <w:r w:rsidRPr="006F2F85">
              <w:t>3.3</w:t>
            </w:r>
          </w:p>
        </w:tc>
        <w:tc>
          <w:tcPr>
            <w:tcW w:w="1039" w:type="dxa"/>
          </w:tcPr>
          <w:p w:rsidR="00A9129F" w:rsidRPr="006F2F85" w:rsidRDefault="00DF7171" w:rsidP="006F2F85">
            <w:pPr>
              <w:cnfStyle w:val="000000010000" w:firstRow="0" w:lastRow="0" w:firstColumn="0" w:lastColumn="0" w:oddVBand="0" w:evenVBand="0" w:oddHBand="0" w:evenHBand="1" w:firstRowFirstColumn="0" w:firstRowLastColumn="0" w:lastRowFirstColumn="0" w:lastRowLastColumn="0"/>
            </w:pPr>
            <w:r w:rsidRPr="006F2F85">
              <w:t>1.</w:t>
            </w:r>
            <w:r w:rsidR="008A721A" w:rsidRPr="006F2F85">
              <w:t>6</w:t>
            </w:r>
          </w:p>
        </w:tc>
        <w:tc>
          <w:tcPr>
            <w:tcW w:w="1039" w:type="dxa"/>
          </w:tcPr>
          <w:p w:rsidR="00A9129F" w:rsidRPr="006F2F85" w:rsidRDefault="00DF7171" w:rsidP="006F2F85">
            <w:pPr>
              <w:cnfStyle w:val="000000010000" w:firstRow="0" w:lastRow="0" w:firstColumn="0" w:lastColumn="0" w:oddVBand="0" w:evenVBand="0" w:oddHBand="0" w:evenHBand="1" w:firstRowFirstColumn="0" w:firstRowLastColumn="0" w:lastRowFirstColumn="0" w:lastRowLastColumn="0"/>
            </w:pPr>
            <w:r w:rsidRPr="006F2F85">
              <w:t>1.3</w:t>
            </w:r>
          </w:p>
        </w:tc>
        <w:tc>
          <w:tcPr>
            <w:tcW w:w="1039" w:type="dxa"/>
          </w:tcPr>
          <w:p w:rsidR="00A9129F" w:rsidRPr="006F2F85" w:rsidRDefault="00DF7171" w:rsidP="006F2F85">
            <w:pPr>
              <w:cnfStyle w:val="000000010000" w:firstRow="0" w:lastRow="0" w:firstColumn="0" w:lastColumn="0" w:oddVBand="0" w:evenVBand="0" w:oddHBand="0" w:evenHBand="1" w:firstRowFirstColumn="0" w:firstRowLastColumn="0" w:lastRowFirstColumn="0" w:lastRowLastColumn="0"/>
            </w:pPr>
            <w:r w:rsidRPr="006F2F85">
              <w:t>1.</w:t>
            </w:r>
            <w:r w:rsidR="008A721A" w:rsidRPr="006F2F85">
              <w:t>3</w:t>
            </w:r>
          </w:p>
        </w:tc>
        <w:tc>
          <w:tcPr>
            <w:tcW w:w="1039" w:type="dxa"/>
          </w:tcPr>
          <w:p w:rsidR="00A9129F" w:rsidRPr="006F2F85" w:rsidRDefault="00DF7171" w:rsidP="006F2F85">
            <w:pPr>
              <w:cnfStyle w:val="000000010000" w:firstRow="0" w:lastRow="0" w:firstColumn="0" w:lastColumn="0" w:oddVBand="0" w:evenVBand="0" w:oddHBand="0" w:evenHBand="1" w:firstRowFirstColumn="0" w:firstRowLastColumn="0" w:lastRowFirstColumn="0" w:lastRowLastColumn="0"/>
            </w:pPr>
            <w:r w:rsidRPr="006F2F85">
              <w:t>1.1</w:t>
            </w:r>
          </w:p>
        </w:tc>
        <w:tc>
          <w:tcPr>
            <w:tcW w:w="1039" w:type="dxa"/>
          </w:tcPr>
          <w:p w:rsidR="00A9129F" w:rsidRPr="006F2F85" w:rsidRDefault="00DF7171" w:rsidP="006F2F85">
            <w:pPr>
              <w:cnfStyle w:val="000000010000" w:firstRow="0" w:lastRow="0" w:firstColumn="0" w:lastColumn="0" w:oddVBand="0" w:evenVBand="0" w:oddHBand="0" w:evenHBand="1" w:firstRowFirstColumn="0" w:firstRowLastColumn="0" w:lastRowFirstColumn="0" w:lastRowLastColumn="0"/>
            </w:pPr>
            <w:r w:rsidRPr="006F2F85">
              <w:t>8.</w:t>
            </w:r>
            <w:r w:rsidR="008A721A" w:rsidRPr="006F2F85">
              <w:t>6</w:t>
            </w:r>
          </w:p>
        </w:tc>
      </w:tr>
      <w:tr w:rsidR="00A9129F" w:rsidRPr="006F2F85" w:rsidTr="00A9129F">
        <w:trPr>
          <w:trHeight w:val="300"/>
        </w:trPr>
        <w:tc>
          <w:tcPr>
            <w:cnfStyle w:val="001000000000" w:firstRow="0" w:lastRow="0" w:firstColumn="1" w:lastColumn="0" w:oddVBand="0" w:evenVBand="0" w:oddHBand="0" w:evenHBand="0" w:firstRowFirstColumn="0" w:firstRowLastColumn="0" w:lastRowFirstColumn="0" w:lastRowLastColumn="0"/>
            <w:tcW w:w="2096" w:type="dxa"/>
            <w:hideMark/>
          </w:tcPr>
          <w:p w:rsidR="00A9129F" w:rsidRPr="006F2F85" w:rsidRDefault="00A9129F" w:rsidP="006F2F85">
            <w:r w:rsidRPr="006F2F85">
              <w:t>Non-system</w:t>
            </w:r>
          </w:p>
        </w:tc>
        <w:tc>
          <w:tcPr>
            <w:tcW w:w="1039" w:type="dxa"/>
          </w:tcPr>
          <w:p w:rsidR="00A9129F" w:rsidRPr="006F2F85" w:rsidRDefault="0056711A" w:rsidP="006F2F85">
            <w:pPr>
              <w:cnfStyle w:val="000000000000" w:firstRow="0" w:lastRow="0" w:firstColumn="0" w:lastColumn="0" w:oddVBand="0" w:evenVBand="0" w:oddHBand="0" w:evenHBand="0" w:firstRowFirstColumn="0" w:firstRowLastColumn="0" w:lastRowFirstColumn="0" w:lastRowLastColumn="0"/>
            </w:pPr>
            <w:r w:rsidRPr="006F2F85">
              <w:t>4.</w:t>
            </w:r>
            <w:r w:rsidR="00DF7171" w:rsidRPr="006F2F85">
              <w:t>5</w:t>
            </w:r>
          </w:p>
        </w:tc>
        <w:tc>
          <w:tcPr>
            <w:tcW w:w="1039" w:type="dxa"/>
          </w:tcPr>
          <w:p w:rsidR="00A9129F" w:rsidRPr="006F2F85" w:rsidRDefault="008A721A" w:rsidP="006F2F85">
            <w:pPr>
              <w:cnfStyle w:val="000000000000" w:firstRow="0" w:lastRow="0" w:firstColumn="0" w:lastColumn="0" w:oddVBand="0" w:evenVBand="0" w:oddHBand="0" w:evenHBand="0" w:firstRowFirstColumn="0" w:firstRowLastColumn="0" w:lastRowFirstColumn="0" w:lastRowLastColumn="0"/>
            </w:pPr>
            <w:r w:rsidRPr="006F2F85">
              <w:t>1</w:t>
            </w:r>
            <w:r w:rsidR="0056711A" w:rsidRPr="006F2F85">
              <w:t>.</w:t>
            </w:r>
            <w:r w:rsidRPr="006F2F85">
              <w:t>0</w:t>
            </w:r>
          </w:p>
        </w:tc>
        <w:tc>
          <w:tcPr>
            <w:tcW w:w="1039" w:type="dxa"/>
          </w:tcPr>
          <w:p w:rsidR="00A9129F" w:rsidRPr="006F2F85" w:rsidRDefault="0056711A" w:rsidP="006F2F85">
            <w:pPr>
              <w:cnfStyle w:val="000000000000" w:firstRow="0" w:lastRow="0" w:firstColumn="0" w:lastColumn="0" w:oddVBand="0" w:evenVBand="0" w:oddHBand="0" w:evenHBand="0" w:firstRowFirstColumn="0" w:firstRowLastColumn="0" w:lastRowFirstColumn="0" w:lastRowLastColumn="0"/>
            </w:pPr>
            <w:r w:rsidRPr="006F2F85">
              <w:t>1.0</w:t>
            </w:r>
          </w:p>
        </w:tc>
        <w:tc>
          <w:tcPr>
            <w:tcW w:w="1039" w:type="dxa"/>
          </w:tcPr>
          <w:p w:rsidR="00A9129F" w:rsidRPr="006F2F85" w:rsidRDefault="0056711A" w:rsidP="006F2F85">
            <w:pPr>
              <w:cnfStyle w:val="000000000000" w:firstRow="0" w:lastRow="0" w:firstColumn="0" w:lastColumn="0" w:oddVBand="0" w:evenVBand="0" w:oddHBand="0" w:evenHBand="0" w:firstRowFirstColumn="0" w:firstRowLastColumn="0" w:lastRowFirstColumn="0" w:lastRowLastColumn="0"/>
            </w:pPr>
            <w:r w:rsidRPr="006F2F85">
              <w:t>1.1</w:t>
            </w:r>
          </w:p>
        </w:tc>
        <w:tc>
          <w:tcPr>
            <w:tcW w:w="1039" w:type="dxa"/>
          </w:tcPr>
          <w:p w:rsidR="00A9129F" w:rsidRPr="006F2F85" w:rsidRDefault="0056711A" w:rsidP="006F2F85">
            <w:pPr>
              <w:cnfStyle w:val="000000000000" w:firstRow="0" w:lastRow="0" w:firstColumn="0" w:lastColumn="0" w:oddVBand="0" w:evenVBand="0" w:oddHBand="0" w:evenHBand="0" w:firstRowFirstColumn="0" w:firstRowLastColumn="0" w:lastRowFirstColumn="0" w:lastRowLastColumn="0"/>
            </w:pPr>
            <w:r w:rsidRPr="006F2F85">
              <w:t>1.3</w:t>
            </w:r>
          </w:p>
        </w:tc>
        <w:tc>
          <w:tcPr>
            <w:tcW w:w="1039" w:type="dxa"/>
          </w:tcPr>
          <w:p w:rsidR="00A9129F" w:rsidRPr="006F2F85" w:rsidRDefault="0056711A" w:rsidP="006F2F85">
            <w:pPr>
              <w:cnfStyle w:val="000000000000" w:firstRow="0" w:lastRow="0" w:firstColumn="0" w:lastColumn="0" w:oddVBand="0" w:evenVBand="0" w:oddHBand="0" w:evenHBand="0" w:firstRowFirstColumn="0" w:firstRowLastColumn="0" w:lastRowFirstColumn="0" w:lastRowLastColumn="0"/>
            </w:pPr>
            <w:r w:rsidRPr="006F2F85">
              <w:t>8.</w:t>
            </w:r>
            <w:r w:rsidR="008A721A" w:rsidRPr="006F2F85">
              <w:t>8</w:t>
            </w:r>
          </w:p>
        </w:tc>
      </w:tr>
      <w:tr w:rsidR="00A9129F" w:rsidRPr="006F2F85" w:rsidTr="00A9129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6" w:type="dxa"/>
            <w:hideMark/>
          </w:tcPr>
          <w:p w:rsidR="00A9129F" w:rsidRPr="006F2F85" w:rsidRDefault="00A9129F" w:rsidP="006F2F85">
            <w:r w:rsidRPr="006F2F85">
              <w:t>GROSS TOTAL CAPITAL EXPENDITURE</w:t>
            </w:r>
          </w:p>
        </w:tc>
        <w:tc>
          <w:tcPr>
            <w:tcW w:w="1039" w:type="dxa"/>
          </w:tcPr>
          <w:p w:rsidR="00A9129F" w:rsidRPr="006F2F85" w:rsidRDefault="00DF7171" w:rsidP="006F2F85">
            <w:pPr>
              <w:cnfStyle w:val="000000010000" w:firstRow="0" w:lastRow="0" w:firstColumn="0" w:lastColumn="0" w:oddVBand="0" w:evenVBand="0" w:oddHBand="0" w:evenHBand="1" w:firstRowFirstColumn="0" w:firstRowLastColumn="0" w:lastRowFirstColumn="0" w:lastRowLastColumn="0"/>
            </w:pPr>
            <w:r w:rsidRPr="006F2F85">
              <w:t>7.8</w:t>
            </w:r>
          </w:p>
        </w:tc>
        <w:tc>
          <w:tcPr>
            <w:tcW w:w="1039" w:type="dxa"/>
          </w:tcPr>
          <w:p w:rsidR="00A9129F" w:rsidRPr="006F2F85" w:rsidRDefault="00DF7171" w:rsidP="006F2F85">
            <w:pPr>
              <w:cnfStyle w:val="000000010000" w:firstRow="0" w:lastRow="0" w:firstColumn="0" w:lastColumn="0" w:oddVBand="0" w:evenVBand="0" w:oddHBand="0" w:evenHBand="1" w:firstRowFirstColumn="0" w:firstRowLastColumn="0" w:lastRowFirstColumn="0" w:lastRowLastColumn="0"/>
            </w:pPr>
            <w:r w:rsidRPr="006F2F85">
              <w:t>2.6</w:t>
            </w:r>
          </w:p>
        </w:tc>
        <w:tc>
          <w:tcPr>
            <w:tcW w:w="1039" w:type="dxa"/>
          </w:tcPr>
          <w:p w:rsidR="00A9129F" w:rsidRPr="006F2F85" w:rsidRDefault="00DF7171" w:rsidP="006F2F85">
            <w:pPr>
              <w:cnfStyle w:val="000000010000" w:firstRow="0" w:lastRow="0" w:firstColumn="0" w:lastColumn="0" w:oddVBand="0" w:evenVBand="0" w:oddHBand="0" w:evenHBand="1" w:firstRowFirstColumn="0" w:firstRowLastColumn="0" w:lastRowFirstColumn="0" w:lastRowLastColumn="0"/>
            </w:pPr>
            <w:r w:rsidRPr="006F2F85">
              <w:t>2.3</w:t>
            </w:r>
          </w:p>
        </w:tc>
        <w:tc>
          <w:tcPr>
            <w:tcW w:w="1039" w:type="dxa"/>
          </w:tcPr>
          <w:p w:rsidR="00A9129F" w:rsidRPr="006F2F85" w:rsidRDefault="00DF7171" w:rsidP="006F2F85">
            <w:pPr>
              <w:cnfStyle w:val="000000010000" w:firstRow="0" w:lastRow="0" w:firstColumn="0" w:lastColumn="0" w:oddVBand="0" w:evenVBand="0" w:oddHBand="0" w:evenHBand="1" w:firstRowFirstColumn="0" w:firstRowLastColumn="0" w:lastRowFirstColumn="0" w:lastRowLastColumn="0"/>
            </w:pPr>
            <w:r w:rsidRPr="006F2F85">
              <w:t>2.3</w:t>
            </w:r>
          </w:p>
        </w:tc>
        <w:tc>
          <w:tcPr>
            <w:tcW w:w="1039" w:type="dxa"/>
          </w:tcPr>
          <w:p w:rsidR="00A9129F" w:rsidRPr="006F2F85" w:rsidRDefault="00DF7171" w:rsidP="006F2F85">
            <w:pPr>
              <w:cnfStyle w:val="000000010000" w:firstRow="0" w:lastRow="0" w:firstColumn="0" w:lastColumn="0" w:oddVBand="0" w:evenVBand="0" w:oddHBand="0" w:evenHBand="1" w:firstRowFirstColumn="0" w:firstRowLastColumn="0" w:lastRowFirstColumn="0" w:lastRowLastColumn="0"/>
            </w:pPr>
            <w:r w:rsidRPr="006F2F85">
              <w:t>2.4</w:t>
            </w:r>
          </w:p>
        </w:tc>
        <w:tc>
          <w:tcPr>
            <w:tcW w:w="1039" w:type="dxa"/>
          </w:tcPr>
          <w:p w:rsidR="00A9129F" w:rsidRPr="006F2F85" w:rsidRDefault="00DF7171" w:rsidP="006F2F85">
            <w:pPr>
              <w:cnfStyle w:val="000000010000" w:firstRow="0" w:lastRow="0" w:firstColumn="0" w:lastColumn="0" w:oddVBand="0" w:evenVBand="0" w:oddHBand="0" w:evenHBand="1" w:firstRowFirstColumn="0" w:firstRowLastColumn="0" w:lastRowFirstColumn="0" w:lastRowLastColumn="0"/>
            </w:pPr>
            <w:r w:rsidRPr="006F2F85">
              <w:t>17.4</w:t>
            </w:r>
          </w:p>
        </w:tc>
      </w:tr>
      <w:tr w:rsidR="00A9129F" w:rsidRPr="006F2F85" w:rsidTr="00A9129F">
        <w:trPr>
          <w:trHeight w:val="300"/>
        </w:trPr>
        <w:tc>
          <w:tcPr>
            <w:cnfStyle w:val="001000000000" w:firstRow="0" w:lastRow="0" w:firstColumn="1" w:lastColumn="0" w:oddVBand="0" w:evenVBand="0" w:oddHBand="0" w:evenHBand="0" w:firstRowFirstColumn="0" w:firstRowLastColumn="0" w:lastRowFirstColumn="0" w:lastRowLastColumn="0"/>
            <w:tcW w:w="2096" w:type="dxa"/>
          </w:tcPr>
          <w:p w:rsidR="00A9129F" w:rsidRPr="006F2F85" w:rsidRDefault="00A9129F" w:rsidP="006F2F85">
            <w:r w:rsidRPr="006F2F85">
              <w:t>Contributions</w:t>
            </w:r>
          </w:p>
        </w:tc>
        <w:tc>
          <w:tcPr>
            <w:tcW w:w="1039" w:type="dxa"/>
          </w:tcPr>
          <w:p w:rsidR="00A9129F" w:rsidRPr="006F2F85" w:rsidRDefault="00A9129F" w:rsidP="006F2F85">
            <w:pPr>
              <w:cnfStyle w:val="000000000000" w:firstRow="0" w:lastRow="0" w:firstColumn="0" w:lastColumn="0" w:oddVBand="0" w:evenVBand="0" w:oddHBand="0" w:evenHBand="0" w:firstRowFirstColumn="0" w:firstRowLastColumn="0" w:lastRowFirstColumn="0" w:lastRowLastColumn="0"/>
            </w:pPr>
            <w:r w:rsidRPr="006F2F85">
              <w:t>-</w:t>
            </w:r>
          </w:p>
        </w:tc>
        <w:tc>
          <w:tcPr>
            <w:tcW w:w="1039" w:type="dxa"/>
          </w:tcPr>
          <w:p w:rsidR="00A9129F" w:rsidRPr="006F2F85" w:rsidRDefault="00A9129F" w:rsidP="006F2F85">
            <w:pPr>
              <w:cnfStyle w:val="000000000000" w:firstRow="0" w:lastRow="0" w:firstColumn="0" w:lastColumn="0" w:oddVBand="0" w:evenVBand="0" w:oddHBand="0" w:evenHBand="0" w:firstRowFirstColumn="0" w:firstRowLastColumn="0" w:lastRowFirstColumn="0" w:lastRowLastColumn="0"/>
            </w:pPr>
            <w:r w:rsidRPr="006F2F85">
              <w:t>-</w:t>
            </w:r>
          </w:p>
        </w:tc>
        <w:tc>
          <w:tcPr>
            <w:tcW w:w="1039" w:type="dxa"/>
          </w:tcPr>
          <w:p w:rsidR="00A9129F" w:rsidRPr="006F2F85" w:rsidRDefault="00A9129F" w:rsidP="006F2F85">
            <w:pPr>
              <w:cnfStyle w:val="000000000000" w:firstRow="0" w:lastRow="0" w:firstColumn="0" w:lastColumn="0" w:oddVBand="0" w:evenVBand="0" w:oddHBand="0" w:evenHBand="0" w:firstRowFirstColumn="0" w:firstRowLastColumn="0" w:lastRowFirstColumn="0" w:lastRowLastColumn="0"/>
            </w:pPr>
            <w:r w:rsidRPr="006F2F85">
              <w:t>-</w:t>
            </w:r>
          </w:p>
        </w:tc>
        <w:tc>
          <w:tcPr>
            <w:tcW w:w="1039" w:type="dxa"/>
          </w:tcPr>
          <w:p w:rsidR="00A9129F" w:rsidRPr="006F2F85" w:rsidRDefault="00A9129F" w:rsidP="006F2F85">
            <w:pPr>
              <w:cnfStyle w:val="000000000000" w:firstRow="0" w:lastRow="0" w:firstColumn="0" w:lastColumn="0" w:oddVBand="0" w:evenVBand="0" w:oddHBand="0" w:evenHBand="0" w:firstRowFirstColumn="0" w:firstRowLastColumn="0" w:lastRowFirstColumn="0" w:lastRowLastColumn="0"/>
            </w:pPr>
            <w:r w:rsidRPr="006F2F85">
              <w:t>-</w:t>
            </w:r>
          </w:p>
        </w:tc>
        <w:tc>
          <w:tcPr>
            <w:tcW w:w="1039" w:type="dxa"/>
          </w:tcPr>
          <w:p w:rsidR="00A9129F" w:rsidRPr="006F2F85" w:rsidRDefault="00A9129F" w:rsidP="006F2F85">
            <w:pPr>
              <w:cnfStyle w:val="000000000000" w:firstRow="0" w:lastRow="0" w:firstColumn="0" w:lastColumn="0" w:oddVBand="0" w:evenVBand="0" w:oddHBand="0" w:evenHBand="0" w:firstRowFirstColumn="0" w:firstRowLastColumn="0" w:lastRowFirstColumn="0" w:lastRowLastColumn="0"/>
            </w:pPr>
            <w:r w:rsidRPr="006F2F85">
              <w:t>-</w:t>
            </w:r>
          </w:p>
        </w:tc>
        <w:tc>
          <w:tcPr>
            <w:tcW w:w="1039" w:type="dxa"/>
          </w:tcPr>
          <w:p w:rsidR="00A9129F" w:rsidRPr="006F2F85" w:rsidRDefault="00A9129F" w:rsidP="006F2F85">
            <w:pPr>
              <w:cnfStyle w:val="000000000000" w:firstRow="0" w:lastRow="0" w:firstColumn="0" w:lastColumn="0" w:oddVBand="0" w:evenVBand="0" w:oddHBand="0" w:evenHBand="0" w:firstRowFirstColumn="0" w:firstRowLastColumn="0" w:lastRowFirstColumn="0" w:lastRowLastColumn="0"/>
            </w:pPr>
            <w:r w:rsidRPr="006F2F85">
              <w:t>-</w:t>
            </w:r>
          </w:p>
        </w:tc>
      </w:tr>
      <w:tr w:rsidR="00A9129F" w:rsidRPr="006F2F85" w:rsidTr="00A9129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6" w:type="dxa"/>
          </w:tcPr>
          <w:p w:rsidR="00A9129F" w:rsidRPr="006F2F85" w:rsidRDefault="00A9129F" w:rsidP="006F2F85">
            <w:r w:rsidRPr="006F2F85">
              <w:t>Asset disposals</w:t>
            </w:r>
          </w:p>
        </w:tc>
        <w:tc>
          <w:tcPr>
            <w:tcW w:w="1039" w:type="dxa"/>
          </w:tcPr>
          <w:p w:rsidR="00A9129F" w:rsidRPr="006F2F85" w:rsidRDefault="0056711A" w:rsidP="006F2F85">
            <w:pPr>
              <w:cnfStyle w:val="000000010000" w:firstRow="0" w:lastRow="0" w:firstColumn="0" w:lastColumn="0" w:oddVBand="0" w:evenVBand="0" w:oddHBand="0" w:evenHBand="1" w:firstRowFirstColumn="0" w:firstRowLastColumn="0" w:lastRowFirstColumn="0" w:lastRowLastColumn="0"/>
            </w:pPr>
            <w:r w:rsidRPr="006F2F85">
              <w:t>0.2</w:t>
            </w:r>
          </w:p>
        </w:tc>
        <w:tc>
          <w:tcPr>
            <w:tcW w:w="1039" w:type="dxa"/>
          </w:tcPr>
          <w:p w:rsidR="00A9129F" w:rsidRPr="006F2F85" w:rsidRDefault="0056711A" w:rsidP="006F2F85">
            <w:pPr>
              <w:cnfStyle w:val="000000010000" w:firstRow="0" w:lastRow="0" w:firstColumn="0" w:lastColumn="0" w:oddVBand="0" w:evenVBand="0" w:oddHBand="0" w:evenHBand="1" w:firstRowFirstColumn="0" w:firstRowLastColumn="0" w:lastRowFirstColumn="0" w:lastRowLastColumn="0"/>
            </w:pPr>
            <w:r w:rsidRPr="006F2F85">
              <w:t>0.1</w:t>
            </w:r>
          </w:p>
        </w:tc>
        <w:tc>
          <w:tcPr>
            <w:tcW w:w="1039" w:type="dxa"/>
          </w:tcPr>
          <w:p w:rsidR="00A9129F" w:rsidRPr="006F2F85" w:rsidRDefault="0056711A" w:rsidP="006F2F85">
            <w:pPr>
              <w:cnfStyle w:val="000000010000" w:firstRow="0" w:lastRow="0" w:firstColumn="0" w:lastColumn="0" w:oddVBand="0" w:evenVBand="0" w:oddHBand="0" w:evenHBand="1" w:firstRowFirstColumn="0" w:firstRowLastColumn="0" w:lastRowFirstColumn="0" w:lastRowLastColumn="0"/>
            </w:pPr>
            <w:r w:rsidRPr="006F2F85">
              <w:t>0.1</w:t>
            </w:r>
          </w:p>
        </w:tc>
        <w:tc>
          <w:tcPr>
            <w:tcW w:w="1039" w:type="dxa"/>
          </w:tcPr>
          <w:p w:rsidR="00A9129F" w:rsidRPr="006F2F85" w:rsidRDefault="00A9129F" w:rsidP="006F2F85">
            <w:pPr>
              <w:cnfStyle w:val="000000010000" w:firstRow="0" w:lastRow="0" w:firstColumn="0" w:lastColumn="0" w:oddVBand="0" w:evenVBand="0" w:oddHBand="0" w:evenHBand="1" w:firstRowFirstColumn="0" w:firstRowLastColumn="0" w:lastRowFirstColumn="0" w:lastRowLastColumn="0"/>
            </w:pPr>
            <w:r w:rsidRPr="006F2F85">
              <w:t>0.1</w:t>
            </w:r>
          </w:p>
        </w:tc>
        <w:tc>
          <w:tcPr>
            <w:tcW w:w="1039" w:type="dxa"/>
          </w:tcPr>
          <w:p w:rsidR="00A9129F" w:rsidRPr="006F2F85" w:rsidRDefault="0056711A" w:rsidP="006F2F85">
            <w:pPr>
              <w:cnfStyle w:val="000000010000" w:firstRow="0" w:lastRow="0" w:firstColumn="0" w:lastColumn="0" w:oddVBand="0" w:evenVBand="0" w:oddHBand="0" w:evenHBand="1" w:firstRowFirstColumn="0" w:firstRowLastColumn="0" w:lastRowFirstColumn="0" w:lastRowLastColumn="0"/>
            </w:pPr>
            <w:r w:rsidRPr="006F2F85">
              <w:t>0.2</w:t>
            </w:r>
          </w:p>
        </w:tc>
        <w:tc>
          <w:tcPr>
            <w:tcW w:w="1039" w:type="dxa"/>
          </w:tcPr>
          <w:p w:rsidR="00A9129F" w:rsidRPr="006F2F85" w:rsidRDefault="00A9129F" w:rsidP="006F2F85">
            <w:pPr>
              <w:cnfStyle w:val="000000010000" w:firstRow="0" w:lastRow="0" w:firstColumn="0" w:lastColumn="0" w:oddVBand="0" w:evenVBand="0" w:oddHBand="0" w:evenHBand="1" w:firstRowFirstColumn="0" w:firstRowLastColumn="0" w:lastRowFirstColumn="0" w:lastRowLastColumn="0"/>
            </w:pPr>
            <w:r w:rsidRPr="006F2F85">
              <w:t>0.</w:t>
            </w:r>
            <w:r w:rsidR="009774A6" w:rsidRPr="006F2F85">
              <w:t>7</w:t>
            </w:r>
          </w:p>
        </w:tc>
      </w:tr>
      <w:tr w:rsidR="00A9129F" w:rsidRPr="006F2F85" w:rsidTr="00A9129F">
        <w:trPr>
          <w:trHeight w:val="300"/>
        </w:trPr>
        <w:tc>
          <w:tcPr>
            <w:cnfStyle w:val="001000000000" w:firstRow="0" w:lastRow="0" w:firstColumn="1" w:lastColumn="0" w:oddVBand="0" w:evenVBand="0" w:oddHBand="0" w:evenHBand="0" w:firstRowFirstColumn="0" w:firstRowLastColumn="0" w:lastRowFirstColumn="0" w:lastRowLastColumn="0"/>
            <w:tcW w:w="2096" w:type="dxa"/>
          </w:tcPr>
          <w:p w:rsidR="00A9129F" w:rsidRPr="006F2F85" w:rsidRDefault="00A9129F" w:rsidP="006F2F85">
            <w:r w:rsidRPr="006F2F85">
              <w:t>NET TOTAL CAPITAL EXPENDITURE</w:t>
            </w:r>
          </w:p>
        </w:tc>
        <w:tc>
          <w:tcPr>
            <w:tcW w:w="1039" w:type="dxa"/>
          </w:tcPr>
          <w:p w:rsidR="00A9129F" w:rsidRPr="006F2F85" w:rsidRDefault="00DF7171" w:rsidP="006F2F85">
            <w:pPr>
              <w:cnfStyle w:val="000000000000" w:firstRow="0" w:lastRow="0" w:firstColumn="0" w:lastColumn="0" w:oddVBand="0" w:evenVBand="0" w:oddHBand="0" w:evenHBand="0" w:firstRowFirstColumn="0" w:firstRowLastColumn="0" w:lastRowFirstColumn="0" w:lastRowLastColumn="0"/>
            </w:pPr>
            <w:r w:rsidRPr="006F2F85">
              <w:t>7.</w:t>
            </w:r>
            <w:r w:rsidR="008A721A" w:rsidRPr="006F2F85">
              <w:t>6</w:t>
            </w:r>
          </w:p>
        </w:tc>
        <w:tc>
          <w:tcPr>
            <w:tcW w:w="1039" w:type="dxa"/>
          </w:tcPr>
          <w:p w:rsidR="00A9129F" w:rsidRPr="006F2F85" w:rsidRDefault="00DF7171" w:rsidP="006F2F85">
            <w:pPr>
              <w:cnfStyle w:val="000000000000" w:firstRow="0" w:lastRow="0" w:firstColumn="0" w:lastColumn="0" w:oddVBand="0" w:evenVBand="0" w:oddHBand="0" w:evenHBand="0" w:firstRowFirstColumn="0" w:firstRowLastColumn="0" w:lastRowFirstColumn="0" w:lastRowLastColumn="0"/>
            </w:pPr>
            <w:r w:rsidRPr="006F2F85">
              <w:t>2.5</w:t>
            </w:r>
          </w:p>
        </w:tc>
        <w:tc>
          <w:tcPr>
            <w:tcW w:w="1039" w:type="dxa"/>
          </w:tcPr>
          <w:p w:rsidR="00A9129F" w:rsidRPr="006F2F85" w:rsidRDefault="00DF7171" w:rsidP="006F2F85">
            <w:pPr>
              <w:cnfStyle w:val="000000000000" w:firstRow="0" w:lastRow="0" w:firstColumn="0" w:lastColumn="0" w:oddVBand="0" w:evenVBand="0" w:oddHBand="0" w:evenHBand="0" w:firstRowFirstColumn="0" w:firstRowLastColumn="0" w:lastRowFirstColumn="0" w:lastRowLastColumn="0"/>
            </w:pPr>
            <w:r w:rsidRPr="006F2F85">
              <w:t>2.2</w:t>
            </w:r>
          </w:p>
        </w:tc>
        <w:tc>
          <w:tcPr>
            <w:tcW w:w="1039" w:type="dxa"/>
          </w:tcPr>
          <w:p w:rsidR="00A9129F" w:rsidRPr="006F2F85" w:rsidRDefault="00DF7171" w:rsidP="006F2F85">
            <w:pPr>
              <w:cnfStyle w:val="000000000000" w:firstRow="0" w:lastRow="0" w:firstColumn="0" w:lastColumn="0" w:oddVBand="0" w:evenVBand="0" w:oddHBand="0" w:evenHBand="0" w:firstRowFirstColumn="0" w:firstRowLastColumn="0" w:lastRowFirstColumn="0" w:lastRowLastColumn="0"/>
            </w:pPr>
            <w:r w:rsidRPr="006F2F85">
              <w:t>2.</w:t>
            </w:r>
            <w:r w:rsidR="008A721A" w:rsidRPr="006F2F85">
              <w:t>2</w:t>
            </w:r>
          </w:p>
        </w:tc>
        <w:tc>
          <w:tcPr>
            <w:tcW w:w="1039" w:type="dxa"/>
          </w:tcPr>
          <w:p w:rsidR="00A9129F" w:rsidRPr="006F2F85" w:rsidRDefault="00DF7171" w:rsidP="006F2F85">
            <w:pPr>
              <w:cnfStyle w:val="000000000000" w:firstRow="0" w:lastRow="0" w:firstColumn="0" w:lastColumn="0" w:oddVBand="0" w:evenVBand="0" w:oddHBand="0" w:evenHBand="0" w:firstRowFirstColumn="0" w:firstRowLastColumn="0" w:lastRowFirstColumn="0" w:lastRowLastColumn="0"/>
            </w:pPr>
            <w:r w:rsidRPr="006F2F85">
              <w:t>2.2</w:t>
            </w:r>
          </w:p>
        </w:tc>
        <w:tc>
          <w:tcPr>
            <w:tcW w:w="1039" w:type="dxa"/>
          </w:tcPr>
          <w:p w:rsidR="00A9129F" w:rsidRPr="006F2F85" w:rsidRDefault="00DF7171" w:rsidP="006F2F85">
            <w:pPr>
              <w:cnfStyle w:val="000000000000" w:firstRow="0" w:lastRow="0" w:firstColumn="0" w:lastColumn="0" w:oddVBand="0" w:evenVBand="0" w:oddHBand="0" w:evenHBand="0" w:firstRowFirstColumn="0" w:firstRowLastColumn="0" w:lastRowFirstColumn="0" w:lastRowLastColumn="0"/>
            </w:pPr>
            <w:r w:rsidRPr="006F2F85">
              <w:t>16.</w:t>
            </w:r>
            <w:r w:rsidR="008A721A" w:rsidRPr="006F2F85">
              <w:t>8</w:t>
            </w:r>
          </w:p>
        </w:tc>
      </w:tr>
    </w:tbl>
    <w:p w:rsidR="00A9129F" w:rsidRDefault="00A9129F" w:rsidP="00A9129F">
      <w:pPr>
        <w:pStyle w:val="AERtablesource"/>
      </w:pPr>
      <w:r w:rsidRPr="00F61681">
        <w:t>Source:</w:t>
      </w:r>
      <w:r w:rsidRPr="00F61681">
        <w:tab/>
        <w:t>AER analysis.</w:t>
      </w:r>
      <w:r w:rsidR="00502593">
        <w:t xml:space="preserve"> </w:t>
      </w:r>
      <w:r w:rsidR="00027AC4" w:rsidRPr="002D5654">
        <w:t xml:space="preserve">Totals may not add </w:t>
      </w:r>
      <w:r w:rsidR="004023D2">
        <w:t xml:space="preserve">up </w:t>
      </w:r>
      <w:r w:rsidR="00027AC4" w:rsidRPr="002D5654">
        <w:t>due to rounding.</w:t>
      </w:r>
    </w:p>
    <w:p w:rsidR="00722CC1" w:rsidRPr="00722CC1" w:rsidRDefault="00722CC1" w:rsidP="00722CC1">
      <w:pPr>
        <w:pStyle w:val="AERtablesource"/>
      </w:pPr>
      <w:r>
        <w:t>Note:</w:t>
      </w:r>
      <w:r>
        <w:tab/>
      </w:r>
      <w:r w:rsidRPr="006D6533">
        <w:t>(a) Including AER labour escalation adjustments.</w:t>
      </w:r>
    </w:p>
    <w:p w:rsidR="009774A6" w:rsidRPr="00A4447D" w:rsidRDefault="00CF6C01" w:rsidP="009774A6">
      <w:pPr>
        <w:numPr>
          <w:ilvl w:val="0"/>
          <w:numId w:val="24"/>
        </w:numPr>
      </w:pPr>
      <w:r>
        <w:fldChar w:fldCharType="begin"/>
      </w:r>
      <w:r>
        <w:instrText xml:space="preserve"> REF _Ref446598219 </w:instrText>
      </w:r>
      <w:r>
        <w:fldChar w:fldCharType="separate"/>
      </w:r>
      <w:r w:rsidR="00C9476D">
        <w:t xml:space="preserve">Table </w:t>
      </w:r>
      <w:r w:rsidR="00C9476D">
        <w:rPr>
          <w:noProof/>
        </w:rPr>
        <w:t>6</w:t>
      </w:r>
      <w:r w:rsidR="00C9476D">
        <w:t>.</w:t>
      </w:r>
      <w:r w:rsidR="00C9476D">
        <w:rPr>
          <w:noProof/>
        </w:rPr>
        <w:t>4</w:t>
      </w:r>
      <w:r>
        <w:rPr>
          <w:noProof/>
        </w:rPr>
        <w:fldChar w:fldCharType="end"/>
      </w:r>
      <w:r w:rsidR="009774A6" w:rsidRPr="009774A6">
        <w:t xml:space="preserve"> shows APTNT's proposed capex compared with the AER's approved allowance for each category.</w:t>
      </w:r>
    </w:p>
    <w:p w:rsidR="009774A6" w:rsidRPr="00333A31" w:rsidRDefault="00A570D7" w:rsidP="00A570D7">
      <w:pPr>
        <w:pStyle w:val="Caption"/>
      </w:pPr>
      <w:bookmarkStart w:id="22" w:name="_Ref446598219"/>
      <w:proofErr w:type="gramStart"/>
      <w:r>
        <w:t xml:space="preserve">Table </w:t>
      </w:r>
      <w:r w:rsidR="00CF6C01">
        <w:fldChar w:fldCharType="begin"/>
      </w:r>
      <w:r w:rsidR="00CF6C01">
        <w:instrText xml:space="preserve"> STYLEREF 1 \s </w:instrText>
      </w:r>
      <w:r w:rsidR="00CF6C01">
        <w:fldChar w:fldCharType="separate"/>
      </w:r>
      <w:r w:rsidR="00C9476D">
        <w:rPr>
          <w:noProof/>
        </w:rPr>
        <w:t>6</w:t>
      </w:r>
      <w:r w:rsidR="00CF6C01">
        <w:rPr>
          <w:noProof/>
        </w:rPr>
        <w:fldChar w:fldCharType="end"/>
      </w:r>
      <w:r w:rsidR="00EA4D62">
        <w:t>.</w:t>
      </w:r>
      <w:proofErr w:type="gramEnd"/>
      <w:r w:rsidR="00CF6C01">
        <w:fldChar w:fldCharType="begin"/>
      </w:r>
      <w:r w:rsidR="00CF6C01">
        <w:instrText xml:space="preserve"> SEQ Table \* ARABIC \s 1 </w:instrText>
      </w:r>
      <w:r w:rsidR="00CF6C01">
        <w:fldChar w:fldCharType="separate"/>
      </w:r>
      <w:r w:rsidR="00C9476D">
        <w:rPr>
          <w:noProof/>
        </w:rPr>
        <w:t>4</w:t>
      </w:r>
      <w:r w:rsidR="00CF6C01">
        <w:rPr>
          <w:noProof/>
        </w:rPr>
        <w:fldChar w:fldCharType="end"/>
      </w:r>
      <w:bookmarkEnd w:id="22"/>
      <w:r>
        <w:tab/>
      </w:r>
      <w:r w:rsidR="009774A6" w:rsidRPr="00A4447D">
        <w:t xml:space="preserve">Comparison of AER approved and </w:t>
      </w:r>
      <w:r w:rsidR="009774A6">
        <w:t>APTNT’s</w:t>
      </w:r>
      <w:r w:rsidR="0067522E">
        <w:t xml:space="preserve"> revised</w:t>
      </w:r>
      <w:r w:rsidR="009774A6">
        <w:t xml:space="preserve"> </w:t>
      </w:r>
      <w:r w:rsidR="009774A6" w:rsidRPr="00A4447D">
        <w:t xml:space="preserve">proposed capital expenditure over the </w:t>
      </w:r>
      <w:r w:rsidR="009774A6">
        <w:t>2016–21</w:t>
      </w:r>
      <w:r w:rsidR="009774A6" w:rsidRPr="00A4447D">
        <w:t xml:space="preserve"> access arrangement period ($million, 201</w:t>
      </w:r>
      <w:r w:rsidR="009774A6">
        <w:t>5–16</w:t>
      </w:r>
      <w:r w:rsidR="009774A6" w:rsidRPr="00A4447D">
        <w:t>)</w:t>
      </w:r>
    </w:p>
    <w:tbl>
      <w:tblPr>
        <w:tblStyle w:val="AERtable-numbers"/>
        <w:tblW w:w="5000" w:type="pct"/>
        <w:tblLook w:val="04A0" w:firstRow="1" w:lastRow="0" w:firstColumn="1" w:lastColumn="0" w:noHBand="0" w:noVBand="1"/>
      </w:tblPr>
      <w:tblGrid>
        <w:gridCol w:w="2669"/>
        <w:gridCol w:w="1507"/>
        <w:gridCol w:w="1507"/>
        <w:gridCol w:w="1505"/>
        <w:gridCol w:w="1504"/>
      </w:tblGrid>
      <w:tr w:rsidR="009774A6" w:rsidRPr="006F2F85" w:rsidTr="00116F2B">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35" w:type="pct"/>
            <w:hideMark/>
          </w:tcPr>
          <w:p w:rsidR="009774A6" w:rsidRPr="006F2F85" w:rsidRDefault="009774A6" w:rsidP="006F2F85">
            <w:r w:rsidRPr="006F2F85">
              <w:t> Category</w:t>
            </w:r>
          </w:p>
        </w:tc>
        <w:tc>
          <w:tcPr>
            <w:tcW w:w="867" w:type="pct"/>
            <w:hideMark/>
          </w:tcPr>
          <w:p w:rsidR="009774A6" w:rsidRPr="006F2F85" w:rsidRDefault="009774A6" w:rsidP="006F2F85">
            <w:pPr>
              <w:cnfStyle w:val="100000000000" w:firstRow="1" w:lastRow="0" w:firstColumn="0" w:lastColumn="0" w:oddVBand="0" w:evenVBand="0" w:oddHBand="0" w:evenHBand="0" w:firstRowFirstColumn="0" w:firstRowLastColumn="0" w:lastRowFirstColumn="0" w:lastRowLastColumn="0"/>
            </w:pPr>
            <w:r w:rsidRPr="006F2F85">
              <w:t>Proposed</w:t>
            </w:r>
          </w:p>
        </w:tc>
        <w:tc>
          <w:tcPr>
            <w:tcW w:w="867" w:type="pct"/>
            <w:hideMark/>
          </w:tcPr>
          <w:p w:rsidR="009774A6" w:rsidRPr="006F2F85" w:rsidRDefault="009774A6" w:rsidP="006F2F85">
            <w:pPr>
              <w:cnfStyle w:val="100000000000" w:firstRow="1" w:lastRow="0" w:firstColumn="0" w:lastColumn="0" w:oddVBand="0" w:evenVBand="0" w:oddHBand="0" w:evenHBand="0" w:firstRowFirstColumn="0" w:firstRowLastColumn="0" w:lastRowFirstColumn="0" w:lastRowLastColumn="0"/>
            </w:pPr>
            <w:r w:rsidRPr="006F2F85">
              <w:t>Approved</w:t>
            </w:r>
            <w:r w:rsidRPr="006F2F85">
              <w:rPr>
                <w:rStyle w:val="AERsuperscript"/>
              </w:rPr>
              <w:t>(a)</w:t>
            </w:r>
          </w:p>
        </w:tc>
        <w:tc>
          <w:tcPr>
            <w:tcW w:w="866" w:type="pct"/>
          </w:tcPr>
          <w:p w:rsidR="009774A6" w:rsidRPr="006F2F85" w:rsidRDefault="009774A6" w:rsidP="006F2F85">
            <w:pPr>
              <w:cnfStyle w:val="100000000000" w:firstRow="1" w:lastRow="0" w:firstColumn="0" w:lastColumn="0" w:oddVBand="0" w:evenVBand="0" w:oddHBand="0" w:evenHBand="0" w:firstRowFirstColumn="0" w:firstRowLastColumn="0" w:lastRowFirstColumn="0" w:lastRowLastColumn="0"/>
            </w:pPr>
            <w:r w:rsidRPr="006F2F85">
              <w:t>Difference ($millions)</w:t>
            </w:r>
          </w:p>
        </w:tc>
        <w:tc>
          <w:tcPr>
            <w:tcW w:w="865" w:type="pct"/>
          </w:tcPr>
          <w:p w:rsidR="009774A6" w:rsidRPr="006F2F85" w:rsidRDefault="009774A6" w:rsidP="006F2F85">
            <w:pPr>
              <w:cnfStyle w:val="100000000000" w:firstRow="1" w:lastRow="0" w:firstColumn="0" w:lastColumn="0" w:oddVBand="0" w:evenVBand="0" w:oddHBand="0" w:evenHBand="0" w:firstRowFirstColumn="0" w:firstRowLastColumn="0" w:lastRowFirstColumn="0" w:lastRowLastColumn="0"/>
            </w:pPr>
            <w:r w:rsidRPr="006F2F85">
              <w:t>Difference (%)</w:t>
            </w:r>
          </w:p>
        </w:tc>
      </w:tr>
      <w:tr w:rsidR="009774A6" w:rsidRPr="006F2F85" w:rsidTr="00116F2B">
        <w:trPr>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9774A6" w:rsidRPr="006F2F85" w:rsidRDefault="009774A6" w:rsidP="006F2F85">
            <w:r w:rsidRPr="006F2F85">
              <w:t xml:space="preserve">Expansion </w:t>
            </w:r>
          </w:p>
        </w:tc>
        <w:tc>
          <w:tcPr>
            <w:tcW w:w="867" w:type="pct"/>
          </w:tcPr>
          <w:p w:rsidR="009774A6" w:rsidRPr="006F2F85" w:rsidRDefault="009774A6" w:rsidP="006F2F85">
            <w:pPr>
              <w:cnfStyle w:val="000000000000" w:firstRow="0" w:lastRow="0" w:firstColumn="0" w:lastColumn="0" w:oddVBand="0" w:evenVBand="0" w:oddHBand="0" w:evenHBand="0" w:firstRowFirstColumn="0" w:firstRowLastColumn="0" w:lastRowFirstColumn="0" w:lastRowLastColumn="0"/>
            </w:pPr>
            <w:r w:rsidRPr="006F2F85">
              <w:t>-</w:t>
            </w:r>
          </w:p>
        </w:tc>
        <w:tc>
          <w:tcPr>
            <w:tcW w:w="867" w:type="pct"/>
          </w:tcPr>
          <w:p w:rsidR="009774A6" w:rsidRPr="006F2F85" w:rsidRDefault="009774A6" w:rsidP="006F2F85">
            <w:pPr>
              <w:cnfStyle w:val="000000000000" w:firstRow="0" w:lastRow="0" w:firstColumn="0" w:lastColumn="0" w:oddVBand="0" w:evenVBand="0" w:oddHBand="0" w:evenHBand="0" w:firstRowFirstColumn="0" w:firstRowLastColumn="0" w:lastRowFirstColumn="0" w:lastRowLastColumn="0"/>
            </w:pPr>
            <w:r w:rsidRPr="006F2F85">
              <w:t>-</w:t>
            </w:r>
          </w:p>
        </w:tc>
        <w:tc>
          <w:tcPr>
            <w:tcW w:w="866" w:type="pct"/>
          </w:tcPr>
          <w:p w:rsidR="009774A6" w:rsidRPr="006F2F85" w:rsidRDefault="009774A6" w:rsidP="006F2F85">
            <w:pPr>
              <w:cnfStyle w:val="000000000000" w:firstRow="0" w:lastRow="0" w:firstColumn="0" w:lastColumn="0" w:oddVBand="0" w:evenVBand="0" w:oddHBand="0" w:evenHBand="0" w:firstRowFirstColumn="0" w:firstRowLastColumn="0" w:lastRowFirstColumn="0" w:lastRowLastColumn="0"/>
            </w:pPr>
            <w:r w:rsidRPr="006F2F85">
              <w:t>-</w:t>
            </w:r>
          </w:p>
        </w:tc>
        <w:tc>
          <w:tcPr>
            <w:tcW w:w="865" w:type="pct"/>
          </w:tcPr>
          <w:p w:rsidR="009774A6" w:rsidRPr="006F2F85" w:rsidRDefault="009774A6" w:rsidP="006F2F85">
            <w:pPr>
              <w:cnfStyle w:val="000000000000" w:firstRow="0" w:lastRow="0" w:firstColumn="0" w:lastColumn="0" w:oddVBand="0" w:evenVBand="0" w:oddHBand="0" w:evenHBand="0" w:firstRowFirstColumn="0" w:firstRowLastColumn="0" w:lastRowFirstColumn="0" w:lastRowLastColumn="0"/>
            </w:pPr>
            <w:r w:rsidRPr="006F2F85">
              <w:t>-</w:t>
            </w:r>
          </w:p>
        </w:tc>
      </w:tr>
      <w:tr w:rsidR="009774A6" w:rsidRPr="006F2F85" w:rsidTr="00116F2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9774A6" w:rsidRPr="006F2F85" w:rsidRDefault="009774A6" w:rsidP="006F2F85">
            <w:r w:rsidRPr="006F2F85">
              <w:t xml:space="preserve">Replacement </w:t>
            </w:r>
          </w:p>
        </w:tc>
        <w:tc>
          <w:tcPr>
            <w:tcW w:w="867" w:type="pct"/>
          </w:tcPr>
          <w:p w:rsidR="009774A6" w:rsidRPr="006F2F85" w:rsidRDefault="0067522E" w:rsidP="006F2F85">
            <w:pPr>
              <w:cnfStyle w:val="000000010000" w:firstRow="0" w:lastRow="0" w:firstColumn="0" w:lastColumn="0" w:oddVBand="0" w:evenVBand="0" w:oddHBand="0" w:evenHBand="1" w:firstRowFirstColumn="0" w:firstRowLastColumn="0" w:lastRowFirstColumn="0" w:lastRowLastColumn="0"/>
            </w:pPr>
            <w:r w:rsidRPr="006F2F85">
              <w:t>21.0</w:t>
            </w:r>
          </w:p>
        </w:tc>
        <w:tc>
          <w:tcPr>
            <w:tcW w:w="867" w:type="pct"/>
          </w:tcPr>
          <w:p w:rsidR="009774A6" w:rsidRPr="006F2F85" w:rsidRDefault="00DF7171" w:rsidP="006F2F85">
            <w:pPr>
              <w:cnfStyle w:val="000000010000" w:firstRow="0" w:lastRow="0" w:firstColumn="0" w:lastColumn="0" w:oddVBand="0" w:evenVBand="0" w:oddHBand="0" w:evenHBand="1" w:firstRowFirstColumn="0" w:firstRowLastColumn="0" w:lastRowFirstColumn="0" w:lastRowLastColumn="0"/>
            </w:pPr>
            <w:r w:rsidRPr="006F2F85">
              <w:t>8.</w:t>
            </w:r>
            <w:r w:rsidR="008A721A" w:rsidRPr="006F2F85">
              <w:t>6</w:t>
            </w:r>
          </w:p>
        </w:tc>
        <w:tc>
          <w:tcPr>
            <w:tcW w:w="866" w:type="pct"/>
          </w:tcPr>
          <w:p w:rsidR="009774A6" w:rsidRPr="006F2F85" w:rsidRDefault="00D277D5" w:rsidP="006F2F85">
            <w:pPr>
              <w:cnfStyle w:val="000000010000" w:firstRow="0" w:lastRow="0" w:firstColumn="0" w:lastColumn="0" w:oddVBand="0" w:evenVBand="0" w:oddHBand="0" w:evenHBand="1" w:firstRowFirstColumn="0" w:firstRowLastColumn="0" w:lastRowFirstColumn="0" w:lastRowLastColumn="0"/>
            </w:pPr>
            <w:r w:rsidRPr="006F2F85">
              <w:t>-</w:t>
            </w:r>
            <w:r w:rsidR="00DF7171" w:rsidRPr="006F2F85">
              <w:t>12.3</w:t>
            </w:r>
          </w:p>
        </w:tc>
        <w:tc>
          <w:tcPr>
            <w:tcW w:w="865" w:type="pct"/>
          </w:tcPr>
          <w:p w:rsidR="009774A6" w:rsidRPr="006F2F85" w:rsidRDefault="00D277D5" w:rsidP="006F2F85">
            <w:pPr>
              <w:cnfStyle w:val="000000010000" w:firstRow="0" w:lastRow="0" w:firstColumn="0" w:lastColumn="0" w:oddVBand="0" w:evenVBand="0" w:oddHBand="0" w:evenHBand="1" w:firstRowFirstColumn="0" w:firstRowLastColumn="0" w:lastRowFirstColumn="0" w:lastRowLastColumn="0"/>
            </w:pPr>
            <w:r w:rsidRPr="006F2F85">
              <w:t>-59.0</w:t>
            </w:r>
            <w:r w:rsidR="00DF7171" w:rsidRPr="006F2F85">
              <w:t>%</w:t>
            </w:r>
          </w:p>
        </w:tc>
      </w:tr>
      <w:tr w:rsidR="009774A6" w:rsidRPr="006F2F85" w:rsidTr="00116F2B">
        <w:trPr>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9774A6" w:rsidRPr="006F2F85" w:rsidRDefault="009774A6" w:rsidP="006F2F85">
            <w:r w:rsidRPr="006F2F85">
              <w:t>Non-system</w:t>
            </w:r>
          </w:p>
        </w:tc>
        <w:tc>
          <w:tcPr>
            <w:tcW w:w="867" w:type="pct"/>
          </w:tcPr>
          <w:p w:rsidR="009774A6" w:rsidRPr="006F2F85" w:rsidRDefault="009774A6" w:rsidP="006F2F85">
            <w:pPr>
              <w:cnfStyle w:val="000000000000" w:firstRow="0" w:lastRow="0" w:firstColumn="0" w:lastColumn="0" w:oddVBand="0" w:evenVBand="0" w:oddHBand="0" w:evenHBand="0" w:firstRowFirstColumn="0" w:firstRowLastColumn="0" w:lastRowFirstColumn="0" w:lastRowLastColumn="0"/>
            </w:pPr>
            <w:r w:rsidRPr="006F2F85">
              <w:t>8.7</w:t>
            </w:r>
          </w:p>
        </w:tc>
        <w:tc>
          <w:tcPr>
            <w:tcW w:w="867" w:type="pct"/>
          </w:tcPr>
          <w:p w:rsidR="009774A6" w:rsidRPr="006F2F85" w:rsidRDefault="009774A6" w:rsidP="006F2F85">
            <w:pPr>
              <w:cnfStyle w:val="000000000000" w:firstRow="0" w:lastRow="0" w:firstColumn="0" w:lastColumn="0" w:oddVBand="0" w:evenVBand="0" w:oddHBand="0" w:evenHBand="0" w:firstRowFirstColumn="0" w:firstRowLastColumn="0" w:lastRowFirstColumn="0" w:lastRowLastColumn="0"/>
            </w:pPr>
            <w:r w:rsidRPr="006F2F85">
              <w:t>8.</w:t>
            </w:r>
            <w:r w:rsidR="008A721A" w:rsidRPr="006F2F85">
              <w:t>8</w:t>
            </w:r>
          </w:p>
        </w:tc>
        <w:tc>
          <w:tcPr>
            <w:tcW w:w="866" w:type="pct"/>
          </w:tcPr>
          <w:p w:rsidR="009774A6" w:rsidRPr="006F2F85" w:rsidRDefault="008A721A" w:rsidP="006F2F85">
            <w:pPr>
              <w:cnfStyle w:val="000000000000" w:firstRow="0" w:lastRow="0" w:firstColumn="0" w:lastColumn="0" w:oddVBand="0" w:evenVBand="0" w:oddHBand="0" w:evenHBand="0" w:firstRowFirstColumn="0" w:firstRowLastColumn="0" w:lastRowFirstColumn="0" w:lastRowLastColumn="0"/>
            </w:pPr>
            <w:r w:rsidRPr="006F2F85">
              <w:t>0.1</w:t>
            </w:r>
          </w:p>
        </w:tc>
        <w:tc>
          <w:tcPr>
            <w:tcW w:w="865" w:type="pct"/>
          </w:tcPr>
          <w:p w:rsidR="009774A6" w:rsidRPr="006F2F85" w:rsidRDefault="00D277D5" w:rsidP="006F2F85">
            <w:pPr>
              <w:cnfStyle w:val="000000000000" w:firstRow="0" w:lastRow="0" w:firstColumn="0" w:lastColumn="0" w:oddVBand="0" w:evenVBand="0" w:oddHBand="0" w:evenHBand="0" w:firstRowFirstColumn="0" w:firstRowLastColumn="0" w:lastRowFirstColumn="0" w:lastRowLastColumn="0"/>
            </w:pPr>
            <w:r w:rsidRPr="006F2F85">
              <w:t>2.0%</w:t>
            </w:r>
          </w:p>
        </w:tc>
      </w:tr>
      <w:tr w:rsidR="009774A6" w:rsidRPr="006F2F85" w:rsidTr="00116F2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9774A6" w:rsidRPr="006F2F85" w:rsidRDefault="009774A6" w:rsidP="006F2F85">
            <w:r w:rsidRPr="006F2F85">
              <w:t>GROSS TOTAL CAPITAL EXPENDITURE</w:t>
            </w:r>
          </w:p>
        </w:tc>
        <w:tc>
          <w:tcPr>
            <w:tcW w:w="867" w:type="pct"/>
          </w:tcPr>
          <w:p w:rsidR="009774A6" w:rsidRPr="006F2F85" w:rsidRDefault="00DF7171" w:rsidP="006F2F85">
            <w:pPr>
              <w:cnfStyle w:val="000000010000" w:firstRow="0" w:lastRow="0" w:firstColumn="0" w:lastColumn="0" w:oddVBand="0" w:evenVBand="0" w:oddHBand="0" w:evenHBand="1" w:firstRowFirstColumn="0" w:firstRowLastColumn="0" w:lastRowFirstColumn="0" w:lastRowLastColumn="0"/>
            </w:pPr>
            <w:r w:rsidRPr="006F2F85">
              <w:t>29.7</w:t>
            </w:r>
          </w:p>
        </w:tc>
        <w:tc>
          <w:tcPr>
            <w:tcW w:w="867" w:type="pct"/>
          </w:tcPr>
          <w:p w:rsidR="009774A6" w:rsidRPr="006F2F85" w:rsidRDefault="00DF7171" w:rsidP="006F2F85">
            <w:pPr>
              <w:cnfStyle w:val="000000010000" w:firstRow="0" w:lastRow="0" w:firstColumn="0" w:lastColumn="0" w:oddVBand="0" w:evenVBand="0" w:oddHBand="0" w:evenHBand="1" w:firstRowFirstColumn="0" w:firstRowLastColumn="0" w:lastRowFirstColumn="0" w:lastRowLastColumn="0"/>
            </w:pPr>
            <w:r w:rsidRPr="006F2F85">
              <w:t>17.4</w:t>
            </w:r>
          </w:p>
        </w:tc>
        <w:tc>
          <w:tcPr>
            <w:tcW w:w="866" w:type="pct"/>
          </w:tcPr>
          <w:p w:rsidR="009774A6" w:rsidRPr="006F2F85" w:rsidRDefault="00D277D5" w:rsidP="006F2F85">
            <w:pPr>
              <w:cnfStyle w:val="000000010000" w:firstRow="0" w:lastRow="0" w:firstColumn="0" w:lastColumn="0" w:oddVBand="0" w:evenVBand="0" w:oddHBand="0" w:evenHBand="1" w:firstRowFirstColumn="0" w:firstRowLastColumn="0" w:lastRowFirstColumn="0" w:lastRowLastColumn="0"/>
            </w:pPr>
            <w:r w:rsidRPr="006F2F85">
              <w:t>-</w:t>
            </w:r>
            <w:r w:rsidR="00DF7171" w:rsidRPr="006F2F85">
              <w:t>12.3</w:t>
            </w:r>
          </w:p>
        </w:tc>
        <w:tc>
          <w:tcPr>
            <w:tcW w:w="865" w:type="pct"/>
          </w:tcPr>
          <w:p w:rsidR="009774A6" w:rsidRPr="006F2F85" w:rsidRDefault="00D277D5" w:rsidP="006F2F85">
            <w:pPr>
              <w:cnfStyle w:val="000000010000" w:firstRow="0" w:lastRow="0" w:firstColumn="0" w:lastColumn="0" w:oddVBand="0" w:evenVBand="0" w:oddHBand="0" w:evenHBand="1" w:firstRowFirstColumn="0" w:firstRowLastColumn="0" w:lastRowFirstColumn="0" w:lastRowLastColumn="0"/>
            </w:pPr>
            <w:r w:rsidRPr="006F2F85">
              <w:t>-41.2</w:t>
            </w:r>
            <w:r w:rsidR="00DF7171" w:rsidRPr="006F2F85">
              <w:t>%</w:t>
            </w:r>
          </w:p>
        </w:tc>
      </w:tr>
      <w:tr w:rsidR="009774A6" w:rsidRPr="006F2F85" w:rsidTr="00116F2B">
        <w:trPr>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9774A6" w:rsidRPr="006F2F85" w:rsidRDefault="009774A6" w:rsidP="006F2F85">
            <w:r w:rsidRPr="006F2F85">
              <w:t>Contributions</w:t>
            </w:r>
          </w:p>
        </w:tc>
        <w:tc>
          <w:tcPr>
            <w:tcW w:w="867" w:type="pct"/>
          </w:tcPr>
          <w:p w:rsidR="009774A6" w:rsidRPr="006F2F85" w:rsidRDefault="009774A6" w:rsidP="006F2F85">
            <w:pPr>
              <w:cnfStyle w:val="000000000000" w:firstRow="0" w:lastRow="0" w:firstColumn="0" w:lastColumn="0" w:oddVBand="0" w:evenVBand="0" w:oddHBand="0" w:evenHBand="0" w:firstRowFirstColumn="0" w:firstRowLastColumn="0" w:lastRowFirstColumn="0" w:lastRowLastColumn="0"/>
            </w:pPr>
            <w:r w:rsidRPr="006F2F85">
              <w:t>-</w:t>
            </w:r>
          </w:p>
        </w:tc>
        <w:tc>
          <w:tcPr>
            <w:tcW w:w="867" w:type="pct"/>
          </w:tcPr>
          <w:p w:rsidR="009774A6" w:rsidRPr="006F2F85" w:rsidRDefault="009774A6" w:rsidP="006F2F85">
            <w:pPr>
              <w:cnfStyle w:val="000000000000" w:firstRow="0" w:lastRow="0" w:firstColumn="0" w:lastColumn="0" w:oddVBand="0" w:evenVBand="0" w:oddHBand="0" w:evenHBand="0" w:firstRowFirstColumn="0" w:firstRowLastColumn="0" w:lastRowFirstColumn="0" w:lastRowLastColumn="0"/>
            </w:pPr>
            <w:r w:rsidRPr="006F2F85">
              <w:t>-</w:t>
            </w:r>
          </w:p>
        </w:tc>
        <w:tc>
          <w:tcPr>
            <w:tcW w:w="866" w:type="pct"/>
          </w:tcPr>
          <w:p w:rsidR="009774A6" w:rsidRPr="006F2F85" w:rsidRDefault="009774A6" w:rsidP="006F2F85">
            <w:pPr>
              <w:cnfStyle w:val="000000000000" w:firstRow="0" w:lastRow="0" w:firstColumn="0" w:lastColumn="0" w:oddVBand="0" w:evenVBand="0" w:oddHBand="0" w:evenHBand="0" w:firstRowFirstColumn="0" w:firstRowLastColumn="0" w:lastRowFirstColumn="0" w:lastRowLastColumn="0"/>
            </w:pPr>
            <w:r w:rsidRPr="006F2F85">
              <w:t>-</w:t>
            </w:r>
          </w:p>
        </w:tc>
        <w:tc>
          <w:tcPr>
            <w:tcW w:w="865" w:type="pct"/>
          </w:tcPr>
          <w:p w:rsidR="009774A6" w:rsidRPr="006F2F85" w:rsidRDefault="009774A6" w:rsidP="006F2F85">
            <w:pPr>
              <w:cnfStyle w:val="000000000000" w:firstRow="0" w:lastRow="0" w:firstColumn="0" w:lastColumn="0" w:oddVBand="0" w:evenVBand="0" w:oddHBand="0" w:evenHBand="0" w:firstRowFirstColumn="0" w:firstRowLastColumn="0" w:lastRowFirstColumn="0" w:lastRowLastColumn="0"/>
            </w:pPr>
            <w:r w:rsidRPr="006F2F85">
              <w:t>-</w:t>
            </w:r>
          </w:p>
        </w:tc>
      </w:tr>
      <w:tr w:rsidR="009774A6" w:rsidRPr="006F2F85" w:rsidTr="00116F2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9774A6" w:rsidRPr="006F2F85" w:rsidRDefault="009774A6" w:rsidP="006F2F85">
            <w:r w:rsidRPr="006F2F85">
              <w:t>Asset disposals</w:t>
            </w:r>
          </w:p>
        </w:tc>
        <w:tc>
          <w:tcPr>
            <w:tcW w:w="867" w:type="pct"/>
          </w:tcPr>
          <w:p w:rsidR="009774A6" w:rsidRPr="006F2F85" w:rsidRDefault="007B3891" w:rsidP="006F2F85">
            <w:pPr>
              <w:cnfStyle w:val="000000010000" w:firstRow="0" w:lastRow="0" w:firstColumn="0" w:lastColumn="0" w:oddVBand="0" w:evenVBand="0" w:oddHBand="0" w:evenHBand="1" w:firstRowFirstColumn="0" w:firstRowLastColumn="0" w:lastRowFirstColumn="0" w:lastRowLastColumn="0"/>
            </w:pPr>
            <w:r w:rsidRPr="006F2F85">
              <w:t>0.7</w:t>
            </w:r>
          </w:p>
        </w:tc>
        <w:tc>
          <w:tcPr>
            <w:tcW w:w="867" w:type="pct"/>
          </w:tcPr>
          <w:p w:rsidR="009774A6" w:rsidRPr="006F2F85" w:rsidRDefault="009774A6" w:rsidP="006F2F85">
            <w:pPr>
              <w:cnfStyle w:val="000000010000" w:firstRow="0" w:lastRow="0" w:firstColumn="0" w:lastColumn="0" w:oddVBand="0" w:evenVBand="0" w:oddHBand="0" w:evenHBand="1" w:firstRowFirstColumn="0" w:firstRowLastColumn="0" w:lastRowFirstColumn="0" w:lastRowLastColumn="0"/>
            </w:pPr>
            <w:r w:rsidRPr="006F2F85">
              <w:t>0.7</w:t>
            </w:r>
          </w:p>
        </w:tc>
        <w:tc>
          <w:tcPr>
            <w:tcW w:w="866" w:type="pct"/>
          </w:tcPr>
          <w:p w:rsidR="009774A6" w:rsidRPr="006F2F85" w:rsidRDefault="007B3891" w:rsidP="006F2F85">
            <w:pPr>
              <w:cnfStyle w:val="000000010000" w:firstRow="0" w:lastRow="0" w:firstColumn="0" w:lastColumn="0" w:oddVBand="0" w:evenVBand="0" w:oddHBand="0" w:evenHBand="1" w:firstRowFirstColumn="0" w:firstRowLastColumn="0" w:lastRowFirstColumn="0" w:lastRowLastColumn="0"/>
            </w:pPr>
            <w:r w:rsidRPr="006F2F85">
              <w:t>-</w:t>
            </w:r>
          </w:p>
        </w:tc>
        <w:tc>
          <w:tcPr>
            <w:tcW w:w="865" w:type="pct"/>
          </w:tcPr>
          <w:p w:rsidR="009774A6" w:rsidRPr="006F2F85" w:rsidRDefault="007B3891" w:rsidP="006F2F85">
            <w:pPr>
              <w:cnfStyle w:val="000000010000" w:firstRow="0" w:lastRow="0" w:firstColumn="0" w:lastColumn="0" w:oddVBand="0" w:evenVBand="0" w:oddHBand="0" w:evenHBand="1" w:firstRowFirstColumn="0" w:firstRowLastColumn="0" w:lastRowFirstColumn="0" w:lastRowLastColumn="0"/>
            </w:pPr>
            <w:r w:rsidRPr="006F2F85">
              <w:t>-</w:t>
            </w:r>
          </w:p>
        </w:tc>
      </w:tr>
      <w:tr w:rsidR="009774A6" w:rsidRPr="006F2F85" w:rsidTr="00116F2B">
        <w:trPr>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9774A6" w:rsidRPr="006F2F85" w:rsidRDefault="009774A6" w:rsidP="006F2F85">
            <w:r w:rsidRPr="006F2F85">
              <w:t>NET TOTAL CAPITAL EXPENDITURE</w:t>
            </w:r>
          </w:p>
        </w:tc>
        <w:tc>
          <w:tcPr>
            <w:tcW w:w="867" w:type="pct"/>
          </w:tcPr>
          <w:p w:rsidR="009774A6" w:rsidRPr="006F2F85" w:rsidRDefault="007B3891" w:rsidP="006F2F85">
            <w:pPr>
              <w:cnfStyle w:val="000000000000" w:firstRow="0" w:lastRow="0" w:firstColumn="0" w:lastColumn="0" w:oddVBand="0" w:evenVBand="0" w:oddHBand="0" w:evenHBand="0" w:firstRowFirstColumn="0" w:firstRowLastColumn="0" w:lastRowFirstColumn="0" w:lastRowLastColumn="0"/>
            </w:pPr>
            <w:r w:rsidRPr="006F2F85">
              <w:t>29.0</w:t>
            </w:r>
          </w:p>
        </w:tc>
        <w:tc>
          <w:tcPr>
            <w:tcW w:w="867" w:type="pct"/>
          </w:tcPr>
          <w:p w:rsidR="009774A6" w:rsidRPr="006F2F85" w:rsidRDefault="00DF7171" w:rsidP="006F2F85">
            <w:pPr>
              <w:cnfStyle w:val="000000000000" w:firstRow="0" w:lastRow="0" w:firstColumn="0" w:lastColumn="0" w:oddVBand="0" w:evenVBand="0" w:oddHBand="0" w:evenHBand="0" w:firstRowFirstColumn="0" w:firstRowLastColumn="0" w:lastRowFirstColumn="0" w:lastRowLastColumn="0"/>
            </w:pPr>
            <w:r w:rsidRPr="006F2F85">
              <w:t>16.</w:t>
            </w:r>
            <w:r w:rsidR="008A721A" w:rsidRPr="006F2F85">
              <w:t>8</w:t>
            </w:r>
          </w:p>
        </w:tc>
        <w:tc>
          <w:tcPr>
            <w:tcW w:w="866" w:type="pct"/>
          </w:tcPr>
          <w:p w:rsidR="009774A6" w:rsidRPr="006F2F85" w:rsidRDefault="00D277D5" w:rsidP="006F2F85">
            <w:pPr>
              <w:cnfStyle w:val="000000000000" w:firstRow="0" w:lastRow="0" w:firstColumn="0" w:lastColumn="0" w:oddVBand="0" w:evenVBand="0" w:oddHBand="0" w:evenHBand="0" w:firstRowFirstColumn="0" w:firstRowLastColumn="0" w:lastRowFirstColumn="0" w:lastRowLastColumn="0"/>
            </w:pPr>
            <w:r w:rsidRPr="006F2F85">
              <w:t>-</w:t>
            </w:r>
            <w:r w:rsidR="00DF7171" w:rsidRPr="006F2F85">
              <w:t>12.</w:t>
            </w:r>
            <w:r w:rsidRPr="006F2F85">
              <w:t>2</w:t>
            </w:r>
          </w:p>
        </w:tc>
        <w:tc>
          <w:tcPr>
            <w:tcW w:w="865" w:type="pct"/>
          </w:tcPr>
          <w:p w:rsidR="009774A6" w:rsidRPr="006F2F85" w:rsidRDefault="00D277D5" w:rsidP="006F2F85">
            <w:pPr>
              <w:cnfStyle w:val="000000000000" w:firstRow="0" w:lastRow="0" w:firstColumn="0" w:lastColumn="0" w:oddVBand="0" w:evenVBand="0" w:oddHBand="0" w:evenHBand="0" w:firstRowFirstColumn="0" w:firstRowLastColumn="0" w:lastRowFirstColumn="0" w:lastRowLastColumn="0"/>
            </w:pPr>
            <w:r w:rsidRPr="006F2F85">
              <w:t>-42.1</w:t>
            </w:r>
            <w:r w:rsidR="00DF7171" w:rsidRPr="006F2F85">
              <w:t>%</w:t>
            </w:r>
          </w:p>
        </w:tc>
      </w:tr>
    </w:tbl>
    <w:p w:rsidR="009774A6" w:rsidRDefault="009774A6" w:rsidP="009774A6">
      <w:pPr>
        <w:pStyle w:val="AERtablesource"/>
      </w:pPr>
      <w:r w:rsidRPr="00DE44F6">
        <w:t>Source:</w:t>
      </w:r>
      <w:r w:rsidRPr="00DE44F6">
        <w:tab/>
        <w:t>AER analysis.</w:t>
      </w:r>
    </w:p>
    <w:p w:rsidR="006D6533" w:rsidRPr="006D6533" w:rsidRDefault="006D6533" w:rsidP="006D6533">
      <w:pPr>
        <w:pStyle w:val="AERtablesource"/>
      </w:pPr>
      <w:r w:rsidRPr="006D6533">
        <w:t>Note:</w:t>
      </w:r>
      <w:r w:rsidRPr="006D6533">
        <w:tab/>
        <w:t>(a) Including AER labour escalation adjustments.</w:t>
      </w:r>
    </w:p>
    <w:p w:rsidR="00B27572" w:rsidRDefault="00B27572" w:rsidP="00B27572">
      <w:r w:rsidRPr="00494678">
        <w:t xml:space="preserve">The </w:t>
      </w:r>
      <w:r>
        <w:t xml:space="preserve">principal </w:t>
      </w:r>
      <w:r w:rsidRPr="00494678">
        <w:t xml:space="preserve">reason for the difference between APTNT’s </w:t>
      </w:r>
      <w:r>
        <w:t xml:space="preserve">revised </w:t>
      </w:r>
      <w:r w:rsidRPr="00494678">
        <w:t xml:space="preserve">proposal and our </w:t>
      </w:r>
      <w:r>
        <w:t>final</w:t>
      </w:r>
      <w:r w:rsidRPr="00494678">
        <w:t xml:space="preserve"> decision </w:t>
      </w:r>
      <w:r>
        <w:t xml:space="preserve">is </w:t>
      </w:r>
      <w:r w:rsidR="00A5591E">
        <w:t xml:space="preserve">that </w:t>
      </w:r>
      <w:r w:rsidRPr="00DB28B4">
        <w:t xml:space="preserve">we are not satisfied that forecast capex for the Channel Island bridge project </w:t>
      </w:r>
      <w:r>
        <w:t xml:space="preserve">is such as </w:t>
      </w:r>
      <w:r w:rsidRPr="00DB28B4">
        <w:t>would be incurred by a prudent service provider acting efficiently</w:t>
      </w:r>
      <w:r>
        <w:t>, in accordance with accepted good industry practice,</w:t>
      </w:r>
      <w:r w:rsidRPr="00DB28B4">
        <w:t xml:space="preserve"> to achieve the lowest sustainable cost of providing services.</w:t>
      </w:r>
      <w:r w:rsidRPr="006F2F85">
        <w:t xml:space="preserve"> </w:t>
      </w:r>
      <w:r>
        <w:t>We have also reduced the forecast of conforming capex for the below</w:t>
      </w:r>
      <w:r w:rsidR="00A5591E">
        <w:t xml:space="preserve"> </w:t>
      </w:r>
      <w:r>
        <w:t>ground station pipework recoating project</w:t>
      </w:r>
      <w:r w:rsidRPr="006F2F85">
        <w:t xml:space="preserve"> </w:t>
      </w:r>
      <w:r>
        <w:t>in the 2016–17 year, based on APTNT's revised estimate of likely costs.</w:t>
      </w:r>
    </w:p>
    <w:p w:rsidR="00673EC7" w:rsidRPr="00DB28B4" w:rsidRDefault="00673EC7" w:rsidP="00B27572">
      <w:r w:rsidRPr="00673EC7">
        <w:t>We have revised the access arrangement having regard to our reasons for refusing to approve APTNT's proposal and the further matters identi</w:t>
      </w:r>
      <w:r>
        <w:t xml:space="preserve">fied in the NGR section 64(2). </w:t>
      </w:r>
      <w:r w:rsidRPr="00673EC7">
        <w:t xml:space="preserve">Our revisions are reflected in the </w:t>
      </w:r>
      <w:r w:rsidRPr="00673EC7">
        <w:rPr>
          <w:rStyle w:val="AERtextitalic"/>
        </w:rPr>
        <w:t>Approved Access Arrangement for the Amadeus Gas Pipeline for 2016–21</w:t>
      </w:r>
      <w:r w:rsidRPr="00673EC7">
        <w:t>, which gives effect to this decision.</w:t>
      </w:r>
    </w:p>
    <w:p w:rsidR="00A2303E" w:rsidRDefault="00A2303E" w:rsidP="008A7C24">
      <w:pPr>
        <w:pStyle w:val="Heading2"/>
        <w:keepNext/>
      </w:pPr>
      <w:bookmarkStart w:id="23" w:name="_Toc419366914"/>
      <w:bookmarkStart w:id="24" w:name="_Toc451529905"/>
      <w:r>
        <w:t xml:space="preserve">APTNT’s </w:t>
      </w:r>
      <w:r w:rsidR="00F606A0">
        <w:t xml:space="preserve">revised </w:t>
      </w:r>
      <w:r>
        <w:t>proposal</w:t>
      </w:r>
      <w:bookmarkEnd w:id="23"/>
      <w:bookmarkEnd w:id="24"/>
    </w:p>
    <w:p w:rsidR="00F86B9A" w:rsidRPr="00ED4845" w:rsidRDefault="00F86B9A" w:rsidP="00E209D5">
      <w:pPr>
        <w:pStyle w:val="Heading3"/>
        <w:keepNext/>
      </w:pPr>
      <w:bookmarkStart w:id="25" w:name="_Toc451529906"/>
      <w:r w:rsidRPr="003B4CC5">
        <w:t>Capital</w:t>
      </w:r>
      <w:r w:rsidRPr="00ED4845">
        <w:t xml:space="preserve"> expenditure over the 2011–16 access arrangement period</w:t>
      </w:r>
      <w:bookmarkEnd w:id="25"/>
    </w:p>
    <w:p w:rsidR="00673EC7" w:rsidRDefault="004D24B7" w:rsidP="00A0090B">
      <w:pPr>
        <w:keepNext/>
      </w:pPr>
      <w:r>
        <w:t xml:space="preserve">In its revised proposal, </w:t>
      </w:r>
      <w:r w:rsidR="00F86B9A">
        <w:t xml:space="preserve">APTNT proposed </w:t>
      </w:r>
      <w:r w:rsidR="00F86B9A" w:rsidRPr="005E1F06">
        <w:t xml:space="preserve">total </w:t>
      </w:r>
      <w:r w:rsidR="00F86B9A">
        <w:t xml:space="preserve">conforming net </w:t>
      </w:r>
      <w:r w:rsidR="00F86B9A" w:rsidRPr="005E1F06">
        <w:t>capex of $</w:t>
      </w:r>
      <w:r w:rsidR="00F86B9A" w:rsidRPr="00DF7171">
        <w:t>44.4</w:t>
      </w:r>
      <w:r w:rsidR="00F86B9A" w:rsidRPr="005E1F06">
        <w:t xml:space="preserve"> million ($201</w:t>
      </w:r>
      <w:r w:rsidR="00F86B9A">
        <w:t>5–16</w:t>
      </w:r>
      <w:r w:rsidR="00F86B9A" w:rsidRPr="005E1F06">
        <w:t xml:space="preserve">) for </w:t>
      </w:r>
      <w:r w:rsidR="00F86B9A">
        <w:t xml:space="preserve">the 2011–16 access arrangement </w:t>
      </w:r>
      <w:proofErr w:type="gramStart"/>
      <w:r w:rsidR="00F86B9A">
        <w:t>period</w:t>
      </w:r>
      <w:proofErr w:type="gramEnd"/>
      <w:r w:rsidR="00F86B9A" w:rsidRPr="005E1F06">
        <w:t>.</w:t>
      </w:r>
      <w:r w:rsidR="00F86B9A">
        <w:rPr>
          <w:rStyle w:val="FootnoteReference"/>
        </w:rPr>
        <w:footnoteReference w:id="1"/>
      </w:r>
      <w:r w:rsidR="00F86B9A" w:rsidRPr="005E1F06">
        <w:t xml:space="preserve"> This </w:t>
      </w:r>
      <w:r w:rsidR="00F86B9A" w:rsidRPr="00DF7171">
        <w:t>is 9</w:t>
      </w:r>
      <w:r w:rsidR="00ED0FB3" w:rsidRPr="00DF7171">
        <w:t>2</w:t>
      </w:r>
      <w:r w:rsidR="00F86B9A" w:rsidRPr="005E1F06">
        <w:t xml:space="preserve"> per cent </w:t>
      </w:r>
      <w:r w:rsidR="00F86B9A">
        <w:t>above</w:t>
      </w:r>
      <w:r w:rsidR="00F86B9A" w:rsidRPr="005E1F06">
        <w:t xml:space="preserve"> the approved </w:t>
      </w:r>
      <w:r w:rsidR="00F86B9A">
        <w:t xml:space="preserve">forecast for the 2011–16 access arrangement </w:t>
      </w:r>
      <w:proofErr w:type="gramStart"/>
      <w:r w:rsidR="00F86B9A">
        <w:t>period</w:t>
      </w:r>
      <w:proofErr w:type="gramEnd"/>
      <w:r w:rsidR="00F86B9A" w:rsidRPr="005E1F06">
        <w:t>.</w:t>
      </w:r>
      <w:r w:rsidR="00F86B9A">
        <w:t xml:space="preserve"> </w:t>
      </w:r>
    </w:p>
    <w:p w:rsidR="00F86B9A" w:rsidRDefault="0053424C">
      <w:pPr>
        <w:pStyle w:val="Caption"/>
      </w:pPr>
      <w:proofErr w:type="gramStart"/>
      <w:r>
        <w:t xml:space="preserve">Table </w:t>
      </w:r>
      <w:r w:rsidR="00CF6C01">
        <w:fldChar w:fldCharType="begin"/>
      </w:r>
      <w:r w:rsidR="00CF6C01">
        <w:instrText xml:space="preserve"> STYLEREF 1 \s </w:instrText>
      </w:r>
      <w:r w:rsidR="00CF6C01">
        <w:fldChar w:fldCharType="separate"/>
      </w:r>
      <w:r w:rsidR="00C9476D">
        <w:rPr>
          <w:noProof/>
        </w:rPr>
        <w:t>6</w:t>
      </w:r>
      <w:r w:rsidR="00CF6C01">
        <w:rPr>
          <w:noProof/>
        </w:rPr>
        <w:fldChar w:fldCharType="end"/>
      </w:r>
      <w:r w:rsidR="00EA4D62">
        <w:t>.</w:t>
      </w:r>
      <w:proofErr w:type="gramEnd"/>
      <w:r w:rsidR="00CF6C01">
        <w:fldChar w:fldCharType="begin"/>
      </w:r>
      <w:r w:rsidR="00CF6C01">
        <w:instrText xml:space="preserve"> SEQ Table \* ARABIC \s 1 </w:instrText>
      </w:r>
      <w:r w:rsidR="00CF6C01">
        <w:fldChar w:fldCharType="separate"/>
      </w:r>
      <w:r w:rsidR="00C9476D">
        <w:rPr>
          <w:noProof/>
        </w:rPr>
        <w:t>5</w:t>
      </w:r>
      <w:r w:rsidR="00CF6C01">
        <w:rPr>
          <w:noProof/>
        </w:rPr>
        <w:fldChar w:fldCharType="end"/>
      </w:r>
      <w:r>
        <w:tab/>
      </w:r>
      <w:r w:rsidR="00F86B9A">
        <w:t xml:space="preserve">APTNT’s </w:t>
      </w:r>
      <w:r w:rsidR="00E453CA">
        <w:t xml:space="preserve">revised </w:t>
      </w:r>
      <w:r w:rsidR="00F86B9A">
        <w:t>proposed capital expenditure over the 2011–16 access arrangement period</w:t>
      </w:r>
      <w:r w:rsidR="00F86B9A" w:rsidRPr="00EB0E3D">
        <w:t xml:space="preserve"> ($million, 201</w:t>
      </w:r>
      <w:r w:rsidR="00F86B9A">
        <w:t>5–16</w:t>
      </w:r>
      <w:r w:rsidR="00F86B9A" w:rsidRPr="00EB0E3D">
        <w:t>)</w:t>
      </w:r>
    </w:p>
    <w:tbl>
      <w:tblPr>
        <w:tblStyle w:val="AERtable-numbers"/>
        <w:tblW w:w="4954" w:type="pct"/>
        <w:tblLook w:val="04A0" w:firstRow="1" w:lastRow="0" w:firstColumn="1" w:lastColumn="0" w:noHBand="0" w:noVBand="1"/>
      </w:tblPr>
      <w:tblGrid>
        <w:gridCol w:w="2236"/>
        <w:gridCol w:w="1063"/>
        <w:gridCol w:w="1063"/>
        <w:gridCol w:w="1063"/>
        <w:gridCol w:w="1063"/>
        <w:gridCol w:w="1063"/>
        <w:gridCol w:w="1061"/>
      </w:tblGrid>
      <w:tr w:rsidR="00E453CA" w:rsidRPr="004F416F" w:rsidTr="00116F2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99" w:type="pct"/>
            <w:hideMark/>
          </w:tcPr>
          <w:p w:rsidR="00E453CA" w:rsidRPr="00E453CA" w:rsidRDefault="00E453CA" w:rsidP="00E453CA">
            <w:r w:rsidRPr="00E453CA">
              <w:t> Category</w:t>
            </w:r>
          </w:p>
        </w:tc>
        <w:tc>
          <w:tcPr>
            <w:tcW w:w="617" w:type="pct"/>
            <w:hideMark/>
          </w:tcPr>
          <w:p w:rsidR="00E453CA" w:rsidRPr="00E453CA" w:rsidRDefault="00E453CA" w:rsidP="00E453CA">
            <w:pPr>
              <w:pStyle w:val="AERtabletextright"/>
              <w:cnfStyle w:val="100000000000" w:firstRow="1" w:lastRow="0" w:firstColumn="0" w:lastColumn="0" w:oddVBand="0" w:evenVBand="0" w:oddHBand="0" w:evenHBand="0" w:firstRowFirstColumn="0" w:firstRowLastColumn="0" w:lastRowFirstColumn="0" w:lastRowLastColumn="0"/>
            </w:pPr>
            <w:r w:rsidRPr="00E453CA">
              <w:t>2011-12</w:t>
            </w:r>
          </w:p>
        </w:tc>
        <w:tc>
          <w:tcPr>
            <w:tcW w:w="617" w:type="pct"/>
            <w:hideMark/>
          </w:tcPr>
          <w:p w:rsidR="00E453CA" w:rsidRPr="00E453CA" w:rsidRDefault="00E453CA" w:rsidP="00E453CA">
            <w:pPr>
              <w:pStyle w:val="AERtabletextright"/>
              <w:cnfStyle w:val="100000000000" w:firstRow="1" w:lastRow="0" w:firstColumn="0" w:lastColumn="0" w:oddVBand="0" w:evenVBand="0" w:oddHBand="0" w:evenHBand="0" w:firstRowFirstColumn="0" w:firstRowLastColumn="0" w:lastRowFirstColumn="0" w:lastRowLastColumn="0"/>
            </w:pPr>
            <w:r w:rsidRPr="00E453CA">
              <w:t>2012-13</w:t>
            </w:r>
          </w:p>
        </w:tc>
        <w:tc>
          <w:tcPr>
            <w:tcW w:w="617" w:type="pct"/>
            <w:hideMark/>
          </w:tcPr>
          <w:p w:rsidR="00E453CA" w:rsidRPr="00E453CA" w:rsidRDefault="00E453CA" w:rsidP="00E453CA">
            <w:pPr>
              <w:pStyle w:val="AERtabletextright"/>
              <w:cnfStyle w:val="100000000000" w:firstRow="1" w:lastRow="0" w:firstColumn="0" w:lastColumn="0" w:oddVBand="0" w:evenVBand="0" w:oddHBand="0" w:evenHBand="0" w:firstRowFirstColumn="0" w:firstRowLastColumn="0" w:lastRowFirstColumn="0" w:lastRowLastColumn="0"/>
            </w:pPr>
            <w:r w:rsidRPr="00E453CA">
              <w:t>2013-14</w:t>
            </w:r>
          </w:p>
        </w:tc>
        <w:tc>
          <w:tcPr>
            <w:tcW w:w="617" w:type="pct"/>
            <w:hideMark/>
          </w:tcPr>
          <w:p w:rsidR="00E453CA" w:rsidRPr="00E453CA" w:rsidRDefault="00E453CA" w:rsidP="00E453CA">
            <w:pPr>
              <w:pStyle w:val="AERtabletextright"/>
              <w:cnfStyle w:val="100000000000" w:firstRow="1" w:lastRow="0" w:firstColumn="0" w:lastColumn="0" w:oddVBand="0" w:evenVBand="0" w:oddHBand="0" w:evenHBand="0" w:firstRowFirstColumn="0" w:firstRowLastColumn="0" w:lastRowFirstColumn="0" w:lastRowLastColumn="0"/>
            </w:pPr>
            <w:r w:rsidRPr="00E453CA">
              <w:t>2014-15</w:t>
            </w:r>
          </w:p>
        </w:tc>
        <w:tc>
          <w:tcPr>
            <w:tcW w:w="617" w:type="pct"/>
            <w:hideMark/>
          </w:tcPr>
          <w:p w:rsidR="00E453CA" w:rsidRPr="00E453CA" w:rsidRDefault="00E453CA" w:rsidP="00E453CA">
            <w:pPr>
              <w:pStyle w:val="AERtabletextright"/>
              <w:cnfStyle w:val="100000000000" w:firstRow="1" w:lastRow="0" w:firstColumn="0" w:lastColumn="0" w:oddVBand="0" w:evenVBand="0" w:oddHBand="0" w:evenHBand="0" w:firstRowFirstColumn="0" w:firstRowLastColumn="0" w:lastRowFirstColumn="0" w:lastRowLastColumn="0"/>
            </w:pPr>
            <w:r w:rsidRPr="00E453CA">
              <w:t>2015-16</w:t>
            </w:r>
          </w:p>
        </w:tc>
        <w:tc>
          <w:tcPr>
            <w:tcW w:w="616" w:type="pct"/>
          </w:tcPr>
          <w:p w:rsidR="00E453CA" w:rsidRPr="00E453CA" w:rsidRDefault="00E453CA" w:rsidP="00E453CA">
            <w:pPr>
              <w:pStyle w:val="AERtabletextright"/>
              <w:cnfStyle w:val="100000000000" w:firstRow="1" w:lastRow="0" w:firstColumn="0" w:lastColumn="0" w:oddVBand="0" w:evenVBand="0" w:oddHBand="0" w:evenHBand="0" w:firstRowFirstColumn="0" w:firstRowLastColumn="0" w:lastRowFirstColumn="0" w:lastRowLastColumn="0"/>
            </w:pPr>
            <w:r w:rsidRPr="00E453CA">
              <w:t>Total</w:t>
            </w:r>
          </w:p>
        </w:tc>
      </w:tr>
      <w:tr w:rsidR="00E453CA" w:rsidRPr="004F416F" w:rsidTr="00116F2B">
        <w:trPr>
          <w:trHeight w:val="300"/>
        </w:trPr>
        <w:tc>
          <w:tcPr>
            <w:cnfStyle w:val="001000000000" w:firstRow="0" w:lastRow="0" w:firstColumn="1" w:lastColumn="0" w:oddVBand="0" w:evenVBand="0" w:oddHBand="0" w:evenHBand="0" w:firstRowFirstColumn="0" w:firstRowLastColumn="0" w:lastRowFirstColumn="0" w:lastRowLastColumn="0"/>
            <w:tcW w:w="1299" w:type="pct"/>
          </w:tcPr>
          <w:p w:rsidR="00E453CA" w:rsidRPr="00E453CA" w:rsidRDefault="00E453CA" w:rsidP="00E453CA">
            <w:r w:rsidRPr="00E453CA">
              <w:t>Expansion</w:t>
            </w:r>
          </w:p>
        </w:tc>
        <w:tc>
          <w:tcPr>
            <w:tcW w:w="617" w:type="pct"/>
          </w:tcPr>
          <w:p w:rsidR="00E453CA" w:rsidRPr="00E453CA" w:rsidRDefault="00367875" w:rsidP="00367875">
            <w:pPr>
              <w:cnfStyle w:val="000000000000" w:firstRow="0" w:lastRow="0" w:firstColumn="0" w:lastColumn="0" w:oddVBand="0" w:evenVBand="0" w:oddHBand="0" w:evenHBand="0" w:firstRowFirstColumn="0" w:firstRowLastColumn="0" w:lastRowFirstColumn="0" w:lastRowLastColumn="0"/>
            </w:pPr>
            <w:r>
              <w:t>0.9</w:t>
            </w:r>
          </w:p>
        </w:tc>
        <w:tc>
          <w:tcPr>
            <w:tcW w:w="617" w:type="pct"/>
          </w:tcPr>
          <w:p w:rsidR="00E453CA" w:rsidRPr="00E453CA" w:rsidRDefault="00E453CA" w:rsidP="00C64503">
            <w:pPr>
              <w:cnfStyle w:val="000000000000" w:firstRow="0" w:lastRow="0" w:firstColumn="0" w:lastColumn="0" w:oddVBand="0" w:evenVBand="0" w:oddHBand="0" w:evenHBand="0" w:firstRowFirstColumn="0" w:firstRowLastColumn="0" w:lastRowFirstColumn="0" w:lastRowLastColumn="0"/>
            </w:pPr>
            <w:r w:rsidRPr="00E453CA">
              <w:t>0.8</w:t>
            </w:r>
          </w:p>
        </w:tc>
        <w:tc>
          <w:tcPr>
            <w:tcW w:w="617" w:type="pct"/>
          </w:tcPr>
          <w:p w:rsidR="00E453CA" w:rsidRPr="00E453CA" w:rsidRDefault="00E453CA" w:rsidP="00C64503">
            <w:pPr>
              <w:cnfStyle w:val="000000000000" w:firstRow="0" w:lastRow="0" w:firstColumn="0" w:lastColumn="0" w:oddVBand="0" w:evenVBand="0" w:oddHBand="0" w:evenHBand="0" w:firstRowFirstColumn="0" w:firstRowLastColumn="0" w:lastRowFirstColumn="0" w:lastRowLastColumn="0"/>
            </w:pPr>
            <w:r w:rsidRPr="00E453CA">
              <w:t>0.6</w:t>
            </w:r>
          </w:p>
        </w:tc>
        <w:tc>
          <w:tcPr>
            <w:tcW w:w="617" w:type="pct"/>
          </w:tcPr>
          <w:p w:rsidR="00E453CA" w:rsidRPr="00E453CA" w:rsidRDefault="00E453CA" w:rsidP="00C64503">
            <w:pPr>
              <w:cnfStyle w:val="000000000000" w:firstRow="0" w:lastRow="0" w:firstColumn="0" w:lastColumn="0" w:oddVBand="0" w:evenVBand="0" w:oddHBand="0" w:evenHBand="0" w:firstRowFirstColumn="0" w:firstRowLastColumn="0" w:lastRowFirstColumn="0" w:lastRowLastColumn="0"/>
            </w:pPr>
            <w:r w:rsidRPr="00E453CA">
              <w:t>0.1</w:t>
            </w:r>
          </w:p>
        </w:tc>
        <w:tc>
          <w:tcPr>
            <w:tcW w:w="617" w:type="pct"/>
          </w:tcPr>
          <w:p w:rsidR="00E453CA" w:rsidRPr="00E453CA" w:rsidRDefault="00E453CA" w:rsidP="00C64503">
            <w:pPr>
              <w:cnfStyle w:val="000000000000" w:firstRow="0" w:lastRow="0" w:firstColumn="0" w:lastColumn="0" w:oddVBand="0" w:evenVBand="0" w:oddHBand="0" w:evenHBand="0" w:firstRowFirstColumn="0" w:firstRowLastColumn="0" w:lastRowFirstColumn="0" w:lastRowLastColumn="0"/>
            </w:pPr>
            <w:r w:rsidRPr="00E453CA">
              <w:t>0.0</w:t>
            </w:r>
          </w:p>
        </w:tc>
        <w:tc>
          <w:tcPr>
            <w:tcW w:w="616" w:type="pct"/>
          </w:tcPr>
          <w:p w:rsidR="00E453CA" w:rsidRPr="00E453CA" w:rsidRDefault="00367875" w:rsidP="00367875">
            <w:pPr>
              <w:cnfStyle w:val="000000000000" w:firstRow="0" w:lastRow="0" w:firstColumn="0" w:lastColumn="0" w:oddVBand="0" w:evenVBand="0" w:oddHBand="0" w:evenHBand="0" w:firstRowFirstColumn="0" w:firstRowLastColumn="0" w:lastRowFirstColumn="0" w:lastRowLastColumn="0"/>
            </w:pPr>
            <w:r>
              <w:t>2.3</w:t>
            </w:r>
          </w:p>
        </w:tc>
      </w:tr>
      <w:tr w:rsidR="00E453CA" w:rsidRPr="004F416F" w:rsidTr="00116F2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9" w:type="pct"/>
          </w:tcPr>
          <w:p w:rsidR="00E453CA" w:rsidRPr="00E453CA" w:rsidRDefault="00E453CA" w:rsidP="00E453CA">
            <w:r w:rsidRPr="00E453CA">
              <w:t>Replacement</w:t>
            </w:r>
          </w:p>
        </w:tc>
        <w:tc>
          <w:tcPr>
            <w:tcW w:w="617" w:type="pct"/>
          </w:tcPr>
          <w:p w:rsidR="00E453CA" w:rsidRPr="00E453CA" w:rsidRDefault="00367875" w:rsidP="00367875">
            <w:pPr>
              <w:cnfStyle w:val="000000010000" w:firstRow="0" w:lastRow="0" w:firstColumn="0" w:lastColumn="0" w:oddVBand="0" w:evenVBand="0" w:oddHBand="0" w:evenHBand="1" w:firstRowFirstColumn="0" w:firstRowLastColumn="0" w:lastRowFirstColumn="0" w:lastRowLastColumn="0"/>
            </w:pPr>
            <w:r>
              <w:t>3.4</w:t>
            </w:r>
          </w:p>
        </w:tc>
        <w:tc>
          <w:tcPr>
            <w:tcW w:w="617" w:type="pct"/>
          </w:tcPr>
          <w:p w:rsidR="00E453CA" w:rsidRPr="00DF7171" w:rsidRDefault="00E453CA" w:rsidP="00DF7171">
            <w:pPr>
              <w:cnfStyle w:val="000000010000" w:firstRow="0" w:lastRow="0" w:firstColumn="0" w:lastColumn="0" w:oddVBand="0" w:evenVBand="0" w:oddHBand="0" w:evenHBand="1" w:firstRowFirstColumn="0" w:firstRowLastColumn="0" w:lastRowFirstColumn="0" w:lastRowLastColumn="0"/>
            </w:pPr>
            <w:r w:rsidRPr="00DF7171">
              <w:t>14.6</w:t>
            </w:r>
          </w:p>
        </w:tc>
        <w:tc>
          <w:tcPr>
            <w:tcW w:w="617" w:type="pct"/>
          </w:tcPr>
          <w:p w:rsidR="00E453CA" w:rsidRPr="00DF7171" w:rsidRDefault="00E453CA" w:rsidP="00DF7171">
            <w:pPr>
              <w:cnfStyle w:val="000000010000" w:firstRow="0" w:lastRow="0" w:firstColumn="0" w:lastColumn="0" w:oddVBand="0" w:evenVBand="0" w:oddHBand="0" w:evenHBand="1" w:firstRowFirstColumn="0" w:firstRowLastColumn="0" w:lastRowFirstColumn="0" w:lastRowLastColumn="0"/>
            </w:pPr>
            <w:r w:rsidRPr="00DF7171">
              <w:t>2.2</w:t>
            </w:r>
          </w:p>
        </w:tc>
        <w:tc>
          <w:tcPr>
            <w:tcW w:w="617" w:type="pct"/>
          </w:tcPr>
          <w:p w:rsidR="00E453CA" w:rsidRPr="00DF7171" w:rsidRDefault="00E453CA" w:rsidP="00DF7171">
            <w:pPr>
              <w:cnfStyle w:val="000000010000" w:firstRow="0" w:lastRow="0" w:firstColumn="0" w:lastColumn="0" w:oddVBand="0" w:evenVBand="0" w:oddHBand="0" w:evenHBand="1" w:firstRowFirstColumn="0" w:firstRowLastColumn="0" w:lastRowFirstColumn="0" w:lastRowLastColumn="0"/>
            </w:pPr>
            <w:r w:rsidRPr="00DF7171">
              <w:t>2.3</w:t>
            </w:r>
          </w:p>
        </w:tc>
        <w:tc>
          <w:tcPr>
            <w:tcW w:w="617" w:type="pct"/>
          </w:tcPr>
          <w:p w:rsidR="00E453CA" w:rsidRPr="00DF7171" w:rsidRDefault="00E453CA" w:rsidP="00DF7171">
            <w:pPr>
              <w:cnfStyle w:val="000000010000" w:firstRow="0" w:lastRow="0" w:firstColumn="0" w:lastColumn="0" w:oddVBand="0" w:evenVBand="0" w:oddHBand="0" w:evenHBand="1" w:firstRowFirstColumn="0" w:firstRowLastColumn="0" w:lastRowFirstColumn="0" w:lastRowLastColumn="0"/>
            </w:pPr>
            <w:r w:rsidRPr="00DF7171">
              <w:t>12.</w:t>
            </w:r>
            <w:r w:rsidR="00367875" w:rsidRPr="00DF7171">
              <w:t>4</w:t>
            </w:r>
          </w:p>
        </w:tc>
        <w:tc>
          <w:tcPr>
            <w:tcW w:w="616" w:type="pct"/>
          </w:tcPr>
          <w:p w:rsidR="00E453CA" w:rsidRPr="00DF7171" w:rsidRDefault="00E453CA" w:rsidP="00DF7171">
            <w:pPr>
              <w:cnfStyle w:val="000000010000" w:firstRow="0" w:lastRow="0" w:firstColumn="0" w:lastColumn="0" w:oddVBand="0" w:evenVBand="0" w:oddHBand="0" w:evenHBand="1" w:firstRowFirstColumn="0" w:firstRowLastColumn="0" w:lastRowFirstColumn="0" w:lastRowLastColumn="0"/>
            </w:pPr>
            <w:r w:rsidRPr="00DF7171">
              <w:t>3</w:t>
            </w:r>
            <w:r w:rsidR="00367875" w:rsidRPr="00DF7171">
              <w:t>4</w:t>
            </w:r>
            <w:r w:rsidRPr="00DF7171">
              <w:t>.8</w:t>
            </w:r>
          </w:p>
        </w:tc>
      </w:tr>
      <w:tr w:rsidR="00E453CA" w:rsidRPr="004F416F" w:rsidTr="00116F2B">
        <w:trPr>
          <w:trHeight w:val="300"/>
        </w:trPr>
        <w:tc>
          <w:tcPr>
            <w:cnfStyle w:val="001000000000" w:firstRow="0" w:lastRow="0" w:firstColumn="1" w:lastColumn="0" w:oddVBand="0" w:evenVBand="0" w:oddHBand="0" w:evenHBand="0" w:firstRowFirstColumn="0" w:firstRowLastColumn="0" w:lastRowFirstColumn="0" w:lastRowLastColumn="0"/>
            <w:tcW w:w="1299" w:type="pct"/>
          </w:tcPr>
          <w:p w:rsidR="00E453CA" w:rsidRPr="00E453CA" w:rsidRDefault="00E453CA" w:rsidP="00E453CA">
            <w:r w:rsidRPr="00E453CA">
              <w:t>Non-system</w:t>
            </w:r>
          </w:p>
        </w:tc>
        <w:tc>
          <w:tcPr>
            <w:tcW w:w="617" w:type="pct"/>
          </w:tcPr>
          <w:p w:rsidR="00E453CA" w:rsidRPr="00E453CA" w:rsidRDefault="00E453CA" w:rsidP="00C64503">
            <w:pPr>
              <w:cnfStyle w:val="000000000000" w:firstRow="0" w:lastRow="0" w:firstColumn="0" w:lastColumn="0" w:oddVBand="0" w:evenVBand="0" w:oddHBand="0" w:evenHBand="0" w:firstRowFirstColumn="0" w:firstRowLastColumn="0" w:lastRowFirstColumn="0" w:lastRowLastColumn="0"/>
            </w:pPr>
            <w:r w:rsidRPr="00E453CA">
              <w:t>0.2</w:t>
            </w:r>
          </w:p>
        </w:tc>
        <w:tc>
          <w:tcPr>
            <w:tcW w:w="617" w:type="pct"/>
          </w:tcPr>
          <w:p w:rsidR="00E453CA" w:rsidRPr="00DF7171" w:rsidRDefault="00E453CA" w:rsidP="00DF7171">
            <w:pPr>
              <w:cnfStyle w:val="000000000000" w:firstRow="0" w:lastRow="0" w:firstColumn="0" w:lastColumn="0" w:oddVBand="0" w:evenVBand="0" w:oddHBand="0" w:evenHBand="0" w:firstRowFirstColumn="0" w:firstRowLastColumn="0" w:lastRowFirstColumn="0" w:lastRowLastColumn="0"/>
            </w:pPr>
            <w:r w:rsidRPr="00DF7171">
              <w:t>1.6</w:t>
            </w:r>
          </w:p>
        </w:tc>
        <w:tc>
          <w:tcPr>
            <w:tcW w:w="617" w:type="pct"/>
          </w:tcPr>
          <w:p w:rsidR="00E453CA" w:rsidRPr="00DF7171" w:rsidRDefault="00E453CA" w:rsidP="00DF7171">
            <w:pPr>
              <w:cnfStyle w:val="000000000000" w:firstRow="0" w:lastRow="0" w:firstColumn="0" w:lastColumn="0" w:oddVBand="0" w:evenVBand="0" w:oddHBand="0" w:evenHBand="0" w:firstRowFirstColumn="0" w:firstRowLastColumn="0" w:lastRowFirstColumn="0" w:lastRowLastColumn="0"/>
            </w:pPr>
            <w:r w:rsidRPr="00DF7171">
              <w:t>1.6</w:t>
            </w:r>
          </w:p>
        </w:tc>
        <w:tc>
          <w:tcPr>
            <w:tcW w:w="617" w:type="pct"/>
          </w:tcPr>
          <w:p w:rsidR="00E453CA" w:rsidRPr="00DF7171" w:rsidRDefault="00E453CA" w:rsidP="00DF7171">
            <w:pPr>
              <w:cnfStyle w:val="000000000000" w:firstRow="0" w:lastRow="0" w:firstColumn="0" w:lastColumn="0" w:oddVBand="0" w:evenVBand="0" w:oddHBand="0" w:evenHBand="0" w:firstRowFirstColumn="0" w:firstRowLastColumn="0" w:lastRowFirstColumn="0" w:lastRowLastColumn="0"/>
            </w:pPr>
            <w:r w:rsidRPr="00DF7171">
              <w:t>1.9</w:t>
            </w:r>
          </w:p>
        </w:tc>
        <w:tc>
          <w:tcPr>
            <w:tcW w:w="617" w:type="pct"/>
          </w:tcPr>
          <w:p w:rsidR="00E453CA" w:rsidRPr="00DF7171" w:rsidRDefault="00E453CA" w:rsidP="00DF7171">
            <w:pPr>
              <w:cnfStyle w:val="000000000000" w:firstRow="0" w:lastRow="0" w:firstColumn="0" w:lastColumn="0" w:oddVBand="0" w:evenVBand="0" w:oddHBand="0" w:evenHBand="0" w:firstRowFirstColumn="0" w:firstRowLastColumn="0" w:lastRowFirstColumn="0" w:lastRowLastColumn="0"/>
            </w:pPr>
            <w:r w:rsidRPr="00DF7171">
              <w:t>2.4</w:t>
            </w:r>
          </w:p>
        </w:tc>
        <w:tc>
          <w:tcPr>
            <w:tcW w:w="616" w:type="pct"/>
          </w:tcPr>
          <w:p w:rsidR="00E453CA" w:rsidRPr="00DF7171" w:rsidRDefault="00E453CA" w:rsidP="00DF7171">
            <w:pPr>
              <w:cnfStyle w:val="000000000000" w:firstRow="0" w:lastRow="0" w:firstColumn="0" w:lastColumn="0" w:oddVBand="0" w:evenVBand="0" w:oddHBand="0" w:evenHBand="0" w:firstRowFirstColumn="0" w:firstRowLastColumn="0" w:lastRowFirstColumn="0" w:lastRowLastColumn="0"/>
            </w:pPr>
            <w:r w:rsidRPr="00DF7171">
              <w:t>7.6</w:t>
            </w:r>
          </w:p>
        </w:tc>
      </w:tr>
      <w:tr w:rsidR="00E453CA" w:rsidRPr="004F416F" w:rsidTr="00116F2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9" w:type="pct"/>
          </w:tcPr>
          <w:p w:rsidR="00E453CA" w:rsidRPr="00E453CA" w:rsidRDefault="00E453CA" w:rsidP="00E453CA">
            <w:r w:rsidRPr="00E453CA">
              <w:t>GROSS TOTAL CAPITAL EXPENDITURE</w:t>
            </w:r>
          </w:p>
        </w:tc>
        <w:tc>
          <w:tcPr>
            <w:tcW w:w="617" w:type="pct"/>
          </w:tcPr>
          <w:p w:rsidR="00E453CA" w:rsidRPr="00E453CA" w:rsidRDefault="00E453CA" w:rsidP="00C64503">
            <w:pPr>
              <w:cnfStyle w:val="000000010000" w:firstRow="0" w:lastRow="0" w:firstColumn="0" w:lastColumn="0" w:oddVBand="0" w:evenVBand="0" w:oddHBand="0" w:evenHBand="1" w:firstRowFirstColumn="0" w:firstRowLastColumn="0" w:lastRowFirstColumn="0" w:lastRowLastColumn="0"/>
            </w:pPr>
            <w:r w:rsidRPr="00E453CA">
              <w:t>4.5</w:t>
            </w:r>
          </w:p>
        </w:tc>
        <w:tc>
          <w:tcPr>
            <w:tcW w:w="617" w:type="pct"/>
          </w:tcPr>
          <w:p w:rsidR="00E453CA" w:rsidRPr="00DF7171" w:rsidRDefault="00E453CA" w:rsidP="00DF7171">
            <w:pPr>
              <w:cnfStyle w:val="000000010000" w:firstRow="0" w:lastRow="0" w:firstColumn="0" w:lastColumn="0" w:oddVBand="0" w:evenVBand="0" w:oddHBand="0" w:evenHBand="1" w:firstRowFirstColumn="0" w:firstRowLastColumn="0" w:lastRowFirstColumn="0" w:lastRowLastColumn="0"/>
            </w:pPr>
            <w:r w:rsidRPr="00DF7171">
              <w:t>17.0</w:t>
            </w:r>
          </w:p>
        </w:tc>
        <w:tc>
          <w:tcPr>
            <w:tcW w:w="617" w:type="pct"/>
          </w:tcPr>
          <w:p w:rsidR="00E453CA" w:rsidRPr="00DF7171" w:rsidRDefault="00E453CA" w:rsidP="00DF7171">
            <w:pPr>
              <w:cnfStyle w:val="000000010000" w:firstRow="0" w:lastRow="0" w:firstColumn="0" w:lastColumn="0" w:oddVBand="0" w:evenVBand="0" w:oddHBand="0" w:evenHBand="1" w:firstRowFirstColumn="0" w:firstRowLastColumn="0" w:lastRowFirstColumn="0" w:lastRowLastColumn="0"/>
            </w:pPr>
            <w:r w:rsidRPr="00DF7171">
              <w:t>4.3</w:t>
            </w:r>
          </w:p>
        </w:tc>
        <w:tc>
          <w:tcPr>
            <w:tcW w:w="617" w:type="pct"/>
          </w:tcPr>
          <w:p w:rsidR="00E453CA" w:rsidRPr="00DF7171" w:rsidRDefault="00E453CA" w:rsidP="00DF7171">
            <w:pPr>
              <w:cnfStyle w:val="000000010000" w:firstRow="0" w:lastRow="0" w:firstColumn="0" w:lastColumn="0" w:oddVBand="0" w:evenVBand="0" w:oddHBand="0" w:evenHBand="1" w:firstRowFirstColumn="0" w:firstRowLastColumn="0" w:lastRowFirstColumn="0" w:lastRowLastColumn="0"/>
            </w:pPr>
            <w:r w:rsidRPr="00DF7171">
              <w:t>4.2</w:t>
            </w:r>
          </w:p>
        </w:tc>
        <w:tc>
          <w:tcPr>
            <w:tcW w:w="617" w:type="pct"/>
          </w:tcPr>
          <w:p w:rsidR="00E453CA" w:rsidRPr="00DF7171" w:rsidRDefault="00E453CA" w:rsidP="00DF7171">
            <w:pPr>
              <w:cnfStyle w:val="000000010000" w:firstRow="0" w:lastRow="0" w:firstColumn="0" w:lastColumn="0" w:oddVBand="0" w:evenVBand="0" w:oddHBand="0" w:evenHBand="1" w:firstRowFirstColumn="0" w:firstRowLastColumn="0" w:lastRowFirstColumn="0" w:lastRowLastColumn="0"/>
            </w:pPr>
            <w:r w:rsidRPr="00DF7171">
              <w:t>14.</w:t>
            </w:r>
            <w:r w:rsidR="00367875" w:rsidRPr="00DF7171">
              <w:t>8</w:t>
            </w:r>
          </w:p>
        </w:tc>
        <w:tc>
          <w:tcPr>
            <w:tcW w:w="616" w:type="pct"/>
          </w:tcPr>
          <w:p w:rsidR="00E453CA" w:rsidRPr="00DF7171" w:rsidRDefault="00E453CA" w:rsidP="00DF7171">
            <w:pPr>
              <w:cnfStyle w:val="000000010000" w:firstRow="0" w:lastRow="0" w:firstColumn="0" w:lastColumn="0" w:oddVBand="0" w:evenVBand="0" w:oddHBand="0" w:evenHBand="1" w:firstRowFirstColumn="0" w:firstRowLastColumn="0" w:lastRowFirstColumn="0" w:lastRowLastColumn="0"/>
            </w:pPr>
            <w:r w:rsidRPr="00DF7171">
              <w:t>44.8</w:t>
            </w:r>
          </w:p>
        </w:tc>
      </w:tr>
      <w:tr w:rsidR="00E453CA" w:rsidRPr="004F416F" w:rsidTr="00116F2B">
        <w:trPr>
          <w:trHeight w:val="300"/>
        </w:trPr>
        <w:tc>
          <w:tcPr>
            <w:cnfStyle w:val="001000000000" w:firstRow="0" w:lastRow="0" w:firstColumn="1" w:lastColumn="0" w:oddVBand="0" w:evenVBand="0" w:oddHBand="0" w:evenHBand="0" w:firstRowFirstColumn="0" w:firstRowLastColumn="0" w:lastRowFirstColumn="0" w:lastRowLastColumn="0"/>
            <w:tcW w:w="1299" w:type="pct"/>
          </w:tcPr>
          <w:p w:rsidR="00E453CA" w:rsidRPr="00E453CA" w:rsidRDefault="00E453CA" w:rsidP="00E453CA">
            <w:r w:rsidRPr="00E453CA">
              <w:t>Contributions</w:t>
            </w:r>
          </w:p>
        </w:tc>
        <w:tc>
          <w:tcPr>
            <w:tcW w:w="617" w:type="pct"/>
          </w:tcPr>
          <w:p w:rsidR="00E453CA" w:rsidRPr="00E453CA" w:rsidRDefault="00E453CA" w:rsidP="00C64503">
            <w:pPr>
              <w:cnfStyle w:val="000000000000" w:firstRow="0" w:lastRow="0" w:firstColumn="0" w:lastColumn="0" w:oddVBand="0" w:evenVBand="0" w:oddHBand="0" w:evenHBand="0" w:firstRowFirstColumn="0" w:firstRowLastColumn="0" w:lastRowFirstColumn="0" w:lastRowLastColumn="0"/>
            </w:pPr>
            <w:r w:rsidRPr="00E453CA">
              <w:t>-</w:t>
            </w:r>
          </w:p>
        </w:tc>
        <w:tc>
          <w:tcPr>
            <w:tcW w:w="617" w:type="pct"/>
          </w:tcPr>
          <w:p w:rsidR="00E453CA" w:rsidRPr="00DF7171" w:rsidRDefault="00E453CA" w:rsidP="00DF7171">
            <w:pPr>
              <w:cnfStyle w:val="000000000000" w:firstRow="0" w:lastRow="0" w:firstColumn="0" w:lastColumn="0" w:oddVBand="0" w:evenVBand="0" w:oddHBand="0" w:evenHBand="0" w:firstRowFirstColumn="0" w:firstRowLastColumn="0" w:lastRowFirstColumn="0" w:lastRowLastColumn="0"/>
            </w:pPr>
            <w:r w:rsidRPr="00DF7171">
              <w:t>-</w:t>
            </w:r>
          </w:p>
        </w:tc>
        <w:tc>
          <w:tcPr>
            <w:tcW w:w="617" w:type="pct"/>
          </w:tcPr>
          <w:p w:rsidR="00E453CA" w:rsidRPr="00DF7171" w:rsidRDefault="00E453CA" w:rsidP="00DF7171">
            <w:pPr>
              <w:cnfStyle w:val="000000000000" w:firstRow="0" w:lastRow="0" w:firstColumn="0" w:lastColumn="0" w:oddVBand="0" w:evenVBand="0" w:oddHBand="0" w:evenHBand="0" w:firstRowFirstColumn="0" w:firstRowLastColumn="0" w:lastRowFirstColumn="0" w:lastRowLastColumn="0"/>
            </w:pPr>
            <w:r w:rsidRPr="00DF7171">
              <w:t>-</w:t>
            </w:r>
          </w:p>
        </w:tc>
        <w:tc>
          <w:tcPr>
            <w:tcW w:w="617" w:type="pct"/>
          </w:tcPr>
          <w:p w:rsidR="00E453CA" w:rsidRPr="00DF7171" w:rsidRDefault="00E453CA" w:rsidP="00DF7171">
            <w:pPr>
              <w:cnfStyle w:val="000000000000" w:firstRow="0" w:lastRow="0" w:firstColumn="0" w:lastColumn="0" w:oddVBand="0" w:evenVBand="0" w:oddHBand="0" w:evenHBand="0" w:firstRowFirstColumn="0" w:firstRowLastColumn="0" w:lastRowFirstColumn="0" w:lastRowLastColumn="0"/>
            </w:pPr>
            <w:r w:rsidRPr="00DF7171">
              <w:t>-</w:t>
            </w:r>
          </w:p>
        </w:tc>
        <w:tc>
          <w:tcPr>
            <w:tcW w:w="617" w:type="pct"/>
          </w:tcPr>
          <w:p w:rsidR="00E453CA" w:rsidRPr="00DF7171" w:rsidRDefault="00E453CA" w:rsidP="00DF7171">
            <w:pPr>
              <w:cnfStyle w:val="000000000000" w:firstRow="0" w:lastRow="0" w:firstColumn="0" w:lastColumn="0" w:oddVBand="0" w:evenVBand="0" w:oddHBand="0" w:evenHBand="0" w:firstRowFirstColumn="0" w:firstRowLastColumn="0" w:lastRowFirstColumn="0" w:lastRowLastColumn="0"/>
            </w:pPr>
            <w:r w:rsidRPr="00DF7171">
              <w:t>-</w:t>
            </w:r>
          </w:p>
        </w:tc>
        <w:tc>
          <w:tcPr>
            <w:tcW w:w="616" w:type="pct"/>
          </w:tcPr>
          <w:p w:rsidR="00E453CA" w:rsidRPr="00DF7171" w:rsidRDefault="00E453CA" w:rsidP="00DF7171">
            <w:pPr>
              <w:cnfStyle w:val="000000000000" w:firstRow="0" w:lastRow="0" w:firstColumn="0" w:lastColumn="0" w:oddVBand="0" w:evenVBand="0" w:oddHBand="0" w:evenHBand="0" w:firstRowFirstColumn="0" w:firstRowLastColumn="0" w:lastRowFirstColumn="0" w:lastRowLastColumn="0"/>
            </w:pPr>
            <w:r w:rsidRPr="00DF7171">
              <w:t>-</w:t>
            </w:r>
          </w:p>
        </w:tc>
      </w:tr>
      <w:tr w:rsidR="00E453CA" w:rsidRPr="004F416F" w:rsidTr="00116F2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9" w:type="pct"/>
          </w:tcPr>
          <w:p w:rsidR="00E453CA" w:rsidRPr="00E453CA" w:rsidRDefault="00E453CA" w:rsidP="00E453CA">
            <w:r w:rsidRPr="00E453CA">
              <w:t>Asset disposals</w:t>
            </w:r>
          </w:p>
        </w:tc>
        <w:tc>
          <w:tcPr>
            <w:tcW w:w="617" w:type="pct"/>
          </w:tcPr>
          <w:p w:rsidR="00E453CA" w:rsidRPr="00E453CA" w:rsidRDefault="00E453CA" w:rsidP="00C64503">
            <w:pPr>
              <w:cnfStyle w:val="000000010000" w:firstRow="0" w:lastRow="0" w:firstColumn="0" w:lastColumn="0" w:oddVBand="0" w:evenVBand="0" w:oddHBand="0" w:evenHBand="1" w:firstRowFirstColumn="0" w:firstRowLastColumn="0" w:lastRowFirstColumn="0" w:lastRowLastColumn="0"/>
            </w:pPr>
            <w:r w:rsidRPr="00E453CA">
              <w:t>-</w:t>
            </w:r>
          </w:p>
        </w:tc>
        <w:tc>
          <w:tcPr>
            <w:tcW w:w="617" w:type="pct"/>
          </w:tcPr>
          <w:p w:rsidR="00E453CA" w:rsidRPr="00DF7171" w:rsidRDefault="00E453CA" w:rsidP="00DF7171">
            <w:pPr>
              <w:cnfStyle w:val="000000010000" w:firstRow="0" w:lastRow="0" w:firstColumn="0" w:lastColumn="0" w:oddVBand="0" w:evenVBand="0" w:oddHBand="0" w:evenHBand="1" w:firstRowFirstColumn="0" w:firstRowLastColumn="0" w:lastRowFirstColumn="0" w:lastRowLastColumn="0"/>
            </w:pPr>
            <w:r w:rsidRPr="00DF7171">
              <w:t>0.0</w:t>
            </w:r>
          </w:p>
        </w:tc>
        <w:tc>
          <w:tcPr>
            <w:tcW w:w="617" w:type="pct"/>
          </w:tcPr>
          <w:p w:rsidR="00E453CA" w:rsidRPr="00DF7171" w:rsidRDefault="00E453CA" w:rsidP="00DF7171">
            <w:pPr>
              <w:cnfStyle w:val="000000010000" w:firstRow="0" w:lastRow="0" w:firstColumn="0" w:lastColumn="0" w:oddVBand="0" w:evenVBand="0" w:oddHBand="0" w:evenHBand="1" w:firstRowFirstColumn="0" w:firstRowLastColumn="0" w:lastRowFirstColumn="0" w:lastRowLastColumn="0"/>
            </w:pPr>
            <w:r w:rsidRPr="00DF7171">
              <w:t>0.3</w:t>
            </w:r>
          </w:p>
        </w:tc>
        <w:tc>
          <w:tcPr>
            <w:tcW w:w="617" w:type="pct"/>
          </w:tcPr>
          <w:p w:rsidR="00E453CA" w:rsidRPr="00DF7171" w:rsidRDefault="00E453CA" w:rsidP="00DF7171">
            <w:pPr>
              <w:cnfStyle w:val="000000010000" w:firstRow="0" w:lastRow="0" w:firstColumn="0" w:lastColumn="0" w:oddVBand="0" w:evenVBand="0" w:oddHBand="0" w:evenHBand="1" w:firstRowFirstColumn="0" w:firstRowLastColumn="0" w:lastRowFirstColumn="0" w:lastRowLastColumn="0"/>
            </w:pPr>
            <w:r w:rsidRPr="00DF7171">
              <w:t>0.1</w:t>
            </w:r>
          </w:p>
        </w:tc>
        <w:tc>
          <w:tcPr>
            <w:tcW w:w="617" w:type="pct"/>
          </w:tcPr>
          <w:p w:rsidR="00E453CA" w:rsidRPr="00DF7171" w:rsidRDefault="00E453CA" w:rsidP="00DF7171">
            <w:pPr>
              <w:cnfStyle w:val="000000010000" w:firstRow="0" w:lastRow="0" w:firstColumn="0" w:lastColumn="0" w:oddVBand="0" w:evenVBand="0" w:oddHBand="0" w:evenHBand="1" w:firstRowFirstColumn="0" w:firstRowLastColumn="0" w:lastRowFirstColumn="0" w:lastRowLastColumn="0"/>
            </w:pPr>
            <w:r w:rsidRPr="00DF7171">
              <w:t>-</w:t>
            </w:r>
          </w:p>
        </w:tc>
        <w:tc>
          <w:tcPr>
            <w:tcW w:w="616" w:type="pct"/>
          </w:tcPr>
          <w:p w:rsidR="00E453CA" w:rsidRPr="00DF7171" w:rsidRDefault="00E453CA" w:rsidP="00DF7171">
            <w:pPr>
              <w:cnfStyle w:val="000000010000" w:firstRow="0" w:lastRow="0" w:firstColumn="0" w:lastColumn="0" w:oddVBand="0" w:evenVBand="0" w:oddHBand="0" w:evenHBand="1" w:firstRowFirstColumn="0" w:firstRowLastColumn="0" w:lastRowFirstColumn="0" w:lastRowLastColumn="0"/>
            </w:pPr>
            <w:r w:rsidRPr="00DF7171">
              <w:t>0.4</w:t>
            </w:r>
          </w:p>
        </w:tc>
      </w:tr>
      <w:tr w:rsidR="00E453CA" w:rsidRPr="004F416F" w:rsidTr="00116F2B">
        <w:trPr>
          <w:trHeight w:val="300"/>
        </w:trPr>
        <w:tc>
          <w:tcPr>
            <w:cnfStyle w:val="001000000000" w:firstRow="0" w:lastRow="0" w:firstColumn="1" w:lastColumn="0" w:oddVBand="0" w:evenVBand="0" w:oddHBand="0" w:evenHBand="0" w:firstRowFirstColumn="0" w:firstRowLastColumn="0" w:lastRowFirstColumn="0" w:lastRowLastColumn="0"/>
            <w:tcW w:w="1299" w:type="pct"/>
            <w:hideMark/>
          </w:tcPr>
          <w:p w:rsidR="00E453CA" w:rsidRPr="00E453CA" w:rsidRDefault="00E453CA" w:rsidP="00E453CA">
            <w:r w:rsidRPr="00E453CA">
              <w:t>NET CAPITAL EXPENDITURE</w:t>
            </w:r>
          </w:p>
        </w:tc>
        <w:tc>
          <w:tcPr>
            <w:tcW w:w="617" w:type="pct"/>
          </w:tcPr>
          <w:p w:rsidR="00E453CA" w:rsidRPr="00E453CA" w:rsidRDefault="00E453CA" w:rsidP="00C64503">
            <w:pPr>
              <w:cnfStyle w:val="000000000000" w:firstRow="0" w:lastRow="0" w:firstColumn="0" w:lastColumn="0" w:oddVBand="0" w:evenVBand="0" w:oddHBand="0" w:evenHBand="0" w:firstRowFirstColumn="0" w:firstRowLastColumn="0" w:lastRowFirstColumn="0" w:lastRowLastColumn="0"/>
            </w:pPr>
            <w:r w:rsidRPr="00E453CA">
              <w:t>4.5</w:t>
            </w:r>
          </w:p>
        </w:tc>
        <w:tc>
          <w:tcPr>
            <w:tcW w:w="617" w:type="pct"/>
          </w:tcPr>
          <w:p w:rsidR="00E453CA" w:rsidRPr="00DF7171" w:rsidRDefault="00E453CA" w:rsidP="00DF7171">
            <w:pPr>
              <w:cnfStyle w:val="000000000000" w:firstRow="0" w:lastRow="0" w:firstColumn="0" w:lastColumn="0" w:oddVBand="0" w:evenVBand="0" w:oddHBand="0" w:evenHBand="0" w:firstRowFirstColumn="0" w:firstRowLastColumn="0" w:lastRowFirstColumn="0" w:lastRowLastColumn="0"/>
            </w:pPr>
            <w:r w:rsidRPr="00DF7171">
              <w:t>17.0</w:t>
            </w:r>
          </w:p>
        </w:tc>
        <w:tc>
          <w:tcPr>
            <w:tcW w:w="617" w:type="pct"/>
          </w:tcPr>
          <w:p w:rsidR="00E453CA" w:rsidRPr="00DF7171" w:rsidRDefault="00E453CA" w:rsidP="00DF7171">
            <w:pPr>
              <w:cnfStyle w:val="000000000000" w:firstRow="0" w:lastRow="0" w:firstColumn="0" w:lastColumn="0" w:oddVBand="0" w:evenVBand="0" w:oddHBand="0" w:evenHBand="0" w:firstRowFirstColumn="0" w:firstRowLastColumn="0" w:lastRowFirstColumn="0" w:lastRowLastColumn="0"/>
            </w:pPr>
            <w:r w:rsidRPr="00DF7171">
              <w:t>4.0</w:t>
            </w:r>
          </w:p>
        </w:tc>
        <w:tc>
          <w:tcPr>
            <w:tcW w:w="617" w:type="pct"/>
          </w:tcPr>
          <w:p w:rsidR="00E453CA" w:rsidRPr="00DF7171" w:rsidRDefault="00E453CA" w:rsidP="00DF7171">
            <w:pPr>
              <w:cnfStyle w:val="000000000000" w:firstRow="0" w:lastRow="0" w:firstColumn="0" w:lastColumn="0" w:oddVBand="0" w:evenVBand="0" w:oddHBand="0" w:evenHBand="0" w:firstRowFirstColumn="0" w:firstRowLastColumn="0" w:lastRowFirstColumn="0" w:lastRowLastColumn="0"/>
            </w:pPr>
            <w:r w:rsidRPr="00DF7171">
              <w:t>4.1</w:t>
            </w:r>
          </w:p>
        </w:tc>
        <w:tc>
          <w:tcPr>
            <w:tcW w:w="617" w:type="pct"/>
          </w:tcPr>
          <w:p w:rsidR="00E453CA" w:rsidRPr="00DF7171" w:rsidRDefault="00E453CA" w:rsidP="00DF7171">
            <w:pPr>
              <w:cnfStyle w:val="000000000000" w:firstRow="0" w:lastRow="0" w:firstColumn="0" w:lastColumn="0" w:oddVBand="0" w:evenVBand="0" w:oddHBand="0" w:evenHBand="0" w:firstRowFirstColumn="0" w:firstRowLastColumn="0" w:lastRowFirstColumn="0" w:lastRowLastColumn="0"/>
            </w:pPr>
            <w:r w:rsidRPr="00DF7171">
              <w:t>14.9</w:t>
            </w:r>
          </w:p>
        </w:tc>
        <w:tc>
          <w:tcPr>
            <w:tcW w:w="616" w:type="pct"/>
          </w:tcPr>
          <w:p w:rsidR="00E453CA" w:rsidRPr="00DF7171" w:rsidRDefault="00E453CA" w:rsidP="00DF7171">
            <w:pPr>
              <w:cnfStyle w:val="000000000000" w:firstRow="0" w:lastRow="0" w:firstColumn="0" w:lastColumn="0" w:oddVBand="0" w:evenVBand="0" w:oddHBand="0" w:evenHBand="0" w:firstRowFirstColumn="0" w:firstRowLastColumn="0" w:lastRowFirstColumn="0" w:lastRowLastColumn="0"/>
            </w:pPr>
            <w:r w:rsidRPr="00DF7171">
              <w:t>44.4</w:t>
            </w:r>
          </w:p>
        </w:tc>
      </w:tr>
    </w:tbl>
    <w:p w:rsidR="00027AC4" w:rsidRDefault="00F86B9A" w:rsidP="00740ADB">
      <w:pPr>
        <w:pStyle w:val="AERtablesource"/>
      </w:pPr>
      <w:r w:rsidRPr="00F86B9A">
        <w:t>Source:</w:t>
      </w:r>
      <w:r w:rsidRPr="00F86B9A">
        <w:tab/>
      </w:r>
      <w:r w:rsidR="00707471">
        <w:t xml:space="preserve">APTNT, </w:t>
      </w:r>
      <w:r w:rsidR="00740ADB" w:rsidRPr="00707471">
        <w:rPr>
          <w:rStyle w:val="AERtextitalic"/>
        </w:rPr>
        <w:t>Amadeus Gas Pipeline Access Arrangement Revised Proposal - B6 Capex model - 2016 AER labour escalators</w:t>
      </w:r>
      <w:r w:rsidR="00740ADB" w:rsidRPr="00740ADB">
        <w:t>, January 2016.</w:t>
      </w:r>
      <w:r w:rsidR="00027AC4" w:rsidRPr="00027AC4">
        <w:t xml:space="preserve"> </w:t>
      </w:r>
    </w:p>
    <w:p w:rsidR="00F86B9A" w:rsidRDefault="00027AC4" w:rsidP="00740ADB">
      <w:pPr>
        <w:pStyle w:val="AERtablesource"/>
      </w:pPr>
      <w:r>
        <w:tab/>
        <w:t>Note: Numbers may not add up due to rounding.</w:t>
      </w:r>
    </w:p>
    <w:p w:rsidR="00D0788C" w:rsidRDefault="000711DD" w:rsidP="00D0788C">
      <w:r>
        <w:t xml:space="preserve">APTNT submitted that the assumption in our draft </w:t>
      </w:r>
      <w:r w:rsidR="00184987">
        <w:t xml:space="preserve">decision </w:t>
      </w:r>
      <w:r>
        <w:t xml:space="preserve">that the below ground station pipework </w:t>
      </w:r>
      <w:r w:rsidR="00CA6EBA">
        <w:t xml:space="preserve">recoating </w:t>
      </w:r>
      <w:r>
        <w:t>project can be conducted over five years, w</w:t>
      </w:r>
      <w:r w:rsidR="00D173E6">
        <w:t xml:space="preserve">hile maintaining the </w:t>
      </w:r>
      <w:r>
        <w:t xml:space="preserve">benefits of fixed cost tendering, is not correct. APTNT </w:t>
      </w:r>
      <w:r w:rsidR="00707471">
        <w:t>stated that this</w:t>
      </w:r>
      <w:r w:rsidR="00D0788C">
        <w:t xml:space="preserve"> </w:t>
      </w:r>
      <w:r w:rsidRPr="000711DD">
        <w:t>assumption ignores the additional re</w:t>
      </w:r>
      <w:r w:rsidR="00707471">
        <w:t>source requirements for both APTNT</w:t>
      </w:r>
      <w:r w:rsidRPr="000711DD">
        <w:t xml:space="preserve"> and the construction contractor to mobilise and demobilise the site work crew on multiple occasions to </w:t>
      </w:r>
      <w:r w:rsidR="00D173E6">
        <w:t xml:space="preserve">remote </w:t>
      </w:r>
      <w:r w:rsidRPr="000711DD">
        <w:t>locations.</w:t>
      </w:r>
      <w:r w:rsidR="006537FD">
        <w:rPr>
          <w:rStyle w:val="FootnoteReference"/>
        </w:rPr>
        <w:footnoteReference w:id="2"/>
      </w:r>
      <w:r w:rsidRPr="000711DD">
        <w:t xml:space="preserve"> </w:t>
      </w:r>
    </w:p>
    <w:p w:rsidR="00D0788C" w:rsidRDefault="00AE44DF" w:rsidP="00D0788C">
      <w:r>
        <w:t xml:space="preserve">APTNT submitted that </w:t>
      </w:r>
      <w:r w:rsidR="00D0788C" w:rsidRPr="00D0788C">
        <w:t xml:space="preserve">the </w:t>
      </w:r>
      <w:r w:rsidR="00601435">
        <w:t xml:space="preserve">below </w:t>
      </w:r>
      <w:r w:rsidR="00E07546">
        <w:t xml:space="preserve">ground station pipework </w:t>
      </w:r>
      <w:r w:rsidR="00D0788C" w:rsidRPr="00D0788C">
        <w:t>project</w:t>
      </w:r>
      <w:r w:rsidR="00E07546">
        <w:t xml:space="preserve"> has already commenced,</w:t>
      </w:r>
      <w:r w:rsidR="00D0788C" w:rsidRPr="00D0788C">
        <w:t xml:space="preserve"> </w:t>
      </w:r>
      <w:r w:rsidR="00E07546">
        <w:t xml:space="preserve">and that converting it </w:t>
      </w:r>
      <w:r w:rsidR="00D0788C" w:rsidRPr="00D0788C">
        <w:t>from a single project</w:t>
      </w:r>
      <w:r w:rsidR="00E07546">
        <w:t xml:space="preserve"> </w:t>
      </w:r>
      <w:r w:rsidR="00D0788C" w:rsidRPr="00D0788C">
        <w:t xml:space="preserve">to six </w:t>
      </w:r>
      <w:r w:rsidR="003B0689">
        <w:t xml:space="preserve">annual </w:t>
      </w:r>
      <w:r w:rsidR="00D0788C" w:rsidRPr="00D0788C">
        <w:t>projects adds additional mobilisation</w:t>
      </w:r>
      <w:r w:rsidR="003B0689">
        <w:t xml:space="preserve">, </w:t>
      </w:r>
      <w:r w:rsidR="00D0788C" w:rsidRPr="00D0788C">
        <w:t>demobilisation</w:t>
      </w:r>
      <w:r w:rsidR="003B0689">
        <w:t xml:space="preserve">, </w:t>
      </w:r>
      <w:r w:rsidR="00D0788C" w:rsidRPr="00D0788C">
        <w:t xml:space="preserve">project management and supervision </w:t>
      </w:r>
      <w:r w:rsidR="003B0689">
        <w:t>costs of approximately $2 million</w:t>
      </w:r>
      <w:r w:rsidR="006537FD">
        <w:t>.</w:t>
      </w:r>
      <w:r w:rsidR="00D0788C" w:rsidRPr="00D0788C">
        <w:t xml:space="preserve"> </w:t>
      </w:r>
      <w:r w:rsidR="004A338A">
        <w:t>APTNT also stated that by maintaining the same crew</w:t>
      </w:r>
      <w:r w:rsidR="002D343E">
        <w:t>,</w:t>
      </w:r>
      <w:r w:rsidR="004A338A">
        <w:t xml:space="preserve"> savings are incurred on training costs and productivity is increased as the crew derive efficient work practices with experience. </w:t>
      </w:r>
      <w:r w:rsidR="006537FD">
        <w:t>APTNT submit</w:t>
      </w:r>
      <w:r w:rsidR="003B0689">
        <w:t>ted</w:t>
      </w:r>
      <w:r w:rsidR="006537FD">
        <w:t xml:space="preserve"> that it has </w:t>
      </w:r>
      <w:r w:rsidR="00707471">
        <w:t>avoided</w:t>
      </w:r>
      <w:r w:rsidR="004A338A">
        <w:t xml:space="preserve"> these additional </w:t>
      </w:r>
      <w:r w:rsidR="006537FD">
        <w:t xml:space="preserve">costs </w:t>
      </w:r>
      <w:r w:rsidR="004A338A">
        <w:t xml:space="preserve">and increased productivity </w:t>
      </w:r>
      <w:r w:rsidR="00D0788C" w:rsidRPr="00D0788C">
        <w:t>by conducting the works as a single project.</w:t>
      </w:r>
      <w:r w:rsidR="006537FD">
        <w:rPr>
          <w:rStyle w:val="FootnoteReference"/>
        </w:rPr>
        <w:footnoteReference w:id="3"/>
      </w:r>
    </w:p>
    <w:p w:rsidR="00D0788C" w:rsidRPr="00B866F2" w:rsidRDefault="00675875" w:rsidP="00B314E7">
      <w:r>
        <w:t xml:space="preserve">In summary, </w:t>
      </w:r>
      <w:r w:rsidR="00B314E7" w:rsidRPr="00B314E7">
        <w:t>APTNT submi</w:t>
      </w:r>
      <w:r>
        <w:t>t</w:t>
      </w:r>
      <w:r w:rsidR="00B314E7" w:rsidRPr="00B314E7">
        <w:t>t</w:t>
      </w:r>
      <w:r>
        <w:t>ed</w:t>
      </w:r>
      <w:r w:rsidR="00B314E7" w:rsidRPr="00B314E7">
        <w:t xml:space="preserve"> that its approach to </w:t>
      </w:r>
      <w:r>
        <w:t xml:space="preserve">the below ground station pipework </w:t>
      </w:r>
      <w:r w:rsidR="00CA6EBA">
        <w:t xml:space="preserve">recoating </w:t>
      </w:r>
      <w:r w:rsidR="00B314E7" w:rsidRPr="00B314E7">
        <w:t>project results in a lower cost for the project and therefore would be incurred by a prudent service provider acting efficiently, in accordance with accepted good industry practice, to achieve the lowest sustainable cost of providing services.</w:t>
      </w:r>
      <w:r w:rsidR="00E344BB">
        <w:rPr>
          <w:rStyle w:val="FootnoteReference"/>
        </w:rPr>
        <w:footnoteReference w:id="4"/>
      </w:r>
    </w:p>
    <w:p w:rsidR="00B866F2" w:rsidRPr="00B866F2" w:rsidRDefault="00E344BB" w:rsidP="000711DD">
      <w:r>
        <w:t xml:space="preserve">APTNT also </w:t>
      </w:r>
      <w:r w:rsidR="00116F2B">
        <w:t>stated</w:t>
      </w:r>
      <w:r>
        <w:t xml:space="preserve"> that </w:t>
      </w:r>
      <w:r w:rsidR="00D173E6">
        <w:t xml:space="preserve">it </w:t>
      </w:r>
      <w:r>
        <w:t>accepted the AER’s updated real labour cost escalators, and applied them in respect of 2015-16 and forecast capital expenditure.</w:t>
      </w:r>
      <w:r>
        <w:rPr>
          <w:rStyle w:val="FootnoteReference"/>
        </w:rPr>
        <w:footnoteReference w:id="5"/>
      </w:r>
    </w:p>
    <w:p w:rsidR="00440D98" w:rsidRPr="00ED4845" w:rsidRDefault="001100B9" w:rsidP="00E209D5">
      <w:pPr>
        <w:pStyle w:val="Heading3"/>
      </w:pPr>
      <w:bookmarkStart w:id="26" w:name="_Toc451529907"/>
      <w:r w:rsidRPr="00ED4845">
        <w:t>C</w:t>
      </w:r>
      <w:r w:rsidR="00440D98" w:rsidRPr="00ED4845">
        <w:t>apital expenditure for the 2016–21 access arrangement period</w:t>
      </w:r>
      <w:bookmarkEnd w:id="26"/>
    </w:p>
    <w:p w:rsidR="00440D98" w:rsidRPr="00440D98" w:rsidRDefault="00E40177" w:rsidP="00440D98">
      <w:r>
        <w:t xml:space="preserve">In its revised proposal, </w:t>
      </w:r>
      <w:r w:rsidR="00440D98" w:rsidRPr="00440D98">
        <w:t>APTNT proposed total forecast net capex of $29.</w:t>
      </w:r>
      <w:r>
        <w:t>0</w:t>
      </w:r>
      <w:r w:rsidR="00440D98" w:rsidRPr="00440D98">
        <w:t xml:space="preserve"> million ($2015</w:t>
      </w:r>
      <w:r w:rsidR="00440D98" w:rsidRPr="00440D98">
        <w:noBreakHyphen/>
        <w:t>16) for the 2016–21 access arrangement period.</w:t>
      </w:r>
      <w:r w:rsidR="00440D98" w:rsidRPr="00440D98">
        <w:rPr>
          <w:rStyle w:val="AERsuperscript"/>
        </w:rPr>
        <w:footnoteReference w:id="6"/>
      </w:r>
      <w:r w:rsidR="00440D98" w:rsidRPr="00440D98">
        <w:t xml:space="preserve"> This </w:t>
      </w:r>
      <w:r>
        <w:t>is $0.9 million ($2015-16) or 3</w:t>
      </w:r>
      <w:r w:rsidR="00440D98" w:rsidRPr="00440D98">
        <w:t xml:space="preserve"> per cent </w:t>
      </w:r>
      <w:r>
        <w:t xml:space="preserve">less than </w:t>
      </w:r>
      <w:r w:rsidR="00E453CA">
        <w:t xml:space="preserve">its proposed capex in its </w:t>
      </w:r>
      <w:r w:rsidR="003B0689">
        <w:t>initial</w:t>
      </w:r>
      <w:r w:rsidR="00E453CA">
        <w:t xml:space="preserve"> proposal</w:t>
      </w:r>
      <w:r w:rsidR="00440D98" w:rsidRPr="00440D98">
        <w:t>.</w:t>
      </w:r>
    </w:p>
    <w:p w:rsidR="00440D98" w:rsidRDefault="0053424C" w:rsidP="008A7C24">
      <w:pPr>
        <w:pStyle w:val="Caption"/>
      </w:pPr>
      <w:proofErr w:type="gramStart"/>
      <w:r>
        <w:t xml:space="preserve">Table </w:t>
      </w:r>
      <w:r w:rsidR="00CF6C01">
        <w:fldChar w:fldCharType="begin"/>
      </w:r>
      <w:r w:rsidR="00CF6C01">
        <w:instrText xml:space="preserve"> STYLEREF 1 \s </w:instrText>
      </w:r>
      <w:r w:rsidR="00CF6C01">
        <w:fldChar w:fldCharType="separate"/>
      </w:r>
      <w:r w:rsidR="00C9476D">
        <w:rPr>
          <w:noProof/>
        </w:rPr>
        <w:t>6</w:t>
      </w:r>
      <w:r w:rsidR="00CF6C01">
        <w:rPr>
          <w:noProof/>
        </w:rPr>
        <w:fldChar w:fldCharType="end"/>
      </w:r>
      <w:r w:rsidR="00EA4D62">
        <w:t>.</w:t>
      </w:r>
      <w:proofErr w:type="gramEnd"/>
      <w:r w:rsidR="00CF6C01">
        <w:fldChar w:fldCharType="begin"/>
      </w:r>
      <w:r w:rsidR="00CF6C01">
        <w:instrText xml:space="preserve"> SEQ Table \* ARABIC \s 1 </w:instrText>
      </w:r>
      <w:r w:rsidR="00CF6C01">
        <w:fldChar w:fldCharType="separate"/>
      </w:r>
      <w:r w:rsidR="00C9476D">
        <w:rPr>
          <w:noProof/>
        </w:rPr>
        <w:t>6</w:t>
      </w:r>
      <w:r w:rsidR="00CF6C01">
        <w:rPr>
          <w:noProof/>
        </w:rPr>
        <w:fldChar w:fldCharType="end"/>
      </w:r>
      <w:r>
        <w:tab/>
      </w:r>
      <w:r w:rsidR="00440D98" w:rsidRPr="00440D98">
        <w:t xml:space="preserve">APTNT’s </w:t>
      </w:r>
      <w:r w:rsidR="00E453CA">
        <w:t xml:space="preserve">revised </w:t>
      </w:r>
      <w:r w:rsidR="00440D98" w:rsidRPr="00440D98">
        <w:t>proposed capital expenditure by category over the 2016–21 access arrangement period ($million, 2015</w:t>
      </w:r>
      <w:r w:rsidR="00440D98" w:rsidRPr="00440D98">
        <w:noBreakHyphen/>
        <w:t>16)</w:t>
      </w:r>
    </w:p>
    <w:tbl>
      <w:tblPr>
        <w:tblStyle w:val="AERtable-numbers"/>
        <w:tblW w:w="5000" w:type="pct"/>
        <w:tblLook w:val="04A0" w:firstRow="1" w:lastRow="0" w:firstColumn="1" w:lastColumn="0" w:noHBand="0" w:noVBand="1"/>
      </w:tblPr>
      <w:tblGrid>
        <w:gridCol w:w="2035"/>
        <w:gridCol w:w="1111"/>
        <w:gridCol w:w="1111"/>
        <w:gridCol w:w="1111"/>
        <w:gridCol w:w="1109"/>
        <w:gridCol w:w="1109"/>
        <w:gridCol w:w="1106"/>
      </w:tblGrid>
      <w:tr w:rsidR="00E453CA" w:rsidRPr="004F416F" w:rsidTr="00E453C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71" w:type="pct"/>
            <w:hideMark/>
          </w:tcPr>
          <w:p w:rsidR="00E453CA" w:rsidRPr="00E453CA" w:rsidRDefault="00E453CA" w:rsidP="00E209D5">
            <w:pPr>
              <w:keepNext/>
            </w:pPr>
            <w:r w:rsidRPr="00E453CA">
              <w:t> Category</w:t>
            </w:r>
          </w:p>
        </w:tc>
        <w:tc>
          <w:tcPr>
            <w:tcW w:w="639" w:type="pct"/>
            <w:hideMark/>
          </w:tcPr>
          <w:p w:rsidR="00E453CA" w:rsidRPr="00E453CA" w:rsidRDefault="00E453CA" w:rsidP="00E209D5">
            <w:pPr>
              <w:pStyle w:val="AERtabletextright"/>
              <w:keepNext/>
              <w:cnfStyle w:val="100000000000" w:firstRow="1" w:lastRow="0" w:firstColumn="0" w:lastColumn="0" w:oddVBand="0" w:evenVBand="0" w:oddHBand="0" w:evenHBand="0" w:firstRowFirstColumn="0" w:firstRowLastColumn="0" w:lastRowFirstColumn="0" w:lastRowLastColumn="0"/>
            </w:pPr>
            <w:r w:rsidRPr="00E453CA">
              <w:t>2016-17</w:t>
            </w:r>
          </w:p>
        </w:tc>
        <w:tc>
          <w:tcPr>
            <w:tcW w:w="639" w:type="pct"/>
            <w:hideMark/>
          </w:tcPr>
          <w:p w:rsidR="00E453CA" w:rsidRPr="00E453CA" w:rsidRDefault="00E453CA" w:rsidP="00E209D5">
            <w:pPr>
              <w:pStyle w:val="AERtabletextright"/>
              <w:keepNext/>
              <w:cnfStyle w:val="100000000000" w:firstRow="1" w:lastRow="0" w:firstColumn="0" w:lastColumn="0" w:oddVBand="0" w:evenVBand="0" w:oddHBand="0" w:evenHBand="0" w:firstRowFirstColumn="0" w:firstRowLastColumn="0" w:lastRowFirstColumn="0" w:lastRowLastColumn="0"/>
            </w:pPr>
            <w:r w:rsidRPr="00E453CA">
              <w:t>2017-18</w:t>
            </w:r>
          </w:p>
        </w:tc>
        <w:tc>
          <w:tcPr>
            <w:tcW w:w="639" w:type="pct"/>
            <w:hideMark/>
          </w:tcPr>
          <w:p w:rsidR="00E453CA" w:rsidRPr="00E453CA" w:rsidRDefault="00E453CA" w:rsidP="00E209D5">
            <w:pPr>
              <w:pStyle w:val="AERtabletextright"/>
              <w:keepNext/>
              <w:cnfStyle w:val="100000000000" w:firstRow="1" w:lastRow="0" w:firstColumn="0" w:lastColumn="0" w:oddVBand="0" w:evenVBand="0" w:oddHBand="0" w:evenHBand="0" w:firstRowFirstColumn="0" w:firstRowLastColumn="0" w:lastRowFirstColumn="0" w:lastRowLastColumn="0"/>
            </w:pPr>
            <w:r w:rsidRPr="00E453CA">
              <w:t>2018-19</w:t>
            </w:r>
          </w:p>
        </w:tc>
        <w:tc>
          <w:tcPr>
            <w:tcW w:w="638" w:type="pct"/>
            <w:hideMark/>
          </w:tcPr>
          <w:p w:rsidR="00E453CA" w:rsidRPr="00E453CA" w:rsidRDefault="00E453CA" w:rsidP="00E209D5">
            <w:pPr>
              <w:pStyle w:val="AERtabletextright"/>
              <w:keepNext/>
              <w:cnfStyle w:val="100000000000" w:firstRow="1" w:lastRow="0" w:firstColumn="0" w:lastColumn="0" w:oddVBand="0" w:evenVBand="0" w:oddHBand="0" w:evenHBand="0" w:firstRowFirstColumn="0" w:firstRowLastColumn="0" w:lastRowFirstColumn="0" w:lastRowLastColumn="0"/>
            </w:pPr>
            <w:r w:rsidRPr="00E453CA">
              <w:t>2019-20</w:t>
            </w:r>
          </w:p>
        </w:tc>
        <w:tc>
          <w:tcPr>
            <w:tcW w:w="638" w:type="pct"/>
            <w:hideMark/>
          </w:tcPr>
          <w:p w:rsidR="00E453CA" w:rsidRPr="00E453CA" w:rsidRDefault="00E453CA" w:rsidP="00E209D5">
            <w:pPr>
              <w:pStyle w:val="AERtabletextright"/>
              <w:keepNext/>
              <w:cnfStyle w:val="100000000000" w:firstRow="1" w:lastRow="0" w:firstColumn="0" w:lastColumn="0" w:oddVBand="0" w:evenVBand="0" w:oddHBand="0" w:evenHBand="0" w:firstRowFirstColumn="0" w:firstRowLastColumn="0" w:lastRowFirstColumn="0" w:lastRowLastColumn="0"/>
            </w:pPr>
            <w:r w:rsidRPr="00E453CA">
              <w:t>2020-21</w:t>
            </w:r>
          </w:p>
        </w:tc>
        <w:tc>
          <w:tcPr>
            <w:tcW w:w="638" w:type="pct"/>
          </w:tcPr>
          <w:p w:rsidR="00E453CA" w:rsidRPr="00E453CA" w:rsidRDefault="00E453CA" w:rsidP="00E209D5">
            <w:pPr>
              <w:pStyle w:val="AERtabletextright"/>
              <w:keepNext/>
              <w:cnfStyle w:val="100000000000" w:firstRow="1" w:lastRow="0" w:firstColumn="0" w:lastColumn="0" w:oddVBand="0" w:evenVBand="0" w:oddHBand="0" w:evenHBand="0" w:firstRowFirstColumn="0" w:firstRowLastColumn="0" w:lastRowFirstColumn="0" w:lastRowLastColumn="0"/>
            </w:pPr>
            <w:r w:rsidRPr="00E453CA">
              <w:t>Total</w:t>
            </w:r>
          </w:p>
        </w:tc>
      </w:tr>
      <w:tr w:rsidR="00E453CA" w:rsidRPr="004F416F" w:rsidTr="00E453CA">
        <w:trPr>
          <w:trHeight w:val="300"/>
        </w:trPr>
        <w:tc>
          <w:tcPr>
            <w:cnfStyle w:val="001000000000" w:firstRow="0" w:lastRow="0" w:firstColumn="1" w:lastColumn="0" w:oddVBand="0" w:evenVBand="0" w:oddHBand="0" w:evenHBand="0" w:firstRowFirstColumn="0" w:firstRowLastColumn="0" w:lastRowFirstColumn="0" w:lastRowLastColumn="0"/>
            <w:tcW w:w="1171" w:type="pct"/>
          </w:tcPr>
          <w:p w:rsidR="00E453CA" w:rsidRPr="00E453CA" w:rsidRDefault="00E453CA" w:rsidP="00E209D5">
            <w:pPr>
              <w:keepNext/>
            </w:pPr>
            <w:r w:rsidRPr="00E453CA">
              <w:t>Expansion</w:t>
            </w:r>
          </w:p>
        </w:tc>
        <w:tc>
          <w:tcPr>
            <w:tcW w:w="639" w:type="pct"/>
          </w:tcPr>
          <w:p w:rsidR="00E453CA" w:rsidRPr="00E453CA" w:rsidRDefault="00E453CA" w:rsidP="00E209D5">
            <w:pPr>
              <w:keepNext/>
              <w:cnfStyle w:val="000000000000" w:firstRow="0" w:lastRow="0" w:firstColumn="0" w:lastColumn="0" w:oddVBand="0" w:evenVBand="0" w:oddHBand="0" w:evenHBand="0" w:firstRowFirstColumn="0" w:firstRowLastColumn="0" w:lastRowFirstColumn="0" w:lastRowLastColumn="0"/>
            </w:pPr>
            <w:r w:rsidRPr="00E453CA">
              <w:t>-</w:t>
            </w:r>
          </w:p>
        </w:tc>
        <w:tc>
          <w:tcPr>
            <w:tcW w:w="639" w:type="pct"/>
          </w:tcPr>
          <w:p w:rsidR="00E453CA" w:rsidRPr="00E453CA" w:rsidRDefault="00E453CA" w:rsidP="00E209D5">
            <w:pPr>
              <w:keepNext/>
              <w:cnfStyle w:val="000000000000" w:firstRow="0" w:lastRow="0" w:firstColumn="0" w:lastColumn="0" w:oddVBand="0" w:evenVBand="0" w:oddHBand="0" w:evenHBand="0" w:firstRowFirstColumn="0" w:firstRowLastColumn="0" w:lastRowFirstColumn="0" w:lastRowLastColumn="0"/>
            </w:pPr>
            <w:r w:rsidRPr="00E453CA">
              <w:t>-</w:t>
            </w:r>
          </w:p>
        </w:tc>
        <w:tc>
          <w:tcPr>
            <w:tcW w:w="639" w:type="pct"/>
          </w:tcPr>
          <w:p w:rsidR="00E453CA" w:rsidRPr="00E453CA" w:rsidRDefault="00E453CA" w:rsidP="00E209D5">
            <w:pPr>
              <w:keepNext/>
              <w:cnfStyle w:val="000000000000" w:firstRow="0" w:lastRow="0" w:firstColumn="0" w:lastColumn="0" w:oddVBand="0" w:evenVBand="0" w:oddHBand="0" w:evenHBand="0" w:firstRowFirstColumn="0" w:firstRowLastColumn="0" w:lastRowFirstColumn="0" w:lastRowLastColumn="0"/>
            </w:pPr>
            <w:r w:rsidRPr="00E453CA">
              <w:t>-</w:t>
            </w:r>
          </w:p>
        </w:tc>
        <w:tc>
          <w:tcPr>
            <w:tcW w:w="638" w:type="pct"/>
          </w:tcPr>
          <w:p w:rsidR="00E453CA" w:rsidRPr="00E453CA" w:rsidRDefault="00E453CA" w:rsidP="00E209D5">
            <w:pPr>
              <w:keepNext/>
              <w:cnfStyle w:val="000000000000" w:firstRow="0" w:lastRow="0" w:firstColumn="0" w:lastColumn="0" w:oddVBand="0" w:evenVBand="0" w:oddHBand="0" w:evenHBand="0" w:firstRowFirstColumn="0" w:firstRowLastColumn="0" w:lastRowFirstColumn="0" w:lastRowLastColumn="0"/>
            </w:pPr>
            <w:r w:rsidRPr="00E453CA">
              <w:t>-</w:t>
            </w:r>
          </w:p>
        </w:tc>
        <w:tc>
          <w:tcPr>
            <w:tcW w:w="638" w:type="pct"/>
          </w:tcPr>
          <w:p w:rsidR="00E453CA" w:rsidRPr="00E453CA" w:rsidRDefault="00E453CA" w:rsidP="00E209D5">
            <w:pPr>
              <w:keepNext/>
              <w:cnfStyle w:val="000000000000" w:firstRow="0" w:lastRow="0" w:firstColumn="0" w:lastColumn="0" w:oddVBand="0" w:evenVBand="0" w:oddHBand="0" w:evenHBand="0" w:firstRowFirstColumn="0" w:firstRowLastColumn="0" w:lastRowFirstColumn="0" w:lastRowLastColumn="0"/>
            </w:pPr>
            <w:r w:rsidRPr="00E453CA">
              <w:t>-</w:t>
            </w:r>
          </w:p>
        </w:tc>
        <w:tc>
          <w:tcPr>
            <w:tcW w:w="638" w:type="pct"/>
          </w:tcPr>
          <w:p w:rsidR="00E453CA" w:rsidRPr="00E453CA" w:rsidRDefault="00E453CA" w:rsidP="00E209D5">
            <w:pPr>
              <w:keepNext/>
              <w:cnfStyle w:val="000000000000" w:firstRow="0" w:lastRow="0" w:firstColumn="0" w:lastColumn="0" w:oddVBand="0" w:evenVBand="0" w:oddHBand="0" w:evenHBand="0" w:firstRowFirstColumn="0" w:firstRowLastColumn="0" w:lastRowFirstColumn="0" w:lastRowLastColumn="0"/>
            </w:pPr>
            <w:r w:rsidRPr="00E453CA">
              <w:t>-</w:t>
            </w:r>
          </w:p>
        </w:tc>
      </w:tr>
      <w:tr w:rsidR="00E453CA" w:rsidRPr="004F416F" w:rsidTr="00E453C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1" w:type="pct"/>
          </w:tcPr>
          <w:p w:rsidR="00E453CA" w:rsidRPr="00E453CA" w:rsidRDefault="00E453CA" w:rsidP="00E209D5">
            <w:pPr>
              <w:keepNext/>
            </w:pPr>
            <w:r w:rsidRPr="00E453CA">
              <w:t>Replacement</w:t>
            </w:r>
          </w:p>
        </w:tc>
        <w:tc>
          <w:tcPr>
            <w:tcW w:w="639" w:type="pct"/>
          </w:tcPr>
          <w:p w:rsidR="00E453CA" w:rsidRPr="00DF7171" w:rsidRDefault="00E453CA" w:rsidP="00E209D5">
            <w:pPr>
              <w:keepNext/>
              <w:cnfStyle w:val="000000010000" w:firstRow="0" w:lastRow="0" w:firstColumn="0" w:lastColumn="0" w:oddVBand="0" w:evenVBand="0" w:oddHBand="0" w:evenHBand="1" w:firstRowFirstColumn="0" w:firstRowLastColumn="0" w:lastRowFirstColumn="0" w:lastRowLastColumn="0"/>
            </w:pPr>
            <w:r w:rsidRPr="00DF7171">
              <w:t>15.</w:t>
            </w:r>
            <w:r w:rsidR="004C1819" w:rsidRPr="00DF7171">
              <w:t>8</w:t>
            </w:r>
          </w:p>
        </w:tc>
        <w:tc>
          <w:tcPr>
            <w:tcW w:w="639" w:type="pct"/>
          </w:tcPr>
          <w:p w:rsidR="00E453CA" w:rsidRPr="00DF7171" w:rsidRDefault="00E453CA" w:rsidP="00E209D5">
            <w:pPr>
              <w:keepNext/>
              <w:cnfStyle w:val="000000010000" w:firstRow="0" w:lastRow="0" w:firstColumn="0" w:lastColumn="0" w:oddVBand="0" w:evenVBand="0" w:oddHBand="0" w:evenHBand="1" w:firstRowFirstColumn="0" w:firstRowLastColumn="0" w:lastRowFirstColumn="0" w:lastRowLastColumn="0"/>
            </w:pPr>
            <w:r w:rsidRPr="00DF7171">
              <w:t>1.6</w:t>
            </w:r>
          </w:p>
        </w:tc>
        <w:tc>
          <w:tcPr>
            <w:tcW w:w="639" w:type="pct"/>
          </w:tcPr>
          <w:p w:rsidR="00E453CA" w:rsidRPr="00DF7171" w:rsidRDefault="00E453CA" w:rsidP="00E209D5">
            <w:pPr>
              <w:keepNext/>
              <w:cnfStyle w:val="000000010000" w:firstRow="0" w:lastRow="0" w:firstColumn="0" w:lastColumn="0" w:oddVBand="0" w:evenVBand="0" w:oddHBand="0" w:evenHBand="1" w:firstRowFirstColumn="0" w:firstRowLastColumn="0" w:lastRowFirstColumn="0" w:lastRowLastColumn="0"/>
            </w:pPr>
            <w:r w:rsidRPr="00DF7171">
              <w:t>1.</w:t>
            </w:r>
            <w:r w:rsidR="004C1819" w:rsidRPr="00DF7171">
              <w:t>2</w:t>
            </w:r>
          </w:p>
        </w:tc>
        <w:tc>
          <w:tcPr>
            <w:tcW w:w="638" w:type="pct"/>
          </w:tcPr>
          <w:p w:rsidR="00E453CA" w:rsidRPr="00DF7171" w:rsidRDefault="00E453CA" w:rsidP="00E209D5">
            <w:pPr>
              <w:keepNext/>
              <w:cnfStyle w:val="000000010000" w:firstRow="0" w:lastRow="0" w:firstColumn="0" w:lastColumn="0" w:oddVBand="0" w:evenVBand="0" w:oddHBand="0" w:evenHBand="1" w:firstRowFirstColumn="0" w:firstRowLastColumn="0" w:lastRowFirstColumn="0" w:lastRowLastColumn="0"/>
            </w:pPr>
            <w:r w:rsidRPr="00DF7171">
              <w:t>1.3</w:t>
            </w:r>
          </w:p>
        </w:tc>
        <w:tc>
          <w:tcPr>
            <w:tcW w:w="638" w:type="pct"/>
          </w:tcPr>
          <w:p w:rsidR="00E453CA" w:rsidRPr="00DF7171" w:rsidRDefault="00E453CA" w:rsidP="00E209D5">
            <w:pPr>
              <w:keepNext/>
              <w:cnfStyle w:val="000000010000" w:firstRow="0" w:lastRow="0" w:firstColumn="0" w:lastColumn="0" w:oddVBand="0" w:evenVBand="0" w:oddHBand="0" w:evenHBand="1" w:firstRowFirstColumn="0" w:firstRowLastColumn="0" w:lastRowFirstColumn="0" w:lastRowLastColumn="0"/>
            </w:pPr>
            <w:r w:rsidRPr="00DF7171">
              <w:t>1.1</w:t>
            </w:r>
          </w:p>
        </w:tc>
        <w:tc>
          <w:tcPr>
            <w:tcW w:w="638" w:type="pct"/>
          </w:tcPr>
          <w:p w:rsidR="00E453CA" w:rsidRPr="00DF7171" w:rsidRDefault="00E453CA" w:rsidP="00E209D5">
            <w:pPr>
              <w:keepNext/>
              <w:cnfStyle w:val="000000010000" w:firstRow="0" w:lastRow="0" w:firstColumn="0" w:lastColumn="0" w:oddVBand="0" w:evenVBand="0" w:oddHBand="0" w:evenHBand="1" w:firstRowFirstColumn="0" w:firstRowLastColumn="0" w:lastRowFirstColumn="0" w:lastRowLastColumn="0"/>
            </w:pPr>
            <w:r w:rsidRPr="00DF7171">
              <w:t>21.</w:t>
            </w:r>
            <w:r w:rsidR="004C1819" w:rsidRPr="00DF7171">
              <w:t>0</w:t>
            </w:r>
          </w:p>
        </w:tc>
      </w:tr>
      <w:tr w:rsidR="00E453CA" w:rsidRPr="004F416F" w:rsidTr="00E453CA">
        <w:trPr>
          <w:trHeight w:val="300"/>
        </w:trPr>
        <w:tc>
          <w:tcPr>
            <w:cnfStyle w:val="001000000000" w:firstRow="0" w:lastRow="0" w:firstColumn="1" w:lastColumn="0" w:oddVBand="0" w:evenVBand="0" w:oddHBand="0" w:evenHBand="0" w:firstRowFirstColumn="0" w:firstRowLastColumn="0" w:lastRowFirstColumn="0" w:lastRowLastColumn="0"/>
            <w:tcW w:w="1171" w:type="pct"/>
          </w:tcPr>
          <w:p w:rsidR="00E453CA" w:rsidRPr="00E453CA" w:rsidRDefault="00E453CA" w:rsidP="00E209D5">
            <w:pPr>
              <w:keepNext/>
            </w:pPr>
            <w:r w:rsidRPr="00E453CA">
              <w:t>Non-system</w:t>
            </w:r>
          </w:p>
        </w:tc>
        <w:tc>
          <w:tcPr>
            <w:tcW w:w="639" w:type="pct"/>
          </w:tcPr>
          <w:p w:rsidR="00E453CA" w:rsidRPr="00DF7171" w:rsidRDefault="00E453CA" w:rsidP="00E209D5">
            <w:pPr>
              <w:keepNext/>
              <w:cnfStyle w:val="000000000000" w:firstRow="0" w:lastRow="0" w:firstColumn="0" w:lastColumn="0" w:oddVBand="0" w:evenVBand="0" w:oddHBand="0" w:evenHBand="0" w:firstRowFirstColumn="0" w:firstRowLastColumn="0" w:lastRowFirstColumn="0" w:lastRowLastColumn="0"/>
            </w:pPr>
            <w:r w:rsidRPr="00DF7171">
              <w:t>4.4</w:t>
            </w:r>
          </w:p>
        </w:tc>
        <w:tc>
          <w:tcPr>
            <w:tcW w:w="639" w:type="pct"/>
          </w:tcPr>
          <w:p w:rsidR="00E453CA" w:rsidRPr="00DF7171" w:rsidRDefault="00E453CA" w:rsidP="00E209D5">
            <w:pPr>
              <w:keepNext/>
              <w:cnfStyle w:val="000000000000" w:firstRow="0" w:lastRow="0" w:firstColumn="0" w:lastColumn="0" w:oddVBand="0" w:evenVBand="0" w:oddHBand="0" w:evenHBand="0" w:firstRowFirstColumn="0" w:firstRowLastColumn="0" w:lastRowFirstColumn="0" w:lastRowLastColumn="0"/>
            </w:pPr>
            <w:r w:rsidRPr="00DF7171">
              <w:t>0.9</w:t>
            </w:r>
          </w:p>
        </w:tc>
        <w:tc>
          <w:tcPr>
            <w:tcW w:w="639" w:type="pct"/>
          </w:tcPr>
          <w:p w:rsidR="00E453CA" w:rsidRPr="00DF7171" w:rsidRDefault="00E453CA" w:rsidP="00E209D5">
            <w:pPr>
              <w:keepNext/>
              <w:cnfStyle w:val="000000000000" w:firstRow="0" w:lastRow="0" w:firstColumn="0" w:lastColumn="0" w:oddVBand="0" w:evenVBand="0" w:oddHBand="0" w:evenHBand="0" w:firstRowFirstColumn="0" w:firstRowLastColumn="0" w:lastRowFirstColumn="0" w:lastRowLastColumn="0"/>
            </w:pPr>
            <w:r w:rsidRPr="00DF7171">
              <w:t>1.0</w:t>
            </w:r>
          </w:p>
        </w:tc>
        <w:tc>
          <w:tcPr>
            <w:tcW w:w="638" w:type="pct"/>
          </w:tcPr>
          <w:p w:rsidR="00E453CA" w:rsidRPr="00DF7171" w:rsidRDefault="00E453CA" w:rsidP="00E209D5">
            <w:pPr>
              <w:keepNext/>
              <w:cnfStyle w:val="000000000000" w:firstRow="0" w:lastRow="0" w:firstColumn="0" w:lastColumn="0" w:oddVBand="0" w:evenVBand="0" w:oddHBand="0" w:evenHBand="0" w:firstRowFirstColumn="0" w:firstRowLastColumn="0" w:lastRowFirstColumn="0" w:lastRowLastColumn="0"/>
            </w:pPr>
            <w:r w:rsidRPr="00DF7171">
              <w:t>1.1</w:t>
            </w:r>
          </w:p>
        </w:tc>
        <w:tc>
          <w:tcPr>
            <w:tcW w:w="638" w:type="pct"/>
          </w:tcPr>
          <w:p w:rsidR="00E453CA" w:rsidRPr="00DF7171" w:rsidRDefault="00E453CA" w:rsidP="00E209D5">
            <w:pPr>
              <w:keepNext/>
              <w:cnfStyle w:val="000000000000" w:firstRow="0" w:lastRow="0" w:firstColumn="0" w:lastColumn="0" w:oddVBand="0" w:evenVBand="0" w:oddHBand="0" w:evenHBand="0" w:firstRowFirstColumn="0" w:firstRowLastColumn="0" w:lastRowFirstColumn="0" w:lastRowLastColumn="0"/>
            </w:pPr>
            <w:r w:rsidRPr="00DF7171">
              <w:t>1.3</w:t>
            </w:r>
          </w:p>
        </w:tc>
        <w:tc>
          <w:tcPr>
            <w:tcW w:w="638" w:type="pct"/>
          </w:tcPr>
          <w:p w:rsidR="00E453CA" w:rsidRPr="00DF7171" w:rsidRDefault="00E453CA" w:rsidP="00E209D5">
            <w:pPr>
              <w:keepNext/>
              <w:cnfStyle w:val="000000000000" w:firstRow="0" w:lastRow="0" w:firstColumn="0" w:lastColumn="0" w:oddVBand="0" w:evenVBand="0" w:oddHBand="0" w:evenHBand="0" w:firstRowFirstColumn="0" w:firstRowLastColumn="0" w:lastRowFirstColumn="0" w:lastRowLastColumn="0"/>
            </w:pPr>
            <w:r w:rsidRPr="00DF7171">
              <w:t>8.7</w:t>
            </w:r>
          </w:p>
        </w:tc>
      </w:tr>
      <w:tr w:rsidR="00E453CA" w:rsidRPr="004F416F" w:rsidTr="00E453C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1" w:type="pct"/>
          </w:tcPr>
          <w:p w:rsidR="00E453CA" w:rsidRPr="00E453CA" w:rsidRDefault="00E453CA" w:rsidP="00E209D5">
            <w:pPr>
              <w:keepNext/>
            </w:pPr>
            <w:r w:rsidRPr="00E453CA">
              <w:t>GROSS TOTAL CAPITAL EXPENDITURE</w:t>
            </w:r>
          </w:p>
        </w:tc>
        <w:tc>
          <w:tcPr>
            <w:tcW w:w="639" w:type="pct"/>
          </w:tcPr>
          <w:p w:rsidR="00E453CA" w:rsidRPr="00DF7171" w:rsidRDefault="00E453CA" w:rsidP="00E209D5">
            <w:pPr>
              <w:keepNext/>
              <w:cnfStyle w:val="000000010000" w:firstRow="0" w:lastRow="0" w:firstColumn="0" w:lastColumn="0" w:oddVBand="0" w:evenVBand="0" w:oddHBand="0" w:evenHBand="1" w:firstRowFirstColumn="0" w:firstRowLastColumn="0" w:lastRowFirstColumn="0" w:lastRowLastColumn="0"/>
            </w:pPr>
            <w:r w:rsidRPr="00DF7171">
              <w:t>20.</w:t>
            </w:r>
            <w:r w:rsidR="004C1819" w:rsidRPr="00DF7171">
              <w:t>2</w:t>
            </w:r>
          </w:p>
        </w:tc>
        <w:tc>
          <w:tcPr>
            <w:tcW w:w="639" w:type="pct"/>
          </w:tcPr>
          <w:p w:rsidR="00E453CA" w:rsidRPr="00DF7171" w:rsidRDefault="00E453CA" w:rsidP="00E209D5">
            <w:pPr>
              <w:keepNext/>
              <w:cnfStyle w:val="000000010000" w:firstRow="0" w:lastRow="0" w:firstColumn="0" w:lastColumn="0" w:oddVBand="0" w:evenVBand="0" w:oddHBand="0" w:evenHBand="1" w:firstRowFirstColumn="0" w:firstRowLastColumn="0" w:lastRowFirstColumn="0" w:lastRowLastColumn="0"/>
            </w:pPr>
            <w:r w:rsidRPr="00DF7171">
              <w:t>2.5</w:t>
            </w:r>
          </w:p>
        </w:tc>
        <w:tc>
          <w:tcPr>
            <w:tcW w:w="639" w:type="pct"/>
          </w:tcPr>
          <w:p w:rsidR="00E453CA" w:rsidRPr="00DF7171" w:rsidRDefault="00E453CA" w:rsidP="00E209D5">
            <w:pPr>
              <w:keepNext/>
              <w:cnfStyle w:val="000000010000" w:firstRow="0" w:lastRow="0" w:firstColumn="0" w:lastColumn="0" w:oddVBand="0" w:evenVBand="0" w:oddHBand="0" w:evenHBand="1" w:firstRowFirstColumn="0" w:firstRowLastColumn="0" w:lastRowFirstColumn="0" w:lastRowLastColumn="0"/>
            </w:pPr>
            <w:r w:rsidRPr="00DF7171">
              <w:t>2.</w:t>
            </w:r>
            <w:r w:rsidR="004C1819" w:rsidRPr="00DF7171">
              <w:t>2</w:t>
            </w:r>
          </w:p>
        </w:tc>
        <w:tc>
          <w:tcPr>
            <w:tcW w:w="638" w:type="pct"/>
          </w:tcPr>
          <w:p w:rsidR="00E453CA" w:rsidRPr="00DF7171" w:rsidRDefault="00E453CA" w:rsidP="00E209D5">
            <w:pPr>
              <w:keepNext/>
              <w:cnfStyle w:val="000000010000" w:firstRow="0" w:lastRow="0" w:firstColumn="0" w:lastColumn="0" w:oddVBand="0" w:evenVBand="0" w:oddHBand="0" w:evenHBand="1" w:firstRowFirstColumn="0" w:firstRowLastColumn="0" w:lastRowFirstColumn="0" w:lastRowLastColumn="0"/>
            </w:pPr>
            <w:r w:rsidRPr="00DF7171">
              <w:t>2.</w:t>
            </w:r>
            <w:r w:rsidR="004C1819" w:rsidRPr="00DF7171">
              <w:t>4</w:t>
            </w:r>
          </w:p>
        </w:tc>
        <w:tc>
          <w:tcPr>
            <w:tcW w:w="638" w:type="pct"/>
          </w:tcPr>
          <w:p w:rsidR="00E453CA" w:rsidRPr="00DF7171" w:rsidRDefault="00E453CA" w:rsidP="00E209D5">
            <w:pPr>
              <w:keepNext/>
              <w:cnfStyle w:val="000000010000" w:firstRow="0" w:lastRow="0" w:firstColumn="0" w:lastColumn="0" w:oddVBand="0" w:evenVBand="0" w:oddHBand="0" w:evenHBand="1" w:firstRowFirstColumn="0" w:firstRowLastColumn="0" w:lastRowFirstColumn="0" w:lastRowLastColumn="0"/>
            </w:pPr>
            <w:r w:rsidRPr="00DF7171">
              <w:t>2.4</w:t>
            </w:r>
          </w:p>
        </w:tc>
        <w:tc>
          <w:tcPr>
            <w:tcW w:w="638" w:type="pct"/>
          </w:tcPr>
          <w:p w:rsidR="00E453CA" w:rsidRPr="00DF7171" w:rsidRDefault="00E453CA" w:rsidP="00E209D5">
            <w:pPr>
              <w:keepNext/>
              <w:cnfStyle w:val="000000010000" w:firstRow="0" w:lastRow="0" w:firstColumn="0" w:lastColumn="0" w:oddVBand="0" w:evenVBand="0" w:oddHBand="0" w:evenHBand="1" w:firstRowFirstColumn="0" w:firstRowLastColumn="0" w:lastRowFirstColumn="0" w:lastRowLastColumn="0"/>
            </w:pPr>
            <w:r w:rsidRPr="00DF7171">
              <w:t>29.</w:t>
            </w:r>
            <w:r w:rsidR="004C1819" w:rsidRPr="00DF7171">
              <w:t>7</w:t>
            </w:r>
          </w:p>
        </w:tc>
      </w:tr>
      <w:tr w:rsidR="00E453CA" w:rsidRPr="004F416F" w:rsidTr="00E453CA">
        <w:trPr>
          <w:trHeight w:val="300"/>
        </w:trPr>
        <w:tc>
          <w:tcPr>
            <w:cnfStyle w:val="001000000000" w:firstRow="0" w:lastRow="0" w:firstColumn="1" w:lastColumn="0" w:oddVBand="0" w:evenVBand="0" w:oddHBand="0" w:evenHBand="0" w:firstRowFirstColumn="0" w:firstRowLastColumn="0" w:lastRowFirstColumn="0" w:lastRowLastColumn="0"/>
            <w:tcW w:w="1171" w:type="pct"/>
          </w:tcPr>
          <w:p w:rsidR="00E453CA" w:rsidRPr="00E453CA" w:rsidRDefault="00E453CA" w:rsidP="00E209D5">
            <w:pPr>
              <w:keepNext/>
            </w:pPr>
            <w:r w:rsidRPr="00E453CA">
              <w:t>Contributions</w:t>
            </w:r>
          </w:p>
        </w:tc>
        <w:tc>
          <w:tcPr>
            <w:tcW w:w="639" w:type="pct"/>
          </w:tcPr>
          <w:p w:rsidR="00E453CA" w:rsidRPr="00DF7171" w:rsidRDefault="00E453CA" w:rsidP="00E209D5">
            <w:pPr>
              <w:keepNext/>
              <w:cnfStyle w:val="000000000000" w:firstRow="0" w:lastRow="0" w:firstColumn="0" w:lastColumn="0" w:oddVBand="0" w:evenVBand="0" w:oddHBand="0" w:evenHBand="0" w:firstRowFirstColumn="0" w:firstRowLastColumn="0" w:lastRowFirstColumn="0" w:lastRowLastColumn="0"/>
            </w:pPr>
            <w:r w:rsidRPr="00DF7171">
              <w:t>-</w:t>
            </w:r>
          </w:p>
        </w:tc>
        <w:tc>
          <w:tcPr>
            <w:tcW w:w="639" w:type="pct"/>
          </w:tcPr>
          <w:p w:rsidR="00E453CA" w:rsidRPr="00DF7171" w:rsidRDefault="00E453CA" w:rsidP="00E209D5">
            <w:pPr>
              <w:keepNext/>
              <w:cnfStyle w:val="000000000000" w:firstRow="0" w:lastRow="0" w:firstColumn="0" w:lastColumn="0" w:oddVBand="0" w:evenVBand="0" w:oddHBand="0" w:evenHBand="0" w:firstRowFirstColumn="0" w:firstRowLastColumn="0" w:lastRowFirstColumn="0" w:lastRowLastColumn="0"/>
            </w:pPr>
            <w:r w:rsidRPr="00DF7171">
              <w:t>-</w:t>
            </w:r>
          </w:p>
        </w:tc>
        <w:tc>
          <w:tcPr>
            <w:tcW w:w="639" w:type="pct"/>
          </w:tcPr>
          <w:p w:rsidR="00E453CA" w:rsidRPr="00DF7171" w:rsidRDefault="00E453CA" w:rsidP="00E209D5">
            <w:pPr>
              <w:keepNext/>
              <w:cnfStyle w:val="000000000000" w:firstRow="0" w:lastRow="0" w:firstColumn="0" w:lastColumn="0" w:oddVBand="0" w:evenVBand="0" w:oddHBand="0" w:evenHBand="0" w:firstRowFirstColumn="0" w:firstRowLastColumn="0" w:lastRowFirstColumn="0" w:lastRowLastColumn="0"/>
            </w:pPr>
            <w:r w:rsidRPr="00DF7171">
              <w:t>-</w:t>
            </w:r>
          </w:p>
        </w:tc>
        <w:tc>
          <w:tcPr>
            <w:tcW w:w="638" w:type="pct"/>
          </w:tcPr>
          <w:p w:rsidR="00E453CA" w:rsidRPr="00DF7171" w:rsidRDefault="00E453CA" w:rsidP="00E209D5">
            <w:pPr>
              <w:keepNext/>
              <w:cnfStyle w:val="000000000000" w:firstRow="0" w:lastRow="0" w:firstColumn="0" w:lastColumn="0" w:oddVBand="0" w:evenVBand="0" w:oddHBand="0" w:evenHBand="0" w:firstRowFirstColumn="0" w:firstRowLastColumn="0" w:lastRowFirstColumn="0" w:lastRowLastColumn="0"/>
            </w:pPr>
            <w:r w:rsidRPr="00DF7171">
              <w:t>-</w:t>
            </w:r>
          </w:p>
        </w:tc>
        <w:tc>
          <w:tcPr>
            <w:tcW w:w="638" w:type="pct"/>
          </w:tcPr>
          <w:p w:rsidR="00E453CA" w:rsidRPr="00DF7171" w:rsidRDefault="00E453CA" w:rsidP="00E209D5">
            <w:pPr>
              <w:keepNext/>
              <w:cnfStyle w:val="000000000000" w:firstRow="0" w:lastRow="0" w:firstColumn="0" w:lastColumn="0" w:oddVBand="0" w:evenVBand="0" w:oddHBand="0" w:evenHBand="0" w:firstRowFirstColumn="0" w:firstRowLastColumn="0" w:lastRowFirstColumn="0" w:lastRowLastColumn="0"/>
            </w:pPr>
            <w:r w:rsidRPr="00DF7171">
              <w:t>-</w:t>
            </w:r>
          </w:p>
        </w:tc>
        <w:tc>
          <w:tcPr>
            <w:tcW w:w="638" w:type="pct"/>
          </w:tcPr>
          <w:p w:rsidR="00E453CA" w:rsidRPr="00DF7171" w:rsidRDefault="00E453CA" w:rsidP="00E209D5">
            <w:pPr>
              <w:keepNext/>
              <w:cnfStyle w:val="000000000000" w:firstRow="0" w:lastRow="0" w:firstColumn="0" w:lastColumn="0" w:oddVBand="0" w:evenVBand="0" w:oddHBand="0" w:evenHBand="0" w:firstRowFirstColumn="0" w:firstRowLastColumn="0" w:lastRowFirstColumn="0" w:lastRowLastColumn="0"/>
            </w:pPr>
            <w:r w:rsidRPr="00DF7171">
              <w:t>-</w:t>
            </w:r>
          </w:p>
        </w:tc>
      </w:tr>
      <w:tr w:rsidR="00E453CA" w:rsidRPr="004F416F" w:rsidTr="00E453C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1" w:type="pct"/>
          </w:tcPr>
          <w:p w:rsidR="00E453CA" w:rsidRPr="00E453CA" w:rsidRDefault="00E453CA" w:rsidP="00E209D5">
            <w:pPr>
              <w:keepNext/>
            </w:pPr>
            <w:r w:rsidRPr="00E453CA">
              <w:t>Asset disposals</w:t>
            </w:r>
          </w:p>
        </w:tc>
        <w:tc>
          <w:tcPr>
            <w:tcW w:w="639" w:type="pct"/>
          </w:tcPr>
          <w:p w:rsidR="00E453CA" w:rsidRPr="00DF7171" w:rsidRDefault="00584EF3" w:rsidP="00E209D5">
            <w:pPr>
              <w:keepNext/>
              <w:cnfStyle w:val="000000010000" w:firstRow="0" w:lastRow="0" w:firstColumn="0" w:lastColumn="0" w:oddVBand="0" w:evenVBand="0" w:oddHBand="0" w:evenHBand="1" w:firstRowFirstColumn="0" w:firstRowLastColumn="0" w:lastRowFirstColumn="0" w:lastRowLastColumn="0"/>
            </w:pPr>
            <w:r w:rsidRPr="00DF7171">
              <w:t>0.2</w:t>
            </w:r>
          </w:p>
        </w:tc>
        <w:tc>
          <w:tcPr>
            <w:tcW w:w="639" w:type="pct"/>
          </w:tcPr>
          <w:p w:rsidR="00E453CA" w:rsidRPr="00DF7171" w:rsidRDefault="00584EF3" w:rsidP="00E209D5">
            <w:pPr>
              <w:keepNext/>
              <w:cnfStyle w:val="000000010000" w:firstRow="0" w:lastRow="0" w:firstColumn="0" w:lastColumn="0" w:oddVBand="0" w:evenVBand="0" w:oddHBand="0" w:evenHBand="1" w:firstRowFirstColumn="0" w:firstRowLastColumn="0" w:lastRowFirstColumn="0" w:lastRowLastColumn="0"/>
            </w:pPr>
            <w:r w:rsidRPr="00DF7171">
              <w:t>0.1</w:t>
            </w:r>
          </w:p>
        </w:tc>
        <w:tc>
          <w:tcPr>
            <w:tcW w:w="639" w:type="pct"/>
          </w:tcPr>
          <w:p w:rsidR="00E453CA" w:rsidRPr="00DF7171" w:rsidRDefault="00584EF3" w:rsidP="00E209D5">
            <w:pPr>
              <w:keepNext/>
              <w:cnfStyle w:val="000000010000" w:firstRow="0" w:lastRow="0" w:firstColumn="0" w:lastColumn="0" w:oddVBand="0" w:evenVBand="0" w:oddHBand="0" w:evenHBand="1" w:firstRowFirstColumn="0" w:firstRowLastColumn="0" w:lastRowFirstColumn="0" w:lastRowLastColumn="0"/>
            </w:pPr>
            <w:r w:rsidRPr="00DF7171">
              <w:t>0.1</w:t>
            </w:r>
          </w:p>
        </w:tc>
        <w:tc>
          <w:tcPr>
            <w:tcW w:w="638" w:type="pct"/>
          </w:tcPr>
          <w:p w:rsidR="00E453CA" w:rsidRPr="00DF7171" w:rsidRDefault="00584EF3" w:rsidP="00E209D5">
            <w:pPr>
              <w:keepNext/>
              <w:cnfStyle w:val="000000010000" w:firstRow="0" w:lastRow="0" w:firstColumn="0" w:lastColumn="0" w:oddVBand="0" w:evenVBand="0" w:oddHBand="0" w:evenHBand="1" w:firstRowFirstColumn="0" w:firstRowLastColumn="0" w:lastRowFirstColumn="0" w:lastRowLastColumn="0"/>
            </w:pPr>
            <w:r w:rsidRPr="00DF7171">
              <w:t>0.1</w:t>
            </w:r>
          </w:p>
        </w:tc>
        <w:tc>
          <w:tcPr>
            <w:tcW w:w="638" w:type="pct"/>
          </w:tcPr>
          <w:p w:rsidR="00E453CA" w:rsidRPr="00DF7171" w:rsidRDefault="00584EF3" w:rsidP="00E209D5">
            <w:pPr>
              <w:keepNext/>
              <w:cnfStyle w:val="000000010000" w:firstRow="0" w:lastRow="0" w:firstColumn="0" w:lastColumn="0" w:oddVBand="0" w:evenVBand="0" w:oddHBand="0" w:evenHBand="1" w:firstRowFirstColumn="0" w:firstRowLastColumn="0" w:lastRowFirstColumn="0" w:lastRowLastColumn="0"/>
            </w:pPr>
            <w:r w:rsidRPr="00DF7171">
              <w:t>0.2</w:t>
            </w:r>
          </w:p>
        </w:tc>
        <w:tc>
          <w:tcPr>
            <w:tcW w:w="638" w:type="pct"/>
          </w:tcPr>
          <w:p w:rsidR="00E453CA" w:rsidRPr="00DF7171" w:rsidRDefault="00584EF3" w:rsidP="00E209D5">
            <w:pPr>
              <w:keepNext/>
              <w:cnfStyle w:val="000000010000" w:firstRow="0" w:lastRow="0" w:firstColumn="0" w:lastColumn="0" w:oddVBand="0" w:evenVBand="0" w:oddHBand="0" w:evenHBand="1" w:firstRowFirstColumn="0" w:firstRowLastColumn="0" w:lastRowFirstColumn="0" w:lastRowLastColumn="0"/>
            </w:pPr>
            <w:r w:rsidRPr="00DF7171">
              <w:t>0.7</w:t>
            </w:r>
          </w:p>
        </w:tc>
      </w:tr>
      <w:tr w:rsidR="00E453CA" w:rsidRPr="004F416F" w:rsidTr="00E453CA">
        <w:trPr>
          <w:trHeight w:val="300"/>
        </w:trPr>
        <w:tc>
          <w:tcPr>
            <w:cnfStyle w:val="001000000000" w:firstRow="0" w:lastRow="0" w:firstColumn="1" w:lastColumn="0" w:oddVBand="0" w:evenVBand="0" w:oddHBand="0" w:evenHBand="0" w:firstRowFirstColumn="0" w:firstRowLastColumn="0" w:lastRowFirstColumn="0" w:lastRowLastColumn="0"/>
            <w:tcW w:w="1171" w:type="pct"/>
          </w:tcPr>
          <w:p w:rsidR="00E453CA" w:rsidRPr="00E453CA" w:rsidRDefault="00E453CA" w:rsidP="00E209D5">
            <w:pPr>
              <w:keepNext/>
            </w:pPr>
            <w:r w:rsidRPr="00E453CA">
              <w:t>NET TOTAL CAPITAL EXPENDITURE</w:t>
            </w:r>
          </w:p>
        </w:tc>
        <w:tc>
          <w:tcPr>
            <w:tcW w:w="639" w:type="pct"/>
          </w:tcPr>
          <w:p w:rsidR="00E453CA" w:rsidRPr="00DF7171" w:rsidRDefault="00E453CA" w:rsidP="00E209D5">
            <w:pPr>
              <w:keepNext/>
              <w:cnfStyle w:val="000000000000" w:firstRow="0" w:lastRow="0" w:firstColumn="0" w:lastColumn="0" w:oddVBand="0" w:evenVBand="0" w:oddHBand="0" w:evenHBand="0" w:firstRowFirstColumn="0" w:firstRowLastColumn="0" w:lastRowFirstColumn="0" w:lastRowLastColumn="0"/>
            </w:pPr>
            <w:r w:rsidRPr="00DF7171">
              <w:t>20.</w:t>
            </w:r>
            <w:r w:rsidR="00584EF3" w:rsidRPr="00DF7171">
              <w:t>0</w:t>
            </w:r>
          </w:p>
        </w:tc>
        <w:tc>
          <w:tcPr>
            <w:tcW w:w="639" w:type="pct"/>
          </w:tcPr>
          <w:p w:rsidR="00E453CA" w:rsidRPr="00DF7171" w:rsidRDefault="00E453CA" w:rsidP="00E209D5">
            <w:pPr>
              <w:keepNext/>
              <w:cnfStyle w:val="000000000000" w:firstRow="0" w:lastRow="0" w:firstColumn="0" w:lastColumn="0" w:oddVBand="0" w:evenVBand="0" w:oddHBand="0" w:evenHBand="0" w:firstRowFirstColumn="0" w:firstRowLastColumn="0" w:lastRowFirstColumn="0" w:lastRowLastColumn="0"/>
            </w:pPr>
            <w:r w:rsidRPr="00DF7171">
              <w:t>2.5</w:t>
            </w:r>
          </w:p>
        </w:tc>
        <w:tc>
          <w:tcPr>
            <w:tcW w:w="639" w:type="pct"/>
          </w:tcPr>
          <w:p w:rsidR="00E453CA" w:rsidRPr="00DF7171" w:rsidRDefault="00E453CA" w:rsidP="00E209D5">
            <w:pPr>
              <w:keepNext/>
              <w:cnfStyle w:val="000000000000" w:firstRow="0" w:lastRow="0" w:firstColumn="0" w:lastColumn="0" w:oddVBand="0" w:evenVBand="0" w:oddHBand="0" w:evenHBand="0" w:firstRowFirstColumn="0" w:firstRowLastColumn="0" w:lastRowFirstColumn="0" w:lastRowLastColumn="0"/>
            </w:pPr>
            <w:r w:rsidRPr="00DF7171">
              <w:t>2.</w:t>
            </w:r>
            <w:r w:rsidR="00584EF3" w:rsidRPr="00DF7171">
              <w:t>1</w:t>
            </w:r>
          </w:p>
        </w:tc>
        <w:tc>
          <w:tcPr>
            <w:tcW w:w="638" w:type="pct"/>
          </w:tcPr>
          <w:p w:rsidR="00E453CA" w:rsidRPr="00DF7171" w:rsidRDefault="00E453CA" w:rsidP="00E209D5">
            <w:pPr>
              <w:keepNext/>
              <w:cnfStyle w:val="000000000000" w:firstRow="0" w:lastRow="0" w:firstColumn="0" w:lastColumn="0" w:oddVBand="0" w:evenVBand="0" w:oddHBand="0" w:evenHBand="0" w:firstRowFirstColumn="0" w:firstRowLastColumn="0" w:lastRowFirstColumn="0" w:lastRowLastColumn="0"/>
            </w:pPr>
            <w:r w:rsidRPr="00DF7171">
              <w:t>2.</w:t>
            </w:r>
            <w:r w:rsidR="00584EF3" w:rsidRPr="00DF7171">
              <w:t>2</w:t>
            </w:r>
          </w:p>
        </w:tc>
        <w:tc>
          <w:tcPr>
            <w:tcW w:w="638" w:type="pct"/>
          </w:tcPr>
          <w:p w:rsidR="00E453CA" w:rsidRPr="00DF7171" w:rsidRDefault="00E453CA" w:rsidP="00E209D5">
            <w:pPr>
              <w:keepNext/>
              <w:cnfStyle w:val="000000000000" w:firstRow="0" w:lastRow="0" w:firstColumn="0" w:lastColumn="0" w:oddVBand="0" w:evenVBand="0" w:oddHBand="0" w:evenHBand="0" w:firstRowFirstColumn="0" w:firstRowLastColumn="0" w:lastRowFirstColumn="0" w:lastRowLastColumn="0"/>
            </w:pPr>
            <w:r w:rsidRPr="00DF7171">
              <w:t>2.</w:t>
            </w:r>
            <w:r w:rsidR="00584EF3" w:rsidRPr="00DF7171">
              <w:t>2</w:t>
            </w:r>
          </w:p>
        </w:tc>
        <w:tc>
          <w:tcPr>
            <w:tcW w:w="638" w:type="pct"/>
          </w:tcPr>
          <w:p w:rsidR="00E453CA" w:rsidRPr="00DF7171" w:rsidRDefault="00E453CA" w:rsidP="00E209D5">
            <w:pPr>
              <w:keepNext/>
              <w:cnfStyle w:val="000000000000" w:firstRow="0" w:lastRow="0" w:firstColumn="0" w:lastColumn="0" w:oddVBand="0" w:evenVBand="0" w:oddHBand="0" w:evenHBand="0" w:firstRowFirstColumn="0" w:firstRowLastColumn="0" w:lastRowFirstColumn="0" w:lastRowLastColumn="0"/>
            </w:pPr>
            <w:r w:rsidRPr="00DF7171">
              <w:t>29.</w:t>
            </w:r>
            <w:r w:rsidR="00584EF3" w:rsidRPr="00DF7171">
              <w:t>0</w:t>
            </w:r>
          </w:p>
        </w:tc>
      </w:tr>
    </w:tbl>
    <w:p w:rsidR="00E453CA" w:rsidRDefault="00E453CA" w:rsidP="00E209D5">
      <w:pPr>
        <w:pStyle w:val="AERtablesource"/>
        <w:keepNext/>
        <w:numPr>
          <w:ilvl w:val="0"/>
          <w:numId w:val="24"/>
        </w:numPr>
      </w:pPr>
      <w:r w:rsidRPr="00E453CA">
        <w:t>Source:</w:t>
      </w:r>
      <w:r w:rsidRPr="00E453CA">
        <w:tab/>
      </w:r>
      <w:r>
        <w:t>A</w:t>
      </w:r>
      <w:r w:rsidR="00A0090B">
        <w:t>PTNT</w:t>
      </w:r>
      <w:r>
        <w:t xml:space="preserve">, </w:t>
      </w:r>
      <w:r w:rsidRPr="00A0090B">
        <w:rPr>
          <w:rStyle w:val="Emphasis"/>
        </w:rPr>
        <w:t>Amadeus Gas Pipeline, Access Arrangement Revised Proposal, Response to Draft Submission Decision, 1 July 2016 to 30 June 2021</w:t>
      </w:r>
      <w:r>
        <w:t xml:space="preserve">, </w:t>
      </w:r>
      <w:r w:rsidR="00A5591E">
        <w:t xml:space="preserve">January 2016, </w:t>
      </w:r>
      <w:r>
        <w:t>p. 43.</w:t>
      </w:r>
    </w:p>
    <w:p w:rsidR="00584EF3" w:rsidRPr="00584EF3" w:rsidRDefault="00584EF3" w:rsidP="00584EF3">
      <w:pPr>
        <w:pStyle w:val="AERtablesource"/>
      </w:pPr>
      <w:r>
        <w:t xml:space="preserve">Note: </w:t>
      </w:r>
      <w:r w:rsidR="008A7C24">
        <w:tab/>
      </w:r>
      <w:r>
        <w:t>Numbers may not add up due to rounding.</w:t>
      </w:r>
    </w:p>
    <w:p w:rsidR="00584EF3" w:rsidRDefault="00ED2DDE" w:rsidP="00584EF3">
      <w:r>
        <w:t xml:space="preserve">APTNT identified three </w:t>
      </w:r>
      <w:r w:rsidR="003B0689">
        <w:t>elements</w:t>
      </w:r>
      <w:r>
        <w:t xml:space="preserve"> of its proposed capex for the 2016-21 access arrangement </w:t>
      </w:r>
      <w:proofErr w:type="gramStart"/>
      <w:r>
        <w:t>period</w:t>
      </w:r>
      <w:proofErr w:type="gramEnd"/>
      <w:r>
        <w:t xml:space="preserve"> that we did not accept in our draft decision, namely:</w:t>
      </w:r>
      <w:r>
        <w:rPr>
          <w:rStyle w:val="FootnoteReference"/>
        </w:rPr>
        <w:footnoteReference w:id="7"/>
      </w:r>
    </w:p>
    <w:p w:rsidR="00ED2DDE" w:rsidRPr="00ED2DDE" w:rsidRDefault="00ED2DDE" w:rsidP="00ED2DDE">
      <w:pPr>
        <w:pStyle w:val="AERbulletlistfirststyle"/>
      </w:pPr>
      <w:r>
        <w:t>t</w:t>
      </w:r>
      <w:r w:rsidRPr="00ED2DDE">
        <w:t>he Channel Island Bridge Project</w:t>
      </w:r>
    </w:p>
    <w:p w:rsidR="00ED2DDE" w:rsidRPr="00ED2DDE" w:rsidRDefault="00ED2DDE" w:rsidP="00ED2DDE">
      <w:pPr>
        <w:pStyle w:val="AERbulletlistfirststyle"/>
      </w:pPr>
      <w:r>
        <w:t>r</w:t>
      </w:r>
      <w:r w:rsidRPr="00ED2DDE">
        <w:t>estaging of the below ground station pipework project</w:t>
      </w:r>
      <w:r>
        <w:t>,</w:t>
      </w:r>
      <w:r w:rsidRPr="00ED2DDE">
        <w:t xml:space="preserve"> and</w:t>
      </w:r>
    </w:p>
    <w:p w:rsidR="00ED2DDE" w:rsidRPr="00584EF3" w:rsidRDefault="00ED2DDE" w:rsidP="00ED2DDE">
      <w:pPr>
        <w:pStyle w:val="AERbulletlistfirststyle"/>
      </w:pPr>
      <w:proofErr w:type="gramStart"/>
      <w:r>
        <w:t>f</w:t>
      </w:r>
      <w:r w:rsidRPr="00ED2DDE">
        <w:t>orecast</w:t>
      </w:r>
      <w:proofErr w:type="gramEnd"/>
      <w:r w:rsidRPr="00ED2DDE">
        <w:t xml:space="preserve"> real cost escalation.</w:t>
      </w:r>
    </w:p>
    <w:p w:rsidR="00E453CA" w:rsidRPr="001100B9" w:rsidRDefault="00ED2DDE" w:rsidP="001100B9">
      <w:pPr>
        <w:pStyle w:val="HeadingBoldItalic"/>
      </w:pPr>
      <w:r w:rsidRPr="001100B9">
        <w:t>Channel Island Bridge Project</w:t>
      </w:r>
    </w:p>
    <w:p w:rsidR="00ED2DDE" w:rsidRDefault="0087066F" w:rsidP="00E453CA">
      <w:r>
        <w:t xml:space="preserve">APTNT stated that </w:t>
      </w:r>
      <w:r w:rsidR="003B0689">
        <w:t>it</w:t>
      </w:r>
      <w:r>
        <w:t xml:space="preserve"> do</w:t>
      </w:r>
      <w:r w:rsidR="003B0689">
        <w:t>es</w:t>
      </w:r>
      <w:r>
        <w:t xml:space="preserve"> not concur with our </w:t>
      </w:r>
      <w:r w:rsidR="00AD5E3E">
        <w:t>draft decision to</w:t>
      </w:r>
      <w:r>
        <w:t xml:space="preserve"> reduce</w:t>
      </w:r>
      <w:r w:rsidR="00AD5E3E">
        <w:t xml:space="preserve"> the</w:t>
      </w:r>
      <w:r>
        <w:t xml:space="preserve"> scope </w:t>
      </w:r>
      <w:r w:rsidR="00AD5E3E">
        <w:t>of the Channel Island Bridge project</w:t>
      </w:r>
      <w:r>
        <w:t xml:space="preserve"> and submitted </w:t>
      </w:r>
      <w:r w:rsidR="00647BBC">
        <w:t>additional</w:t>
      </w:r>
      <w:r>
        <w:t xml:space="preserve"> information</w:t>
      </w:r>
      <w:r w:rsidR="00647BBC">
        <w:t xml:space="preserve"> in relation to</w:t>
      </w:r>
      <w:r>
        <w:t>:</w:t>
      </w:r>
      <w:r w:rsidR="00647BBC">
        <w:rPr>
          <w:rStyle w:val="FootnoteReference"/>
        </w:rPr>
        <w:footnoteReference w:id="8"/>
      </w:r>
    </w:p>
    <w:p w:rsidR="0087066F" w:rsidRDefault="0087066F" w:rsidP="0087066F">
      <w:pPr>
        <w:pStyle w:val="AERbulletlistfirststyle"/>
      </w:pPr>
      <w:r w:rsidRPr="0087066F">
        <w:t>the integrity risk of th</w:t>
      </w:r>
      <w:r>
        <w:t>e</w:t>
      </w:r>
      <w:r w:rsidRPr="0087066F">
        <w:t xml:space="preserve"> pipeline section and the consequences of a leak or rupture to the security of gas supply and </w:t>
      </w:r>
      <w:r w:rsidR="00A72AEB" w:rsidRPr="0087066F">
        <w:t>t</w:t>
      </w:r>
      <w:r w:rsidR="00A72AEB">
        <w:t>o</w:t>
      </w:r>
      <w:r w:rsidRPr="0087066F">
        <w:t xml:space="preserve"> public safety</w:t>
      </w:r>
    </w:p>
    <w:p w:rsidR="0087066F" w:rsidRDefault="0087066F" w:rsidP="0087066F">
      <w:pPr>
        <w:pStyle w:val="AERbulletlistfirststyle"/>
      </w:pPr>
      <w:r w:rsidRPr="0087066F">
        <w:t xml:space="preserve">APTNT’s obligations under </w:t>
      </w:r>
      <w:r w:rsidR="006E7447">
        <w:t xml:space="preserve">Australian Standard </w:t>
      </w:r>
      <w:r w:rsidRPr="0087066F">
        <w:t>AS2885 and good industry practice</w:t>
      </w:r>
    </w:p>
    <w:p w:rsidR="0087066F" w:rsidRPr="0087066F" w:rsidRDefault="0087066F" w:rsidP="0087066F">
      <w:pPr>
        <w:pStyle w:val="AERbulletlistfirststyle"/>
      </w:pPr>
      <w:r w:rsidRPr="0087066F">
        <w:t>the weaknesses of other integrity methods, including Direct Current Voltage Gradient (DCVG) surveys, excavations and inspections</w:t>
      </w:r>
      <w:r w:rsidR="00647BBC">
        <w:t>,</w:t>
      </w:r>
      <w:r w:rsidRPr="0087066F">
        <w:t xml:space="preserve"> and extrapolation of pigging data</w:t>
      </w:r>
    </w:p>
    <w:p w:rsidR="0087066F" w:rsidRDefault="0087066F" w:rsidP="0087066F">
      <w:pPr>
        <w:pStyle w:val="AERbulletlistfirststyle"/>
      </w:pPr>
      <w:r w:rsidRPr="0087066F">
        <w:t xml:space="preserve">a review of the forecast capex provided by </w:t>
      </w:r>
      <w:r>
        <w:t xml:space="preserve">our consultant </w:t>
      </w:r>
      <w:proofErr w:type="spellStart"/>
      <w:r w:rsidRPr="0087066F">
        <w:t>Sleeman</w:t>
      </w:r>
      <w:proofErr w:type="spellEnd"/>
      <w:r w:rsidRPr="0087066F">
        <w:t xml:space="preserve"> Consulting, to install a pig launching facility at the Darwin City Gate Station and a pig receiving facility upstream of the Channel Island bridge.</w:t>
      </w:r>
    </w:p>
    <w:p w:rsidR="00184987" w:rsidRDefault="00184987" w:rsidP="00184987">
      <w:r>
        <w:t>Our assessment of these issues is discussed below.</w:t>
      </w:r>
    </w:p>
    <w:p w:rsidR="00ED2DDE" w:rsidRPr="001100B9" w:rsidRDefault="00CC07DE" w:rsidP="001100B9">
      <w:pPr>
        <w:pStyle w:val="HeadingItalic"/>
        <w:rPr>
          <w:rStyle w:val="AERtextitalic"/>
          <w:i/>
        </w:rPr>
      </w:pPr>
      <w:r w:rsidRPr="001100B9">
        <w:rPr>
          <w:rStyle w:val="AERtextitalic"/>
          <w:i/>
        </w:rPr>
        <w:t>Risk and consequences</w:t>
      </w:r>
    </w:p>
    <w:p w:rsidR="00CC07DE" w:rsidRDefault="00FE4160" w:rsidP="00E453CA">
      <w:r>
        <w:t xml:space="preserve">APTNT submitted that the Channel Island Power Station is regarded as critical infrastructure and falls under the definition of critical infrastructure in the </w:t>
      </w:r>
      <w:r w:rsidRPr="00502593">
        <w:rPr>
          <w:rStyle w:val="AERtextitalic"/>
        </w:rPr>
        <w:t>Framework for the Protection of Northern Territory Critical Infrastructure</w:t>
      </w:r>
      <w:r>
        <w:t xml:space="preserve">. APTNT identified the consequences of a loss of containment </w:t>
      </w:r>
      <w:r w:rsidR="00647BBC">
        <w:t xml:space="preserve">on the Channel Island </w:t>
      </w:r>
      <w:proofErr w:type="spellStart"/>
      <w:r w:rsidR="00647BBC">
        <w:t>spurline</w:t>
      </w:r>
      <w:proofErr w:type="spellEnd"/>
      <w:r w:rsidR="00647BBC">
        <w:t xml:space="preserve"> </w:t>
      </w:r>
      <w:r>
        <w:t xml:space="preserve">to be </w:t>
      </w:r>
      <w:r w:rsidR="001959DE">
        <w:t>dependent</w:t>
      </w:r>
      <w:r>
        <w:t xml:space="preserve"> on:</w:t>
      </w:r>
      <w:r w:rsidR="00601435">
        <w:rPr>
          <w:rStyle w:val="FootnoteReference"/>
        </w:rPr>
        <w:footnoteReference w:id="9"/>
      </w:r>
    </w:p>
    <w:p w:rsidR="00FE4160" w:rsidRPr="00FE4160" w:rsidRDefault="00FE4160" w:rsidP="00FE4160">
      <w:pPr>
        <w:pStyle w:val="AERbulletlistfirststyle"/>
      </w:pPr>
      <w:r>
        <w:t>t</w:t>
      </w:r>
      <w:r w:rsidRPr="00FE4160">
        <w:t>he location of the release:</w:t>
      </w:r>
    </w:p>
    <w:p w:rsidR="00FE4160" w:rsidRPr="00FE4160" w:rsidRDefault="00FE4160" w:rsidP="00FE4160">
      <w:pPr>
        <w:pStyle w:val="AERbulletlistsecondstyle"/>
      </w:pPr>
      <w:r w:rsidRPr="00FE4160">
        <w:t>whether this causes damage to other plant or infrastructure (including the only Channel Island Power Station access road)</w:t>
      </w:r>
      <w:r w:rsidR="00DC74BD">
        <w:t>, and</w:t>
      </w:r>
      <w:r w:rsidRPr="00FE4160">
        <w:t xml:space="preserve"> </w:t>
      </w:r>
    </w:p>
    <w:p w:rsidR="00FE4160" w:rsidRPr="00FE4160" w:rsidRDefault="00FE4160" w:rsidP="00FE4160">
      <w:pPr>
        <w:pStyle w:val="AERbulletlistsecondstyle"/>
      </w:pPr>
      <w:r w:rsidRPr="00FE4160">
        <w:t xml:space="preserve">site accessibility to assess damage and effect repair </w:t>
      </w:r>
    </w:p>
    <w:p w:rsidR="00FE4160" w:rsidRPr="00FE4160" w:rsidRDefault="00DC74BD" w:rsidP="00DC74BD">
      <w:pPr>
        <w:pStyle w:val="AERbulletlistfirststyle"/>
      </w:pPr>
      <w:r>
        <w:t>w</w:t>
      </w:r>
      <w:r w:rsidR="00FE4160" w:rsidRPr="00FE4160">
        <w:t xml:space="preserve">hether there are people in the vicinity at the time of release </w:t>
      </w:r>
    </w:p>
    <w:p w:rsidR="00FE4160" w:rsidRPr="00FE4160" w:rsidRDefault="00FE4160" w:rsidP="00DC74BD">
      <w:pPr>
        <w:pStyle w:val="AERbulletlistfirststyle"/>
      </w:pPr>
      <w:r w:rsidRPr="00FE4160">
        <w:t xml:space="preserve">the extent of any damage to the Channel Island Power Station access road or adjacent overhead power lines </w:t>
      </w:r>
    </w:p>
    <w:p w:rsidR="00FE4160" w:rsidRPr="00FE4160" w:rsidRDefault="00FE4160" w:rsidP="00DC74BD">
      <w:pPr>
        <w:pStyle w:val="AERbulletlistfirststyle"/>
      </w:pPr>
      <w:r w:rsidRPr="00FE4160">
        <w:t>the ability to switch to back-up diesel supply at the Channel Island Power Station, the capacity of the diesel generation system, and the duration for which this can be maintained (which may be dependent on any damage to the access road)</w:t>
      </w:r>
      <w:r w:rsidR="00184987">
        <w:t>;</w:t>
      </w:r>
      <w:r w:rsidRPr="00FE4160">
        <w:t xml:space="preserve"> and </w:t>
      </w:r>
    </w:p>
    <w:p w:rsidR="00FE4160" w:rsidRPr="00FE4160" w:rsidRDefault="00FE4160" w:rsidP="00DC74BD">
      <w:pPr>
        <w:pStyle w:val="AERbulletlistfirststyle"/>
      </w:pPr>
      <w:proofErr w:type="gramStart"/>
      <w:r w:rsidRPr="00FE4160">
        <w:t>the</w:t>
      </w:r>
      <w:proofErr w:type="gramEnd"/>
      <w:r w:rsidRPr="00FE4160">
        <w:t xml:space="preserve"> availability and capacity of other power stations to meet demand. </w:t>
      </w:r>
    </w:p>
    <w:p w:rsidR="00DA78E5" w:rsidRDefault="00DC74BD" w:rsidP="00E453CA">
      <w:r>
        <w:t xml:space="preserve">APTNT submitted that in worst case conditions (pipeline operating at </w:t>
      </w:r>
      <w:r w:rsidR="0029013C">
        <w:t>m</w:t>
      </w:r>
      <w:r w:rsidR="0029013C" w:rsidRPr="0029013C">
        <w:t>aximum allowable operating pressure</w:t>
      </w:r>
      <w:r>
        <w:t>), an ignited full bore rupture has the potential to cause fatal injuries to persons within 180 metres of the release site and hospitalising injuries to persons within 300 metres.</w:t>
      </w:r>
      <w:r w:rsidR="004B78CA">
        <w:rPr>
          <w:rStyle w:val="FootnoteReference"/>
        </w:rPr>
        <w:footnoteReference w:id="10"/>
      </w:r>
      <w:r>
        <w:t xml:space="preserve"> </w:t>
      </w:r>
    </w:p>
    <w:p w:rsidR="00FE4160" w:rsidRDefault="0029013C" w:rsidP="00E453CA">
      <w:r>
        <w:t xml:space="preserve">APTNT stated that the duration of the interruption to the Darwin power supply would depend largely on the type of failure and its location. </w:t>
      </w:r>
      <w:r w:rsidR="003C3A70">
        <w:t>T</w:t>
      </w:r>
      <w:r>
        <w:t>his could range from as little as one day for a minor leak, to a week or more for a full bore rupture.</w:t>
      </w:r>
      <w:r w:rsidR="004B78CA">
        <w:rPr>
          <w:rStyle w:val="FootnoteReference"/>
        </w:rPr>
        <w:footnoteReference w:id="11"/>
      </w:r>
    </w:p>
    <w:p w:rsidR="0029013C" w:rsidRPr="0029013C" w:rsidRDefault="00DA78E5" w:rsidP="0029013C">
      <w:r>
        <w:t xml:space="preserve">APTNT </w:t>
      </w:r>
      <w:r w:rsidR="00BD3A06">
        <w:t xml:space="preserve">submitted </w:t>
      </w:r>
      <w:r>
        <w:t>that a</w:t>
      </w:r>
      <w:r w:rsidR="0029013C" w:rsidRPr="0029013C">
        <w:t>n unplanned interruption to the gas supply (from a rupture) would cause almost instant loss of generating capacity at Channel I</w:t>
      </w:r>
      <w:r>
        <w:t>sland with widespread blackouts</w:t>
      </w:r>
      <w:r w:rsidR="0029013C" w:rsidRPr="0029013C">
        <w:t xml:space="preserve"> as it takes some time to cutover to the diesel backup system. </w:t>
      </w:r>
      <w:r>
        <w:t xml:space="preserve">APTNT also </w:t>
      </w:r>
      <w:r w:rsidR="003C3A70">
        <w:t>submitted</w:t>
      </w:r>
      <w:r>
        <w:t xml:space="preserve"> that t</w:t>
      </w:r>
      <w:r w:rsidR="0029013C" w:rsidRPr="0029013C">
        <w:t>he prolonged use of diesel would require additional volumes of diesel fuel to be transported to the power station over the bridge</w:t>
      </w:r>
      <w:r>
        <w:t xml:space="preserve"> and that a</w:t>
      </w:r>
      <w:r w:rsidR="0029013C" w:rsidRPr="0029013C">
        <w:t xml:space="preserve"> significant repair might result in a partial or complete road closure, making this activity difficult or impossible.</w:t>
      </w:r>
      <w:r w:rsidR="004B78CA">
        <w:rPr>
          <w:rStyle w:val="FootnoteReference"/>
        </w:rPr>
        <w:footnoteReference w:id="12"/>
      </w:r>
      <w:r w:rsidR="0029013C" w:rsidRPr="0029013C">
        <w:t xml:space="preserve"> </w:t>
      </w:r>
    </w:p>
    <w:p w:rsidR="00FE4160" w:rsidRDefault="00DF05B9" w:rsidP="0029013C">
      <w:r>
        <w:t xml:space="preserve">APTNT </w:t>
      </w:r>
      <w:r w:rsidR="0029013C" w:rsidRPr="0029013C">
        <w:t xml:space="preserve">engaged GPA Engineering to review and comment on the </w:t>
      </w:r>
      <w:r w:rsidR="003C3A70">
        <w:t xml:space="preserve">advice provided to </w:t>
      </w:r>
      <w:r w:rsidR="00184987">
        <w:t>us</w:t>
      </w:r>
      <w:r w:rsidR="003C3A70">
        <w:t xml:space="preserve"> by </w:t>
      </w:r>
      <w:proofErr w:type="spellStart"/>
      <w:r w:rsidR="0029013C" w:rsidRPr="0029013C">
        <w:t>Sleeman</w:t>
      </w:r>
      <w:proofErr w:type="spellEnd"/>
      <w:r w:rsidR="0029013C" w:rsidRPr="0029013C">
        <w:t xml:space="preserve"> Consulting. </w:t>
      </w:r>
      <w:r>
        <w:t xml:space="preserve">APTNT </w:t>
      </w:r>
      <w:r w:rsidR="003C3A70">
        <w:t>highlighted</w:t>
      </w:r>
      <w:r w:rsidR="00F5615C">
        <w:t xml:space="preserve"> the following </w:t>
      </w:r>
      <w:r>
        <w:t xml:space="preserve">findings </w:t>
      </w:r>
      <w:r w:rsidR="0035573B">
        <w:t>from</w:t>
      </w:r>
      <w:r>
        <w:t xml:space="preserve"> the</w:t>
      </w:r>
      <w:r w:rsidR="0029013C" w:rsidRPr="0029013C">
        <w:t xml:space="preserve"> GPA </w:t>
      </w:r>
      <w:r w:rsidR="003C3A70">
        <w:t>Engineering r</w:t>
      </w:r>
      <w:r w:rsidR="0029013C" w:rsidRPr="0029013C">
        <w:t>eport.</w:t>
      </w:r>
      <w:r w:rsidR="006E7447">
        <w:rPr>
          <w:rStyle w:val="FootnoteReference"/>
        </w:rPr>
        <w:footnoteReference w:id="13"/>
      </w:r>
    </w:p>
    <w:p w:rsidR="00CC07DE" w:rsidRPr="001100B9" w:rsidRDefault="00DF05B9" w:rsidP="001100B9">
      <w:pPr>
        <w:pStyle w:val="HeadingItalic"/>
        <w:rPr>
          <w:rStyle w:val="AERtextitalic"/>
          <w:i/>
        </w:rPr>
      </w:pPr>
      <w:r w:rsidRPr="001100B9">
        <w:rPr>
          <w:rStyle w:val="AERtextitalic"/>
          <w:i/>
        </w:rPr>
        <w:t>Australian Standard AS 2885</w:t>
      </w:r>
    </w:p>
    <w:p w:rsidR="008730CA" w:rsidRDefault="008730CA" w:rsidP="00E453CA">
      <w:r>
        <w:t xml:space="preserve">APTNT </w:t>
      </w:r>
      <w:r w:rsidR="00AD5E3E">
        <w:t>noted</w:t>
      </w:r>
      <w:r>
        <w:t xml:space="preserve"> that our </w:t>
      </w:r>
      <w:r w:rsidR="004A5C4F">
        <w:t xml:space="preserve">draft </w:t>
      </w:r>
      <w:r>
        <w:t>decision in</w:t>
      </w:r>
      <w:r w:rsidR="00D30D3D">
        <w:t xml:space="preserve"> respect to the Channel Island B</w:t>
      </w:r>
      <w:r>
        <w:t>ridge project is based (in part) on our assessment that inline inspection is not mandated by the relevant Australian Standard, and that inline inspection is therefore not the only approach to pipeline integrity management that is consistent with accepted good industry practice.</w:t>
      </w:r>
      <w:r w:rsidR="00CB6AA8">
        <w:rPr>
          <w:rStyle w:val="FootnoteReference"/>
        </w:rPr>
        <w:footnoteReference w:id="14"/>
      </w:r>
      <w:r>
        <w:t xml:space="preserve"> APTNT </w:t>
      </w:r>
      <w:r w:rsidR="00D30D3D">
        <w:t>acknowledged</w:t>
      </w:r>
      <w:r>
        <w:t xml:space="preserve"> that AS 2885 cannot make a blanket rule that all pipelines are required to be inspected by intelligent pigging and that the standard is pragmatic as it recognises that there are circumstances where it is not possible or necessary to do so</w:t>
      </w:r>
      <w:r w:rsidR="00CA6EBA">
        <w:t>.</w:t>
      </w:r>
      <w:r w:rsidR="00D15374">
        <w:rPr>
          <w:rStyle w:val="FootnoteReference"/>
        </w:rPr>
        <w:footnoteReference w:id="15"/>
      </w:r>
    </w:p>
    <w:p w:rsidR="008730CA" w:rsidRDefault="008730CA" w:rsidP="008730CA">
      <w:r>
        <w:t xml:space="preserve">APTNT stated that </w:t>
      </w:r>
      <w:r w:rsidR="00AD5E3E">
        <w:t>it</w:t>
      </w:r>
      <w:r>
        <w:t xml:space="preserve"> </w:t>
      </w:r>
      <w:r w:rsidRPr="008730CA">
        <w:t>consider</w:t>
      </w:r>
      <w:r w:rsidR="00AD5E3E">
        <w:t>s</w:t>
      </w:r>
      <w:r w:rsidRPr="008730CA">
        <w:t xml:space="preserve"> the clear intent of </w:t>
      </w:r>
      <w:r w:rsidR="00AD5E3E">
        <w:t>AS 2885</w:t>
      </w:r>
      <w:r w:rsidRPr="008730CA">
        <w:t xml:space="preserve"> is that the pipeline should be made </w:t>
      </w:r>
      <w:proofErr w:type="spellStart"/>
      <w:r w:rsidRPr="008730CA">
        <w:t>piggable</w:t>
      </w:r>
      <w:proofErr w:type="spellEnd"/>
      <w:r w:rsidRPr="008730CA">
        <w:t xml:space="preserve"> unless there is a valid and compelling reason not to. </w:t>
      </w:r>
      <w:r w:rsidR="00F95FD6">
        <w:t xml:space="preserve">APTNT also stated that </w:t>
      </w:r>
      <w:r w:rsidR="00CA6EBA">
        <w:t xml:space="preserve">while alternative integrity assessment methods </w:t>
      </w:r>
      <w:r w:rsidRPr="008730CA">
        <w:t>are accepte</w:t>
      </w:r>
      <w:r w:rsidR="00CA6EBA">
        <w:t xml:space="preserve">d in certain circumstances, </w:t>
      </w:r>
      <w:r w:rsidRPr="008730CA">
        <w:t>it s</w:t>
      </w:r>
      <w:r w:rsidR="00F95FD6">
        <w:t>hould not be inferred that the s</w:t>
      </w:r>
      <w:r w:rsidR="00CA6EBA">
        <w:t>tandard considers</w:t>
      </w:r>
      <w:r w:rsidRPr="008730CA">
        <w:t xml:space="preserve"> the alternatives provide an equivalent level of integrity assessment.</w:t>
      </w:r>
      <w:r w:rsidR="00D15374">
        <w:rPr>
          <w:rStyle w:val="FootnoteReference"/>
        </w:rPr>
        <w:footnoteReference w:id="16"/>
      </w:r>
      <w:r w:rsidRPr="008730CA">
        <w:t xml:space="preserve"> </w:t>
      </w:r>
    </w:p>
    <w:p w:rsidR="00AA2F9F" w:rsidRPr="008730CA" w:rsidRDefault="00AA2F9F" w:rsidP="008730CA">
      <w:r>
        <w:t xml:space="preserve">APTNT submitted that any decision </w:t>
      </w:r>
      <w:r w:rsidR="00AD5E3E">
        <w:t>to not undertake</w:t>
      </w:r>
      <w:r>
        <w:t xml:space="preserve"> inline inspection (including a decision to not modify the pipeline to make it </w:t>
      </w:r>
      <w:proofErr w:type="spellStart"/>
      <w:r>
        <w:t>piggable</w:t>
      </w:r>
      <w:proofErr w:type="spellEnd"/>
      <w:r>
        <w:t>) needs to be considered in the context of the requirements of the safety management study and the pipeline integrity management plan.</w:t>
      </w:r>
      <w:r w:rsidR="00D15374">
        <w:rPr>
          <w:rStyle w:val="FootnoteReference"/>
        </w:rPr>
        <w:footnoteReference w:id="17"/>
      </w:r>
    </w:p>
    <w:p w:rsidR="00DF05B9" w:rsidRPr="001100B9" w:rsidRDefault="00412D93" w:rsidP="001100B9">
      <w:pPr>
        <w:pStyle w:val="HeadingItalic"/>
        <w:rPr>
          <w:rStyle w:val="AERtextitalic"/>
          <w:i/>
        </w:rPr>
      </w:pPr>
      <w:r w:rsidRPr="001100B9">
        <w:rPr>
          <w:rStyle w:val="AERtextitalic"/>
          <w:i/>
        </w:rPr>
        <w:t>Reliance on external inspection</w:t>
      </w:r>
    </w:p>
    <w:p w:rsidR="00412D93" w:rsidRDefault="00412D93" w:rsidP="00412D93">
      <w:r w:rsidRPr="00412D93">
        <w:t>APTNT acknowledge</w:t>
      </w:r>
      <w:r>
        <w:t>d</w:t>
      </w:r>
      <w:r w:rsidRPr="00412D93">
        <w:t xml:space="preserve"> that visual inspection would be an acceptable approach for detecting external corrosion on the section of the line slung under the Channel Island Bridge. </w:t>
      </w:r>
      <w:r w:rsidR="00AD5E3E">
        <w:t xml:space="preserve">However, </w:t>
      </w:r>
      <w:r>
        <w:t>APTNT noted that</w:t>
      </w:r>
      <w:r w:rsidRPr="00412D93">
        <w:t xml:space="preserve"> this is but one section of the line</w:t>
      </w:r>
      <w:r>
        <w:t xml:space="preserve"> and that</w:t>
      </w:r>
      <w:r w:rsidRPr="00412D93">
        <w:t xml:space="preserve"> external inspection is not a viable option for those buried sections of the pipeline leading to or from the bridge.</w:t>
      </w:r>
      <w:r w:rsidR="00D15374">
        <w:rPr>
          <w:rStyle w:val="FootnoteReference"/>
        </w:rPr>
        <w:footnoteReference w:id="18"/>
      </w:r>
      <w:r w:rsidRPr="00412D93">
        <w:t xml:space="preserve"> </w:t>
      </w:r>
    </w:p>
    <w:p w:rsidR="00DF05B9" w:rsidRPr="001100B9" w:rsidRDefault="00412D93" w:rsidP="001100B9">
      <w:pPr>
        <w:pStyle w:val="HeadingItalic"/>
        <w:rPr>
          <w:rStyle w:val="AERtextitalic"/>
          <w:i/>
        </w:rPr>
      </w:pPr>
      <w:r w:rsidRPr="001100B9">
        <w:rPr>
          <w:rStyle w:val="AERtextitalic"/>
          <w:i/>
        </w:rPr>
        <w:t>Reliance on Direct Current Voltage Gradient (DCVG) surveys, excavations and inspections</w:t>
      </w:r>
    </w:p>
    <w:p w:rsidR="00B502F6" w:rsidRPr="00B502F6" w:rsidRDefault="009E2813" w:rsidP="00502593">
      <w:r>
        <w:t>APTNT stated that w</w:t>
      </w:r>
      <w:r w:rsidRPr="009E2813">
        <w:t xml:space="preserve">hile </w:t>
      </w:r>
      <w:r>
        <w:t>the DCVG method</w:t>
      </w:r>
      <w:r w:rsidRPr="009E2813">
        <w:t xml:space="preserve"> provides an indication of some coating defects, it does not provide an indication that metal loss due to corrosion is occurring and it does not provide</w:t>
      </w:r>
      <w:r w:rsidR="00CA6EBA">
        <w:t xml:space="preserve"> an</w:t>
      </w:r>
      <w:r w:rsidRPr="009E2813">
        <w:t xml:space="preserve"> indication of coating defects </w:t>
      </w:r>
      <w:r w:rsidR="007A5388">
        <w:t xml:space="preserve">that </w:t>
      </w:r>
      <w:r w:rsidRPr="009E2813">
        <w:t xml:space="preserve">result in shielding of the </w:t>
      </w:r>
      <w:r w:rsidR="007A5388">
        <w:t>cathodic protection</w:t>
      </w:r>
      <w:r w:rsidRPr="009E2813">
        <w:t xml:space="preserve"> system. </w:t>
      </w:r>
    </w:p>
    <w:p w:rsidR="00412D93" w:rsidRDefault="000A3CF6" w:rsidP="00494678">
      <w:r>
        <w:t xml:space="preserve">APTNT stated that </w:t>
      </w:r>
      <w:r w:rsidR="007A5388">
        <w:t>DCVG surveys have</w:t>
      </w:r>
      <w:r w:rsidR="0038739B" w:rsidRPr="0038739B">
        <w:t xml:space="preserve"> identified </w:t>
      </w:r>
      <w:r>
        <w:t>five</w:t>
      </w:r>
      <w:r w:rsidR="0038739B" w:rsidRPr="0038739B">
        <w:t xml:space="preserve"> sites on the Channel Island section (downstream of the bridge) </w:t>
      </w:r>
      <w:r w:rsidR="00BB2602">
        <w:t>with significant</w:t>
      </w:r>
      <w:r w:rsidR="0038739B" w:rsidRPr="0038739B">
        <w:t xml:space="preserve"> coating defects. </w:t>
      </w:r>
      <w:r w:rsidR="00BB2602">
        <w:t>T</w:t>
      </w:r>
      <w:r w:rsidR="0038739B" w:rsidRPr="0038739B">
        <w:t xml:space="preserve">hese </w:t>
      </w:r>
      <w:r>
        <w:t>sites have not been excavated to date</w:t>
      </w:r>
      <w:r w:rsidR="0038739B" w:rsidRPr="0038739B">
        <w:t xml:space="preserve"> due to</w:t>
      </w:r>
      <w:r>
        <w:t xml:space="preserve"> the</w:t>
      </w:r>
      <w:r w:rsidR="0038739B" w:rsidRPr="0038739B">
        <w:t xml:space="preserve"> difficulty in performing the excavations </w:t>
      </w:r>
      <w:r>
        <w:t>and</w:t>
      </w:r>
      <w:r w:rsidR="0038739B" w:rsidRPr="0038739B">
        <w:t xml:space="preserve"> in anticipation of the project to make the pipeline </w:t>
      </w:r>
      <w:proofErr w:type="spellStart"/>
      <w:r w:rsidR="0038739B" w:rsidRPr="0038739B">
        <w:t>piggable</w:t>
      </w:r>
      <w:proofErr w:type="spellEnd"/>
      <w:r w:rsidR="0038739B" w:rsidRPr="0038739B">
        <w:t xml:space="preserve">. </w:t>
      </w:r>
      <w:r>
        <w:t xml:space="preserve">APTNT also </w:t>
      </w:r>
      <w:r w:rsidR="00BB2602">
        <w:t>submitted</w:t>
      </w:r>
      <w:r>
        <w:t xml:space="preserve"> that t</w:t>
      </w:r>
      <w:r w:rsidR="0038739B" w:rsidRPr="0038739B">
        <w:t xml:space="preserve">here are two defects on the upstream section between Darwin City Gate and the bridge that are in a mangrove swamp </w:t>
      </w:r>
      <w:r w:rsidR="00BB2602">
        <w:t>where</w:t>
      </w:r>
      <w:r w:rsidR="0038739B" w:rsidRPr="0038739B">
        <w:t xml:space="preserve"> ground conditions have never been favourable for excavation.</w:t>
      </w:r>
    </w:p>
    <w:p w:rsidR="000A3CF6" w:rsidRDefault="000A3CF6" w:rsidP="00494678">
      <w:r>
        <w:t xml:space="preserve">APTNT provided further details of limitations of </w:t>
      </w:r>
      <w:r w:rsidR="00F0537F">
        <w:t>DCVG and other survey techniques with respect to determining the extent of corrosion under shielded coating defects. APTNT concluded that it considers that reliance on DCVG surveys and excavation inspections alone is not sufficient to address the risks associated with corrosion in compliance with AS2885.3.</w:t>
      </w:r>
      <w:r w:rsidR="00D15374">
        <w:rPr>
          <w:rStyle w:val="FootnoteReference"/>
        </w:rPr>
        <w:footnoteReference w:id="19"/>
      </w:r>
    </w:p>
    <w:p w:rsidR="00412D93" w:rsidRPr="001100B9" w:rsidRDefault="00F0537F" w:rsidP="001100B9">
      <w:pPr>
        <w:pStyle w:val="HeadingItalic"/>
        <w:rPr>
          <w:rStyle w:val="AERtextitalic"/>
          <w:i/>
        </w:rPr>
      </w:pPr>
      <w:r w:rsidRPr="001100B9">
        <w:rPr>
          <w:rStyle w:val="AERtextitalic"/>
          <w:i/>
        </w:rPr>
        <w:t>Extrapolation of findings of other pig runs</w:t>
      </w:r>
    </w:p>
    <w:p w:rsidR="00F0537F" w:rsidRDefault="00D5595E" w:rsidP="00494678">
      <w:r>
        <w:t xml:space="preserve">APTNT does not agree with </w:t>
      </w:r>
      <w:proofErr w:type="spellStart"/>
      <w:r w:rsidR="00BB2602">
        <w:t>Sleeman</w:t>
      </w:r>
      <w:proofErr w:type="spellEnd"/>
      <w:r w:rsidR="00BB2602">
        <w:t xml:space="preserve"> Consulting's</w:t>
      </w:r>
      <w:r>
        <w:t xml:space="preserve"> proposition that the upstream section before the bridge can be made </w:t>
      </w:r>
      <w:proofErr w:type="spellStart"/>
      <w:r>
        <w:t>piggable</w:t>
      </w:r>
      <w:proofErr w:type="spellEnd"/>
      <w:r>
        <w:t xml:space="preserve"> and the results from the inspection </w:t>
      </w:r>
      <w:r w:rsidR="00BB2602">
        <w:t xml:space="preserve">of this section </w:t>
      </w:r>
      <w:r>
        <w:t xml:space="preserve">can be extrapolated to the downstream </w:t>
      </w:r>
      <w:proofErr w:type="spellStart"/>
      <w:r>
        <w:t>unpiggable</w:t>
      </w:r>
      <w:proofErr w:type="spellEnd"/>
      <w:r>
        <w:t xml:space="preserve"> section. APTNT submit</w:t>
      </w:r>
      <w:r w:rsidR="00BB2602">
        <w:t>ted</w:t>
      </w:r>
      <w:r>
        <w:t xml:space="preserve"> that </w:t>
      </w:r>
      <w:r w:rsidR="00610E6B">
        <w:t xml:space="preserve">upstream section </w:t>
      </w:r>
      <w:r>
        <w:t>in</w:t>
      </w:r>
      <w:r w:rsidR="00BB2602">
        <w:t>-</w:t>
      </w:r>
      <w:r>
        <w:t>line</w:t>
      </w:r>
      <w:r w:rsidR="00610E6B">
        <w:t xml:space="preserve"> </w:t>
      </w:r>
      <w:r>
        <w:t>inspection</w:t>
      </w:r>
      <w:r w:rsidR="00610E6B">
        <w:t xml:space="preserve"> results</w:t>
      </w:r>
      <w:r>
        <w:t xml:space="preserve"> cannot be reliably extrapolated </w:t>
      </w:r>
      <w:r w:rsidR="00610E6B">
        <w:t xml:space="preserve">to the downstream section of the bridge as the pipeline construction methods and </w:t>
      </w:r>
      <w:r w:rsidR="008E54A6">
        <w:t>environ</w:t>
      </w:r>
      <w:r w:rsidR="00CA6EBA">
        <w:t>mental conditions are</w:t>
      </w:r>
      <w:r w:rsidR="008E54A6">
        <w:t xml:space="preserve"> different.</w:t>
      </w:r>
      <w:r w:rsidR="00D15374">
        <w:rPr>
          <w:rStyle w:val="FootnoteReference"/>
        </w:rPr>
        <w:footnoteReference w:id="20"/>
      </w:r>
    </w:p>
    <w:p w:rsidR="008E54A6" w:rsidRPr="001100B9" w:rsidRDefault="008E54A6" w:rsidP="001100B9">
      <w:pPr>
        <w:pStyle w:val="HeadingItalic"/>
        <w:rPr>
          <w:rStyle w:val="AERtextitalic"/>
          <w:i/>
        </w:rPr>
      </w:pPr>
      <w:r w:rsidRPr="001100B9">
        <w:rPr>
          <w:rStyle w:val="AERtextitalic"/>
          <w:i/>
        </w:rPr>
        <w:t>Good industry practice</w:t>
      </w:r>
    </w:p>
    <w:p w:rsidR="009977AC" w:rsidRDefault="009977AC" w:rsidP="00626954">
      <w:r>
        <w:t>APTNT submitted that upgrading the spur</w:t>
      </w:r>
      <w:r w:rsidR="009D30BD">
        <w:t xml:space="preserve"> </w:t>
      </w:r>
      <w:r>
        <w:t>line to facilitate intelligent pigging in order to ensure that it can be operated safely and reliably would be considered good industry practice.</w:t>
      </w:r>
    </w:p>
    <w:p w:rsidR="00626954" w:rsidRPr="00626954" w:rsidRDefault="00626954" w:rsidP="00626954">
      <w:r w:rsidRPr="00626954">
        <w:t xml:space="preserve">APTNT </w:t>
      </w:r>
      <w:r w:rsidR="001D21D6">
        <w:t>stated that as</w:t>
      </w:r>
      <w:r w:rsidRPr="00626954">
        <w:t xml:space="preserve"> pipelines age, experience has shown that coating defects will</w:t>
      </w:r>
      <w:r w:rsidR="009977AC">
        <w:t xml:space="preserve"> develop in the buried sections and w</w:t>
      </w:r>
      <w:r w:rsidRPr="00626954">
        <w:t xml:space="preserve">here these are not detectable due to coating shielding, the pipeline cathodic protection will also be shielded and the underlying pipeline is likely to corrode. </w:t>
      </w:r>
      <w:r w:rsidR="009977AC">
        <w:t xml:space="preserve">APTNT </w:t>
      </w:r>
      <w:r w:rsidR="00BB2602">
        <w:t>submitted</w:t>
      </w:r>
      <w:r w:rsidR="009977AC">
        <w:t xml:space="preserve"> that t</w:t>
      </w:r>
      <w:r w:rsidRPr="00626954">
        <w:t xml:space="preserve">here is no external inspection regime other than a full excavation and inspection that can adequately identify the pipe wall condition and therefore, unless upgraded to facilitate </w:t>
      </w:r>
      <w:r w:rsidR="009977AC">
        <w:t>intelligent pigging</w:t>
      </w:r>
      <w:r w:rsidRPr="00626954">
        <w:t>, the pipeline could fail catastrophically in service.</w:t>
      </w:r>
      <w:r w:rsidR="00D15374">
        <w:rPr>
          <w:rStyle w:val="FootnoteReference"/>
        </w:rPr>
        <w:footnoteReference w:id="21"/>
      </w:r>
      <w:r w:rsidRPr="00626954">
        <w:t xml:space="preserve"> </w:t>
      </w:r>
    </w:p>
    <w:p w:rsidR="008E54A6" w:rsidRPr="001100B9" w:rsidRDefault="009977AC" w:rsidP="001100B9">
      <w:pPr>
        <w:pStyle w:val="HeadingItalic"/>
        <w:rPr>
          <w:rStyle w:val="AERtextitalic"/>
          <w:i/>
        </w:rPr>
      </w:pPr>
      <w:r w:rsidRPr="001100B9">
        <w:rPr>
          <w:rStyle w:val="AERtextitalic"/>
          <w:i/>
        </w:rPr>
        <w:t>Costing of AER proposed alternative</w:t>
      </w:r>
    </w:p>
    <w:p w:rsidR="008E54A6" w:rsidRDefault="00CC1227" w:rsidP="00494678">
      <w:r>
        <w:t xml:space="preserve">APTNT submitted that the cost estimate of $1.1 million </w:t>
      </w:r>
      <w:r w:rsidR="00BB2602">
        <w:t xml:space="preserve">for </w:t>
      </w:r>
      <w:proofErr w:type="spellStart"/>
      <w:r w:rsidR="00BB2602">
        <w:t>Sleeman</w:t>
      </w:r>
      <w:proofErr w:type="spellEnd"/>
      <w:r w:rsidR="00BB2602">
        <w:t xml:space="preserve"> Consulting's</w:t>
      </w:r>
      <w:r>
        <w:t xml:space="preserve"> </w:t>
      </w:r>
      <w:r w:rsidR="00BB2602">
        <w:t>recommended</w:t>
      </w:r>
      <w:r>
        <w:t xml:space="preserve"> </w:t>
      </w:r>
      <w:r w:rsidR="00BB2602">
        <w:t>scope of work adopted</w:t>
      </w:r>
      <w:r>
        <w:t xml:space="preserve"> in our draft decision is unsupported, and does not reflect a reasonable estimate of the amount of required work.</w:t>
      </w:r>
    </w:p>
    <w:p w:rsidR="00CC1227" w:rsidRDefault="00CC1227" w:rsidP="00494678">
      <w:r>
        <w:t xml:space="preserve">APTNT </w:t>
      </w:r>
      <w:r w:rsidR="003B0C13">
        <w:t xml:space="preserve">also </w:t>
      </w:r>
      <w:r>
        <w:t>submit</w:t>
      </w:r>
      <w:r w:rsidR="003B0C13">
        <w:t>ted</w:t>
      </w:r>
      <w:r>
        <w:t xml:space="preserve"> that</w:t>
      </w:r>
      <w:r w:rsidR="003B0C13">
        <w:t>,</w:t>
      </w:r>
      <w:r>
        <w:t xml:space="preserve"> should </w:t>
      </w:r>
      <w:r w:rsidR="003B0C13">
        <w:t>we</w:t>
      </w:r>
      <w:r>
        <w:t xml:space="preserve"> </w:t>
      </w:r>
      <w:r w:rsidR="003B0C13">
        <w:t>continue in our</w:t>
      </w:r>
      <w:r>
        <w:t xml:space="preserve"> view that </w:t>
      </w:r>
      <w:proofErr w:type="gramStart"/>
      <w:r>
        <w:t>pigging</w:t>
      </w:r>
      <w:proofErr w:type="gramEnd"/>
      <w:r>
        <w:t xml:space="preserve"> only the DN300 section of the </w:t>
      </w:r>
      <w:proofErr w:type="spellStart"/>
      <w:r w:rsidR="009603AE">
        <w:t>spur</w:t>
      </w:r>
      <w:r>
        <w:t>line</w:t>
      </w:r>
      <w:proofErr w:type="spellEnd"/>
      <w:r>
        <w:t xml:space="preserve"> is the more efficient option, a reasonable forecast of capital expenditure must be allowed for that option to be executed. </w:t>
      </w:r>
      <w:r w:rsidR="003B0C13">
        <w:t>APTNT proposed that a</w:t>
      </w:r>
      <w:r>
        <w:t xml:space="preserve">s the scope of </w:t>
      </w:r>
      <w:r w:rsidR="003B0C13">
        <w:t>our preferred</w:t>
      </w:r>
      <w:r>
        <w:t xml:space="preserve"> approach is approximately half that of APTNT</w:t>
      </w:r>
      <w:r w:rsidR="003B0C13">
        <w:t>'s</w:t>
      </w:r>
      <w:r>
        <w:t xml:space="preserve"> </w:t>
      </w:r>
      <w:r w:rsidR="003B0C13">
        <w:t>preferred option,</w:t>
      </w:r>
      <w:r>
        <w:t xml:space="preserve"> a reasonable cost estimate would be more in line with half the cost of the APTNT </w:t>
      </w:r>
      <w:r w:rsidR="009603AE">
        <w:t>forecast of</w:t>
      </w:r>
      <w:r>
        <w:t xml:space="preserve"> $5.35 million. APTNT </w:t>
      </w:r>
      <w:r w:rsidR="009603AE">
        <w:t xml:space="preserve">estimated the </w:t>
      </w:r>
      <w:r>
        <w:t xml:space="preserve">up-front capital cost </w:t>
      </w:r>
      <w:r w:rsidR="009603AE">
        <w:t xml:space="preserve">of our </w:t>
      </w:r>
      <w:r w:rsidR="00FA07D0">
        <w:t>option</w:t>
      </w:r>
      <w:r>
        <w:t xml:space="preserve"> to be $5.014 million. </w:t>
      </w:r>
      <w:r w:rsidR="00FA07D0">
        <w:t>APTNT</w:t>
      </w:r>
      <w:r w:rsidR="00BB2602">
        <w:t xml:space="preserve"> also</w:t>
      </w:r>
      <w:r w:rsidR="00FA07D0">
        <w:t xml:space="preserve"> noted that </w:t>
      </w:r>
      <w:r w:rsidR="00BB2602">
        <w:t>this</w:t>
      </w:r>
      <w:r w:rsidR="00FA07D0">
        <w:t xml:space="preserve"> approach</w:t>
      </w:r>
      <w:r>
        <w:t xml:space="preserve"> </w:t>
      </w:r>
      <w:r w:rsidR="00FA07D0">
        <w:t>has</w:t>
      </w:r>
      <w:r>
        <w:t xml:space="preserve"> a greater reliance on DCVG analysis and excavation inspections, adding a larger ongoing opex component than </w:t>
      </w:r>
      <w:r w:rsidR="00FA07D0">
        <w:t>its preferred</w:t>
      </w:r>
      <w:r>
        <w:t xml:space="preserve"> option.</w:t>
      </w:r>
      <w:r w:rsidR="00D15374">
        <w:rPr>
          <w:rStyle w:val="FootnoteReference"/>
        </w:rPr>
        <w:footnoteReference w:id="22"/>
      </w:r>
    </w:p>
    <w:p w:rsidR="009977AC" w:rsidRPr="00682852" w:rsidRDefault="000A515A" w:rsidP="00682852">
      <w:pPr>
        <w:pStyle w:val="HeadingBoldItalic"/>
      </w:pPr>
      <w:r w:rsidRPr="00682852">
        <w:t>Below ground station pipework p</w:t>
      </w:r>
      <w:r w:rsidR="00FA07D0" w:rsidRPr="00682852">
        <w:t>roject</w:t>
      </w:r>
    </w:p>
    <w:p w:rsidR="00FA07D0" w:rsidRDefault="00B95C80" w:rsidP="00494678">
      <w:r>
        <w:t xml:space="preserve">APTNT did not accept our draft decision to defer </w:t>
      </w:r>
      <w:r w:rsidR="00BB2602">
        <w:t>completion of</w:t>
      </w:r>
      <w:r>
        <w:t xml:space="preserve"> the </w:t>
      </w:r>
      <w:r w:rsidR="000A515A">
        <w:t>below ground station pipework p</w:t>
      </w:r>
      <w:r w:rsidR="000A515A" w:rsidRPr="00ED2DDE">
        <w:t>roject</w:t>
      </w:r>
      <w:r w:rsidR="000A515A">
        <w:t xml:space="preserve"> </w:t>
      </w:r>
      <w:r>
        <w:t xml:space="preserve">until the end of the 2016-21 access arrangement period and maintained </w:t>
      </w:r>
      <w:r w:rsidR="00BB2602">
        <w:t xml:space="preserve">the majority of </w:t>
      </w:r>
      <w:r>
        <w:t>expenditure on this project in the 2011-16 access arrangement period.</w:t>
      </w:r>
      <w:r>
        <w:rPr>
          <w:rStyle w:val="FootnoteReference"/>
        </w:rPr>
        <w:footnoteReference w:id="23"/>
      </w:r>
    </w:p>
    <w:p w:rsidR="00FA07D0" w:rsidRPr="00682852" w:rsidRDefault="0060267C" w:rsidP="00682852">
      <w:pPr>
        <w:pStyle w:val="HeadingBoldItalic"/>
      </w:pPr>
      <w:r w:rsidRPr="00682852">
        <w:t>Real cost escalation</w:t>
      </w:r>
    </w:p>
    <w:p w:rsidR="0060267C" w:rsidRDefault="0060267C" w:rsidP="00494678">
      <w:r>
        <w:t xml:space="preserve">APTNT accepted our updated real labour cost escalators, and applied them in respect of </w:t>
      </w:r>
      <w:r w:rsidR="00BB2602">
        <w:t xml:space="preserve">the </w:t>
      </w:r>
      <w:r>
        <w:t xml:space="preserve">2015-16 </w:t>
      </w:r>
      <w:r w:rsidR="00BB2602">
        <w:t xml:space="preserve">year </w:t>
      </w:r>
      <w:r>
        <w:t>and forecast capital expenditure.</w:t>
      </w:r>
      <w:r>
        <w:rPr>
          <w:rStyle w:val="FootnoteReference"/>
        </w:rPr>
        <w:footnoteReference w:id="24"/>
      </w:r>
    </w:p>
    <w:p w:rsidR="00A2303E" w:rsidRDefault="00A2303E" w:rsidP="00A2303E">
      <w:pPr>
        <w:pStyle w:val="Heading2"/>
      </w:pPr>
      <w:bookmarkStart w:id="27" w:name="_Toc408404322"/>
      <w:bookmarkStart w:id="28" w:name="_Toc419366915"/>
      <w:bookmarkStart w:id="29" w:name="_Toc451529908"/>
      <w:r w:rsidRPr="0074565D">
        <w:t>AER’s assessment approach</w:t>
      </w:r>
      <w:bookmarkEnd w:id="27"/>
      <w:bookmarkEnd w:id="28"/>
      <w:bookmarkEnd w:id="29"/>
    </w:p>
    <w:p w:rsidR="007E76E0" w:rsidRDefault="007E76E0" w:rsidP="0011291A">
      <w:bookmarkStart w:id="30" w:name="_Toc408404324"/>
      <w:bookmarkStart w:id="31" w:name="_Toc419366917"/>
      <w:r>
        <w:t>Our assessment approach is the same as in the draft decision.</w:t>
      </w:r>
      <w:r>
        <w:rPr>
          <w:rStyle w:val="FootnoteReference"/>
        </w:rPr>
        <w:footnoteReference w:id="25"/>
      </w:r>
    </w:p>
    <w:p w:rsidR="00A2303E" w:rsidRDefault="00A2303E" w:rsidP="008758B7">
      <w:pPr>
        <w:pStyle w:val="Heading2"/>
      </w:pPr>
      <w:bookmarkStart w:id="32" w:name="_Toc451529909"/>
      <w:r w:rsidRPr="0074565D">
        <w:t xml:space="preserve">Reasons for </w:t>
      </w:r>
      <w:r>
        <w:t>final</w:t>
      </w:r>
      <w:r w:rsidRPr="0074565D">
        <w:t xml:space="preserve"> decision</w:t>
      </w:r>
      <w:bookmarkEnd w:id="30"/>
      <w:bookmarkEnd w:id="31"/>
      <w:bookmarkEnd w:id="32"/>
      <w:r w:rsidRPr="0074565D">
        <w:t xml:space="preserve"> </w:t>
      </w:r>
    </w:p>
    <w:p w:rsidR="00B5411F" w:rsidRPr="00B5411F" w:rsidRDefault="00B5411F" w:rsidP="00B5411F">
      <w:pPr>
        <w:pStyle w:val="Heading3"/>
      </w:pPr>
      <w:bookmarkStart w:id="33" w:name="_Ref331418230"/>
      <w:bookmarkStart w:id="34" w:name="_Toc404676549"/>
      <w:bookmarkStart w:id="35" w:name="_Toc404676599"/>
      <w:bookmarkStart w:id="36" w:name="_Toc436042756"/>
      <w:bookmarkStart w:id="37" w:name="_Toc451529910"/>
      <w:r w:rsidRPr="006C48AF">
        <w:t>Conforming</w:t>
      </w:r>
      <w:r w:rsidRPr="00B5411F">
        <w:t xml:space="preserve"> capex for 2010–1</w:t>
      </w:r>
      <w:bookmarkEnd w:id="33"/>
      <w:bookmarkEnd w:id="34"/>
      <w:bookmarkEnd w:id="35"/>
      <w:r w:rsidRPr="00B5411F">
        <w:t>6</w:t>
      </w:r>
      <w:bookmarkEnd w:id="36"/>
      <w:bookmarkEnd w:id="37"/>
    </w:p>
    <w:p w:rsidR="00B5411F" w:rsidRPr="002D5654" w:rsidRDefault="00B5411F" w:rsidP="00B5411F">
      <w:r w:rsidRPr="002D5654">
        <w:t xml:space="preserve">We approve </w:t>
      </w:r>
      <w:r w:rsidR="00734857">
        <w:t>net conforming capex of $</w:t>
      </w:r>
      <w:r w:rsidR="00502593">
        <w:t>42.1</w:t>
      </w:r>
      <w:r w:rsidR="00734857">
        <w:t xml:space="preserve"> million ($2015–16)</w:t>
      </w:r>
      <w:r w:rsidRPr="002D5654">
        <w:t xml:space="preserve"> for the </w:t>
      </w:r>
      <w:r>
        <w:t>2011–16</w:t>
      </w:r>
      <w:r w:rsidRPr="002D5654">
        <w:t xml:space="preserve"> access arrangement </w:t>
      </w:r>
      <w:proofErr w:type="gramStart"/>
      <w:r w:rsidRPr="002D5654">
        <w:t>period</w:t>
      </w:r>
      <w:proofErr w:type="gramEnd"/>
      <w:r w:rsidRPr="002D5654">
        <w:t xml:space="preserve">. </w:t>
      </w:r>
      <w:r w:rsidR="00734857">
        <w:t>This is a reduction of $</w:t>
      </w:r>
      <w:r w:rsidR="00BF1A4A">
        <w:t>2.3</w:t>
      </w:r>
      <w:r w:rsidR="00734857">
        <w:t xml:space="preserve"> million or </w:t>
      </w:r>
      <w:r w:rsidR="00BF1A4A">
        <w:t>5.</w:t>
      </w:r>
      <w:r w:rsidR="00707471">
        <w:t>1</w:t>
      </w:r>
      <w:r w:rsidR="00734857">
        <w:t xml:space="preserve"> per cent from APTNT's revised estimate of conforming capex. </w:t>
      </w:r>
      <w:r>
        <w:t>We also approve APTNT’s actual capex of $4.5</w:t>
      </w:r>
      <w:r w:rsidR="00734857">
        <w:t> </w:t>
      </w:r>
      <w:r>
        <w:t>million ($2015</w:t>
      </w:r>
      <w:r>
        <w:noBreakHyphen/>
        <w:t>16) for the 2010</w:t>
      </w:r>
      <w:r>
        <w:noBreakHyphen/>
        <w:t>11 year as conforming capex.</w:t>
      </w:r>
      <w:r w:rsidR="0053424C">
        <w:t xml:space="preserve"> </w:t>
      </w:r>
      <w:r w:rsidR="00CF6C01">
        <w:fldChar w:fldCharType="begin"/>
      </w:r>
      <w:r w:rsidR="00CF6C01">
        <w:instrText xml:space="preserve"> REF _Ref447008637 </w:instrText>
      </w:r>
      <w:r w:rsidR="00CF6C01">
        <w:fldChar w:fldCharType="separate"/>
      </w:r>
      <w:r w:rsidR="00C9476D">
        <w:t xml:space="preserve">Table </w:t>
      </w:r>
      <w:r w:rsidR="00C9476D">
        <w:rPr>
          <w:noProof/>
        </w:rPr>
        <w:t>6</w:t>
      </w:r>
      <w:r w:rsidR="00C9476D">
        <w:t>.</w:t>
      </w:r>
      <w:r w:rsidR="00C9476D">
        <w:rPr>
          <w:noProof/>
        </w:rPr>
        <w:t>7</w:t>
      </w:r>
      <w:r w:rsidR="00CF6C01">
        <w:rPr>
          <w:noProof/>
        </w:rPr>
        <w:fldChar w:fldCharType="end"/>
      </w:r>
      <w:r>
        <w:t xml:space="preserve"> </w:t>
      </w:r>
      <w:r w:rsidRPr="002D5654">
        <w:t>summ</w:t>
      </w:r>
      <w:r>
        <w:t xml:space="preserve">arises our approved </w:t>
      </w:r>
      <w:r w:rsidRPr="002D5654">
        <w:t xml:space="preserve">conforming capex for the </w:t>
      </w:r>
      <w:r>
        <w:t>2011–16</w:t>
      </w:r>
      <w:r w:rsidRPr="002D5654">
        <w:t xml:space="preserve"> access arrangement period</w:t>
      </w:r>
      <w:r>
        <w:t xml:space="preserve"> and the preceding 2010</w:t>
      </w:r>
      <w:r>
        <w:noBreakHyphen/>
        <w:t>11 year</w:t>
      </w:r>
      <w:r w:rsidRPr="002D5654">
        <w:t>.</w:t>
      </w:r>
    </w:p>
    <w:p w:rsidR="00B5411F" w:rsidRPr="002D5654" w:rsidRDefault="0053424C">
      <w:pPr>
        <w:pStyle w:val="Caption"/>
      </w:pPr>
      <w:bookmarkStart w:id="38" w:name="_Ref447008637"/>
      <w:proofErr w:type="gramStart"/>
      <w:r>
        <w:t xml:space="preserve">Table </w:t>
      </w:r>
      <w:r w:rsidR="00CF6C01">
        <w:fldChar w:fldCharType="begin"/>
      </w:r>
      <w:r w:rsidR="00CF6C01">
        <w:instrText xml:space="preserve"> STYLEREF 1 \s </w:instrText>
      </w:r>
      <w:r w:rsidR="00CF6C01">
        <w:fldChar w:fldCharType="separate"/>
      </w:r>
      <w:r w:rsidR="00C9476D">
        <w:rPr>
          <w:noProof/>
        </w:rPr>
        <w:t>6</w:t>
      </w:r>
      <w:r w:rsidR="00CF6C01">
        <w:rPr>
          <w:noProof/>
        </w:rPr>
        <w:fldChar w:fldCharType="end"/>
      </w:r>
      <w:r w:rsidR="00EA4D62">
        <w:t>.</w:t>
      </w:r>
      <w:proofErr w:type="gramEnd"/>
      <w:r w:rsidR="00CF6C01">
        <w:fldChar w:fldCharType="begin"/>
      </w:r>
      <w:r w:rsidR="00CF6C01">
        <w:instrText xml:space="preserve"> SEQ Table \* ARABIC \s 1 </w:instrText>
      </w:r>
      <w:r w:rsidR="00CF6C01">
        <w:fldChar w:fldCharType="separate"/>
      </w:r>
      <w:r w:rsidR="00C9476D">
        <w:rPr>
          <w:noProof/>
        </w:rPr>
        <w:t>7</w:t>
      </w:r>
      <w:r w:rsidR="00CF6C01">
        <w:rPr>
          <w:noProof/>
        </w:rPr>
        <w:fldChar w:fldCharType="end"/>
      </w:r>
      <w:bookmarkEnd w:id="38"/>
      <w:r>
        <w:tab/>
        <w:t xml:space="preserve">AER </w:t>
      </w:r>
      <w:r w:rsidR="00B5411F" w:rsidRPr="002D5654">
        <w:t>approved capital expenditure over the 201</w:t>
      </w:r>
      <w:r w:rsidR="00B5411F">
        <w:t>0</w:t>
      </w:r>
      <w:r w:rsidR="00B5411F" w:rsidRPr="002D5654">
        <w:t>–20</w:t>
      </w:r>
      <w:r w:rsidR="00B5411F">
        <w:t>16</w:t>
      </w:r>
      <w:r w:rsidR="00B5411F" w:rsidRPr="002D5654">
        <w:t xml:space="preserve"> period ($million, 2015</w:t>
      </w:r>
      <w:r w:rsidR="00B5411F">
        <w:noBreakHyphen/>
      </w:r>
      <w:r w:rsidR="00B5411F" w:rsidRPr="002D5654">
        <w:t>16)</w:t>
      </w:r>
    </w:p>
    <w:tbl>
      <w:tblPr>
        <w:tblStyle w:val="AERtable-numbers"/>
        <w:tblW w:w="8693" w:type="dxa"/>
        <w:tblLayout w:type="fixed"/>
        <w:tblLook w:val="04A0" w:firstRow="1" w:lastRow="0" w:firstColumn="1" w:lastColumn="0" w:noHBand="0" w:noVBand="1"/>
      </w:tblPr>
      <w:tblGrid>
        <w:gridCol w:w="2235"/>
        <w:gridCol w:w="922"/>
        <w:gridCol w:w="923"/>
        <w:gridCol w:w="922"/>
        <w:gridCol w:w="923"/>
        <w:gridCol w:w="922"/>
        <w:gridCol w:w="923"/>
        <w:gridCol w:w="923"/>
      </w:tblGrid>
      <w:tr w:rsidR="00C64503" w:rsidRPr="002D5654" w:rsidTr="00C645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tcPr>
          <w:p w:rsidR="00C64503" w:rsidRPr="002D5654" w:rsidRDefault="00C64503" w:rsidP="00C64503"/>
        </w:tc>
        <w:tc>
          <w:tcPr>
            <w:tcW w:w="922" w:type="dxa"/>
          </w:tcPr>
          <w:p w:rsidR="00C64503" w:rsidRPr="00C64503" w:rsidRDefault="00C64503" w:rsidP="00C64503">
            <w:pPr>
              <w:cnfStyle w:val="100000000000" w:firstRow="1" w:lastRow="0" w:firstColumn="0" w:lastColumn="0" w:oddVBand="0" w:evenVBand="0" w:oddHBand="0" w:evenHBand="0" w:firstRowFirstColumn="0" w:firstRowLastColumn="0" w:lastRowFirstColumn="0" w:lastRowLastColumn="0"/>
            </w:pPr>
            <w:r>
              <w:t>2010-11</w:t>
            </w:r>
          </w:p>
        </w:tc>
        <w:tc>
          <w:tcPr>
            <w:tcW w:w="923" w:type="dxa"/>
          </w:tcPr>
          <w:p w:rsidR="00C64503" w:rsidRPr="00C64503" w:rsidRDefault="00C64503" w:rsidP="00C64503">
            <w:pPr>
              <w:cnfStyle w:val="100000000000" w:firstRow="1" w:lastRow="0" w:firstColumn="0" w:lastColumn="0" w:oddVBand="0" w:evenVBand="0" w:oddHBand="0" w:evenHBand="0" w:firstRowFirstColumn="0" w:firstRowLastColumn="0" w:lastRowFirstColumn="0" w:lastRowLastColumn="0"/>
            </w:pPr>
            <w:r w:rsidRPr="002D5654">
              <w:t>201</w:t>
            </w:r>
            <w:r w:rsidRPr="00C64503">
              <w:t>1-12</w:t>
            </w:r>
          </w:p>
        </w:tc>
        <w:tc>
          <w:tcPr>
            <w:tcW w:w="922" w:type="dxa"/>
          </w:tcPr>
          <w:p w:rsidR="00C64503" w:rsidRPr="00C64503" w:rsidRDefault="00C64503" w:rsidP="00C64503">
            <w:pPr>
              <w:cnfStyle w:val="100000000000" w:firstRow="1" w:lastRow="0" w:firstColumn="0" w:lastColumn="0" w:oddVBand="0" w:evenVBand="0" w:oddHBand="0" w:evenHBand="0" w:firstRowFirstColumn="0" w:firstRowLastColumn="0" w:lastRowFirstColumn="0" w:lastRowLastColumn="0"/>
            </w:pPr>
            <w:r w:rsidRPr="002D5654">
              <w:t>201</w:t>
            </w:r>
            <w:r w:rsidRPr="00C64503">
              <w:t>2-13</w:t>
            </w:r>
          </w:p>
        </w:tc>
        <w:tc>
          <w:tcPr>
            <w:tcW w:w="923" w:type="dxa"/>
          </w:tcPr>
          <w:p w:rsidR="00C64503" w:rsidRPr="00C64503" w:rsidRDefault="00C64503" w:rsidP="00C64503">
            <w:pPr>
              <w:cnfStyle w:val="100000000000" w:firstRow="1" w:lastRow="0" w:firstColumn="0" w:lastColumn="0" w:oddVBand="0" w:evenVBand="0" w:oddHBand="0" w:evenHBand="0" w:firstRowFirstColumn="0" w:firstRowLastColumn="0" w:lastRowFirstColumn="0" w:lastRowLastColumn="0"/>
            </w:pPr>
            <w:r w:rsidRPr="002D5654">
              <w:t>201</w:t>
            </w:r>
            <w:r w:rsidRPr="00C64503">
              <w:t>3-14</w:t>
            </w:r>
          </w:p>
        </w:tc>
        <w:tc>
          <w:tcPr>
            <w:tcW w:w="922" w:type="dxa"/>
          </w:tcPr>
          <w:p w:rsidR="00C64503" w:rsidRPr="00C64503" w:rsidRDefault="00C64503" w:rsidP="00C64503">
            <w:pPr>
              <w:cnfStyle w:val="100000000000" w:firstRow="1" w:lastRow="0" w:firstColumn="0" w:lastColumn="0" w:oddVBand="0" w:evenVBand="0" w:oddHBand="0" w:evenHBand="0" w:firstRowFirstColumn="0" w:firstRowLastColumn="0" w:lastRowFirstColumn="0" w:lastRowLastColumn="0"/>
            </w:pPr>
            <w:r w:rsidRPr="002D5654">
              <w:t>201</w:t>
            </w:r>
            <w:r w:rsidRPr="00C64503">
              <w:t>4-15</w:t>
            </w:r>
          </w:p>
        </w:tc>
        <w:tc>
          <w:tcPr>
            <w:tcW w:w="923" w:type="dxa"/>
          </w:tcPr>
          <w:p w:rsidR="00C64503" w:rsidRPr="00C64503" w:rsidRDefault="00C64503" w:rsidP="00C64503">
            <w:pPr>
              <w:cnfStyle w:val="100000000000" w:firstRow="1" w:lastRow="0" w:firstColumn="0" w:lastColumn="0" w:oddVBand="0" w:evenVBand="0" w:oddHBand="0" w:evenHBand="0" w:firstRowFirstColumn="0" w:firstRowLastColumn="0" w:lastRowFirstColumn="0" w:lastRowLastColumn="0"/>
            </w:pPr>
            <w:r w:rsidRPr="002D5654">
              <w:t>20</w:t>
            </w:r>
            <w:r w:rsidRPr="00C64503">
              <w:t>15-16</w:t>
            </w:r>
          </w:p>
        </w:tc>
        <w:tc>
          <w:tcPr>
            <w:tcW w:w="923" w:type="dxa"/>
          </w:tcPr>
          <w:p w:rsidR="00C64503" w:rsidRPr="00C64503" w:rsidRDefault="00C64503" w:rsidP="00C64503">
            <w:pPr>
              <w:cnfStyle w:val="100000000000" w:firstRow="1" w:lastRow="0" w:firstColumn="0" w:lastColumn="0" w:oddVBand="0" w:evenVBand="0" w:oddHBand="0" w:evenHBand="0" w:firstRowFirstColumn="0" w:firstRowLastColumn="0" w:lastRowFirstColumn="0" w:lastRowLastColumn="0"/>
            </w:pPr>
            <w:r w:rsidRPr="002D5654">
              <w:t>Total</w:t>
            </w:r>
            <w:r w:rsidRPr="00C64503">
              <w:t xml:space="preserve"> </w:t>
            </w:r>
            <w:r w:rsidRPr="00C64503">
              <w:br/>
              <w:t>(2011-16)</w:t>
            </w:r>
          </w:p>
        </w:tc>
      </w:tr>
      <w:tr w:rsidR="001100B9" w:rsidRPr="002D5654" w:rsidTr="00C64503">
        <w:tc>
          <w:tcPr>
            <w:cnfStyle w:val="001000000000" w:firstRow="0" w:lastRow="0" w:firstColumn="1" w:lastColumn="0" w:oddVBand="0" w:evenVBand="0" w:oddHBand="0" w:evenHBand="0" w:firstRowFirstColumn="0" w:firstRowLastColumn="0" w:lastRowFirstColumn="0" w:lastRowLastColumn="0"/>
            <w:tcW w:w="2235" w:type="dxa"/>
          </w:tcPr>
          <w:p w:rsidR="001100B9" w:rsidRPr="001100B9" w:rsidRDefault="001100B9" w:rsidP="001100B9">
            <w:r w:rsidRPr="002D5654">
              <w:t>Expansion</w:t>
            </w:r>
          </w:p>
        </w:tc>
        <w:tc>
          <w:tcPr>
            <w:tcW w:w="922" w:type="dxa"/>
          </w:tcPr>
          <w:p w:rsidR="001100B9" w:rsidRPr="001100B9" w:rsidRDefault="001100B9" w:rsidP="001100B9">
            <w:pPr>
              <w:cnfStyle w:val="000000000000" w:firstRow="0" w:lastRow="0" w:firstColumn="0" w:lastColumn="0" w:oddVBand="0" w:evenVBand="0" w:oddHBand="0" w:evenHBand="0" w:firstRowFirstColumn="0" w:firstRowLastColumn="0" w:lastRowFirstColumn="0" w:lastRowLastColumn="0"/>
            </w:pPr>
            <w:r w:rsidRPr="000E260B">
              <w:t>3</w:t>
            </w:r>
            <w:r w:rsidRPr="001100B9">
              <w:t>.0</w:t>
            </w:r>
          </w:p>
        </w:tc>
        <w:tc>
          <w:tcPr>
            <w:tcW w:w="923" w:type="dxa"/>
          </w:tcPr>
          <w:p w:rsidR="001100B9" w:rsidRPr="001100B9" w:rsidRDefault="001100B9" w:rsidP="001100B9">
            <w:pPr>
              <w:cnfStyle w:val="000000000000" w:firstRow="0" w:lastRow="0" w:firstColumn="0" w:lastColumn="0" w:oddVBand="0" w:evenVBand="0" w:oddHBand="0" w:evenHBand="0" w:firstRowFirstColumn="0" w:firstRowLastColumn="0" w:lastRowFirstColumn="0" w:lastRowLastColumn="0"/>
            </w:pPr>
            <w:r w:rsidRPr="000E260B">
              <w:t>0.9</w:t>
            </w:r>
          </w:p>
        </w:tc>
        <w:tc>
          <w:tcPr>
            <w:tcW w:w="922" w:type="dxa"/>
          </w:tcPr>
          <w:p w:rsidR="001100B9" w:rsidRPr="000E260B" w:rsidRDefault="001100B9" w:rsidP="001100B9">
            <w:pPr>
              <w:cnfStyle w:val="000000000000" w:firstRow="0" w:lastRow="0" w:firstColumn="0" w:lastColumn="0" w:oddVBand="0" w:evenVBand="0" w:oddHBand="0" w:evenHBand="0" w:firstRowFirstColumn="0" w:firstRowLastColumn="0" w:lastRowFirstColumn="0" w:lastRowLastColumn="0"/>
            </w:pPr>
            <w:r w:rsidRPr="000E260B">
              <w:t>0.8</w:t>
            </w:r>
          </w:p>
        </w:tc>
        <w:tc>
          <w:tcPr>
            <w:tcW w:w="923" w:type="dxa"/>
          </w:tcPr>
          <w:p w:rsidR="001100B9" w:rsidRPr="000E260B" w:rsidRDefault="001100B9" w:rsidP="001100B9">
            <w:pPr>
              <w:cnfStyle w:val="000000000000" w:firstRow="0" w:lastRow="0" w:firstColumn="0" w:lastColumn="0" w:oddVBand="0" w:evenVBand="0" w:oddHBand="0" w:evenHBand="0" w:firstRowFirstColumn="0" w:firstRowLastColumn="0" w:lastRowFirstColumn="0" w:lastRowLastColumn="0"/>
            </w:pPr>
            <w:r w:rsidRPr="000E260B">
              <w:t>0.6</w:t>
            </w:r>
          </w:p>
        </w:tc>
        <w:tc>
          <w:tcPr>
            <w:tcW w:w="922" w:type="dxa"/>
          </w:tcPr>
          <w:p w:rsidR="001100B9" w:rsidRPr="000E260B" w:rsidRDefault="001100B9" w:rsidP="001100B9">
            <w:pPr>
              <w:cnfStyle w:val="000000000000" w:firstRow="0" w:lastRow="0" w:firstColumn="0" w:lastColumn="0" w:oddVBand="0" w:evenVBand="0" w:oddHBand="0" w:evenHBand="0" w:firstRowFirstColumn="0" w:firstRowLastColumn="0" w:lastRowFirstColumn="0" w:lastRowLastColumn="0"/>
            </w:pPr>
            <w:r w:rsidRPr="000E260B">
              <w:t>0.1</w:t>
            </w:r>
          </w:p>
        </w:tc>
        <w:tc>
          <w:tcPr>
            <w:tcW w:w="923" w:type="dxa"/>
          </w:tcPr>
          <w:p w:rsidR="001100B9" w:rsidRPr="000E260B" w:rsidRDefault="001100B9" w:rsidP="001100B9">
            <w:pPr>
              <w:cnfStyle w:val="000000000000" w:firstRow="0" w:lastRow="0" w:firstColumn="0" w:lastColumn="0" w:oddVBand="0" w:evenVBand="0" w:oddHBand="0" w:evenHBand="0" w:firstRowFirstColumn="0" w:firstRowLastColumn="0" w:lastRowFirstColumn="0" w:lastRowLastColumn="0"/>
            </w:pPr>
            <w:r w:rsidRPr="000E260B">
              <w:t>-</w:t>
            </w:r>
          </w:p>
        </w:tc>
        <w:tc>
          <w:tcPr>
            <w:tcW w:w="923" w:type="dxa"/>
          </w:tcPr>
          <w:p w:rsidR="001100B9" w:rsidRPr="001100B9" w:rsidRDefault="001100B9" w:rsidP="001100B9">
            <w:pPr>
              <w:cnfStyle w:val="000000000000" w:firstRow="0" w:lastRow="0" w:firstColumn="0" w:lastColumn="0" w:oddVBand="0" w:evenVBand="0" w:oddHBand="0" w:evenHBand="0" w:firstRowFirstColumn="0" w:firstRowLastColumn="0" w:lastRowFirstColumn="0" w:lastRowLastColumn="0"/>
            </w:pPr>
            <w:r w:rsidRPr="000E260B">
              <w:t>2.</w:t>
            </w:r>
            <w:r w:rsidRPr="001100B9">
              <w:t>3</w:t>
            </w:r>
          </w:p>
        </w:tc>
      </w:tr>
      <w:tr w:rsidR="001100B9" w:rsidRPr="002D5654" w:rsidTr="00C645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1100B9" w:rsidRPr="001100B9" w:rsidRDefault="001100B9" w:rsidP="001100B9">
            <w:r w:rsidRPr="002D5654">
              <w:t>Replacement</w:t>
            </w:r>
          </w:p>
        </w:tc>
        <w:tc>
          <w:tcPr>
            <w:tcW w:w="922" w:type="dxa"/>
          </w:tcPr>
          <w:p w:rsidR="001100B9" w:rsidRPr="001100B9" w:rsidRDefault="001100B9" w:rsidP="001100B9">
            <w:pPr>
              <w:cnfStyle w:val="000000010000" w:firstRow="0" w:lastRow="0" w:firstColumn="0" w:lastColumn="0" w:oddVBand="0" w:evenVBand="0" w:oddHBand="0" w:evenHBand="1" w:firstRowFirstColumn="0" w:firstRowLastColumn="0" w:lastRowFirstColumn="0" w:lastRowLastColumn="0"/>
            </w:pPr>
            <w:r w:rsidRPr="000E260B">
              <w:t>1</w:t>
            </w:r>
            <w:r w:rsidRPr="001100B9">
              <w:t>.1</w:t>
            </w:r>
          </w:p>
        </w:tc>
        <w:tc>
          <w:tcPr>
            <w:tcW w:w="923" w:type="dxa"/>
          </w:tcPr>
          <w:p w:rsidR="001100B9" w:rsidRPr="001100B9" w:rsidRDefault="001100B9" w:rsidP="001100B9">
            <w:pPr>
              <w:cnfStyle w:val="000000010000" w:firstRow="0" w:lastRow="0" w:firstColumn="0" w:lastColumn="0" w:oddVBand="0" w:evenVBand="0" w:oddHBand="0" w:evenHBand="1" w:firstRowFirstColumn="0" w:firstRowLastColumn="0" w:lastRowFirstColumn="0" w:lastRowLastColumn="0"/>
            </w:pPr>
            <w:r w:rsidRPr="000E260B">
              <w:t>3.4</w:t>
            </w:r>
          </w:p>
        </w:tc>
        <w:tc>
          <w:tcPr>
            <w:tcW w:w="922" w:type="dxa"/>
          </w:tcPr>
          <w:p w:rsidR="001100B9" w:rsidRPr="000E260B" w:rsidRDefault="001100B9" w:rsidP="001100B9">
            <w:pPr>
              <w:cnfStyle w:val="000000010000" w:firstRow="0" w:lastRow="0" w:firstColumn="0" w:lastColumn="0" w:oddVBand="0" w:evenVBand="0" w:oddHBand="0" w:evenHBand="1" w:firstRowFirstColumn="0" w:firstRowLastColumn="0" w:lastRowFirstColumn="0" w:lastRowLastColumn="0"/>
            </w:pPr>
            <w:r w:rsidRPr="000E260B">
              <w:t>14.6</w:t>
            </w:r>
          </w:p>
        </w:tc>
        <w:tc>
          <w:tcPr>
            <w:tcW w:w="923" w:type="dxa"/>
          </w:tcPr>
          <w:p w:rsidR="001100B9" w:rsidRPr="000E260B" w:rsidRDefault="001100B9" w:rsidP="001100B9">
            <w:pPr>
              <w:cnfStyle w:val="000000010000" w:firstRow="0" w:lastRow="0" w:firstColumn="0" w:lastColumn="0" w:oddVBand="0" w:evenVBand="0" w:oddHBand="0" w:evenHBand="1" w:firstRowFirstColumn="0" w:firstRowLastColumn="0" w:lastRowFirstColumn="0" w:lastRowLastColumn="0"/>
            </w:pPr>
            <w:r w:rsidRPr="000E260B">
              <w:t>2.2</w:t>
            </w:r>
          </w:p>
        </w:tc>
        <w:tc>
          <w:tcPr>
            <w:tcW w:w="922" w:type="dxa"/>
          </w:tcPr>
          <w:p w:rsidR="001100B9" w:rsidRPr="000E260B" w:rsidRDefault="001100B9" w:rsidP="001100B9">
            <w:pPr>
              <w:cnfStyle w:val="000000010000" w:firstRow="0" w:lastRow="0" w:firstColumn="0" w:lastColumn="0" w:oddVBand="0" w:evenVBand="0" w:oddHBand="0" w:evenHBand="1" w:firstRowFirstColumn="0" w:firstRowLastColumn="0" w:lastRowFirstColumn="0" w:lastRowLastColumn="0"/>
            </w:pPr>
            <w:r w:rsidRPr="000E260B">
              <w:t>2.3</w:t>
            </w:r>
          </w:p>
        </w:tc>
        <w:tc>
          <w:tcPr>
            <w:tcW w:w="923" w:type="dxa"/>
          </w:tcPr>
          <w:p w:rsidR="001100B9" w:rsidRPr="001100B9" w:rsidRDefault="001100B9" w:rsidP="001100B9">
            <w:pPr>
              <w:cnfStyle w:val="000000010000" w:firstRow="0" w:lastRow="0" w:firstColumn="0" w:lastColumn="0" w:oddVBand="0" w:evenVBand="0" w:oddHBand="0" w:evenHBand="1" w:firstRowFirstColumn="0" w:firstRowLastColumn="0" w:lastRowFirstColumn="0" w:lastRowLastColumn="0"/>
            </w:pPr>
            <w:r w:rsidRPr="000E260B">
              <w:t>10.</w:t>
            </w:r>
            <w:r w:rsidRPr="001100B9">
              <w:t>1</w:t>
            </w:r>
          </w:p>
        </w:tc>
        <w:tc>
          <w:tcPr>
            <w:tcW w:w="923" w:type="dxa"/>
          </w:tcPr>
          <w:p w:rsidR="001100B9" w:rsidRPr="001100B9" w:rsidRDefault="001100B9" w:rsidP="001100B9">
            <w:pPr>
              <w:cnfStyle w:val="000000010000" w:firstRow="0" w:lastRow="0" w:firstColumn="0" w:lastColumn="0" w:oddVBand="0" w:evenVBand="0" w:oddHBand="0" w:evenHBand="1" w:firstRowFirstColumn="0" w:firstRowLastColumn="0" w:lastRowFirstColumn="0" w:lastRowLastColumn="0"/>
            </w:pPr>
            <w:r w:rsidRPr="000E260B">
              <w:t>3</w:t>
            </w:r>
            <w:r w:rsidRPr="001100B9">
              <w:t>2.5</w:t>
            </w:r>
          </w:p>
        </w:tc>
      </w:tr>
      <w:tr w:rsidR="001100B9" w:rsidRPr="002D5654" w:rsidTr="00C64503">
        <w:tc>
          <w:tcPr>
            <w:cnfStyle w:val="001000000000" w:firstRow="0" w:lastRow="0" w:firstColumn="1" w:lastColumn="0" w:oddVBand="0" w:evenVBand="0" w:oddHBand="0" w:evenHBand="0" w:firstRowFirstColumn="0" w:firstRowLastColumn="0" w:lastRowFirstColumn="0" w:lastRowLastColumn="0"/>
            <w:tcW w:w="2235" w:type="dxa"/>
          </w:tcPr>
          <w:p w:rsidR="001100B9" w:rsidRPr="001100B9" w:rsidRDefault="001100B9" w:rsidP="001100B9">
            <w:r w:rsidRPr="002D5654">
              <w:t>Non-system</w:t>
            </w:r>
          </w:p>
        </w:tc>
        <w:tc>
          <w:tcPr>
            <w:tcW w:w="922" w:type="dxa"/>
          </w:tcPr>
          <w:p w:rsidR="001100B9" w:rsidRPr="000E260B" w:rsidRDefault="001100B9" w:rsidP="001100B9">
            <w:pPr>
              <w:cnfStyle w:val="000000000000" w:firstRow="0" w:lastRow="0" w:firstColumn="0" w:lastColumn="0" w:oddVBand="0" w:evenVBand="0" w:oddHBand="0" w:evenHBand="0" w:firstRowFirstColumn="0" w:firstRowLastColumn="0" w:lastRowFirstColumn="0" w:lastRowLastColumn="0"/>
            </w:pPr>
            <w:r w:rsidRPr="000E260B">
              <w:t>0.4</w:t>
            </w:r>
          </w:p>
        </w:tc>
        <w:tc>
          <w:tcPr>
            <w:tcW w:w="923" w:type="dxa"/>
          </w:tcPr>
          <w:p w:rsidR="001100B9" w:rsidRPr="000E260B" w:rsidRDefault="001100B9" w:rsidP="001100B9">
            <w:pPr>
              <w:cnfStyle w:val="000000000000" w:firstRow="0" w:lastRow="0" w:firstColumn="0" w:lastColumn="0" w:oddVBand="0" w:evenVBand="0" w:oddHBand="0" w:evenHBand="0" w:firstRowFirstColumn="0" w:firstRowLastColumn="0" w:lastRowFirstColumn="0" w:lastRowLastColumn="0"/>
            </w:pPr>
            <w:r w:rsidRPr="000E260B">
              <w:t>0.2</w:t>
            </w:r>
          </w:p>
        </w:tc>
        <w:tc>
          <w:tcPr>
            <w:tcW w:w="922" w:type="dxa"/>
          </w:tcPr>
          <w:p w:rsidR="001100B9" w:rsidRPr="000E260B" w:rsidRDefault="001100B9" w:rsidP="001100B9">
            <w:pPr>
              <w:cnfStyle w:val="000000000000" w:firstRow="0" w:lastRow="0" w:firstColumn="0" w:lastColumn="0" w:oddVBand="0" w:evenVBand="0" w:oddHBand="0" w:evenHBand="0" w:firstRowFirstColumn="0" w:firstRowLastColumn="0" w:lastRowFirstColumn="0" w:lastRowLastColumn="0"/>
            </w:pPr>
            <w:r w:rsidRPr="000E260B">
              <w:t>1.6</w:t>
            </w:r>
          </w:p>
        </w:tc>
        <w:tc>
          <w:tcPr>
            <w:tcW w:w="923" w:type="dxa"/>
          </w:tcPr>
          <w:p w:rsidR="001100B9" w:rsidRPr="000E260B" w:rsidRDefault="001100B9" w:rsidP="001100B9">
            <w:pPr>
              <w:cnfStyle w:val="000000000000" w:firstRow="0" w:lastRow="0" w:firstColumn="0" w:lastColumn="0" w:oddVBand="0" w:evenVBand="0" w:oddHBand="0" w:evenHBand="0" w:firstRowFirstColumn="0" w:firstRowLastColumn="0" w:lastRowFirstColumn="0" w:lastRowLastColumn="0"/>
            </w:pPr>
            <w:r w:rsidRPr="000E260B">
              <w:t>1.6</w:t>
            </w:r>
          </w:p>
        </w:tc>
        <w:tc>
          <w:tcPr>
            <w:tcW w:w="922" w:type="dxa"/>
          </w:tcPr>
          <w:p w:rsidR="001100B9" w:rsidRPr="000E260B" w:rsidRDefault="001100B9" w:rsidP="001100B9">
            <w:pPr>
              <w:cnfStyle w:val="000000000000" w:firstRow="0" w:lastRow="0" w:firstColumn="0" w:lastColumn="0" w:oddVBand="0" w:evenVBand="0" w:oddHBand="0" w:evenHBand="0" w:firstRowFirstColumn="0" w:firstRowLastColumn="0" w:lastRowFirstColumn="0" w:lastRowLastColumn="0"/>
            </w:pPr>
            <w:r w:rsidRPr="000E260B">
              <w:t>1.9</w:t>
            </w:r>
          </w:p>
        </w:tc>
        <w:tc>
          <w:tcPr>
            <w:tcW w:w="923" w:type="dxa"/>
          </w:tcPr>
          <w:p w:rsidR="001100B9" w:rsidRPr="000E260B" w:rsidRDefault="001100B9" w:rsidP="001100B9">
            <w:pPr>
              <w:cnfStyle w:val="000000000000" w:firstRow="0" w:lastRow="0" w:firstColumn="0" w:lastColumn="0" w:oddVBand="0" w:evenVBand="0" w:oddHBand="0" w:evenHBand="0" w:firstRowFirstColumn="0" w:firstRowLastColumn="0" w:lastRowFirstColumn="0" w:lastRowLastColumn="0"/>
            </w:pPr>
            <w:r w:rsidRPr="000E260B">
              <w:t>2.4</w:t>
            </w:r>
          </w:p>
        </w:tc>
        <w:tc>
          <w:tcPr>
            <w:tcW w:w="923" w:type="dxa"/>
          </w:tcPr>
          <w:p w:rsidR="001100B9" w:rsidRPr="001100B9" w:rsidRDefault="001100B9" w:rsidP="001100B9">
            <w:pPr>
              <w:cnfStyle w:val="000000000000" w:firstRow="0" w:lastRow="0" w:firstColumn="0" w:lastColumn="0" w:oddVBand="0" w:evenVBand="0" w:oddHBand="0" w:evenHBand="0" w:firstRowFirstColumn="0" w:firstRowLastColumn="0" w:lastRowFirstColumn="0" w:lastRowLastColumn="0"/>
            </w:pPr>
            <w:r w:rsidRPr="000E260B">
              <w:t>7.</w:t>
            </w:r>
            <w:r w:rsidRPr="001100B9">
              <w:t>7</w:t>
            </w:r>
          </w:p>
        </w:tc>
      </w:tr>
      <w:tr w:rsidR="001100B9" w:rsidRPr="002D5654" w:rsidTr="00C645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1100B9" w:rsidRPr="00C64503" w:rsidRDefault="001100B9" w:rsidP="001100B9">
            <w:r w:rsidRPr="00C64503">
              <w:t>GROSS TOTAL CAPITAL EXPENDITURE</w:t>
            </w:r>
          </w:p>
        </w:tc>
        <w:tc>
          <w:tcPr>
            <w:tcW w:w="922" w:type="dxa"/>
          </w:tcPr>
          <w:p w:rsidR="001100B9" w:rsidRPr="000E260B" w:rsidRDefault="001100B9" w:rsidP="001100B9">
            <w:pPr>
              <w:cnfStyle w:val="000000010000" w:firstRow="0" w:lastRow="0" w:firstColumn="0" w:lastColumn="0" w:oddVBand="0" w:evenVBand="0" w:oddHBand="0" w:evenHBand="1" w:firstRowFirstColumn="0" w:firstRowLastColumn="0" w:lastRowFirstColumn="0" w:lastRowLastColumn="0"/>
            </w:pPr>
            <w:r w:rsidRPr="000E260B">
              <w:t>4.5</w:t>
            </w:r>
          </w:p>
        </w:tc>
        <w:tc>
          <w:tcPr>
            <w:tcW w:w="923" w:type="dxa"/>
          </w:tcPr>
          <w:p w:rsidR="001100B9" w:rsidRPr="000E260B" w:rsidRDefault="001100B9" w:rsidP="001100B9">
            <w:pPr>
              <w:cnfStyle w:val="000000010000" w:firstRow="0" w:lastRow="0" w:firstColumn="0" w:lastColumn="0" w:oddVBand="0" w:evenVBand="0" w:oddHBand="0" w:evenHBand="1" w:firstRowFirstColumn="0" w:firstRowLastColumn="0" w:lastRowFirstColumn="0" w:lastRowLastColumn="0"/>
            </w:pPr>
            <w:r w:rsidRPr="000E260B">
              <w:t>4.5</w:t>
            </w:r>
          </w:p>
        </w:tc>
        <w:tc>
          <w:tcPr>
            <w:tcW w:w="922" w:type="dxa"/>
          </w:tcPr>
          <w:p w:rsidR="001100B9" w:rsidRPr="000E260B" w:rsidRDefault="001100B9" w:rsidP="001100B9">
            <w:pPr>
              <w:cnfStyle w:val="000000010000" w:firstRow="0" w:lastRow="0" w:firstColumn="0" w:lastColumn="0" w:oddVBand="0" w:evenVBand="0" w:oddHBand="0" w:evenHBand="1" w:firstRowFirstColumn="0" w:firstRowLastColumn="0" w:lastRowFirstColumn="0" w:lastRowLastColumn="0"/>
            </w:pPr>
            <w:r w:rsidRPr="000E260B">
              <w:t>17.0</w:t>
            </w:r>
          </w:p>
        </w:tc>
        <w:tc>
          <w:tcPr>
            <w:tcW w:w="923" w:type="dxa"/>
          </w:tcPr>
          <w:p w:rsidR="001100B9" w:rsidRPr="001100B9" w:rsidRDefault="001100B9" w:rsidP="001100B9">
            <w:pPr>
              <w:cnfStyle w:val="000000010000" w:firstRow="0" w:lastRow="0" w:firstColumn="0" w:lastColumn="0" w:oddVBand="0" w:evenVBand="0" w:oddHBand="0" w:evenHBand="1" w:firstRowFirstColumn="0" w:firstRowLastColumn="0" w:lastRowFirstColumn="0" w:lastRowLastColumn="0"/>
            </w:pPr>
            <w:r w:rsidRPr="000E260B">
              <w:t>4.</w:t>
            </w:r>
            <w:r w:rsidRPr="001100B9">
              <w:t>3</w:t>
            </w:r>
          </w:p>
        </w:tc>
        <w:tc>
          <w:tcPr>
            <w:tcW w:w="922" w:type="dxa"/>
          </w:tcPr>
          <w:p w:rsidR="001100B9" w:rsidRPr="001100B9" w:rsidRDefault="001100B9" w:rsidP="001100B9">
            <w:pPr>
              <w:cnfStyle w:val="000000010000" w:firstRow="0" w:lastRow="0" w:firstColumn="0" w:lastColumn="0" w:oddVBand="0" w:evenVBand="0" w:oddHBand="0" w:evenHBand="1" w:firstRowFirstColumn="0" w:firstRowLastColumn="0" w:lastRowFirstColumn="0" w:lastRowLastColumn="0"/>
            </w:pPr>
            <w:r w:rsidRPr="000E260B">
              <w:t>4.</w:t>
            </w:r>
            <w:r w:rsidRPr="001100B9">
              <w:t>2</w:t>
            </w:r>
          </w:p>
        </w:tc>
        <w:tc>
          <w:tcPr>
            <w:tcW w:w="923" w:type="dxa"/>
          </w:tcPr>
          <w:p w:rsidR="001100B9" w:rsidRPr="001100B9" w:rsidRDefault="001100B9" w:rsidP="001100B9">
            <w:pPr>
              <w:cnfStyle w:val="000000010000" w:firstRow="0" w:lastRow="0" w:firstColumn="0" w:lastColumn="0" w:oddVBand="0" w:evenVBand="0" w:oddHBand="0" w:evenHBand="1" w:firstRowFirstColumn="0" w:firstRowLastColumn="0" w:lastRowFirstColumn="0" w:lastRowLastColumn="0"/>
            </w:pPr>
            <w:r w:rsidRPr="000E260B">
              <w:t>1</w:t>
            </w:r>
            <w:r w:rsidRPr="001100B9">
              <w:t>2.6</w:t>
            </w:r>
          </w:p>
        </w:tc>
        <w:tc>
          <w:tcPr>
            <w:tcW w:w="923" w:type="dxa"/>
          </w:tcPr>
          <w:p w:rsidR="001100B9" w:rsidRPr="001100B9" w:rsidRDefault="001100B9" w:rsidP="001100B9">
            <w:pPr>
              <w:cnfStyle w:val="000000010000" w:firstRow="0" w:lastRow="0" w:firstColumn="0" w:lastColumn="0" w:oddVBand="0" w:evenVBand="0" w:oddHBand="0" w:evenHBand="1" w:firstRowFirstColumn="0" w:firstRowLastColumn="0" w:lastRowFirstColumn="0" w:lastRowLastColumn="0"/>
            </w:pPr>
            <w:r w:rsidRPr="000E260B">
              <w:t>42.5</w:t>
            </w:r>
          </w:p>
        </w:tc>
      </w:tr>
      <w:tr w:rsidR="001100B9" w:rsidRPr="002D5654" w:rsidTr="00C64503">
        <w:tc>
          <w:tcPr>
            <w:cnfStyle w:val="001000000000" w:firstRow="0" w:lastRow="0" w:firstColumn="1" w:lastColumn="0" w:oddVBand="0" w:evenVBand="0" w:oddHBand="0" w:evenHBand="0" w:firstRowFirstColumn="0" w:firstRowLastColumn="0" w:lastRowFirstColumn="0" w:lastRowLastColumn="0"/>
            <w:tcW w:w="2235" w:type="dxa"/>
          </w:tcPr>
          <w:p w:rsidR="001100B9" w:rsidRPr="00C64503" w:rsidRDefault="001100B9" w:rsidP="001100B9">
            <w:r w:rsidRPr="00C64503">
              <w:t>Contributions</w:t>
            </w:r>
          </w:p>
        </w:tc>
        <w:tc>
          <w:tcPr>
            <w:tcW w:w="922" w:type="dxa"/>
          </w:tcPr>
          <w:p w:rsidR="001100B9" w:rsidRPr="000E260B" w:rsidRDefault="001100B9" w:rsidP="001100B9">
            <w:pPr>
              <w:cnfStyle w:val="000000000000" w:firstRow="0" w:lastRow="0" w:firstColumn="0" w:lastColumn="0" w:oddVBand="0" w:evenVBand="0" w:oddHBand="0" w:evenHBand="0" w:firstRowFirstColumn="0" w:firstRowLastColumn="0" w:lastRowFirstColumn="0" w:lastRowLastColumn="0"/>
            </w:pPr>
            <w:r w:rsidRPr="000E260B">
              <w:t>-</w:t>
            </w:r>
          </w:p>
        </w:tc>
        <w:tc>
          <w:tcPr>
            <w:tcW w:w="923" w:type="dxa"/>
          </w:tcPr>
          <w:p w:rsidR="001100B9" w:rsidRPr="000E260B" w:rsidRDefault="001100B9" w:rsidP="001100B9">
            <w:pPr>
              <w:cnfStyle w:val="000000000000" w:firstRow="0" w:lastRow="0" w:firstColumn="0" w:lastColumn="0" w:oddVBand="0" w:evenVBand="0" w:oddHBand="0" w:evenHBand="0" w:firstRowFirstColumn="0" w:firstRowLastColumn="0" w:lastRowFirstColumn="0" w:lastRowLastColumn="0"/>
            </w:pPr>
            <w:r w:rsidRPr="000E260B">
              <w:t>-</w:t>
            </w:r>
          </w:p>
        </w:tc>
        <w:tc>
          <w:tcPr>
            <w:tcW w:w="922" w:type="dxa"/>
          </w:tcPr>
          <w:p w:rsidR="001100B9" w:rsidRPr="000E260B" w:rsidRDefault="001100B9" w:rsidP="001100B9">
            <w:pPr>
              <w:cnfStyle w:val="000000000000" w:firstRow="0" w:lastRow="0" w:firstColumn="0" w:lastColumn="0" w:oddVBand="0" w:evenVBand="0" w:oddHBand="0" w:evenHBand="0" w:firstRowFirstColumn="0" w:firstRowLastColumn="0" w:lastRowFirstColumn="0" w:lastRowLastColumn="0"/>
            </w:pPr>
            <w:r w:rsidRPr="000E260B">
              <w:t>-</w:t>
            </w:r>
          </w:p>
        </w:tc>
        <w:tc>
          <w:tcPr>
            <w:tcW w:w="923" w:type="dxa"/>
          </w:tcPr>
          <w:p w:rsidR="001100B9" w:rsidRPr="000E260B" w:rsidRDefault="001100B9" w:rsidP="001100B9">
            <w:pPr>
              <w:cnfStyle w:val="000000000000" w:firstRow="0" w:lastRow="0" w:firstColumn="0" w:lastColumn="0" w:oddVBand="0" w:evenVBand="0" w:oddHBand="0" w:evenHBand="0" w:firstRowFirstColumn="0" w:firstRowLastColumn="0" w:lastRowFirstColumn="0" w:lastRowLastColumn="0"/>
            </w:pPr>
            <w:r w:rsidRPr="000E260B">
              <w:t>-</w:t>
            </w:r>
          </w:p>
        </w:tc>
        <w:tc>
          <w:tcPr>
            <w:tcW w:w="922" w:type="dxa"/>
          </w:tcPr>
          <w:p w:rsidR="001100B9" w:rsidRPr="000E260B" w:rsidRDefault="001100B9" w:rsidP="001100B9">
            <w:pPr>
              <w:cnfStyle w:val="000000000000" w:firstRow="0" w:lastRow="0" w:firstColumn="0" w:lastColumn="0" w:oddVBand="0" w:evenVBand="0" w:oddHBand="0" w:evenHBand="0" w:firstRowFirstColumn="0" w:firstRowLastColumn="0" w:lastRowFirstColumn="0" w:lastRowLastColumn="0"/>
            </w:pPr>
            <w:r w:rsidRPr="000E260B">
              <w:t>-</w:t>
            </w:r>
          </w:p>
        </w:tc>
        <w:tc>
          <w:tcPr>
            <w:tcW w:w="923" w:type="dxa"/>
          </w:tcPr>
          <w:p w:rsidR="001100B9" w:rsidRPr="000E260B" w:rsidRDefault="001100B9" w:rsidP="001100B9">
            <w:pPr>
              <w:cnfStyle w:val="000000000000" w:firstRow="0" w:lastRow="0" w:firstColumn="0" w:lastColumn="0" w:oddVBand="0" w:evenVBand="0" w:oddHBand="0" w:evenHBand="0" w:firstRowFirstColumn="0" w:firstRowLastColumn="0" w:lastRowFirstColumn="0" w:lastRowLastColumn="0"/>
            </w:pPr>
            <w:r w:rsidRPr="000E260B">
              <w:t>-</w:t>
            </w:r>
          </w:p>
        </w:tc>
        <w:tc>
          <w:tcPr>
            <w:tcW w:w="923" w:type="dxa"/>
          </w:tcPr>
          <w:p w:rsidR="001100B9" w:rsidRPr="000E260B" w:rsidRDefault="001100B9" w:rsidP="001100B9">
            <w:pPr>
              <w:cnfStyle w:val="000000000000" w:firstRow="0" w:lastRow="0" w:firstColumn="0" w:lastColumn="0" w:oddVBand="0" w:evenVBand="0" w:oddHBand="0" w:evenHBand="0" w:firstRowFirstColumn="0" w:firstRowLastColumn="0" w:lastRowFirstColumn="0" w:lastRowLastColumn="0"/>
            </w:pPr>
            <w:r w:rsidRPr="000E260B">
              <w:t>-</w:t>
            </w:r>
          </w:p>
        </w:tc>
      </w:tr>
      <w:tr w:rsidR="001100B9" w:rsidRPr="002D5654" w:rsidTr="00C645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1100B9" w:rsidRPr="00C64503" w:rsidRDefault="001100B9" w:rsidP="001100B9">
            <w:r w:rsidRPr="00C64503">
              <w:t>Asset disposals</w:t>
            </w:r>
          </w:p>
        </w:tc>
        <w:tc>
          <w:tcPr>
            <w:tcW w:w="922" w:type="dxa"/>
          </w:tcPr>
          <w:p w:rsidR="001100B9" w:rsidRPr="000E260B" w:rsidRDefault="001100B9" w:rsidP="001100B9">
            <w:pPr>
              <w:cnfStyle w:val="000000010000" w:firstRow="0" w:lastRow="0" w:firstColumn="0" w:lastColumn="0" w:oddVBand="0" w:evenVBand="0" w:oddHBand="0" w:evenHBand="1" w:firstRowFirstColumn="0" w:firstRowLastColumn="0" w:lastRowFirstColumn="0" w:lastRowLastColumn="0"/>
            </w:pPr>
            <w:r w:rsidRPr="000E260B">
              <w:t>-</w:t>
            </w:r>
          </w:p>
        </w:tc>
        <w:tc>
          <w:tcPr>
            <w:tcW w:w="923" w:type="dxa"/>
          </w:tcPr>
          <w:p w:rsidR="001100B9" w:rsidRPr="000E260B" w:rsidRDefault="001100B9" w:rsidP="001100B9">
            <w:pPr>
              <w:cnfStyle w:val="000000010000" w:firstRow="0" w:lastRow="0" w:firstColumn="0" w:lastColumn="0" w:oddVBand="0" w:evenVBand="0" w:oddHBand="0" w:evenHBand="1" w:firstRowFirstColumn="0" w:firstRowLastColumn="0" w:lastRowFirstColumn="0" w:lastRowLastColumn="0"/>
            </w:pPr>
            <w:r w:rsidRPr="000E260B">
              <w:t>-</w:t>
            </w:r>
          </w:p>
        </w:tc>
        <w:tc>
          <w:tcPr>
            <w:tcW w:w="922" w:type="dxa"/>
          </w:tcPr>
          <w:p w:rsidR="001100B9" w:rsidRPr="000E260B" w:rsidRDefault="001100B9" w:rsidP="001100B9">
            <w:pPr>
              <w:cnfStyle w:val="000000010000" w:firstRow="0" w:lastRow="0" w:firstColumn="0" w:lastColumn="0" w:oddVBand="0" w:evenVBand="0" w:oddHBand="0" w:evenHBand="1" w:firstRowFirstColumn="0" w:firstRowLastColumn="0" w:lastRowFirstColumn="0" w:lastRowLastColumn="0"/>
            </w:pPr>
            <w:r w:rsidRPr="000E260B">
              <w:t>0.0</w:t>
            </w:r>
          </w:p>
        </w:tc>
        <w:tc>
          <w:tcPr>
            <w:tcW w:w="923" w:type="dxa"/>
          </w:tcPr>
          <w:p w:rsidR="001100B9" w:rsidRPr="000E260B" w:rsidRDefault="001100B9" w:rsidP="001100B9">
            <w:pPr>
              <w:cnfStyle w:val="000000010000" w:firstRow="0" w:lastRow="0" w:firstColumn="0" w:lastColumn="0" w:oddVBand="0" w:evenVBand="0" w:oddHBand="0" w:evenHBand="1" w:firstRowFirstColumn="0" w:firstRowLastColumn="0" w:lastRowFirstColumn="0" w:lastRowLastColumn="0"/>
            </w:pPr>
            <w:r w:rsidRPr="000E260B">
              <w:t>0.3</w:t>
            </w:r>
          </w:p>
        </w:tc>
        <w:tc>
          <w:tcPr>
            <w:tcW w:w="922" w:type="dxa"/>
          </w:tcPr>
          <w:p w:rsidR="001100B9" w:rsidRPr="000E260B" w:rsidRDefault="001100B9" w:rsidP="001100B9">
            <w:pPr>
              <w:cnfStyle w:val="000000010000" w:firstRow="0" w:lastRow="0" w:firstColumn="0" w:lastColumn="0" w:oddVBand="0" w:evenVBand="0" w:oddHBand="0" w:evenHBand="1" w:firstRowFirstColumn="0" w:firstRowLastColumn="0" w:lastRowFirstColumn="0" w:lastRowLastColumn="0"/>
            </w:pPr>
            <w:r w:rsidRPr="000E260B">
              <w:t>0.1</w:t>
            </w:r>
          </w:p>
        </w:tc>
        <w:tc>
          <w:tcPr>
            <w:tcW w:w="923" w:type="dxa"/>
          </w:tcPr>
          <w:p w:rsidR="001100B9" w:rsidRPr="000E260B" w:rsidRDefault="001100B9" w:rsidP="001100B9">
            <w:pPr>
              <w:cnfStyle w:val="000000010000" w:firstRow="0" w:lastRow="0" w:firstColumn="0" w:lastColumn="0" w:oddVBand="0" w:evenVBand="0" w:oddHBand="0" w:evenHBand="1" w:firstRowFirstColumn="0" w:firstRowLastColumn="0" w:lastRowFirstColumn="0" w:lastRowLastColumn="0"/>
            </w:pPr>
            <w:r w:rsidRPr="000E260B">
              <w:t>-</w:t>
            </w:r>
          </w:p>
        </w:tc>
        <w:tc>
          <w:tcPr>
            <w:tcW w:w="923" w:type="dxa"/>
          </w:tcPr>
          <w:p w:rsidR="001100B9" w:rsidRPr="000E260B" w:rsidRDefault="001100B9" w:rsidP="001100B9">
            <w:pPr>
              <w:cnfStyle w:val="000000010000" w:firstRow="0" w:lastRow="0" w:firstColumn="0" w:lastColumn="0" w:oddVBand="0" w:evenVBand="0" w:oddHBand="0" w:evenHBand="1" w:firstRowFirstColumn="0" w:firstRowLastColumn="0" w:lastRowFirstColumn="0" w:lastRowLastColumn="0"/>
            </w:pPr>
            <w:r w:rsidRPr="000E260B">
              <w:t>0.4</w:t>
            </w:r>
          </w:p>
        </w:tc>
      </w:tr>
      <w:tr w:rsidR="001100B9" w:rsidRPr="002D5654" w:rsidTr="00C64503">
        <w:tc>
          <w:tcPr>
            <w:cnfStyle w:val="001000000000" w:firstRow="0" w:lastRow="0" w:firstColumn="1" w:lastColumn="0" w:oddVBand="0" w:evenVBand="0" w:oddHBand="0" w:evenHBand="0" w:firstRowFirstColumn="0" w:firstRowLastColumn="0" w:lastRowFirstColumn="0" w:lastRowLastColumn="0"/>
            <w:tcW w:w="2235" w:type="dxa"/>
          </w:tcPr>
          <w:p w:rsidR="001100B9" w:rsidRPr="00C64503" w:rsidRDefault="001100B9" w:rsidP="001100B9">
            <w:r w:rsidRPr="00C64503">
              <w:t>NET TOTAL CAPITAL EXPENDITURE</w:t>
            </w:r>
          </w:p>
        </w:tc>
        <w:tc>
          <w:tcPr>
            <w:tcW w:w="922" w:type="dxa"/>
          </w:tcPr>
          <w:p w:rsidR="001100B9" w:rsidRPr="000E260B" w:rsidRDefault="001100B9" w:rsidP="001100B9">
            <w:pPr>
              <w:cnfStyle w:val="000000000000" w:firstRow="0" w:lastRow="0" w:firstColumn="0" w:lastColumn="0" w:oddVBand="0" w:evenVBand="0" w:oddHBand="0" w:evenHBand="0" w:firstRowFirstColumn="0" w:firstRowLastColumn="0" w:lastRowFirstColumn="0" w:lastRowLastColumn="0"/>
            </w:pPr>
            <w:r w:rsidRPr="000E260B">
              <w:t>4.5</w:t>
            </w:r>
          </w:p>
        </w:tc>
        <w:tc>
          <w:tcPr>
            <w:tcW w:w="923" w:type="dxa"/>
          </w:tcPr>
          <w:p w:rsidR="001100B9" w:rsidRPr="000E260B" w:rsidRDefault="001100B9" w:rsidP="001100B9">
            <w:pPr>
              <w:cnfStyle w:val="000000000000" w:firstRow="0" w:lastRow="0" w:firstColumn="0" w:lastColumn="0" w:oddVBand="0" w:evenVBand="0" w:oddHBand="0" w:evenHBand="0" w:firstRowFirstColumn="0" w:firstRowLastColumn="0" w:lastRowFirstColumn="0" w:lastRowLastColumn="0"/>
            </w:pPr>
            <w:r w:rsidRPr="000E260B">
              <w:t>4.5</w:t>
            </w:r>
          </w:p>
        </w:tc>
        <w:tc>
          <w:tcPr>
            <w:tcW w:w="922" w:type="dxa"/>
          </w:tcPr>
          <w:p w:rsidR="001100B9" w:rsidRPr="000E260B" w:rsidRDefault="001100B9" w:rsidP="001100B9">
            <w:pPr>
              <w:cnfStyle w:val="000000000000" w:firstRow="0" w:lastRow="0" w:firstColumn="0" w:lastColumn="0" w:oddVBand="0" w:evenVBand="0" w:oddHBand="0" w:evenHBand="0" w:firstRowFirstColumn="0" w:firstRowLastColumn="0" w:lastRowFirstColumn="0" w:lastRowLastColumn="0"/>
            </w:pPr>
            <w:r w:rsidRPr="000E260B">
              <w:t>16.9</w:t>
            </w:r>
          </w:p>
        </w:tc>
        <w:tc>
          <w:tcPr>
            <w:tcW w:w="923" w:type="dxa"/>
          </w:tcPr>
          <w:p w:rsidR="001100B9" w:rsidRPr="000E260B" w:rsidRDefault="001100B9" w:rsidP="001100B9">
            <w:pPr>
              <w:cnfStyle w:val="000000000000" w:firstRow="0" w:lastRow="0" w:firstColumn="0" w:lastColumn="0" w:oddVBand="0" w:evenVBand="0" w:oddHBand="0" w:evenHBand="0" w:firstRowFirstColumn="0" w:firstRowLastColumn="0" w:lastRowFirstColumn="0" w:lastRowLastColumn="0"/>
            </w:pPr>
            <w:r w:rsidRPr="000E260B">
              <w:t>4.0</w:t>
            </w:r>
          </w:p>
        </w:tc>
        <w:tc>
          <w:tcPr>
            <w:tcW w:w="922" w:type="dxa"/>
          </w:tcPr>
          <w:p w:rsidR="001100B9" w:rsidRPr="000E260B" w:rsidRDefault="001100B9" w:rsidP="001100B9">
            <w:pPr>
              <w:cnfStyle w:val="000000000000" w:firstRow="0" w:lastRow="0" w:firstColumn="0" w:lastColumn="0" w:oddVBand="0" w:evenVBand="0" w:oddHBand="0" w:evenHBand="0" w:firstRowFirstColumn="0" w:firstRowLastColumn="0" w:lastRowFirstColumn="0" w:lastRowLastColumn="0"/>
            </w:pPr>
            <w:r w:rsidRPr="000E260B">
              <w:t>4.1</w:t>
            </w:r>
          </w:p>
        </w:tc>
        <w:tc>
          <w:tcPr>
            <w:tcW w:w="923" w:type="dxa"/>
          </w:tcPr>
          <w:p w:rsidR="001100B9" w:rsidRPr="001100B9" w:rsidRDefault="001100B9" w:rsidP="001100B9">
            <w:pPr>
              <w:cnfStyle w:val="000000000000" w:firstRow="0" w:lastRow="0" w:firstColumn="0" w:lastColumn="0" w:oddVBand="0" w:evenVBand="0" w:oddHBand="0" w:evenHBand="0" w:firstRowFirstColumn="0" w:firstRowLastColumn="0" w:lastRowFirstColumn="0" w:lastRowLastColumn="0"/>
            </w:pPr>
            <w:r w:rsidRPr="000E260B">
              <w:t>1</w:t>
            </w:r>
            <w:r w:rsidRPr="001100B9">
              <w:t>2.6</w:t>
            </w:r>
          </w:p>
        </w:tc>
        <w:tc>
          <w:tcPr>
            <w:tcW w:w="923" w:type="dxa"/>
          </w:tcPr>
          <w:p w:rsidR="001100B9" w:rsidRPr="001100B9" w:rsidRDefault="001100B9" w:rsidP="001100B9">
            <w:pPr>
              <w:cnfStyle w:val="000000000000" w:firstRow="0" w:lastRow="0" w:firstColumn="0" w:lastColumn="0" w:oddVBand="0" w:evenVBand="0" w:oddHBand="0" w:evenHBand="0" w:firstRowFirstColumn="0" w:firstRowLastColumn="0" w:lastRowFirstColumn="0" w:lastRowLastColumn="0"/>
            </w:pPr>
            <w:r w:rsidRPr="000E260B">
              <w:t>42.1</w:t>
            </w:r>
          </w:p>
        </w:tc>
      </w:tr>
    </w:tbl>
    <w:p w:rsidR="00C64503" w:rsidRPr="00C64503" w:rsidRDefault="00C64503" w:rsidP="00C64503">
      <w:pPr>
        <w:pStyle w:val="AERtablesource"/>
      </w:pPr>
      <w:r w:rsidRPr="002D5654">
        <w:t xml:space="preserve">Source: </w:t>
      </w:r>
      <w:r w:rsidRPr="002D5654">
        <w:tab/>
        <w:t xml:space="preserve">AER analysis. Totals may not add </w:t>
      </w:r>
      <w:r w:rsidR="004023D2">
        <w:t xml:space="preserve">up </w:t>
      </w:r>
      <w:r w:rsidRPr="002D5654">
        <w:t>due to rounding.</w:t>
      </w:r>
    </w:p>
    <w:p w:rsidR="00C64503" w:rsidRPr="00A30095" w:rsidRDefault="00C64503" w:rsidP="00C64503">
      <w:pPr>
        <w:pStyle w:val="AERtablesource"/>
      </w:pPr>
      <w:r>
        <w:t>Note:</w:t>
      </w:r>
      <w:r>
        <w:tab/>
        <w:t>Includes AER labour escalation adjustments.</w:t>
      </w:r>
    </w:p>
    <w:p w:rsidR="00C64503" w:rsidRPr="002D5654" w:rsidRDefault="00C64503" w:rsidP="00C64503">
      <w:r w:rsidRPr="002D5654">
        <w:t>Our analysis of the capex driver categories is set out below.</w:t>
      </w:r>
    </w:p>
    <w:p w:rsidR="00BA2F86" w:rsidRPr="00ED4845" w:rsidRDefault="00BA2F86" w:rsidP="00ED4845">
      <w:pPr>
        <w:pStyle w:val="HeadingBoldBlue"/>
      </w:pPr>
      <w:r w:rsidRPr="00ED4845">
        <w:t>Expansion capex</w:t>
      </w:r>
    </w:p>
    <w:p w:rsidR="00B5411F" w:rsidRDefault="007A0D18" w:rsidP="00B5411F">
      <w:r>
        <w:t xml:space="preserve">In our draft decision we were satisfied that </w:t>
      </w:r>
      <w:r w:rsidR="008664C8">
        <w:t xml:space="preserve">the amount of proposed expansion capex of $1.4 million ($2015-16) for the 2011-16 access arrangement period met the criteria of rule 79(1)(a) of the NGR and </w:t>
      </w:r>
      <w:r w:rsidR="002E0FA6">
        <w:t>was</w:t>
      </w:r>
      <w:r w:rsidR="008664C8">
        <w:t xml:space="preserve"> justifiable on the basis of rule 79(2)(b) of the NGR. </w:t>
      </w:r>
      <w:r w:rsidR="00876A46">
        <w:t xml:space="preserve">APTNT's expansion capex was for </w:t>
      </w:r>
      <w:r w:rsidR="002E0FA6">
        <w:t xml:space="preserve">two </w:t>
      </w:r>
      <w:r w:rsidR="00876A46">
        <w:t xml:space="preserve">completed projects; </w:t>
      </w:r>
      <w:r w:rsidR="00876A46" w:rsidRPr="00FF31F7">
        <w:t>the Katherine meter station upgrade ($0.8</w:t>
      </w:r>
      <w:r w:rsidR="00876A46">
        <w:t> </w:t>
      </w:r>
      <w:r w:rsidR="00876A46" w:rsidRPr="00FF31F7">
        <w:t>million ($2015</w:t>
      </w:r>
      <w:r w:rsidR="00876A46">
        <w:noBreakHyphen/>
      </w:r>
      <w:r w:rsidR="00876A46" w:rsidRPr="00FF31F7">
        <w:t>16)) and the</w:t>
      </w:r>
      <w:r w:rsidR="00876A46">
        <w:t xml:space="preserve"> Noonamah offtake</w:t>
      </w:r>
      <w:r w:rsidR="00876A46" w:rsidRPr="00FF31F7">
        <w:t xml:space="preserve"> ($0.6 million ($2015</w:t>
      </w:r>
      <w:r w:rsidR="00876A46">
        <w:noBreakHyphen/>
      </w:r>
      <w:r w:rsidR="00876A46" w:rsidRPr="00FF31F7">
        <w:t>16)).</w:t>
      </w:r>
      <w:r w:rsidR="00876A46">
        <w:rPr>
          <w:rStyle w:val="FootnoteReference"/>
        </w:rPr>
        <w:footnoteReference w:id="26"/>
      </w:r>
    </w:p>
    <w:p w:rsidR="00876A46" w:rsidRDefault="00876A46" w:rsidP="00B5411F">
      <w:r>
        <w:t>In its revised proposal, APTNT has included $0.9 million ($2015-16) expansion capex for the Channel Island meter station upgrade</w:t>
      </w:r>
      <w:r w:rsidR="00CD57C1">
        <w:t xml:space="preserve"> completed during the 2011-16 access arrangement period.</w:t>
      </w:r>
      <w:r w:rsidR="00A83E2F">
        <w:rPr>
          <w:rStyle w:val="FootnoteReference"/>
        </w:rPr>
        <w:footnoteReference w:id="27"/>
      </w:r>
      <w:r w:rsidR="00CD57C1">
        <w:t xml:space="preserve"> In its </w:t>
      </w:r>
      <w:r w:rsidR="00636054">
        <w:t xml:space="preserve">initial </w:t>
      </w:r>
      <w:r w:rsidR="00CD57C1">
        <w:t xml:space="preserve">proposal, APTNT classified this expenditure as </w:t>
      </w:r>
      <w:r w:rsidR="001959DE">
        <w:t>replacement</w:t>
      </w:r>
      <w:r w:rsidR="00CD57C1">
        <w:t xml:space="preserve"> capex which we approved. We accept APTNT's reclassification of the Channel Island meter station upgrade as </w:t>
      </w:r>
      <w:r w:rsidR="00E0399A">
        <w:t>expansion</w:t>
      </w:r>
      <w:r w:rsidR="00CD57C1">
        <w:t xml:space="preserve"> capex. This classification is now consistent with </w:t>
      </w:r>
      <w:r w:rsidR="00E0399A">
        <w:t xml:space="preserve">the </w:t>
      </w:r>
      <w:r w:rsidR="00CD57C1">
        <w:t>Katherine meter station upgrade classification.</w:t>
      </w:r>
      <w:r w:rsidR="00702FE2">
        <w:t xml:space="preserve"> </w:t>
      </w:r>
    </w:p>
    <w:p w:rsidR="00CD57C1" w:rsidRDefault="00CD57C1" w:rsidP="00B5411F">
      <w:r>
        <w:t xml:space="preserve">We therefore consider that </w:t>
      </w:r>
      <w:r w:rsidR="00E74A73">
        <w:t xml:space="preserve">APTNT's </w:t>
      </w:r>
      <w:r w:rsidR="001959DE">
        <w:t>proposed</w:t>
      </w:r>
      <w:r w:rsidR="00E74A73">
        <w:t xml:space="preserve"> expansion capex of $2.3 million ($2015-16) for the 2011-16 access arrangement period meet</w:t>
      </w:r>
      <w:r w:rsidR="00734857">
        <w:t>s</w:t>
      </w:r>
      <w:r w:rsidR="00E74A73">
        <w:t xml:space="preserve"> the criteria of rule 79(1)(a) of the NGR and is justifiable on the basis of rule 79(2)(b) of the NGR.</w:t>
      </w:r>
    </w:p>
    <w:p w:rsidR="00B5411F" w:rsidRPr="00ED4845" w:rsidRDefault="00E0399A" w:rsidP="00ED4845">
      <w:pPr>
        <w:pStyle w:val="HeadingBoldBlue"/>
      </w:pPr>
      <w:r w:rsidRPr="00ED4845">
        <w:t>Replacement capex</w:t>
      </w:r>
    </w:p>
    <w:p w:rsidR="002E0FA6" w:rsidRPr="002E0FA6" w:rsidRDefault="002E0FA6" w:rsidP="002E0FA6">
      <w:r>
        <w:t xml:space="preserve">In our draft decision, we </w:t>
      </w:r>
      <w:r w:rsidRPr="002E0FA6">
        <w:t>included $28.8 million ($2015</w:t>
      </w:r>
      <w:r w:rsidRPr="002E0FA6">
        <w:noBreakHyphen/>
        <w:t xml:space="preserve">16) for replacement capex in our estimate of conforming capex for the 2011–16 access arrangement period. This </w:t>
      </w:r>
      <w:r w:rsidR="002C329D">
        <w:t>wa</w:t>
      </w:r>
      <w:r w:rsidRPr="002E0FA6">
        <w:t xml:space="preserve">s a reduction of $7.0 million or 20 per cent from APTNT’s proposed replacement capex for the 2011–16 access arrangement </w:t>
      </w:r>
      <w:proofErr w:type="gramStart"/>
      <w:r w:rsidRPr="002E0FA6">
        <w:t>period</w:t>
      </w:r>
      <w:proofErr w:type="gramEnd"/>
      <w:r w:rsidRPr="002E0FA6">
        <w:t>.</w:t>
      </w:r>
      <w:r w:rsidR="002C329D">
        <w:rPr>
          <w:rStyle w:val="FootnoteReference"/>
        </w:rPr>
        <w:footnoteReference w:id="28"/>
      </w:r>
      <w:r w:rsidRPr="002E0FA6">
        <w:t xml:space="preserve"> </w:t>
      </w:r>
      <w:r w:rsidR="0072792F">
        <w:t>The reduction of $7.0 million ($2015-16) was for the final year of the below</w:t>
      </w:r>
      <w:r w:rsidR="00FD2CEE">
        <w:t xml:space="preserve"> </w:t>
      </w:r>
      <w:r w:rsidR="0072792F">
        <w:t>ground station pipework recoating project (total proposed capex of $9.1 million (2015-16))</w:t>
      </w:r>
      <w:r w:rsidR="00A952B1">
        <w:t>,</w:t>
      </w:r>
      <w:r w:rsidR="0072792F">
        <w:t xml:space="preserve"> which we considered could be deferred and completed by the end of the 2016-21 access arrangement period.</w:t>
      </w:r>
      <w:r w:rsidR="0072792F">
        <w:rPr>
          <w:rStyle w:val="FootnoteReference"/>
        </w:rPr>
        <w:footnoteReference w:id="29"/>
      </w:r>
      <w:r w:rsidRPr="002E0FA6">
        <w:t xml:space="preserve"> </w:t>
      </w:r>
    </w:p>
    <w:p w:rsidR="00E0399A" w:rsidRDefault="001D7D05" w:rsidP="00B5411F">
      <w:r>
        <w:t xml:space="preserve">We have reviewed </w:t>
      </w:r>
      <w:r w:rsidR="00A952B1">
        <w:t xml:space="preserve">APTNT's revised proposal </w:t>
      </w:r>
      <w:r w:rsidR="0046589C">
        <w:t>for the below</w:t>
      </w:r>
      <w:r w:rsidR="00FD2CEE">
        <w:t xml:space="preserve"> </w:t>
      </w:r>
      <w:r w:rsidR="0046589C">
        <w:t xml:space="preserve">ground station pipework recoating project </w:t>
      </w:r>
      <w:r w:rsidR="00A952B1">
        <w:t xml:space="preserve">and </w:t>
      </w:r>
      <w:r w:rsidR="00636054">
        <w:t>are satisfied</w:t>
      </w:r>
      <w:r w:rsidR="00A952B1">
        <w:t xml:space="preserve"> that APTNT's approach of accelerating its </w:t>
      </w:r>
      <w:r w:rsidR="00D46184">
        <w:t xml:space="preserve">program of works by </w:t>
      </w:r>
      <w:r w:rsidR="001959DE">
        <w:t>completing</w:t>
      </w:r>
      <w:r w:rsidR="00D46184">
        <w:t xml:space="preserve"> the bulk of its recoating work within two years results in a lower cost for the project</w:t>
      </w:r>
      <w:r w:rsidR="0046589C">
        <w:t>.</w:t>
      </w:r>
      <w:r w:rsidR="00D46184">
        <w:t xml:space="preserve"> </w:t>
      </w:r>
      <w:r w:rsidR="0046589C">
        <w:t xml:space="preserve">We are therefore satisfied that </w:t>
      </w:r>
      <w:r w:rsidR="00AA7ACE">
        <w:t xml:space="preserve">based </w:t>
      </w:r>
      <w:r w:rsidR="004B78CA">
        <w:t xml:space="preserve">on </w:t>
      </w:r>
      <w:r w:rsidR="0046589C">
        <w:t xml:space="preserve">APTNT's approach </w:t>
      </w:r>
      <w:r w:rsidR="004B78CA">
        <w:t xml:space="preserve">the capex for this project </w:t>
      </w:r>
      <w:r w:rsidR="0046589C">
        <w:t xml:space="preserve">is </w:t>
      </w:r>
      <w:r w:rsidR="004B78CA">
        <w:t xml:space="preserve">such as would be incurred by </w:t>
      </w:r>
      <w:r w:rsidR="00D46184" w:rsidRPr="00B314E7">
        <w:t>a prudent service provider acting efficiently, in accordance with accepted good industry practice, to achieve the lowest sustainable cost of providing services.</w:t>
      </w:r>
      <w:r w:rsidR="00D46184">
        <w:rPr>
          <w:rStyle w:val="FootnoteReference"/>
        </w:rPr>
        <w:footnoteReference w:id="30"/>
      </w:r>
      <w:r w:rsidR="00D46184">
        <w:t xml:space="preserve"> We have come to this view on the basis that:</w:t>
      </w:r>
    </w:p>
    <w:p w:rsidR="00D46184" w:rsidRDefault="00D46184" w:rsidP="00D46184">
      <w:pPr>
        <w:pStyle w:val="AERbulletlistfirststyle"/>
      </w:pPr>
      <w:proofErr w:type="gramStart"/>
      <w:r>
        <w:t>the</w:t>
      </w:r>
      <w:proofErr w:type="gramEnd"/>
      <w:r>
        <w:t xml:space="preserve"> project </w:t>
      </w:r>
      <w:r w:rsidR="00C74389">
        <w:t xml:space="preserve">has already commenced. This is </w:t>
      </w:r>
      <w:r w:rsidR="0083484F">
        <w:t>consistent with</w:t>
      </w:r>
      <w:r w:rsidR="00C74389">
        <w:t xml:space="preserve"> PWC's submission where PWC stated that at the end of 2015, fifty per cent of the </w:t>
      </w:r>
      <w:r w:rsidR="005B445D">
        <w:t xml:space="preserve">below </w:t>
      </w:r>
      <w:r w:rsidR="00C74389">
        <w:t>ground station pipework project (based on the number of stations) was completed</w:t>
      </w:r>
      <w:r w:rsidR="00C74389">
        <w:rPr>
          <w:rStyle w:val="FootnoteReference"/>
        </w:rPr>
        <w:footnoteReference w:id="31"/>
      </w:r>
    </w:p>
    <w:p w:rsidR="00D46184" w:rsidRDefault="00BF4E52" w:rsidP="00D46184">
      <w:pPr>
        <w:pStyle w:val="AERbulletlistfirststyle"/>
      </w:pPr>
      <w:r>
        <w:t>spreading the recoating work over the 2016-21 access arrangement period would</w:t>
      </w:r>
      <w:r w:rsidR="00D46184">
        <w:t xml:space="preserve"> likely </w:t>
      </w:r>
      <w:r>
        <w:t>result in</w:t>
      </w:r>
      <w:r w:rsidR="00D46184">
        <w:t xml:space="preserve"> </w:t>
      </w:r>
      <w:r w:rsidR="002C2519">
        <w:t xml:space="preserve">significant </w:t>
      </w:r>
      <w:r w:rsidR="00D46184" w:rsidRPr="000711DD">
        <w:t xml:space="preserve">additional resource requirements for both APA and the construction contractor to mobilise and demobilise the site work crew on multiple occasions to </w:t>
      </w:r>
      <w:r w:rsidR="002C2519">
        <w:t xml:space="preserve">remote </w:t>
      </w:r>
      <w:r w:rsidR="00D46184" w:rsidRPr="000711DD">
        <w:t>locations</w:t>
      </w:r>
      <w:r w:rsidR="00747FBC" w:rsidRPr="00BF4E52">
        <w:rPr>
          <w:rStyle w:val="AERsuperscript"/>
        </w:rPr>
        <w:footnoteReference w:id="32"/>
      </w:r>
    </w:p>
    <w:p w:rsidR="00BF4E52" w:rsidRPr="00424458" w:rsidRDefault="00747FBC" w:rsidP="00D46184">
      <w:pPr>
        <w:pStyle w:val="AERbulletlistfirststyle"/>
        <w:rPr>
          <w:rStyle w:val="AERsuperscript"/>
          <w:sz w:val="22"/>
          <w:vertAlign w:val="baseline"/>
        </w:rPr>
      </w:pPr>
      <w:proofErr w:type="gramStart"/>
      <w:r>
        <w:t>it</w:t>
      </w:r>
      <w:proofErr w:type="gramEnd"/>
      <w:r>
        <w:t xml:space="preserve"> is likely that by </w:t>
      </w:r>
      <w:r w:rsidR="00BF4E52" w:rsidRPr="00BF4E52">
        <w:t>maintaining the same crew</w:t>
      </w:r>
      <w:r>
        <w:t>,</w:t>
      </w:r>
      <w:r w:rsidR="00BF4E52" w:rsidRPr="00BF4E52">
        <w:t xml:space="preserve"> savings </w:t>
      </w:r>
      <w:r>
        <w:t>in</w:t>
      </w:r>
      <w:r w:rsidR="00BF4E52" w:rsidRPr="00BF4E52">
        <w:t xml:space="preserve"> training costs and </w:t>
      </w:r>
      <w:r>
        <w:t xml:space="preserve">increased </w:t>
      </w:r>
      <w:r w:rsidR="00BF4E52" w:rsidRPr="00BF4E52">
        <w:t xml:space="preserve">productivity </w:t>
      </w:r>
      <w:r>
        <w:t>will be realised</w:t>
      </w:r>
      <w:r w:rsidR="00BF4E52" w:rsidRPr="00BF4E52">
        <w:t xml:space="preserve"> as </w:t>
      </w:r>
      <w:r>
        <w:t>workers</w:t>
      </w:r>
      <w:r w:rsidR="00BF4E52" w:rsidRPr="00BF4E52">
        <w:t xml:space="preserve"> derive efficient work practices with experience. APTNT submit</w:t>
      </w:r>
      <w:r>
        <w:t>ted</w:t>
      </w:r>
      <w:r w:rsidR="005B445D">
        <w:t xml:space="preserve"> that it has avoided</w:t>
      </w:r>
      <w:r w:rsidR="00BF4E52" w:rsidRPr="00BF4E52">
        <w:t xml:space="preserve"> these additional costs and increased productivity by conducting the works as a single project</w:t>
      </w:r>
      <w:r w:rsidR="00257784">
        <w:t>; and</w:t>
      </w:r>
      <w:r w:rsidRPr="00747FBC">
        <w:rPr>
          <w:rStyle w:val="AERsuperscript"/>
        </w:rPr>
        <w:t xml:space="preserve"> </w:t>
      </w:r>
      <w:r w:rsidRPr="00BF4E52">
        <w:rPr>
          <w:rStyle w:val="AERsuperscript"/>
        </w:rPr>
        <w:footnoteReference w:id="33"/>
      </w:r>
    </w:p>
    <w:p w:rsidR="00424458" w:rsidRDefault="00E7758A" w:rsidP="00D46184">
      <w:pPr>
        <w:pStyle w:val="AERbulletlistfirststyle"/>
      </w:pPr>
      <w:proofErr w:type="spellStart"/>
      <w:r>
        <w:t>Sleeman</w:t>
      </w:r>
      <w:proofErr w:type="spellEnd"/>
      <w:r>
        <w:t xml:space="preserve"> Consulting </w:t>
      </w:r>
      <w:r w:rsidR="0046589C">
        <w:t xml:space="preserve">has confirmed </w:t>
      </w:r>
      <w:r>
        <w:t>that completion of the below</w:t>
      </w:r>
      <w:r w:rsidR="00FD2CEE">
        <w:t xml:space="preserve"> </w:t>
      </w:r>
      <w:r>
        <w:t>ground station pipework recoating project in the timeframe proposed by APTNT is prudent since this is the basis upon which the benefit of fixed cost contracting has been secured and the overall cost of the project minimised.</w:t>
      </w:r>
      <w:r>
        <w:rPr>
          <w:rStyle w:val="FootnoteReference"/>
        </w:rPr>
        <w:footnoteReference w:id="34"/>
      </w:r>
    </w:p>
    <w:p w:rsidR="001D7D05" w:rsidRDefault="0046589C" w:rsidP="00027AC4">
      <w:r>
        <w:t xml:space="preserve">In reviewing APTNT's revised proposal for this project, we sought clarification from APTNT as to whether the proposed capex for this project </w:t>
      </w:r>
      <w:r w:rsidR="00AA7ACE">
        <w:t xml:space="preserve">($9.6 million in the 2011–16 access arrangement period) </w:t>
      </w:r>
      <w:r>
        <w:t xml:space="preserve">included amounts for contingencies or other costs which may not be required given </w:t>
      </w:r>
      <w:r w:rsidR="002962EB">
        <w:t xml:space="preserve">progress on </w:t>
      </w:r>
      <w:r>
        <w:t>the project</w:t>
      </w:r>
      <w:r w:rsidR="002962EB">
        <w:t xml:space="preserve"> to date.</w:t>
      </w:r>
      <w:r w:rsidR="00702FE2">
        <w:rPr>
          <w:rStyle w:val="FootnoteReference"/>
        </w:rPr>
        <w:footnoteReference w:id="35"/>
      </w:r>
      <w:r w:rsidR="002962EB">
        <w:t xml:space="preserve"> APTNT provided an updated estimate of project costs taking into account actual costs incurred to date and the forecast amount required to complete the project. APTN</w:t>
      </w:r>
      <w:r w:rsidR="00C15EFB">
        <w:t>T's revised estimate of</w:t>
      </w:r>
      <w:r w:rsidR="002962EB">
        <w:t xml:space="preserve"> expected capex for the below</w:t>
      </w:r>
      <w:r w:rsidR="00FD2CEE">
        <w:t xml:space="preserve"> </w:t>
      </w:r>
      <w:r w:rsidR="002962EB">
        <w:t xml:space="preserve">ground station pipework recoating </w:t>
      </w:r>
      <w:r w:rsidR="005B445D">
        <w:t xml:space="preserve">project </w:t>
      </w:r>
      <w:r w:rsidR="00AA7ACE">
        <w:t>in the 2011–16 access arrangement period</w:t>
      </w:r>
      <w:r w:rsidR="00C15EFB">
        <w:t xml:space="preserve"> is $7.3 million ($2015–16), a reduction of</w:t>
      </w:r>
      <w:r w:rsidR="002962EB">
        <w:t xml:space="preserve"> $2.3 million.</w:t>
      </w:r>
      <w:r w:rsidR="00E531CF">
        <w:rPr>
          <w:rStyle w:val="FootnoteReference"/>
        </w:rPr>
        <w:footnoteReference w:id="36"/>
      </w:r>
      <w:r w:rsidR="002962EB">
        <w:t xml:space="preserve"> </w:t>
      </w:r>
      <w:r w:rsidR="00747FBC" w:rsidRPr="00747FBC">
        <w:t xml:space="preserve">We </w:t>
      </w:r>
      <w:r w:rsidR="00312D56">
        <w:t xml:space="preserve">have </w:t>
      </w:r>
      <w:r w:rsidR="00747FBC" w:rsidRPr="00747FBC">
        <w:t xml:space="preserve">therefore </w:t>
      </w:r>
      <w:r w:rsidR="00312D56">
        <w:t xml:space="preserve">reduced APTNT's proposed replacement capex for </w:t>
      </w:r>
      <w:r w:rsidR="005B445D">
        <w:t>the 2011–</w:t>
      </w:r>
      <w:r w:rsidR="00312D56" w:rsidRPr="00747FBC">
        <w:t xml:space="preserve">16 access </w:t>
      </w:r>
      <w:r w:rsidR="00312D56" w:rsidRPr="00027AC4">
        <w:t xml:space="preserve">arrangement </w:t>
      </w:r>
      <w:proofErr w:type="gramStart"/>
      <w:r w:rsidR="00312D56" w:rsidRPr="00027AC4">
        <w:t>period</w:t>
      </w:r>
      <w:proofErr w:type="gramEnd"/>
      <w:r w:rsidR="00312D56" w:rsidRPr="00027AC4">
        <w:t xml:space="preserve"> by this amount. We are satisfied</w:t>
      </w:r>
      <w:r w:rsidR="00747FBC" w:rsidRPr="00027AC4">
        <w:t xml:space="preserve"> that </w:t>
      </w:r>
      <w:r w:rsidR="00325E3B" w:rsidRPr="00027AC4">
        <w:t>replacement</w:t>
      </w:r>
      <w:r w:rsidR="00747FBC" w:rsidRPr="00027AC4">
        <w:t xml:space="preserve"> capex of $</w:t>
      </w:r>
      <w:r w:rsidR="00367875" w:rsidRPr="00027AC4">
        <w:t>3</w:t>
      </w:r>
      <w:r w:rsidR="00312D56" w:rsidRPr="00027AC4">
        <w:t>2</w:t>
      </w:r>
      <w:r w:rsidR="00367875" w:rsidRPr="00027AC4">
        <w:t>.</w:t>
      </w:r>
      <w:r w:rsidR="00312D56" w:rsidRPr="00027AC4">
        <w:t>5 </w:t>
      </w:r>
      <w:r w:rsidR="00747FBC" w:rsidRPr="00027AC4">
        <w:t>million</w:t>
      </w:r>
      <w:r w:rsidR="00747FBC" w:rsidRPr="00747FBC">
        <w:t xml:space="preserve"> ($2015-16) for the 2011-16 access arrangement period</w:t>
      </w:r>
      <w:r w:rsidR="00312D56">
        <w:t>, reflecting APTNT's revised estimate for the below</w:t>
      </w:r>
      <w:r w:rsidR="00FD2CEE">
        <w:t xml:space="preserve"> </w:t>
      </w:r>
      <w:r w:rsidR="00312D56">
        <w:t>ground station pipework recoating project,</w:t>
      </w:r>
      <w:r w:rsidR="00747FBC" w:rsidRPr="00747FBC">
        <w:t xml:space="preserve"> meet</w:t>
      </w:r>
      <w:r w:rsidR="00312D56">
        <w:t>s</w:t>
      </w:r>
      <w:r w:rsidR="00747FBC" w:rsidRPr="00747FBC">
        <w:t xml:space="preserve"> the criteria of rule 79(1)(a) of the NGR and is justifiable on the basis of rule 79(2)(b) of the NGR.</w:t>
      </w:r>
    </w:p>
    <w:p w:rsidR="00424458" w:rsidRPr="00ED4845" w:rsidRDefault="00424458" w:rsidP="00ED4845">
      <w:pPr>
        <w:pStyle w:val="HeadingBoldBlue"/>
      </w:pPr>
      <w:r w:rsidRPr="00ED4845">
        <w:t>Non-system capex</w:t>
      </w:r>
    </w:p>
    <w:p w:rsidR="00312D56" w:rsidRDefault="00312D56" w:rsidP="00312D56">
      <w:r>
        <w:t xml:space="preserve">In our draft decision, we accepted APTNT's proposed non-system capex for the 2011–16 access arrangement period as </w:t>
      </w:r>
      <w:r w:rsidRPr="00747FBC">
        <w:t>meet</w:t>
      </w:r>
      <w:r>
        <w:t>ing</w:t>
      </w:r>
      <w:r w:rsidRPr="00747FBC">
        <w:t xml:space="preserve"> the criteria of</w:t>
      </w:r>
      <w:r>
        <w:t xml:space="preserve"> rule 79(1)(a) of the NGR and</w:t>
      </w:r>
      <w:r w:rsidRPr="00747FBC">
        <w:t xml:space="preserve"> justifiable on the basis of rule 79(2)(b) of the NGR.</w:t>
      </w:r>
      <w:r>
        <w:rPr>
          <w:rStyle w:val="FootnoteReference"/>
        </w:rPr>
        <w:footnoteReference w:id="37"/>
      </w:r>
    </w:p>
    <w:p w:rsidR="002E0FA6" w:rsidRDefault="002607CE" w:rsidP="00B5411F">
      <w:r>
        <w:t>APTNT</w:t>
      </w:r>
      <w:r w:rsidR="006009B7">
        <w:t>'s revised proposal for</w:t>
      </w:r>
      <w:r>
        <w:t xml:space="preserve"> non-system capex </w:t>
      </w:r>
      <w:r w:rsidR="006009B7">
        <w:t>in</w:t>
      </w:r>
      <w:r>
        <w:t xml:space="preserve"> the 2011</w:t>
      </w:r>
      <w:r w:rsidR="00EA4D62">
        <w:t>–</w:t>
      </w:r>
      <w:r>
        <w:t xml:space="preserve">16 access arrangement </w:t>
      </w:r>
      <w:proofErr w:type="gramStart"/>
      <w:r>
        <w:t>period</w:t>
      </w:r>
      <w:proofErr w:type="gramEnd"/>
      <w:r>
        <w:t xml:space="preserve"> </w:t>
      </w:r>
      <w:r w:rsidR="006009B7">
        <w:t>is consistent with its initial</w:t>
      </w:r>
      <w:r>
        <w:t xml:space="preserve"> proposal. </w:t>
      </w:r>
      <w:r w:rsidRPr="00747FBC">
        <w:t xml:space="preserve">We therefore </w:t>
      </w:r>
      <w:r w:rsidR="00EA4D62">
        <w:t>remain of the view</w:t>
      </w:r>
      <w:r w:rsidR="00EA4D62" w:rsidRPr="00747FBC">
        <w:t xml:space="preserve"> </w:t>
      </w:r>
      <w:r w:rsidRPr="00747FBC">
        <w:t xml:space="preserve">that APTNT's </w:t>
      </w:r>
      <w:r w:rsidR="001959DE" w:rsidRPr="00747FBC">
        <w:t>proposed</w:t>
      </w:r>
      <w:r w:rsidRPr="00747FBC">
        <w:t xml:space="preserve"> </w:t>
      </w:r>
      <w:r>
        <w:t>non-system</w:t>
      </w:r>
      <w:r w:rsidRPr="00747FBC">
        <w:t xml:space="preserve"> capex of $</w:t>
      </w:r>
      <w:r>
        <w:t>7.6</w:t>
      </w:r>
      <w:r w:rsidRPr="00747FBC">
        <w:t xml:space="preserve"> million ($2015</w:t>
      </w:r>
      <w:r w:rsidR="008A7C24" w:rsidRPr="00440D98">
        <w:t>–</w:t>
      </w:r>
      <w:r w:rsidRPr="00747FBC">
        <w:t>16) for the 2011</w:t>
      </w:r>
      <w:r w:rsidR="00EA4D62">
        <w:t>–</w:t>
      </w:r>
      <w:r w:rsidRPr="00747FBC">
        <w:t>16</w:t>
      </w:r>
      <w:r w:rsidR="00EA4D62">
        <w:t xml:space="preserve"> </w:t>
      </w:r>
      <w:r w:rsidRPr="00747FBC">
        <w:t>access arrangement period meet</w:t>
      </w:r>
      <w:r w:rsidR="00EA4D62">
        <w:t>s</w:t>
      </w:r>
      <w:r w:rsidRPr="00747FBC">
        <w:t xml:space="preserve"> the criteria of rule 79(1)(a) of the NGR and is justifiable on the basis of rule 79(2)(b) of the NGR.</w:t>
      </w:r>
    </w:p>
    <w:p w:rsidR="002607CE" w:rsidRPr="002607CE" w:rsidRDefault="002607CE" w:rsidP="002607CE">
      <w:pPr>
        <w:pStyle w:val="Heading3"/>
      </w:pPr>
      <w:bookmarkStart w:id="39" w:name="_Toc451529911"/>
      <w:r w:rsidRPr="002607CE">
        <w:t>Conforming capex for the 201</w:t>
      </w:r>
      <w:r w:rsidR="007236F3">
        <w:t>6</w:t>
      </w:r>
      <w:r w:rsidRPr="002607CE">
        <w:t>–</w:t>
      </w:r>
      <w:r w:rsidR="007236F3">
        <w:t>2</w:t>
      </w:r>
      <w:r w:rsidRPr="002607CE">
        <w:t>1 access arrangement period</w:t>
      </w:r>
      <w:bookmarkEnd w:id="39"/>
    </w:p>
    <w:p w:rsidR="00DE70DD" w:rsidRDefault="00DE70DD" w:rsidP="00DE70DD">
      <w:r>
        <w:t>We approve conforming net capex of $</w:t>
      </w:r>
      <w:r w:rsidR="005B445D">
        <w:t>16.8</w:t>
      </w:r>
      <w:r>
        <w:t xml:space="preserve"> million ($2015–16) for the 2016–21 access arrangement </w:t>
      </w:r>
      <w:proofErr w:type="gramStart"/>
      <w:r>
        <w:t>period</w:t>
      </w:r>
      <w:proofErr w:type="gramEnd"/>
      <w:r>
        <w:t>. This is a reduction of $</w:t>
      </w:r>
      <w:r w:rsidR="005B445D">
        <w:t>12.2</w:t>
      </w:r>
      <w:r>
        <w:t xml:space="preserve"> million </w:t>
      </w:r>
      <w:r w:rsidR="00BF1A4A">
        <w:t xml:space="preserve">($2015-16) </w:t>
      </w:r>
      <w:r>
        <w:t xml:space="preserve">or </w:t>
      </w:r>
      <w:r w:rsidR="005B445D">
        <w:t>42.1</w:t>
      </w:r>
      <w:r>
        <w:t xml:space="preserve"> per cent from APTNT’s forecast of conforming capex. </w:t>
      </w:r>
      <w:r w:rsidR="00CF6C01">
        <w:fldChar w:fldCharType="begin"/>
      </w:r>
      <w:r w:rsidR="00CF6C01">
        <w:instrText xml:space="preserve"> REF _Ref447012042 </w:instrText>
      </w:r>
      <w:r w:rsidR="00CF6C01">
        <w:fldChar w:fldCharType="separate"/>
      </w:r>
      <w:r w:rsidR="00C9476D">
        <w:t xml:space="preserve">Table </w:t>
      </w:r>
      <w:r w:rsidR="00C9476D">
        <w:rPr>
          <w:noProof/>
        </w:rPr>
        <w:t>6</w:t>
      </w:r>
      <w:r w:rsidR="00C9476D">
        <w:t>.</w:t>
      </w:r>
      <w:r w:rsidR="00C9476D">
        <w:rPr>
          <w:noProof/>
        </w:rPr>
        <w:t>8</w:t>
      </w:r>
      <w:r w:rsidR="00CF6C01">
        <w:rPr>
          <w:noProof/>
        </w:rPr>
        <w:fldChar w:fldCharType="end"/>
      </w:r>
      <w:r>
        <w:t xml:space="preserve"> summarises our approved forecast of conforming capex for the 2016–21 access arrangement period.</w:t>
      </w:r>
      <w:r w:rsidR="00673EC7">
        <w:t xml:space="preserve"> </w:t>
      </w:r>
    </w:p>
    <w:p w:rsidR="00124606" w:rsidRPr="002D5654" w:rsidRDefault="00EA4D62">
      <w:pPr>
        <w:pStyle w:val="Caption"/>
      </w:pPr>
      <w:bookmarkStart w:id="40" w:name="_Ref447012042"/>
      <w:proofErr w:type="gramStart"/>
      <w:r>
        <w:t xml:space="preserve">Table </w:t>
      </w:r>
      <w:r w:rsidR="00CF6C01">
        <w:fldChar w:fldCharType="begin"/>
      </w:r>
      <w:r w:rsidR="00CF6C01">
        <w:instrText xml:space="preserve"> STYLEREF 1 \s </w:instrText>
      </w:r>
      <w:r w:rsidR="00CF6C01">
        <w:fldChar w:fldCharType="separate"/>
      </w:r>
      <w:r w:rsidR="00C9476D">
        <w:rPr>
          <w:noProof/>
        </w:rPr>
        <w:t>6</w:t>
      </w:r>
      <w:r w:rsidR="00CF6C01">
        <w:rPr>
          <w:noProof/>
        </w:rPr>
        <w:fldChar w:fldCharType="end"/>
      </w:r>
      <w:r>
        <w:t>.</w:t>
      </w:r>
      <w:proofErr w:type="gramEnd"/>
      <w:r w:rsidR="00CF6C01">
        <w:fldChar w:fldCharType="begin"/>
      </w:r>
      <w:r w:rsidR="00CF6C01">
        <w:instrText xml:space="preserve"> SEQ Table \* ARABIC \s 1 </w:instrText>
      </w:r>
      <w:r w:rsidR="00CF6C01">
        <w:fldChar w:fldCharType="separate"/>
      </w:r>
      <w:r w:rsidR="00C9476D">
        <w:rPr>
          <w:noProof/>
        </w:rPr>
        <w:t>8</w:t>
      </w:r>
      <w:r w:rsidR="00CF6C01">
        <w:rPr>
          <w:noProof/>
        </w:rPr>
        <w:fldChar w:fldCharType="end"/>
      </w:r>
      <w:bookmarkEnd w:id="40"/>
      <w:r>
        <w:tab/>
        <w:t xml:space="preserve">AER </w:t>
      </w:r>
      <w:r w:rsidR="00124606" w:rsidRPr="002D5654">
        <w:t>approved capital expenditure over the 201</w:t>
      </w:r>
      <w:r w:rsidR="00124606">
        <w:t>6</w:t>
      </w:r>
      <w:r w:rsidR="00124606" w:rsidRPr="002D5654">
        <w:t>–</w:t>
      </w:r>
      <w:r w:rsidR="00124606">
        <w:t>21</w:t>
      </w:r>
      <w:r w:rsidR="00124606" w:rsidRPr="002D5654">
        <w:t xml:space="preserve"> </w:t>
      </w:r>
      <w:r w:rsidR="00257784">
        <w:t xml:space="preserve">access arrangement period </w:t>
      </w:r>
      <w:r w:rsidR="00124606" w:rsidRPr="002D5654">
        <w:t>($million, 2015</w:t>
      </w:r>
      <w:r w:rsidR="00124606">
        <w:noBreakHyphen/>
      </w:r>
      <w:r w:rsidR="00124606" w:rsidRPr="002D5654">
        <w:t>16)</w:t>
      </w:r>
    </w:p>
    <w:tbl>
      <w:tblPr>
        <w:tblStyle w:val="AERtable-numbers"/>
        <w:tblW w:w="5000" w:type="pct"/>
        <w:tblLook w:val="04A0" w:firstRow="1" w:lastRow="0" w:firstColumn="1" w:lastColumn="0" w:noHBand="0" w:noVBand="1"/>
      </w:tblPr>
      <w:tblGrid>
        <w:gridCol w:w="2035"/>
        <w:gridCol w:w="1111"/>
        <w:gridCol w:w="1111"/>
        <w:gridCol w:w="1111"/>
        <w:gridCol w:w="1109"/>
        <w:gridCol w:w="1109"/>
        <w:gridCol w:w="1106"/>
      </w:tblGrid>
      <w:tr w:rsidR="00124606" w:rsidRPr="004F416F" w:rsidTr="0012460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71" w:type="pct"/>
            <w:hideMark/>
          </w:tcPr>
          <w:p w:rsidR="00124606" w:rsidRPr="00E453CA" w:rsidRDefault="00124606" w:rsidP="00124606">
            <w:r w:rsidRPr="00E453CA">
              <w:t> Category</w:t>
            </w:r>
          </w:p>
        </w:tc>
        <w:tc>
          <w:tcPr>
            <w:tcW w:w="639" w:type="pct"/>
            <w:hideMark/>
          </w:tcPr>
          <w:p w:rsidR="00124606" w:rsidRPr="00E453CA" w:rsidRDefault="00124606" w:rsidP="00124606">
            <w:pPr>
              <w:pStyle w:val="AERtabletextright"/>
              <w:cnfStyle w:val="100000000000" w:firstRow="1" w:lastRow="0" w:firstColumn="0" w:lastColumn="0" w:oddVBand="0" w:evenVBand="0" w:oddHBand="0" w:evenHBand="0" w:firstRowFirstColumn="0" w:firstRowLastColumn="0" w:lastRowFirstColumn="0" w:lastRowLastColumn="0"/>
            </w:pPr>
            <w:r w:rsidRPr="00E453CA">
              <w:t>2016-17</w:t>
            </w:r>
          </w:p>
        </w:tc>
        <w:tc>
          <w:tcPr>
            <w:tcW w:w="639" w:type="pct"/>
            <w:hideMark/>
          </w:tcPr>
          <w:p w:rsidR="00124606" w:rsidRPr="00E453CA" w:rsidRDefault="00124606" w:rsidP="00124606">
            <w:pPr>
              <w:pStyle w:val="AERtabletextright"/>
              <w:cnfStyle w:val="100000000000" w:firstRow="1" w:lastRow="0" w:firstColumn="0" w:lastColumn="0" w:oddVBand="0" w:evenVBand="0" w:oddHBand="0" w:evenHBand="0" w:firstRowFirstColumn="0" w:firstRowLastColumn="0" w:lastRowFirstColumn="0" w:lastRowLastColumn="0"/>
            </w:pPr>
            <w:r w:rsidRPr="00E453CA">
              <w:t>2017-18</w:t>
            </w:r>
          </w:p>
        </w:tc>
        <w:tc>
          <w:tcPr>
            <w:tcW w:w="639" w:type="pct"/>
            <w:hideMark/>
          </w:tcPr>
          <w:p w:rsidR="00124606" w:rsidRPr="00E453CA" w:rsidRDefault="00124606" w:rsidP="00124606">
            <w:pPr>
              <w:pStyle w:val="AERtabletextright"/>
              <w:cnfStyle w:val="100000000000" w:firstRow="1" w:lastRow="0" w:firstColumn="0" w:lastColumn="0" w:oddVBand="0" w:evenVBand="0" w:oddHBand="0" w:evenHBand="0" w:firstRowFirstColumn="0" w:firstRowLastColumn="0" w:lastRowFirstColumn="0" w:lastRowLastColumn="0"/>
            </w:pPr>
            <w:r w:rsidRPr="00E453CA">
              <w:t>2018-19</w:t>
            </w:r>
          </w:p>
        </w:tc>
        <w:tc>
          <w:tcPr>
            <w:tcW w:w="638" w:type="pct"/>
            <w:hideMark/>
          </w:tcPr>
          <w:p w:rsidR="00124606" w:rsidRPr="00E453CA" w:rsidRDefault="00124606" w:rsidP="00124606">
            <w:pPr>
              <w:pStyle w:val="AERtabletextright"/>
              <w:cnfStyle w:val="100000000000" w:firstRow="1" w:lastRow="0" w:firstColumn="0" w:lastColumn="0" w:oddVBand="0" w:evenVBand="0" w:oddHBand="0" w:evenHBand="0" w:firstRowFirstColumn="0" w:firstRowLastColumn="0" w:lastRowFirstColumn="0" w:lastRowLastColumn="0"/>
            </w:pPr>
            <w:r w:rsidRPr="00E453CA">
              <w:t>2019-20</w:t>
            </w:r>
          </w:p>
        </w:tc>
        <w:tc>
          <w:tcPr>
            <w:tcW w:w="638" w:type="pct"/>
            <w:hideMark/>
          </w:tcPr>
          <w:p w:rsidR="00124606" w:rsidRPr="00E453CA" w:rsidRDefault="00124606" w:rsidP="00124606">
            <w:pPr>
              <w:pStyle w:val="AERtabletextright"/>
              <w:cnfStyle w:val="100000000000" w:firstRow="1" w:lastRow="0" w:firstColumn="0" w:lastColumn="0" w:oddVBand="0" w:evenVBand="0" w:oddHBand="0" w:evenHBand="0" w:firstRowFirstColumn="0" w:firstRowLastColumn="0" w:lastRowFirstColumn="0" w:lastRowLastColumn="0"/>
            </w:pPr>
            <w:r w:rsidRPr="00E453CA">
              <w:t>2020-21</w:t>
            </w:r>
          </w:p>
        </w:tc>
        <w:tc>
          <w:tcPr>
            <w:tcW w:w="636" w:type="pct"/>
          </w:tcPr>
          <w:p w:rsidR="00124606" w:rsidRPr="00E453CA" w:rsidRDefault="00124606" w:rsidP="00124606">
            <w:pPr>
              <w:pStyle w:val="AERtabletextright"/>
              <w:cnfStyle w:val="100000000000" w:firstRow="1" w:lastRow="0" w:firstColumn="0" w:lastColumn="0" w:oddVBand="0" w:evenVBand="0" w:oddHBand="0" w:evenHBand="0" w:firstRowFirstColumn="0" w:firstRowLastColumn="0" w:lastRowFirstColumn="0" w:lastRowLastColumn="0"/>
            </w:pPr>
            <w:r w:rsidRPr="00E453CA">
              <w:t>Total</w:t>
            </w:r>
          </w:p>
        </w:tc>
      </w:tr>
      <w:tr w:rsidR="00124606" w:rsidRPr="004F416F" w:rsidTr="00124606">
        <w:trPr>
          <w:trHeight w:val="300"/>
        </w:trPr>
        <w:tc>
          <w:tcPr>
            <w:cnfStyle w:val="001000000000" w:firstRow="0" w:lastRow="0" w:firstColumn="1" w:lastColumn="0" w:oddVBand="0" w:evenVBand="0" w:oddHBand="0" w:evenHBand="0" w:firstRowFirstColumn="0" w:firstRowLastColumn="0" w:lastRowFirstColumn="0" w:lastRowLastColumn="0"/>
            <w:tcW w:w="1171" w:type="pct"/>
          </w:tcPr>
          <w:p w:rsidR="00124606" w:rsidRPr="00E453CA" w:rsidRDefault="00124606" w:rsidP="00124606">
            <w:r w:rsidRPr="00E453CA">
              <w:t>Expansion</w:t>
            </w:r>
          </w:p>
        </w:tc>
        <w:tc>
          <w:tcPr>
            <w:tcW w:w="639" w:type="pct"/>
          </w:tcPr>
          <w:p w:rsidR="00124606" w:rsidRPr="00E453CA" w:rsidRDefault="00124606" w:rsidP="00124606">
            <w:pPr>
              <w:cnfStyle w:val="000000000000" w:firstRow="0" w:lastRow="0" w:firstColumn="0" w:lastColumn="0" w:oddVBand="0" w:evenVBand="0" w:oddHBand="0" w:evenHBand="0" w:firstRowFirstColumn="0" w:firstRowLastColumn="0" w:lastRowFirstColumn="0" w:lastRowLastColumn="0"/>
            </w:pPr>
            <w:r w:rsidRPr="00E453CA">
              <w:t>-</w:t>
            </w:r>
          </w:p>
        </w:tc>
        <w:tc>
          <w:tcPr>
            <w:tcW w:w="639" w:type="pct"/>
          </w:tcPr>
          <w:p w:rsidR="00124606" w:rsidRPr="00E453CA" w:rsidRDefault="00124606" w:rsidP="00124606">
            <w:pPr>
              <w:cnfStyle w:val="000000000000" w:firstRow="0" w:lastRow="0" w:firstColumn="0" w:lastColumn="0" w:oddVBand="0" w:evenVBand="0" w:oddHBand="0" w:evenHBand="0" w:firstRowFirstColumn="0" w:firstRowLastColumn="0" w:lastRowFirstColumn="0" w:lastRowLastColumn="0"/>
            </w:pPr>
            <w:r w:rsidRPr="00E453CA">
              <w:t>-</w:t>
            </w:r>
          </w:p>
        </w:tc>
        <w:tc>
          <w:tcPr>
            <w:tcW w:w="639" w:type="pct"/>
          </w:tcPr>
          <w:p w:rsidR="00124606" w:rsidRPr="00E453CA" w:rsidRDefault="00124606" w:rsidP="00124606">
            <w:pPr>
              <w:cnfStyle w:val="000000000000" w:firstRow="0" w:lastRow="0" w:firstColumn="0" w:lastColumn="0" w:oddVBand="0" w:evenVBand="0" w:oddHBand="0" w:evenHBand="0" w:firstRowFirstColumn="0" w:firstRowLastColumn="0" w:lastRowFirstColumn="0" w:lastRowLastColumn="0"/>
            </w:pPr>
            <w:r w:rsidRPr="00E453CA">
              <w:t>-</w:t>
            </w:r>
          </w:p>
        </w:tc>
        <w:tc>
          <w:tcPr>
            <w:tcW w:w="638" w:type="pct"/>
          </w:tcPr>
          <w:p w:rsidR="00124606" w:rsidRPr="00E453CA" w:rsidRDefault="00124606" w:rsidP="00124606">
            <w:pPr>
              <w:cnfStyle w:val="000000000000" w:firstRow="0" w:lastRow="0" w:firstColumn="0" w:lastColumn="0" w:oddVBand="0" w:evenVBand="0" w:oddHBand="0" w:evenHBand="0" w:firstRowFirstColumn="0" w:firstRowLastColumn="0" w:lastRowFirstColumn="0" w:lastRowLastColumn="0"/>
            </w:pPr>
            <w:r w:rsidRPr="00E453CA">
              <w:t>-</w:t>
            </w:r>
          </w:p>
        </w:tc>
        <w:tc>
          <w:tcPr>
            <w:tcW w:w="638" w:type="pct"/>
          </w:tcPr>
          <w:p w:rsidR="00124606" w:rsidRPr="00E453CA" w:rsidRDefault="00124606" w:rsidP="00124606">
            <w:pPr>
              <w:cnfStyle w:val="000000000000" w:firstRow="0" w:lastRow="0" w:firstColumn="0" w:lastColumn="0" w:oddVBand="0" w:evenVBand="0" w:oddHBand="0" w:evenHBand="0" w:firstRowFirstColumn="0" w:firstRowLastColumn="0" w:lastRowFirstColumn="0" w:lastRowLastColumn="0"/>
            </w:pPr>
            <w:r w:rsidRPr="00E453CA">
              <w:t>-</w:t>
            </w:r>
          </w:p>
        </w:tc>
        <w:tc>
          <w:tcPr>
            <w:tcW w:w="636" w:type="pct"/>
          </w:tcPr>
          <w:p w:rsidR="00124606" w:rsidRPr="00E453CA" w:rsidRDefault="00124606" w:rsidP="00124606">
            <w:pPr>
              <w:cnfStyle w:val="000000000000" w:firstRow="0" w:lastRow="0" w:firstColumn="0" w:lastColumn="0" w:oddVBand="0" w:evenVBand="0" w:oddHBand="0" w:evenHBand="0" w:firstRowFirstColumn="0" w:firstRowLastColumn="0" w:lastRowFirstColumn="0" w:lastRowLastColumn="0"/>
            </w:pPr>
            <w:r w:rsidRPr="00E453CA">
              <w:t>-</w:t>
            </w:r>
          </w:p>
        </w:tc>
      </w:tr>
      <w:tr w:rsidR="00124606" w:rsidRPr="004F416F" w:rsidTr="0012460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1" w:type="pct"/>
          </w:tcPr>
          <w:p w:rsidR="00124606" w:rsidRPr="00E453CA" w:rsidRDefault="00124606" w:rsidP="00124606">
            <w:r w:rsidRPr="00E453CA">
              <w:t>Replacement</w:t>
            </w:r>
          </w:p>
        </w:tc>
        <w:tc>
          <w:tcPr>
            <w:tcW w:w="639" w:type="pct"/>
          </w:tcPr>
          <w:p w:rsidR="00124606" w:rsidRPr="00251084" w:rsidRDefault="0052009A" w:rsidP="00251084">
            <w:pPr>
              <w:cnfStyle w:val="000000010000" w:firstRow="0" w:lastRow="0" w:firstColumn="0" w:lastColumn="0" w:oddVBand="0" w:evenVBand="0" w:oddHBand="0" w:evenHBand="1" w:firstRowFirstColumn="0" w:firstRowLastColumn="0" w:lastRowFirstColumn="0" w:lastRowLastColumn="0"/>
            </w:pPr>
            <w:r>
              <w:t>3.3</w:t>
            </w:r>
          </w:p>
        </w:tc>
        <w:tc>
          <w:tcPr>
            <w:tcW w:w="639" w:type="pct"/>
          </w:tcPr>
          <w:p w:rsidR="00124606" w:rsidRPr="00251084" w:rsidRDefault="0052009A" w:rsidP="00251084">
            <w:pPr>
              <w:cnfStyle w:val="000000010000" w:firstRow="0" w:lastRow="0" w:firstColumn="0" w:lastColumn="0" w:oddVBand="0" w:evenVBand="0" w:oddHBand="0" w:evenHBand="1" w:firstRowFirstColumn="0" w:firstRowLastColumn="0" w:lastRowFirstColumn="0" w:lastRowLastColumn="0"/>
            </w:pPr>
            <w:r>
              <w:t>1.</w:t>
            </w:r>
            <w:r w:rsidR="005B445D">
              <w:t>6</w:t>
            </w:r>
          </w:p>
        </w:tc>
        <w:tc>
          <w:tcPr>
            <w:tcW w:w="639" w:type="pct"/>
          </w:tcPr>
          <w:p w:rsidR="00124606" w:rsidRPr="00251084" w:rsidRDefault="0052009A" w:rsidP="00251084">
            <w:pPr>
              <w:cnfStyle w:val="000000010000" w:firstRow="0" w:lastRow="0" w:firstColumn="0" w:lastColumn="0" w:oddVBand="0" w:evenVBand="0" w:oddHBand="0" w:evenHBand="1" w:firstRowFirstColumn="0" w:firstRowLastColumn="0" w:lastRowFirstColumn="0" w:lastRowLastColumn="0"/>
            </w:pPr>
            <w:r>
              <w:t>1.3</w:t>
            </w:r>
          </w:p>
        </w:tc>
        <w:tc>
          <w:tcPr>
            <w:tcW w:w="638" w:type="pct"/>
          </w:tcPr>
          <w:p w:rsidR="00124606" w:rsidRPr="00251084" w:rsidRDefault="0052009A" w:rsidP="00251084">
            <w:pPr>
              <w:cnfStyle w:val="000000010000" w:firstRow="0" w:lastRow="0" w:firstColumn="0" w:lastColumn="0" w:oddVBand="0" w:evenVBand="0" w:oddHBand="0" w:evenHBand="1" w:firstRowFirstColumn="0" w:firstRowLastColumn="0" w:lastRowFirstColumn="0" w:lastRowLastColumn="0"/>
            </w:pPr>
            <w:r>
              <w:t>1.</w:t>
            </w:r>
            <w:r w:rsidR="005B445D">
              <w:t>3</w:t>
            </w:r>
          </w:p>
        </w:tc>
        <w:tc>
          <w:tcPr>
            <w:tcW w:w="638" w:type="pct"/>
          </w:tcPr>
          <w:p w:rsidR="00124606" w:rsidRPr="00251084" w:rsidRDefault="0052009A" w:rsidP="00251084">
            <w:pPr>
              <w:cnfStyle w:val="000000010000" w:firstRow="0" w:lastRow="0" w:firstColumn="0" w:lastColumn="0" w:oddVBand="0" w:evenVBand="0" w:oddHBand="0" w:evenHBand="1" w:firstRowFirstColumn="0" w:firstRowLastColumn="0" w:lastRowFirstColumn="0" w:lastRowLastColumn="0"/>
            </w:pPr>
            <w:r>
              <w:t>1.1</w:t>
            </w:r>
          </w:p>
        </w:tc>
        <w:tc>
          <w:tcPr>
            <w:tcW w:w="636" w:type="pct"/>
          </w:tcPr>
          <w:p w:rsidR="00124606" w:rsidRPr="00251084" w:rsidRDefault="0052009A" w:rsidP="00251084">
            <w:pPr>
              <w:cnfStyle w:val="000000010000" w:firstRow="0" w:lastRow="0" w:firstColumn="0" w:lastColumn="0" w:oddVBand="0" w:evenVBand="0" w:oddHBand="0" w:evenHBand="1" w:firstRowFirstColumn="0" w:firstRowLastColumn="0" w:lastRowFirstColumn="0" w:lastRowLastColumn="0"/>
            </w:pPr>
            <w:r>
              <w:t>8.</w:t>
            </w:r>
            <w:r w:rsidR="005B445D">
              <w:t>6</w:t>
            </w:r>
          </w:p>
        </w:tc>
      </w:tr>
      <w:tr w:rsidR="00124606" w:rsidRPr="004F416F" w:rsidTr="00124606">
        <w:trPr>
          <w:trHeight w:val="300"/>
        </w:trPr>
        <w:tc>
          <w:tcPr>
            <w:cnfStyle w:val="001000000000" w:firstRow="0" w:lastRow="0" w:firstColumn="1" w:lastColumn="0" w:oddVBand="0" w:evenVBand="0" w:oddHBand="0" w:evenHBand="0" w:firstRowFirstColumn="0" w:firstRowLastColumn="0" w:lastRowFirstColumn="0" w:lastRowLastColumn="0"/>
            <w:tcW w:w="1171" w:type="pct"/>
          </w:tcPr>
          <w:p w:rsidR="00124606" w:rsidRPr="00E453CA" w:rsidRDefault="00124606" w:rsidP="00124606">
            <w:r w:rsidRPr="00E453CA">
              <w:t>Non-system</w:t>
            </w:r>
          </w:p>
        </w:tc>
        <w:tc>
          <w:tcPr>
            <w:tcW w:w="639" w:type="pct"/>
          </w:tcPr>
          <w:p w:rsidR="00124606" w:rsidRPr="00251084" w:rsidRDefault="00124606" w:rsidP="00251084">
            <w:pPr>
              <w:cnfStyle w:val="000000000000" w:firstRow="0" w:lastRow="0" w:firstColumn="0" w:lastColumn="0" w:oddVBand="0" w:evenVBand="0" w:oddHBand="0" w:evenHBand="0" w:firstRowFirstColumn="0" w:firstRowLastColumn="0" w:lastRowFirstColumn="0" w:lastRowLastColumn="0"/>
            </w:pPr>
            <w:r w:rsidRPr="00251084">
              <w:t>4.</w:t>
            </w:r>
            <w:r w:rsidR="005B445D">
              <w:t>5</w:t>
            </w:r>
          </w:p>
        </w:tc>
        <w:tc>
          <w:tcPr>
            <w:tcW w:w="639" w:type="pct"/>
          </w:tcPr>
          <w:p w:rsidR="00124606" w:rsidRPr="00251084" w:rsidRDefault="005B445D" w:rsidP="00251084">
            <w:pPr>
              <w:cnfStyle w:val="000000000000" w:firstRow="0" w:lastRow="0" w:firstColumn="0" w:lastColumn="0" w:oddVBand="0" w:evenVBand="0" w:oddHBand="0" w:evenHBand="0" w:firstRowFirstColumn="0" w:firstRowLastColumn="0" w:lastRowFirstColumn="0" w:lastRowLastColumn="0"/>
            </w:pPr>
            <w:r>
              <w:t>1</w:t>
            </w:r>
            <w:r w:rsidR="00124606" w:rsidRPr="00251084">
              <w:t>.</w:t>
            </w:r>
            <w:r>
              <w:t>0</w:t>
            </w:r>
          </w:p>
        </w:tc>
        <w:tc>
          <w:tcPr>
            <w:tcW w:w="639" w:type="pct"/>
          </w:tcPr>
          <w:p w:rsidR="00124606" w:rsidRPr="00251084" w:rsidRDefault="00124606" w:rsidP="00251084">
            <w:pPr>
              <w:cnfStyle w:val="000000000000" w:firstRow="0" w:lastRow="0" w:firstColumn="0" w:lastColumn="0" w:oddVBand="0" w:evenVBand="0" w:oddHBand="0" w:evenHBand="0" w:firstRowFirstColumn="0" w:firstRowLastColumn="0" w:lastRowFirstColumn="0" w:lastRowLastColumn="0"/>
            </w:pPr>
            <w:r w:rsidRPr="00251084">
              <w:t>1.0</w:t>
            </w:r>
          </w:p>
        </w:tc>
        <w:tc>
          <w:tcPr>
            <w:tcW w:w="638" w:type="pct"/>
          </w:tcPr>
          <w:p w:rsidR="00124606" w:rsidRPr="00251084" w:rsidRDefault="00124606" w:rsidP="00251084">
            <w:pPr>
              <w:cnfStyle w:val="000000000000" w:firstRow="0" w:lastRow="0" w:firstColumn="0" w:lastColumn="0" w:oddVBand="0" w:evenVBand="0" w:oddHBand="0" w:evenHBand="0" w:firstRowFirstColumn="0" w:firstRowLastColumn="0" w:lastRowFirstColumn="0" w:lastRowLastColumn="0"/>
            </w:pPr>
            <w:r w:rsidRPr="00251084">
              <w:t>1.1</w:t>
            </w:r>
          </w:p>
        </w:tc>
        <w:tc>
          <w:tcPr>
            <w:tcW w:w="638" w:type="pct"/>
          </w:tcPr>
          <w:p w:rsidR="00124606" w:rsidRPr="00251084" w:rsidRDefault="00124606" w:rsidP="00251084">
            <w:pPr>
              <w:cnfStyle w:val="000000000000" w:firstRow="0" w:lastRow="0" w:firstColumn="0" w:lastColumn="0" w:oddVBand="0" w:evenVBand="0" w:oddHBand="0" w:evenHBand="0" w:firstRowFirstColumn="0" w:firstRowLastColumn="0" w:lastRowFirstColumn="0" w:lastRowLastColumn="0"/>
            </w:pPr>
            <w:r w:rsidRPr="00251084">
              <w:t>1.3</w:t>
            </w:r>
          </w:p>
        </w:tc>
        <w:tc>
          <w:tcPr>
            <w:tcW w:w="636" w:type="pct"/>
          </w:tcPr>
          <w:p w:rsidR="00124606" w:rsidRPr="00251084" w:rsidRDefault="00124606" w:rsidP="00251084">
            <w:pPr>
              <w:cnfStyle w:val="000000000000" w:firstRow="0" w:lastRow="0" w:firstColumn="0" w:lastColumn="0" w:oddVBand="0" w:evenVBand="0" w:oddHBand="0" w:evenHBand="0" w:firstRowFirstColumn="0" w:firstRowLastColumn="0" w:lastRowFirstColumn="0" w:lastRowLastColumn="0"/>
            </w:pPr>
            <w:r w:rsidRPr="00251084">
              <w:t>8.</w:t>
            </w:r>
            <w:r w:rsidR="005B445D">
              <w:t>8</w:t>
            </w:r>
          </w:p>
        </w:tc>
      </w:tr>
      <w:tr w:rsidR="00124606" w:rsidRPr="004F416F" w:rsidTr="0012460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1" w:type="pct"/>
          </w:tcPr>
          <w:p w:rsidR="00124606" w:rsidRPr="00E453CA" w:rsidRDefault="00124606" w:rsidP="00124606">
            <w:r w:rsidRPr="00E453CA">
              <w:t>GROSS TOTAL CAPITAL EXPENDITURE</w:t>
            </w:r>
          </w:p>
        </w:tc>
        <w:tc>
          <w:tcPr>
            <w:tcW w:w="639" w:type="pct"/>
          </w:tcPr>
          <w:p w:rsidR="00124606" w:rsidRPr="00251084" w:rsidRDefault="0052009A" w:rsidP="00251084">
            <w:pPr>
              <w:cnfStyle w:val="000000010000" w:firstRow="0" w:lastRow="0" w:firstColumn="0" w:lastColumn="0" w:oddVBand="0" w:evenVBand="0" w:oddHBand="0" w:evenHBand="1" w:firstRowFirstColumn="0" w:firstRowLastColumn="0" w:lastRowFirstColumn="0" w:lastRowLastColumn="0"/>
            </w:pPr>
            <w:r>
              <w:t>7.8</w:t>
            </w:r>
          </w:p>
        </w:tc>
        <w:tc>
          <w:tcPr>
            <w:tcW w:w="639" w:type="pct"/>
          </w:tcPr>
          <w:p w:rsidR="00124606" w:rsidRPr="00251084" w:rsidRDefault="0052009A" w:rsidP="00251084">
            <w:pPr>
              <w:cnfStyle w:val="000000010000" w:firstRow="0" w:lastRow="0" w:firstColumn="0" w:lastColumn="0" w:oddVBand="0" w:evenVBand="0" w:oddHBand="0" w:evenHBand="1" w:firstRowFirstColumn="0" w:firstRowLastColumn="0" w:lastRowFirstColumn="0" w:lastRowLastColumn="0"/>
            </w:pPr>
            <w:r>
              <w:t>2.6</w:t>
            </w:r>
          </w:p>
        </w:tc>
        <w:tc>
          <w:tcPr>
            <w:tcW w:w="639" w:type="pct"/>
          </w:tcPr>
          <w:p w:rsidR="00124606" w:rsidRPr="00251084" w:rsidRDefault="0052009A" w:rsidP="00251084">
            <w:pPr>
              <w:cnfStyle w:val="000000010000" w:firstRow="0" w:lastRow="0" w:firstColumn="0" w:lastColumn="0" w:oddVBand="0" w:evenVBand="0" w:oddHBand="0" w:evenHBand="1" w:firstRowFirstColumn="0" w:firstRowLastColumn="0" w:lastRowFirstColumn="0" w:lastRowLastColumn="0"/>
            </w:pPr>
            <w:r>
              <w:t>2.3</w:t>
            </w:r>
          </w:p>
        </w:tc>
        <w:tc>
          <w:tcPr>
            <w:tcW w:w="638" w:type="pct"/>
          </w:tcPr>
          <w:p w:rsidR="00124606" w:rsidRPr="00251084" w:rsidRDefault="0052009A" w:rsidP="00251084">
            <w:pPr>
              <w:cnfStyle w:val="000000010000" w:firstRow="0" w:lastRow="0" w:firstColumn="0" w:lastColumn="0" w:oddVBand="0" w:evenVBand="0" w:oddHBand="0" w:evenHBand="1" w:firstRowFirstColumn="0" w:firstRowLastColumn="0" w:lastRowFirstColumn="0" w:lastRowLastColumn="0"/>
            </w:pPr>
            <w:r>
              <w:t>2.3</w:t>
            </w:r>
          </w:p>
        </w:tc>
        <w:tc>
          <w:tcPr>
            <w:tcW w:w="638" w:type="pct"/>
          </w:tcPr>
          <w:p w:rsidR="00124606" w:rsidRPr="00251084" w:rsidRDefault="0052009A" w:rsidP="00251084">
            <w:pPr>
              <w:cnfStyle w:val="000000010000" w:firstRow="0" w:lastRow="0" w:firstColumn="0" w:lastColumn="0" w:oddVBand="0" w:evenVBand="0" w:oddHBand="0" w:evenHBand="1" w:firstRowFirstColumn="0" w:firstRowLastColumn="0" w:lastRowFirstColumn="0" w:lastRowLastColumn="0"/>
            </w:pPr>
            <w:r>
              <w:t>2.4</w:t>
            </w:r>
          </w:p>
        </w:tc>
        <w:tc>
          <w:tcPr>
            <w:tcW w:w="636" w:type="pct"/>
          </w:tcPr>
          <w:p w:rsidR="00124606" w:rsidRPr="00251084" w:rsidRDefault="0052009A" w:rsidP="00251084">
            <w:pPr>
              <w:cnfStyle w:val="000000010000" w:firstRow="0" w:lastRow="0" w:firstColumn="0" w:lastColumn="0" w:oddVBand="0" w:evenVBand="0" w:oddHBand="0" w:evenHBand="1" w:firstRowFirstColumn="0" w:firstRowLastColumn="0" w:lastRowFirstColumn="0" w:lastRowLastColumn="0"/>
            </w:pPr>
            <w:r>
              <w:t>17.4</w:t>
            </w:r>
          </w:p>
        </w:tc>
      </w:tr>
      <w:tr w:rsidR="00124606" w:rsidRPr="004F416F" w:rsidTr="00124606">
        <w:trPr>
          <w:trHeight w:val="300"/>
        </w:trPr>
        <w:tc>
          <w:tcPr>
            <w:cnfStyle w:val="001000000000" w:firstRow="0" w:lastRow="0" w:firstColumn="1" w:lastColumn="0" w:oddVBand="0" w:evenVBand="0" w:oddHBand="0" w:evenHBand="0" w:firstRowFirstColumn="0" w:firstRowLastColumn="0" w:lastRowFirstColumn="0" w:lastRowLastColumn="0"/>
            <w:tcW w:w="1171" w:type="pct"/>
          </w:tcPr>
          <w:p w:rsidR="00124606" w:rsidRPr="00E453CA" w:rsidRDefault="00124606" w:rsidP="00124606">
            <w:r w:rsidRPr="00E453CA">
              <w:t>Contributions</w:t>
            </w:r>
          </w:p>
        </w:tc>
        <w:tc>
          <w:tcPr>
            <w:tcW w:w="639" w:type="pct"/>
          </w:tcPr>
          <w:p w:rsidR="00124606" w:rsidRPr="00E453CA" w:rsidRDefault="00124606" w:rsidP="00124606">
            <w:pPr>
              <w:cnfStyle w:val="000000000000" w:firstRow="0" w:lastRow="0" w:firstColumn="0" w:lastColumn="0" w:oddVBand="0" w:evenVBand="0" w:oddHBand="0" w:evenHBand="0" w:firstRowFirstColumn="0" w:firstRowLastColumn="0" w:lastRowFirstColumn="0" w:lastRowLastColumn="0"/>
            </w:pPr>
            <w:r w:rsidRPr="00E453CA">
              <w:t>-</w:t>
            </w:r>
          </w:p>
        </w:tc>
        <w:tc>
          <w:tcPr>
            <w:tcW w:w="639" w:type="pct"/>
          </w:tcPr>
          <w:p w:rsidR="00124606" w:rsidRPr="00E453CA" w:rsidRDefault="00124606" w:rsidP="00124606">
            <w:pPr>
              <w:cnfStyle w:val="000000000000" w:firstRow="0" w:lastRow="0" w:firstColumn="0" w:lastColumn="0" w:oddVBand="0" w:evenVBand="0" w:oddHBand="0" w:evenHBand="0" w:firstRowFirstColumn="0" w:firstRowLastColumn="0" w:lastRowFirstColumn="0" w:lastRowLastColumn="0"/>
            </w:pPr>
            <w:r w:rsidRPr="00E453CA">
              <w:t>-</w:t>
            </w:r>
          </w:p>
        </w:tc>
        <w:tc>
          <w:tcPr>
            <w:tcW w:w="639" w:type="pct"/>
          </w:tcPr>
          <w:p w:rsidR="00124606" w:rsidRPr="00E453CA" w:rsidRDefault="00124606" w:rsidP="00124606">
            <w:pPr>
              <w:cnfStyle w:val="000000000000" w:firstRow="0" w:lastRow="0" w:firstColumn="0" w:lastColumn="0" w:oddVBand="0" w:evenVBand="0" w:oddHBand="0" w:evenHBand="0" w:firstRowFirstColumn="0" w:firstRowLastColumn="0" w:lastRowFirstColumn="0" w:lastRowLastColumn="0"/>
            </w:pPr>
            <w:r w:rsidRPr="00E453CA">
              <w:t>-</w:t>
            </w:r>
          </w:p>
        </w:tc>
        <w:tc>
          <w:tcPr>
            <w:tcW w:w="638" w:type="pct"/>
          </w:tcPr>
          <w:p w:rsidR="00124606" w:rsidRPr="00E453CA" w:rsidRDefault="00124606" w:rsidP="00124606">
            <w:pPr>
              <w:cnfStyle w:val="000000000000" w:firstRow="0" w:lastRow="0" w:firstColumn="0" w:lastColumn="0" w:oddVBand="0" w:evenVBand="0" w:oddHBand="0" w:evenHBand="0" w:firstRowFirstColumn="0" w:firstRowLastColumn="0" w:lastRowFirstColumn="0" w:lastRowLastColumn="0"/>
            </w:pPr>
            <w:r w:rsidRPr="00E453CA">
              <w:t>-</w:t>
            </w:r>
          </w:p>
        </w:tc>
        <w:tc>
          <w:tcPr>
            <w:tcW w:w="638" w:type="pct"/>
          </w:tcPr>
          <w:p w:rsidR="00124606" w:rsidRPr="00E453CA" w:rsidRDefault="00124606" w:rsidP="00124606">
            <w:pPr>
              <w:cnfStyle w:val="000000000000" w:firstRow="0" w:lastRow="0" w:firstColumn="0" w:lastColumn="0" w:oddVBand="0" w:evenVBand="0" w:oddHBand="0" w:evenHBand="0" w:firstRowFirstColumn="0" w:firstRowLastColumn="0" w:lastRowFirstColumn="0" w:lastRowLastColumn="0"/>
            </w:pPr>
            <w:r w:rsidRPr="00E453CA">
              <w:t>-</w:t>
            </w:r>
          </w:p>
        </w:tc>
        <w:tc>
          <w:tcPr>
            <w:tcW w:w="636" w:type="pct"/>
          </w:tcPr>
          <w:p w:rsidR="00124606" w:rsidRPr="00E453CA" w:rsidRDefault="00124606" w:rsidP="00124606">
            <w:pPr>
              <w:cnfStyle w:val="000000000000" w:firstRow="0" w:lastRow="0" w:firstColumn="0" w:lastColumn="0" w:oddVBand="0" w:evenVBand="0" w:oddHBand="0" w:evenHBand="0" w:firstRowFirstColumn="0" w:firstRowLastColumn="0" w:lastRowFirstColumn="0" w:lastRowLastColumn="0"/>
            </w:pPr>
            <w:r w:rsidRPr="00E453CA">
              <w:t>-</w:t>
            </w:r>
          </w:p>
        </w:tc>
      </w:tr>
      <w:tr w:rsidR="00124606" w:rsidRPr="004F416F" w:rsidTr="0012460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1" w:type="pct"/>
          </w:tcPr>
          <w:p w:rsidR="00124606" w:rsidRPr="00E453CA" w:rsidRDefault="00124606" w:rsidP="00124606">
            <w:r w:rsidRPr="00E453CA">
              <w:t>Asset disposals</w:t>
            </w:r>
          </w:p>
        </w:tc>
        <w:tc>
          <w:tcPr>
            <w:tcW w:w="639" w:type="pct"/>
          </w:tcPr>
          <w:p w:rsidR="00124606" w:rsidRPr="00124606" w:rsidRDefault="00124606" w:rsidP="00124606">
            <w:pPr>
              <w:cnfStyle w:val="000000010000" w:firstRow="0" w:lastRow="0" w:firstColumn="0" w:lastColumn="0" w:oddVBand="0" w:evenVBand="0" w:oddHBand="0" w:evenHBand="1" w:firstRowFirstColumn="0" w:firstRowLastColumn="0" w:lastRowFirstColumn="0" w:lastRowLastColumn="0"/>
            </w:pPr>
            <w:r>
              <w:t>0.2</w:t>
            </w:r>
          </w:p>
        </w:tc>
        <w:tc>
          <w:tcPr>
            <w:tcW w:w="639" w:type="pct"/>
          </w:tcPr>
          <w:p w:rsidR="00124606" w:rsidRPr="00124606" w:rsidRDefault="00124606" w:rsidP="00124606">
            <w:pPr>
              <w:cnfStyle w:val="000000010000" w:firstRow="0" w:lastRow="0" w:firstColumn="0" w:lastColumn="0" w:oddVBand="0" w:evenVBand="0" w:oddHBand="0" w:evenHBand="1" w:firstRowFirstColumn="0" w:firstRowLastColumn="0" w:lastRowFirstColumn="0" w:lastRowLastColumn="0"/>
            </w:pPr>
            <w:r>
              <w:t>0.1</w:t>
            </w:r>
          </w:p>
        </w:tc>
        <w:tc>
          <w:tcPr>
            <w:tcW w:w="639" w:type="pct"/>
          </w:tcPr>
          <w:p w:rsidR="00124606" w:rsidRPr="00124606" w:rsidRDefault="00124606" w:rsidP="00124606">
            <w:pPr>
              <w:cnfStyle w:val="000000010000" w:firstRow="0" w:lastRow="0" w:firstColumn="0" w:lastColumn="0" w:oddVBand="0" w:evenVBand="0" w:oddHBand="0" w:evenHBand="1" w:firstRowFirstColumn="0" w:firstRowLastColumn="0" w:lastRowFirstColumn="0" w:lastRowLastColumn="0"/>
            </w:pPr>
            <w:r>
              <w:t>0.1</w:t>
            </w:r>
          </w:p>
        </w:tc>
        <w:tc>
          <w:tcPr>
            <w:tcW w:w="638" w:type="pct"/>
          </w:tcPr>
          <w:p w:rsidR="00124606" w:rsidRPr="00124606" w:rsidRDefault="00124606" w:rsidP="00124606">
            <w:pPr>
              <w:cnfStyle w:val="000000010000" w:firstRow="0" w:lastRow="0" w:firstColumn="0" w:lastColumn="0" w:oddVBand="0" w:evenVBand="0" w:oddHBand="0" w:evenHBand="1" w:firstRowFirstColumn="0" w:firstRowLastColumn="0" w:lastRowFirstColumn="0" w:lastRowLastColumn="0"/>
            </w:pPr>
            <w:r>
              <w:t>0.1</w:t>
            </w:r>
          </w:p>
        </w:tc>
        <w:tc>
          <w:tcPr>
            <w:tcW w:w="638" w:type="pct"/>
          </w:tcPr>
          <w:p w:rsidR="00124606" w:rsidRPr="00124606" w:rsidRDefault="00124606" w:rsidP="00124606">
            <w:pPr>
              <w:cnfStyle w:val="000000010000" w:firstRow="0" w:lastRow="0" w:firstColumn="0" w:lastColumn="0" w:oddVBand="0" w:evenVBand="0" w:oddHBand="0" w:evenHBand="1" w:firstRowFirstColumn="0" w:firstRowLastColumn="0" w:lastRowFirstColumn="0" w:lastRowLastColumn="0"/>
            </w:pPr>
            <w:r>
              <w:t>0.2</w:t>
            </w:r>
          </w:p>
        </w:tc>
        <w:tc>
          <w:tcPr>
            <w:tcW w:w="636" w:type="pct"/>
          </w:tcPr>
          <w:p w:rsidR="00124606" w:rsidRPr="00124606" w:rsidRDefault="00124606" w:rsidP="00124606">
            <w:pPr>
              <w:cnfStyle w:val="000000010000" w:firstRow="0" w:lastRow="0" w:firstColumn="0" w:lastColumn="0" w:oddVBand="0" w:evenVBand="0" w:oddHBand="0" w:evenHBand="1" w:firstRowFirstColumn="0" w:firstRowLastColumn="0" w:lastRowFirstColumn="0" w:lastRowLastColumn="0"/>
            </w:pPr>
            <w:r>
              <w:t>0.7</w:t>
            </w:r>
          </w:p>
        </w:tc>
      </w:tr>
      <w:tr w:rsidR="00124606" w:rsidRPr="004F416F" w:rsidTr="00124606">
        <w:trPr>
          <w:trHeight w:val="300"/>
        </w:trPr>
        <w:tc>
          <w:tcPr>
            <w:cnfStyle w:val="001000000000" w:firstRow="0" w:lastRow="0" w:firstColumn="1" w:lastColumn="0" w:oddVBand="0" w:evenVBand="0" w:oddHBand="0" w:evenHBand="0" w:firstRowFirstColumn="0" w:firstRowLastColumn="0" w:lastRowFirstColumn="0" w:lastRowLastColumn="0"/>
            <w:tcW w:w="1171" w:type="pct"/>
          </w:tcPr>
          <w:p w:rsidR="00124606" w:rsidRPr="00E453CA" w:rsidRDefault="00124606" w:rsidP="00124606">
            <w:r w:rsidRPr="00E453CA">
              <w:t>NET TOTAL CAPITAL EXPENDITURE</w:t>
            </w:r>
          </w:p>
        </w:tc>
        <w:tc>
          <w:tcPr>
            <w:tcW w:w="639" w:type="pct"/>
          </w:tcPr>
          <w:p w:rsidR="00124606" w:rsidRPr="00251084" w:rsidRDefault="0052009A" w:rsidP="00251084">
            <w:pPr>
              <w:cnfStyle w:val="000000000000" w:firstRow="0" w:lastRow="0" w:firstColumn="0" w:lastColumn="0" w:oddVBand="0" w:evenVBand="0" w:oddHBand="0" w:evenHBand="0" w:firstRowFirstColumn="0" w:firstRowLastColumn="0" w:lastRowFirstColumn="0" w:lastRowLastColumn="0"/>
            </w:pPr>
            <w:r>
              <w:t>7.</w:t>
            </w:r>
            <w:r w:rsidR="005B445D">
              <w:t>6</w:t>
            </w:r>
          </w:p>
        </w:tc>
        <w:tc>
          <w:tcPr>
            <w:tcW w:w="639" w:type="pct"/>
          </w:tcPr>
          <w:p w:rsidR="00124606" w:rsidRPr="00251084" w:rsidRDefault="0052009A" w:rsidP="00251084">
            <w:pPr>
              <w:cnfStyle w:val="000000000000" w:firstRow="0" w:lastRow="0" w:firstColumn="0" w:lastColumn="0" w:oddVBand="0" w:evenVBand="0" w:oddHBand="0" w:evenHBand="0" w:firstRowFirstColumn="0" w:firstRowLastColumn="0" w:lastRowFirstColumn="0" w:lastRowLastColumn="0"/>
            </w:pPr>
            <w:r>
              <w:t>2.5</w:t>
            </w:r>
          </w:p>
        </w:tc>
        <w:tc>
          <w:tcPr>
            <w:tcW w:w="639" w:type="pct"/>
          </w:tcPr>
          <w:p w:rsidR="00124606" w:rsidRPr="00251084" w:rsidRDefault="0052009A" w:rsidP="00251084">
            <w:pPr>
              <w:cnfStyle w:val="000000000000" w:firstRow="0" w:lastRow="0" w:firstColumn="0" w:lastColumn="0" w:oddVBand="0" w:evenVBand="0" w:oddHBand="0" w:evenHBand="0" w:firstRowFirstColumn="0" w:firstRowLastColumn="0" w:lastRowFirstColumn="0" w:lastRowLastColumn="0"/>
            </w:pPr>
            <w:r>
              <w:t>2.2</w:t>
            </w:r>
          </w:p>
        </w:tc>
        <w:tc>
          <w:tcPr>
            <w:tcW w:w="638" w:type="pct"/>
          </w:tcPr>
          <w:p w:rsidR="00124606" w:rsidRPr="00251084" w:rsidRDefault="0052009A" w:rsidP="00251084">
            <w:pPr>
              <w:cnfStyle w:val="000000000000" w:firstRow="0" w:lastRow="0" w:firstColumn="0" w:lastColumn="0" w:oddVBand="0" w:evenVBand="0" w:oddHBand="0" w:evenHBand="0" w:firstRowFirstColumn="0" w:firstRowLastColumn="0" w:lastRowFirstColumn="0" w:lastRowLastColumn="0"/>
            </w:pPr>
            <w:r>
              <w:t>2.</w:t>
            </w:r>
            <w:r w:rsidR="005B445D">
              <w:t>2</w:t>
            </w:r>
          </w:p>
        </w:tc>
        <w:tc>
          <w:tcPr>
            <w:tcW w:w="638" w:type="pct"/>
          </w:tcPr>
          <w:p w:rsidR="00124606" w:rsidRPr="00251084" w:rsidRDefault="0052009A" w:rsidP="00251084">
            <w:pPr>
              <w:cnfStyle w:val="000000000000" w:firstRow="0" w:lastRow="0" w:firstColumn="0" w:lastColumn="0" w:oddVBand="0" w:evenVBand="0" w:oddHBand="0" w:evenHBand="0" w:firstRowFirstColumn="0" w:firstRowLastColumn="0" w:lastRowFirstColumn="0" w:lastRowLastColumn="0"/>
            </w:pPr>
            <w:r>
              <w:t>2.2</w:t>
            </w:r>
          </w:p>
        </w:tc>
        <w:tc>
          <w:tcPr>
            <w:tcW w:w="636" w:type="pct"/>
          </w:tcPr>
          <w:p w:rsidR="00124606" w:rsidRPr="00251084" w:rsidRDefault="0052009A" w:rsidP="00251084">
            <w:pPr>
              <w:cnfStyle w:val="000000000000" w:firstRow="0" w:lastRow="0" w:firstColumn="0" w:lastColumn="0" w:oddVBand="0" w:evenVBand="0" w:oddHBand="0" w:evenHBand="0" w:firstRowFirstColumn="0" w:firstRowLastColumn="0" w:lastRowFirstColumn="0" w:lastRowLastColumn="0"/>
            </w:pPr>
            <w:r>
              <w:t>16.</w:t>
            </w:r>
            <w:r w:rsidR="005B445D">
              <w:t>8</w:t>
            </w:r>
          </w:p>
        </w:tc>
      </w:tr>
    </w:tbl>
    <w:p w:rsidR="00124606" w:rsidRPr="00C64503" w:rsidRDefault="00124606" w:rsidP="00124606">
      <w:pPr>
        <w:pStyle w:val="AERtablesource"/>
      </w:pPr>
      <w:r w:rsidRPr="002D5654">
        <w:t xml:space="preserve">Source: </w:t>
      </w:r>
      <w:r w:rsidRPr="002D5654">
        <w:tab/>
        <w:t xml:space="preserve">AER analysis. Totals may not add </w:t>
      </w:r>
      <w:r w:rsidR="004023D2">
        <w:t xml:space="preserve">up </w:t>
      </w:r>
      <w:r w:rsidRPr="002D5654">
        <w:t>due to rounding.</w:t>
      </w:r>
    </w:p>
    <w:p w:rsidR="00A7385F" w:rsidRPr="00ED4845" w:rsidRDefault="00A7385F" w:rsidP="00ED4845">
      <w:pPr>
        <w:pStyle w:val="HeadingBoldBlue"/>
      </w:pPr>
      <w:r w:rsidRPr="00ED4845">
        <w:t>Expansion capex</w:t>
      </w:r>
    </w:p>
    <w:p w:rsidR="00A7385F" w:rsidRPr="00A7385F" w:rsidRDefault="00A7385F" w:rsidP="00A7385F">
      <w:r>
        <w:t xml:space="preserve">Consistent with its </w:t>
      </w:r>
      <w:r w:rsidR="00EA4D62">
        <w:t>initial</w:t>
      </w:r>
      <w:r>
        <w:t xml:space="preserve"> proposal, </w:t>
      </w:r>
      <w:r w:rsidRPr="00A7385F">
        <w:t xml:space="preserve">APTNT has not forecast any expansion capex in the 2016–21 access arrangement </w:t>
      </w:r>
      <w:proofErr w:type="gramStart"/>
      <w:r w:rsidRPr="00A7385F">
        <w:t>period</w:t>
      </w:r>
      <w:proofErr w:type="gramEnd"/>
      <w:r w:rsidRPr="00A7385F">
        <w:t>.</w:t>
      </w:r>
    </w:p>
    <w:p w:rsidR="00A7385F" w:rsidRPr="00A7385F" w:rsidRDefault="00A7385F" w:rsidP="00A7385F">
      <w:pPr>
        <w:pStyle w:val="HeadingBoldBlue"/>
      </w:pPr>
      <w:r w:rsidRPr="00A7385F">
        <w:t>Replacement capex</w:t>
      </w:r>
    </w:p>
    <w:p w:rsidR="00D93D32" w:rsidRDefault="002E3164" w:rsidP="00B5411F">
      <w:r>
        <w:t xml:space="preserve">In </w:t>
      </w:r>
      <w:r w:rsidR="003571B4">
        <w:t xml:space="preserve">our draft decision we accepted APTNT's forecast capex </w:t>
      </w:r>
      <w:r w:rsidR="00D93D32">
        <w:t xml:space="preserve">of </w:t>
      </w:r>
      <w:r w:rsidR="003571B4">
        <w:t>$6.8 million ($2015</w:t>
      </w:r>
      <w:r w:rsidR="00A96938" w:rsidRPr="00440D98">
        <w:t>–</w:t>
      </w:r>
      <w:r w:rsidR="003571B4">
        <w:t xml:space="preserve">16) for </w:t>
      </w:r>
      <w:r w:rsidR="00FD2CEE">
        <w:t xml:space="preserve">17 </w:t>
      </w:r>
      <w:r w:rsidR="003571B4">
        <w:t xml:space="preserve">of the </w:t>
      </w:r>
      <w:r w:rsidR="00FD2CEE">
        <w:t xml:space="preserve">19 </w:t>
      </w:r>
      <w:r w:rsidR="003571B4">
        <w:t xml:space="preserve">separate replacement projects or programs </w:t>
      </w:r>
      <w:r w:rsidR="001959DE">
        <w:t>proposed</w:t>
      </w:r>
      <w:r w:rsidR="003571B4">
        <w:t xml:space="preserve"> by APTNT. We considered these </w:t>
      </w:r>
      <w:r w:rsidR="00FD2CEE">
        <w:t xml:space="preserve">17 </w:t>
      </w:r>
      <w:r w:rsidR="003571B4">
        <w:t xml:space="preserve">asset replacement projects to be </w:t>
      </w:r>
      <w:r w:rsidR="00636054">
        <w:t>business as usual projects</w:t>
      </w:r>
      <w:r w:rsidR="009243A0">
        <w:t xml:space="preserve"> </w:t>
      </w:r>
      <w:r w:rsidR="005D2260">
        <w:t xml:space="preserve">as they were typically routine and ongoing </w:t>
      </w:r>
      <w:r w:rsidR="009C2832">
        <w:t xml:space="preserve">in nature </w:t>
      </w:r>
      <w:r w:rsidR="005D2260">
        <w:t xml:space="preserve">and included the purchase of minor plant and equipment or the replacement of various classes of assets due to </w:t>
      </w:r>
      <w:r w:rsidR="001959DE">
        <w:t>obsolescence</w:t>
      </w:r>
      <w:r w:rsidR="005D2260">
        <w:t xml:space="preserve"> or poor condition.</w:t>
      </w:r>
      <w:r w:rsidR="005D2260">
        <w:rPr>
          <w:rStyle w:val="FootnoteReference"/>
        </w:rPr>
        <w:footnoteReference w:id="38"/>
      </w:r>
      <w:r w:rsidR="005D2260">
        <w:t xml:space="preserve"> </w:t>
      </w:r>
      <w:r w:rsidR="009C2832">
        <w:t>For the reasons set out in our draft decision, we remain of the view that APTNT's forecast capex for these minor projects is conforming capex in accordance with rule 79 of the NGR.</w:t>
      </w:r>
    </w:p>
    <w:p w:rsidR="006F4AAB" w:rsidRDefault="009C2832" w:rsidP="00B5411F">
      <w:r>
        <w:t>In regard to</w:t>
      </w:r>
      <w:r w:rsidR="00D93D32">
        <w:t xml:space="preserve"> the remaining two replacement projects</w:t>
      </w:r>
      <w:r>
        <w:t>,</w:t>
      </w:r>
      <w:r w:rsidR="00D93D32">
        <w:t xml:space="preserve"> the </w:t>
      </w:r>
      <w:r w:rsidR="00114C3B">
        <w:t>b</w:t>
      </w:r>
      <w:r w:rsidR="00D93D32">
        <w:t>elow</w:t>
      </w:r>
      <w:r w:rsidR="00FD2CEE">
        <w:t xml:space="preserve"> </w:t>
      </w:r>
      <w:r w:rsidR="00D93D32">
        <w:t xml:space="preserve">ground </w:t>
      </w:r>
      <w:r w:rsidR="00114C3B">
        <w:t>s</w:t>
      </w:r>
      <w:r w:rsidR="00D93D32">
        <w:t xml:space="preserve">tation </w:t>
      </w:r>
      <w:r w:rsidR="00114C3B">
        <w:t>p</w:t>
      </w:r>
      <w:r w:rsidR="00D93D32">
        <w:t xml:space="preserve">ipework </w:t>
      </w:r>
      <w:r w:rsidR="00114C3B">
        <w:t>r</w:t>
      </w:r>
      <w:r w:rsidR="00D93D32">
        <w:t>ecoating and Channel Island Bridge projects</w:t>
      </w:r>
      <w:r>
        <w:t xml:space="preserve">, APTNT has not accepted our draft decision to amend the forecast of conforming capex for these projects. APTNT's revised proposal </w:t>
      </w:r>
      <w:r w:rsidR="00F17192">
        <w:t>includes</w:t>
      </w:r>
      <w:r>
        <w:t xml:space="preserve"> forecast capex for these projects in line with its initial proposal. </w:t>
      </w:r>
      <w:r w:rsidR="00D93D32">
        <w:t>These two projects account for $14.</w:t>
      </w:r>
      <w:r w:rsidR="00674DB1">
        <w:t>3</w:t>
      </w:r>
      <w:r w:rsidR="00D93D32">
        <w:t xml:space="preserve"> million </w:t>
      </w:r>
      <w:r w:rsidR="00251084">
        <w:t>($2015</w:t>
      </w:r>
      <w:r w:rsidR="00631885" w:rsidRPr="00440D98">
        <w:t>–</w:t>
      </w:r>
      <w:r w:rsidR="00251084">
        <w:t xml:space="preserve">16) </w:t>
      </w:r>
      <w:r w:rsidR="00D93D32">
        <w:t xml:space="preserve">or 68 per cent of the forecast </w:t>
      </w:r>
      <w:r w:rsidR="001959DE">
        <w:t>replacement</w:t>
      </w:r>
      <w:r w:rsidR="00D93D32">
        <w:t xml:space="preserve"> capex</w:t>
      </w:r>
      <w:r w:rsidR="00D1069A">
        <w:t xml:space="preserve"> in APTNT's </w:t>
      </w:r>
      <w:r w:rsidR="00674DB1">
        <w:t>revised</w:t>
      </w:r>
      <w:r w:rsidR="00D1069A">
        <w:t xml:space="preserve"> proposal</w:t>
      </w:r>
      <w:r w:rsidR="00D93D32">
        <w:t xml:space="preserve">. Our consideration of APTNT's revised </w:t>
      </w:r>
      <w:r w:rsidR="001959DE">
        <w:t>proposal</w:t>
      </w:r>
      <w:r w:rsidR="00D93D32">
        <w:t xml:space="preserve"> capex for these two projects is set out below.</w:t>
      </w:r>
    </w:p>
    <w:p w:rsidR="00DB3CB3" w:rsidRPr="00682852" w:rsidRDefault="00DB3CB3" w:rsidP="00A0090B">
      <w:pPr>
        <w:pStyle w:val="HeadingBoldItalic"/>
        <w:keepNext/>
        <w:rPr>
          <w:rStyle w:val="Strong"/>
          <w:rFonts w:eastAsiaTheme="minorHAnsi" w:cstheme="minorBidi"/>
          <w:b/>
          <w:bCs/>
          <w:i w:val="0"/>
          <w:iCs w:val="0"/>
          <w:color w:val="auto"/>
          <w:sz w:val="22"/>
        </w:rPr>
      </w:pPr>
      <w:r w:rsidRPr="00682852">
        <w:rPr>
          <w:rStyle w:val="Strong"/>
          <w:b/>
          <w:bCs/>
        </w:rPr>
        <w:t>Below</w:t>
      </w:r>
      <w:r w:rsidR="00FD2CEE">
        <w:rPr>
          <w:rStyle w:val="Strong"/>
          <w:b/>
          <w:bCs/>
        </w:rPr>
        <w:t xml:space="preserve"> </w:t>
      </w:r>
      <w:r w:rsidRPr="00682852">
        <w:rPr>
          <w:rStyle w:val="Strong"/>
          <w:b/>
          <w:bCs/>
        </w:rPr>
        <w:t>ground station pipework recoating project</w:t>
      </w:r>
    </w:p>
    <w:p w:rsidR="00F17192" w:rsidRDefault="00DB3CB3" w:rsidP="00A0090B">
      <w:pPr>
        <w:keepNext/>
      </w:pPr>
      <w:r>
        <w:t>In our draft decision we accepted the need for and scope of the below</w:t>
      </w:r>
      <w:r w:rsidR="00FD2CEE">
        <w:t xml:space="preserve"> </w:t>
      </w:r>
      <w:r>
        <w:t>ground station pipework recoating project</w:t>
      </w:r>
      <w:r w:rsidR="00C016A0">
        <w:t xml:space="preserve">. However, </w:t>
      </w:r>
      <w:r>
        <w:t xml:space="preserve">because we </w:t>
      </w:r>
      <w:r w:rsidR="00A17E8E">
        <w:t>did not consider</w:t>
      </w:r>
      <w:r>
        <w:t xml:space="preserve"> the timing of capex for this project </w:t>
      </w:r>
      <w:r w:rsidR="00A17E8E">
        <w:t>to be efficient</w:t>
      </w:r>
      <w:r w:rsidR="00F17192">
        <w:t>, we:</w:t>
      </w:r>
      <w:r w:rsidR="00E531CF">
        <w:rPr>
          <w:rStyle w:val="FootnoteReference"/>
        </w:rPr>
        <w:footnoteReference w:id="39"/>
      </w:r>
    </w:p>
    <w:p w:rsidR="00F17192" w:rsidRDefault="00DB3CB3" w:rsidP="00E531CF">
      <w:pPr>
        <w:pStyle w:val="AERbulletlistfirststyle"/>
      </w:pPr>
      <w:r>
        <w:t>reduc</w:t>
      </w:r>
      <w:r w:rsidR="00C016A0">
        <w:t>ed</w:t>
      </w:r>
      <w:r>
        <w:t xml:space="preserve"> APTNT’s estimated capex for the final year of the 2011–16 access arrangement period by $</w:t>
      </w:r>
      <w:r w:rsidRPr="0052009A">
        <w:t>7.0</w:t>
      </w:r>
      <w:r>
        <w:t xml:space="preserve"> million ($2015–16)</w:t>
      </w:r>
      <w:r w:rsidR="00F17192">
        <w:t>;</w:t>
      </w:r>
      <w:r>
        <w:t xml:space="preserve"> and</w:t>
      </w:r>
    </w:p>
    <w:p w:rsidR="00F17192" w:rsidRDefault="00DB3CB3" w:rsidP="00E531CF">
      <w:pPr>
        <w:pStyle w:val="AERbulletlistfirststyle"/>
      </w:pPr>
      <w:proofErr w:type="gramStart"/>
      <w:r>
        <w:t>increas</w:t>
      </w:r>
      <w:r w:rsidR="00C016A0">
        <w:t>ed</w:t>
      </w:r>
      <w:proofErr w:type="gramEnd"/>
      <w:r>
        <w:t xml:space="preserve"> forecast capex in the 2016–21 access arrangement period by the same amount.</w:t>
      </w:r>
    </w:p>
    <w:p w:rsidR="00DB3CB3" w:rsidRDefault="00DB3CB3">
      <w:r w:rsidRPr="00AA0FD7">
        <w:t>We included $</w:t>
      </w:r>
      <w:r w:rsidRPr="0052009A">
        <w:t>10.7</w:t>
      </w:r>
      <w:r w:rsidR="008202FA">
        <w:t xml:space="preserve"> </w:t>
      </w:r>
      <w:r w:rsidRPr="00AA0FD7">
        <w:t>million ($</w:t>
      </w:r>
      <w:r>
        <w:t>2015–16</w:t>
      </w:r>
      <w:r w:rsidRPr="00AA0FD7">
        <w:t xml:space="preserve">) for the </w:t>
      </w:r>
      <w:r>
        <w:t>below</w:t>
      </w:r>
      <w:r w:rsidR="00FD2CEE">
        <w:t xml:space="preserve"> </w:t>
      </w:r>
      <w:r>
        <w:t>ground station pipework recoating project</w:t>
      </w:r>
      <w:r w:rsidRPr="00AA0FD7">
        <w:t xml:space="preserve"> in our forecast of conforming capex for the </w:t>
      </w:r>
      <w:r>
        <w:t>2016–21</w:t>
      </w:r>
      <w:r w:rsidRPr="00AA0FD7">
        <w:t xml:space="preserve"> access arrangement period.</w:t>
      </w:r>
      <w:r w:rsidR="00521651">
        <w:rPr>
          <w:rStyle w:val="FootnoteReference"/>
        </w:rPr>
        <w:footnoteReference w:id="40"/>
      </w:r>
    </w:p>
    <w:p w:rsidR="00BB0D65" w:rsidRDefault="00674DB1" w:rsidP="00674DB1">
      <w:r>
        <w:t>APTNT's revised proposal reflected its initial timing for completion of this project in the 2016–17 year. APTNT</w:t>
      </w:r>
      <w:r w:rsidR="00BB0D65">
        <w:t xml:space="preserve"> </w:t>
      </w:r>
      <w:r>
        <w:t>forecast capex for the below</w:t>
      </w:r>
      <w:r w:rsidR="00FD2CEE">
        <w:t xml:space="preserve"> </w:t>
      </w:r>
      <w:r>
        <w:t xml:space="preserve">ground station pipework recoating project in the 2016–21 access arrangement period </w:t>
      </w:r>
      <w:r w:rsidR="00BB0D65">
        <w:t>of</w:t>
      </w:r>
      <w:r>
        <w:t xml:space="preserve"> $3.5 million</w:t>
      </w:r>
      <w:r w:rsidR="00A17E8E">
        <w:t xml:space="preserve"> ($2015–16), consistent with its initial proposal.</w:t>
      </w:r>
    </w:p>
    <w:p w:rsidR="00674DB1" w:rsidRDefault="00BB0D65">
      <w:r>
        <w:t>As discussed above in our assessment of capex in the 2011–16 access arrangement period,</w:t>
      </w:r>
      <w:r w:rsidR="00674DB1">
        <w:t xml:space="preserve"> </w:t>
      </w:r>
      <w:r>
        <w:t>i</w:t>
      </w:r>
      <w:r w:rsidR="00674DB1">
        <w:t xml:space="preserve">n </w:t>
      </w:r>
      <w:r>
        <w:t>response to our request</w:t>
      </w:r>
      <w:r w:rsidR="00674DB1">
        <w:t xml:space="preserve"> APTNT </w:t>
      </w:r>
      <w:r>
        <w:t xml:space="preserve">subsequently </w:t>
      </w:r>
      <w:r w:rsidR="00674DB1">
        <w:t>provided an updated estimate of project costs taking into account actual costs incurred to date and the forecast amount required to complete the project.</w:t>
      </w:r>
      <w:r w:rsidR="00E531CF">
        <w:rPr>
          <w:rStyle w:val="FootnoteReference"/>
        </w:rPr>
        <w:footnoteReference w:id="41"/>
      </w:r>
      <w:r w:rsidR="00674DB1">
        <w:t xml:space="preserve"> APTNT's revised estimate reduced the </w:t>
      </w:r>
      <w:r>
        <w:t>forecast</w:t>
      </w:r>
      <w:r w:rsidR="00674DB1">
        <w:t xml:space="preserve"> capex for the below</w:t>
      </w:r>
      <w:r w:rsidR="00FD2CEE">
        <w:t xml:space="preserve"> </w:t>
      </w:r>
      <w:r w:rsidR="00674DB1">
        <w:t xml:space="preserve">ground station pipework recoating project in the </w:t>
      </w:r>
      <w:r>
        <w:t>2016–21</w:t>
      </w:r>
      <w:r w:rsidR="00674DB1">
        <w:t xml:space="preserve"> </w:t>
      </w:r>
      <w:r>
        <w:t>access arrangement period by $1.7</w:t>
      </w:r>
      <w:r w:rsidR="00674DB1">
        <w:t xml:space="preserve"> million ($2015–16). </w:t>
      </w:r>
      <w:r w:rsidR="00674DB1" w:rsidRPr="00747FBC">
        <w:t xml:space="preserve">We </w:t>
      </w:r>
      <w:r w:rsidR="00674DB1">
        <w:t xml:space="preserve">have </w:t>
      </w:r>
      <w:r w:rsidR="00674DB1" w:rsidRPr="00747FBC">
        <w:t xml:space="preserve">therefore </w:t>
      </w:r>
      <w:r w:rsidR="00674DB1">
        <w:t>reduced APTNT's pro</w:t>
      </w:r>
      <w:r>
        <w:t>posed</w:t>
      </w:r>
      <w:r w:rsidR="00674DB1">
        <w:t xml:space="preserve"> capex for </w:t>
      </w:r>
      <w:r>
        <w:t>this project in the 2016–21</w:t>
      </w:r>
      <w:r w:rsidR="00674DB1" w:rsidRPr="00747FBC">
        <w:t xml:space="preserve"> access arrangement </w:t>
      </w:r>
      <w:proofErr w:type="gramStart"/>
      <w:r w:rsidR="00674DB1" w:rsidRPr="00747FBC">
        <w:t>period</w:t>
      </w:r>
      <w:proofErr w:type="gramEnd"/>
      <w:r w:rsidR="00674DB1" w:rsidRPr="00747FBC">
        <w:t xml:space="preserve"> </w:t>
      </w:r>
      <w:r w:rsidR="00674DB1">
        <w:t>by this amount. We are satisfied</w:t>
      </w:r>
      <w:r w:rsidR="00674DB1" w:rsidRPr="00747FBC">
        <w:t xml:space="preserve"> that capex of $</w:t>
      </w:r>
      <w:r w:rsidRPr="0052009A">
        <w:t>1</w:t>
      </w:r>
      <w:r w:rsidR="00674DB1" w:rsidRPr="0052009A">
        <w:t>.</w:t>
      </w:r>
      <w:r w:rsidRPr="0052009A">
        <w:t>8</w:t>
      </w:r>
      <w:r w:rsidR="00E531CF">
        <w:t xml:space="preserve"> </w:t>
      </w:r>
      <w:r w:rsidR="00674DB1" w:rsidRPr="00747FBC">
        <w:t>million ($2015</w:t>
      </w:r>
      <w:r w:rsidR="00A96938" w:rsidRPr="00440D98">
        <w:t>–</w:t>
      </w:r>
      <w:r w:rsidR="00674DB1" w:rsidRPr="00747FBC">
        <w:t xml:space="preserve">16) </w:t>
      </w:r>
      <w:r>
        <w:t>for the below</w:t>
      </w:r>
      <w:r w:rsidR="00FD2CEE">
        <w:t xml:space="preserve"> </w:t>
      </w:r>
      <w:r>
        <w:t>ground station pipework recoating project</w:t>
      </w:r>
      <w:r w:rsidRPr="00747FBC">
        <w:t xml:space="preserve"> </w:t>
      </w:r>
      <w:r>
        <w:t>in the 2016–21</w:t>
      </w:r>
      <w:r w:rsidR="00674DB1" w:rsidRPr="00747FBC">
        <w:t xml:space="preserve"> access arrangement period</w:t>
      </w:r>
      <w:r w:rsidR="00674DB1">
        <w:t>, reflecting APTNT's revised estimate,</w:t>
      </w:r>
      <w:r w:rsidR="00674DB1" w:rsidRPr="00747FBC">
        <w:t xml:space="preserve"> meet</w:t>
      </w:r>
      <w:r w:rsidR="00674DB1">
        <w:t>s</w:t>
      </w:r>
      <w:r w:rsidR="00674DB1" w:rsidRPr="00747FBC">
        <w:t xml:space="preserve"> the criteria of rule 79(1)(a) of the NGR and is justifiable on the basis of rule 79(2)(b) of the NGR.</w:t>
      </w:r>
    </w:p>
    <w:p w:rsidR="00D1069A" w:rsidRPr="00682852" w:rsidRDefault="00D1069A" w:rsidP="00682852">
      <w:pPr>
        <w:pStyle w:val="HeadingBoldItalic"/>
      </w:pPr>
      <w:r w:rsidRPr="00682852">
        <w:t>Channel Island Bridge project</w:t>
      </w:r>
    </w:p>
    <w:p w:rsidR="007462F4" w:rsidRDefault="007462F4" w:rsidP="00B5411F">
      <w:r>
        <w:t xml:space="preserve">APTNT's revised proposal included $10.8 million ($2015–16) for the Channel Island bridge project in the 2016–21 access arrangement </w:t>
      </w:r>
      <w:proofErr w:type="gramStart"/>
      <w:r>
        <w:t>period</w:t>
      </w:r>
      <w:proofErr w:type="gramEnd"/>
      <w:r>
        <w:t xml:space="preserve">. The purpose of the Channel Island bridge project is to </w:t>
      </w:r>
      <w:r w:rsidR="00F17192">
        <w:t xml:space="preserve">allow </w:t>
      </w:r>
      <w:r>
        <w:t xml:space="preserve">the existing 12 kilometre </w:t>
      </w:r>
      <w:proofErr w:type="spellStart"/>
      <w:r>
        <w:t>spurline</w:t>
      </w:r>
      <w:proofErr w:type="spellEnd"/>
      <w:r>
        <w:t xml:space="preserve"> of the AGP from the Darwin City Gate Station to the Channel Island Power Station to be inspected by intelligent inline inspection tools (known as intelligent pigs).</w:t>
      </w:r>
    </w:p>
    <w:p w:rsidR="00114C3B" w:rsidRDefault="005E115A" w:rsidP="00B5411F">
      <w:r>
        <w:t xml:space="preserve">In our draft decision, </w:t>
      </w:r>
      <w:r w:rsidR="00600F00">
        <w:t xml:space="preserve">although </w:t>
      </w:r>
      <w:r>
        <w:t xml:space="preserve">we </w:t>
      </w:r>
      <w:r w:rsidRPr="005E115A">
        <w:t>agree</w:t>
      </w:r>
      <w:r w:rsidR="00600F00">
        <w:t>d</w:t>
      </w:r>
      <w:r w:rsidRPr="005E115A">
        <w:t xml:space="preserve"> with APTNT that inline inspection is accepted good industry practice</w:t>
      </w:r>
      <w:r w:rsidR="000C4827">
        <w:t>, we noted that</w:t>
      </w:r>
      <w:r w:rsidR="00600F00">
        <w:t xml:space="preserve"> it</w:t>
      </w:r>
      <w:r w:rsidRPr="005E115A">
        <w:t xml:space="preserve"> is not mandated by the relevant Australian Standard</w:t>
      </w:r>
      <w:r w:rsidRPr="00DE6879">
        <w:rPr>
          <w:rStyle w:val="FootnoteReference"/>
        </w:rPr>
        <w:footnoteReference w:id="42"/>
      </w:r>
      <w:r w:rsidR="00F17192">
        <w:t>. We noted that inline inspection is</w:t>
      </w:r>
      <w:r w:rsidRPr="005E115A">
        <w:t xml:space="preserve"> therefore not the only approach to pipeline integrity management that is consistent with accepted good industry practice. </w:t>
      </w:r>
      <w:r w:rsidR="000C4827">
        <w:t xml:space="preserve">We </w:t>
      </w:r>
      <w:r w:rsidR="00F17192">
        <w:t xml:space="preserve">also </w:t>
      </w:r>
      <w:r w:rsidR="000C4827">
        <w:t>noted that there is no regulatory obligation which requires modifications to permit the inline inspection of gas pipelines regardless of the cost of doing so. Our engineering consultant</w:t>
      </w:r>
      <w:r w:rsidR="00A35F25">
        <w:t xml:space="preserve">, </w:t>
      </w:r>
      <w:proofErr w:type="spellStart"/>
      <w:r w:rsidR="00A35F25">
        <w:t>Sleeman</w:t>
      </w:r>
      <w:proofErr w:type="spellEnd"/>
      <w:r w:rsidR="00A35F25">
        <w:t xml:space="preserve"> Consulting,</w:t>
      </w:r>
      <w:r w:rsidR="000C4827">
        <w:t xml:space="preserve"> identified an alternative approach to the project which would deliver many of the benefits of the project but at a significantly lower cost. </w:t>
      </w:r>
      <w:r w:rsidRPr="005E115A">
        <w:t xml:space="preserve">We </w:t>
      </w:r>
      <w:r w:rsidR="00600F00">
        <w:t>therefore were</w:t>
      </w:r>
      <w:r w:rsidRPr="005E115A">
        <w:t xml:space="preserve"> not satisfied that APTNT’s forecast capex for the Channel Island bridge project met the criteria for conforming capex in rule 79 of the NGR</w:t>
      </w:r>
      <w:r w:rsidR="00600F00">
        <w:t xml:space="preserve"> as it was not efficient and did not achieve the lowest sustainable cost of providing services</w:t>
      </w:r>
      <w:r w:rsidRPr="005E115A">
        <w:t>.</w:t>
      </w:r>
      <w:r w:rsidR="00600F00" w:rsidRPr="00DE6879">
        <w:rPr>
          <w:rStyle w:val="FootnoteReference"/>
        </w:rPr>
        <w:footnoteReference w:id="43"/>
      </w:r>
      <w:r w:rsidR="00D30778">
        <w:t xml:space="preserve"> </w:t>
      </w:r>
      <w:r w:rsidR="00600F00">
        <w:rPr>
          <w:rStyle w:val="FootnoteReference"/>
        </w:rPr>
        <w:footnoteReference w:id="44"/>
      </w:r>
    </w:p>
    <w:p w:rsidR="00DE6879" w:rsidRDefault="00DE6879" w:rsidP="00B5411F">
      <w:r>
        <w:t xml:space="preserve">In our draft decision, </w:t>
      </w:r>
      <w:r w:rsidR="00B60D98">
        <w:t>we made allowance for an alternative</w:t>
      </w:r>
      <w:r>
        <w:t xml:space="preserve"> preferred option </w:t>
      </w:r>
      <w:r w:rsidR="00D30778">
        <w:t xml:space="preserve">that </w:t>
      </w:r>
      <w:r>
        <w:t xml:space="preserve">provided for approximately 90 per cent of the </w:t>
      </w:r>
      <w:r w:rsidR="00A35F25">
        <w:t xml:space="preserve">Channel Island </w:t>
      </w:r>
      <w:proofErr w:type="spellStart"/>
      <w:r w:rsidR="00A35F25">
        <w:t>spurline</w:t>
      </w:r>
      <w:proofErr w:type="spellEnd"/>
      <w:r w:rsidR="00A35F25">
        <w:t xml:space="preserve"> </w:t>
      </w:r>
      <w:r>
        <w:t xml:space="preserve">to be made </w:t>
      </w:r>
      <w:proofErr w:type="spellStart"/>
      <w:r>
        <w:t>pigga</w:t>
      </w:r>
      <w:r w:rsidR="008202FA">
        <w:t>ble</w:t>
      </w:r>
      <w:proofErr w:type="spellEnd"/>
      <w:r w:rsidR="008202FA">
        <w:t xml:space="preserve"> at a</w:t>
      </w:r>
      <w:r w:rsidR="000C4827">
        <w:t>n estimated</w:t>
      </w:r>
      <w:r w:rsidR="008202FA">
        <w:t xml:space="preserve"> cost of $1.1 million (</w:t>
      </w:r>
      <w:r>
        <w:t>$2015</w:t>
      </w:r>
      <w:r w:rsidR="00A96938" w:rsidRPr="00440D98">
        <w:t>–</w:t>
      </w:r>
      <w:r>
        <w:t>16). We considered that th</w:t>
      </w:r>
      <w:r w:rsidR="00A35F25">
        <w:t>e remaining</w:t>
      </w:r>
      <w:r>
        <w:t xml:space="preserve"> section of </w:t>
      </w:r>
      <w:r w:rsidR="00A35F25">
        <w:t xml:space="preserve">the </w:t>
      </w:r>
      <w:proofErr w:type="spellStart"/>
      <w:r w:rsidR="00A35F25">
        <w:t>spurline</w:t>
      </w:r>
      <w:proofErr w:type="spellEnd"/>
      <w:r w:rsidR="00A35F25">
        <w:t xml:space="preserve"> </w:t>
      </w:r>
      <w:r>
        <w:t>c</w:t>
      </w:r>
      <w:r w:rsidR="00A35F25">
        <w:t>ould</w:t>
      </w:r>
      <w:r>
        <w:t xml:space="preserve"> continue to be assessed by visual inspection of the exposed pipeline and by a combination of DCVG surveys, excavations and the extrapolation of upstream pigging results.</w:t>
      </w:r>
      <w:r w:rsidR="00A35F25">
        <w:t xml:space="preserve"> We were satisfied that this approach was prudent, efficient, and consistent with achieving the lowest sustainable cost of providing services.</w:t>
      </w:r>
      <w:r w:rsidR="00A35F25">
        <w:rPr>
          <w:rStyle w:val="FootnoteReference"/>
        </w:rPr>
        <w:footnoteReference w:id="45"/>
      </w:r>
    </w:p>
    <w:p w:rsidR="00E04782" w:rsidRDefault="00C547B9" w:rsidP="00E04782">
      <w:r>
        <w:t>We have reviewed APTNT</w:t>
      </w:r>
      <w:r w:rsidR="0092491F">
        <w:t xml:space="preserve">'s revised proposal, </w:t>
      </w:r>
      <w:r w:rsidR="00FA6AB9">
        <w:t xml:space="preserve">and also sought further engineering advice from </w:t>
      </w:r>
      <w:proofErr w:type="spellStart"/>
      <w:r w:rsidR="00FA6AB9">
        <w:t>Sleeman</w:t>
      </w:r>
      <w:proofErr w:type="spellEnd"/>
      <w:r w:rsidR="00FA6AB9">
        <w:t xml:space="preserve"> Consulting to assist in assessing</w:t>
      </w:r>
      <w:r w:rsidR="00A35F25">
        <w:t xml:space="preserve"> the additional </w:t>
      </w:r>
      <w:r w:rsidR="00E04782">
        <w:t xml:space="preserve">technical </w:t>
      </w:r>
      <w:r w:rsidR="00A35F25">
        <w:t xml:space="preserve">information provided </w:t>
      </w:r>
      <w:r w:rsidR="005C0752">
        <w:t xml:space="preserve">by APTNT </w:t>
      </w:r>
      <w:r w:rsidR="00A35F25">
        <w:t>in relation to</w:t>
      </w:r>
      <w:r w:rsidR="00E04782">
        <w:t xml:space="preserve"> this project.</w:t>
      </w:r>
      <w:r w:rsidR="00E04782" w:rsidRPr="00E04782">
        <w:t xml:space="preserve"> </w:t>
      </w:r>
      <w:r w:rsidR="00E04782">
        <w:t>We have also conside</w:t>
      </w:r>
      <w:r w:rsidR="005C0752">
        <w:t>red submissions relating to the</w:t>
      </w:r>
      <w:r w:rsidR="00E04782">
        <w:t xml:space="preserve"> project received from PWC and Territory Generation, respectively</w:t>
      </w:r>
      <w:r w:rsidR="00C25F43">
        <w:t>,</w:t>
      </w:r>
      <w:r w:rsidR="00E04782">
        <w:t xml:space="preserve"> the sole shipper and end user of gas on the Channel Island </w:t>
      </w:r>
      <w:proofErr w:type="spellStart"/>
      <w:r w:rsidR="00E04782">
        <w:t>spurline</w:t>
      </w:r>
      <w:proofErr w:type="spellEnd"/>
      <w:r w:rsidR="00E04782">
        <w:t xml:space="preserve">. </w:t>
      </w:r>
    </w:p>
    <w:p w:rsidR="00533223" w:rsidRPr="00682852" w:rsidRDefault="00CC1D7A" w:rsidP="00682852">
      <w:pPr>
        <w:pStyle w:val="HeadingItalic"/>
      </w:pPr>
      <w:r w:rsidRPr="00682852">
        <w:t xml:space="preserve">Power and Water Corporation </w:t>
      </w:r>
      <w:r w:rsidR="00F85E12" w:rsidRPr="00682852">
        <w:t xml:space="preserve">(PWC) </w:t>
      </w:r>
      <w:r w:rsidRPr="00682852">
        <w:t xml:space="preserve">and Territory Generation </w:t>
      </w:r>
      <w:r w:rsidR="008E5D8D" w:rsidRPr="00682852">
        <w:t>s</w:t>
      </w:r>
      <w:r w:rsidRPr="00682852">
        <w:t>ubmissions</w:t>
      </w:r>
    </w:p>
    <w:p w:rsidR="00CC1D7A" w:rsidRDefault="00182082" w:rsidP="005B597C">
      <w:r>
        <w:t xml:space="preserve">In its submission, PWC did not endorse APTNT's proposed expenditure for the Channel Island bridge project. In respect to the risks and consequences of a loss of containment, PWC </w:t>
      </w:r>
      <w:r w:rsidR="008A43C4">
        <w:t>submitted</w:t>
      </w:r>
      <w:r>
        <w:t xml:space="preserve"> that </w:t>
      </w:r>
      <w:r w:rsidR="005B597C">
        <w:t>whilst the potential for corrosion under failed heat shrink sleeves could cause gas to leak, it is unlikely to result in a burst failure</w:t>
      </w:r>
      <w:r w:rsidR="00EE31BF">
        <w:t xml:space="preserve">. PWC also stated that the </w:t>
      </w:r>
      <w:r w:rsidR="005B597C">
        <w:t>Channel Island lateral does not pass through any built up areas</w:t>
      </w:r>
      <w:r w:rsidR="00EE31BF">
        <w:t>.</w:t>
      </w:r>
      <w:r w:rsidR="00EE31BF">
        <w:rPr>
          <w:rStyle w:val="FootnoteReference"/>
        </w:rPr>
        <w:footnoteReference w:id="46"/>
      </w:r>
    </w:p>
    <w:p w:rsidR="00EE31BF" w:rsidRDefault="00EE31BF" w:rsidP="00C87F33">
      <w:r>
        <w:t xml:space="preserve">In respect to the justification and prudency of APTNT's proposed expenditure for the Channel Island bridge project, PWC submitted that it is concerned that the project </w:t>
      </w:r>
      <w:r w:rsidR="008A43C4">
        <w:t>may not be</w:t>
      </w:r>
      <w:r>
        <w:t xml:space="preserve"> commercially viable and </w:t>
      </w:r>
      <w:r w:rsidR="00C87F33">
        <w:t xml:space="preserve">did not consider that there is </w:t>
      </w:r>
      <w:r>
        <w:t>any imperative for the project to be expedited</w:t>
      </w:r>
      <w:r w:rsidR="00C87F33">
        <w:t>.</w:t>
      </w:r>
      <w:r>
        <w:t xml:space="preserve"> </w:t>
      </w:r>
      <w:r w:rsidR="00F85E12">
        <w:t xml:space="preserve">Rather, in consultation with APTNT and Territory Generation, </w:t>
      </w:r>
      <w:r w:rsidR="00007C9F">
        <w:t>PWC</w:t>
      </w:r>
      <w:r w:rsidR="00C87F33">
        <w:t xml:space="preserve"> </w:t>
      </w:r>
      <w:r>
        <w:t xml:space="preserve">proposed to investigate alternatives to </w:t>
      </w:r>
      <w:r w:rsidR="005B445D">
        <w:t xml:space="preserve">APTNT's </w:t>
      </w:r>
      <w:r w:rsidR="00C87F33">
        <w:t xml:space="preserve">Channel Island bridge project and </w:t>
      </w:r>
      <w:r w:rsidR="00F85E12">
        <w:t>identified</w:t>
      </w:r>
      <w:r>
        <w:t xml:space="preserve"> the following options:</w:t>
      </w:r>
      <w:r w:rsidR="00C25F43" w:rsidRPr="00C25F43">
        <w:rPr>
          <w:rStyle w:val="FootnoteReference"/>
        </w:rPr>
        <w:t xml:space="preserve"> </w:t>
      </w:r>
      <w:r w:rsidR="00C25F43">
        <w:rPr>
          <w:rStyle w:val="FootnoteReference"/>
        </w:rPr>
        <w:footnoteReference w:id="47"/>
      </w:r>
    </w:p>
    <w:p w:rsidR="00EE31BF" w:rsidRDefault="00EE31BF" w:rsidP="0071712B">
      <w:pPr>
        <w:pStyle w:val="AERbulletlistfirststyle"/>
      </w:pPr>
      <w:r>
        <w:t>undertak</w:t>
      </w:r>
      <w:r w:rsidR="00F85E12">
        <w:t>ing</w:t>
      </w:r>
      <w:r>
        <w:t xml:space="preserve"> dig-ups, including those on Channel Island that have been delayed, so that the condition of the lateral can be reliably predicted and potential future costs quantified</w:t>
      </w:r>
    </w:p>
    <w:p w:rsidR="00EE31BF" w:rsidRDefault="00EE31BF" w:rsidP="0071712B">
      <w:pPr>
        <w:pStyle w:val="AERbulletlistfirststyle"/>
      </w:pPr>
      <w:r>
        <w:t xml:space="preserve">construction of facilities to allow pigging of the section of the lateral between the Darwin City Gate </w:t>
      </w:r>
      <w:r w:rsidR="005B445D">
        <w:t>station and the Channel Island b</w:t>
      </w:r>
      <w:r>
        <w:t>ridge</w:t>
      </w:r>
      <w:r w:rsidR="0071712B">
        <w:t>;</w:t>
      </w:r>
      <w:r>
        <w:t xml:space="preserve"> and</w:t>
      </w:r>
    </w:p>
    <w:p w:rsidR="00CC1D7A" w:rsidRDefault="00EE31BF" w:rsidP="0071712B">
      <w:pPr>
        <w:pStyle w:val="AERbulletlistfirststyle"/>
      </w:pPr>
      <w:proofErr w:type="gramStart"/>
      <w:r>
        <w:t>construction</w:t>
      </w:r>
      <w:proofErr w:type="gramEnd"/>
      <w:r>
        <w:t xml:space="preserve"> of a new pipeline to replace the lateral (particularly if dig-ups reveal widespread problems).</w:t>
      </w:r>
    </w:p>
    <w:p w:rsidR="00892DFB" w:rsidRPr="00530675" w:rsidRDefault="00C87F33" w:rsidP="00892DFB">
      <w:r>
        <w:t xml:space="preserve">In its </w:t>
      </w:r>
      <w:r w:rsidR="008A43C4">
        <w:t>submission</w:t>
      </w:r>
      <w:r>
        <w:t xml:space="preserve">, Territory Generation </w:t>
      </w:r>
      <w:r w:rsidR="00892DFB">
        <w:t xml:space="preserve">stated that </w:t>
      </w:r>
      <w:r w:rsidR="0075124B">
        <w:t>it had</w:t>
      </w:r>
      <w:r w:rsidR="00892DFB">
        <w:t xml:space="preserve"> </w:t>
      </w:r>
      <w:r w:rsidR="00892DFB" w:rsidRPr="00530675">
        <w:t>consulted with PWC</w:t>
      </w:r>
      <w:r w:rsidR="00892DFB">
        <w:t xml:space="preserve"> in respect to the</w:t>
      </w:r>
      <w:r w:rsidR="00892DFB" w:rsidRPr="00530675">
        <w:t xml:space="preserve"> Channel Island Bridge </w:t>
      </w:r>
      <w:r w:rsidR="00892DFB">
        <w:t>p</w:t>
      </w:r>
      <w:r w:rsidR="00892DFB" w:rsidRPr="00530675">
        <w:t xml:space="preserve">roject </w:t>
      </w:r>
      <w:r w:rsidR="00892DFB">
        <w:t>and</w:t>
      </w:r>
      <w:r w:rsidR="00892DFB" w:rsidRPr="00530675">
        <w:t xml:space="preserve"> </w:t>
      </w:r>
      <w:r w:rsidR="009B1EF4" w:rsidRPr="00530675">
        <w:t>believes</w:t>
      </w:r>
      <w:r w:rsidR="00892DFB" w:rsidRPr="00530675">
        <w:t xml:space="preserve"> that the proposal does not fully address the risks associated with </w:t>
      </w:r>
      <w:r w:rsidR="00892DFB">
        <w:t>its</w:t>
      </w:r>
      <w:r w:rsidR="00892DFB" w:rsidRPr="00530675">
        <w:t xml:space="preserve"> requirements.</w:t>
      </w:r>
      <w:r w:rsidR="00892DFB">
        <w:t xml:space="preserve"> In particular, Territory Generation does not support the project </w:t>
      </w:r>
      <w:r w:rsidR="0075124B">
        <w:t xml:space="preserve">as proposed </w:t>
      </w:r>
      <w:r w:rsidR="00892DFB">
        <w:t>because</w:t>
      </w:r>
      <w:r w:rsidR="00892DFB" w:rsidRPr="00530675">
        <w:t>:</w:t>
      </w:r>
      <w:r w:rsidR="00892DFB">
        <w:rPr>
          <w:rStyle w:val="FootnoteReference"/>
        </w:rPr>
        <w:footnoteReference w:id="48"/>
      </w:r>
    </w:p>
    <w:p w:rsidR="00892DFB" w:rsidRPr="00530675" w:rsidRDefault="00892DFB" w:rsidP="00892DFB">
      <w:pPr>
        <w:pStyle w:val="AERbulletlistfirststyle"/>
      </w:pPr>
      <w:r>
        <w:t>t</w:t>
      </w:r>
      <w:r w:rsidRPr="00530675">
        <w:t>he proposal does not align with Territory Generation’s Strategic Plan in relation to gas supply</w:t>
      </w:r>
    </w:p>
    <w:p w:rsidR="00892DFB" w:rsidRPr="00530675" w:rsidRDefault="0075124B" w:rsidP="00892DFB">
      <w:pPr>
        <w:pStyle w:val="AERbulletlistfirststyle"/>
      </w:pPr>
      <w:r>
        <w:t>the project</w:t>
      </w:r>
      <w:r w:rsidR="00892DFB" w:rsidRPr="00530675">
        <w:t xml:space="preserve"> may curtail gas supply during the construction phase</w:t>
      </w:r>
    </w:p>
    <w:p w:rsidR="00892DFB" w:rsidRPr="00530675" w:rsidRDefault="0075124B" w:rsidP="00892DFB">
      <w:pPr>
        <w:pStyle w:val="AERbulletlistfirststyle"/>
      </w:pPr>
      <w:proofErr w:type="gramStart"/>
      <w:r>
        <w:t>the</w:t>
      </w:r>
      <w:proofErr w:type="gramEnd"/>
      <w:r>
        <w:t xml:space="preserve"> project</w:t>
      </w:r>
      <w:r w:rsidR="00892DFB" w:rsidRPr="00530675">
        <w:t xml:space="preserve"> does not provide a dual gas feed into Channel Island, which would allow Territory Generation to reduce its reliance of diesel as an alternative fuel source.</w:t>
      </w:r>
    </w:p>
    <w:p w:rsidR="00C87F33" w:rsidRDefault="00892DFB" w:rsidP="00892DFB">
      <w:r w:rsidRPr="00530675">
        <w:t xml:space="preserve">Territory Generation </w:t>
      </w:r>
      <w:r>
        <w:t>submitted that in order to provide it with</w:t>
      </w:r>
      <w:r w:rsidRPr="00530675">
        <w:t xml:space="preserve"> security of gas supply</w:t>
      </w:r>
      <w:r>
        <w:t>,</w:t>
      </w:r>
      <w:r w:rsidRPr="00530675">
        <w:t xml:space="preserve"> it</w:t>
      </w:r>
      <w:r>
        <w:t>s</w:t>
      </w:r>
      <w:r w:rsidRPr="00530675">
        <w:t xml:space="preserve"> preference </w:t>
      </w:r>
      <w:r>
        <w:t xml:space="preserve">is </w:t>
      </w:r>
      <w:r w:rsidRPr="00530675">
        <w:t>to construct a Territory Generation</w:t>
      </w:r>
      <w:r w:rsidR="00E4178A">
        <w:t>-</w:t>
      </w:r>
      <w:r w:rsidRPr="00530675">
        <w:t>owned pipeline lateral from Wickham Point Pipeline.</w:t>
      </w:r>
      <w:r>
        <w:t xml:space="preserve"> Territory Generation estimated that</w:t>
      </w:r>
      <w:r w:rsidRPr="00530675">
        <w:t xml:space="preserve"> the cost of a new lateral would be of the same order as the estimated cost of </w:t>
      </w:r>
      <w:r w:rsidR="005B445D">
        <w:t>APTNT's Channel Island b</w:t>
      </w:r>
      <w:r>
        <w:t>ridge project</w:t>
      </w:r>
      <w:r w:rsidRPr="00530675">
        <w:t>.</w:t>
      </w:r>
      <w:r>
        <w:rPr>
          <w:rStyle w:val="FootnoteReference"/>
        </w:rPr>
        <w:footnoteReference w:id="49"/>
      </w:r>
    </w:p>
    <w:p w:rsidR="0075124B" w:rsidRDefault="0075124B" w:rsidP="00C87F33">
      <w:r>
        <w:t>In light of these submissions from APTNT's customers, we sought confirmation from APTNT as to the level of certainty that the project would proceed in accordance with the scope, timing and costs proposed in its revised proposal.</w:t>
      </w:r>
    </w:p>
    <w:p w:rsidR="00C87F33" w:rsidRDefault="007C44AA" w:rsidP="00C87F33">
      <w:r>
        <w:t>APTNT</w:t>
      </w:r>
      <w:r w:rsidR="0075124B">
        <w:t xml:space="preserve"> submitted that there </w:t>
      </w:r>
      <w:r w:rsidR="00EE6C7C">
        <w:t>appeared to be</w:t>
      </w:r>
      <w:r w:rsidR="0075124B">
        <w:t xml:space="preserve"> confusion and misinformation regarding this project, largely as a result of the fluid nature of the planning associated with it.</w:t>
      </w:r>
      <w:r w:rsidR="0005436B">
        <w:t xml:space="preserve"> </w:t>
      </w:r>
      <w:r w:rsidR="0075124B">
        <w:t xml:space="preserve">APTNT </w:t>
      </w:r>
      <w:r w:rsidR="00EE6C7C">
        <w:t>submitted</w:t>
      </w:r>
      <w:r w:rsidR="0075124B">
        <w:t xml:space="preserve"> that</w:t>
      </w:r>
      <w:r w:rsidR="00741991">
        <w:t>:</w:t>
      </w:r>
      <w:r w:rsidR="00741991">
        <w:rPr>
          <w:rStyle w:val="FootnoteReference"/>
        </w:rPr>
        <w:footnoteReference w:id="50"/>
      </w:r>
    </w:p>
    <w:p w:rsidR="0075124B" w:rsidRDefault="0075124B" w:rsidP="00135074">
      <w:pPr>
        <w:pStyle w:val="AERbulletlistfirststyle"/>
      </w:pPr>
      <w:r>
        <w:t xml:space="preserve">Territory Generation and PWC both support the project to make the Channel Island </w:t>
      </w:r>
      <w:proofErr w:type="spellStart"/>
      <w:r>
        <w:t>spurline</w:t>
      </w:r>
      <w:proofErr w:type="spellEnd"/>
      <w:r>
        <w:t xml:space="preserve"> </w:t>
      </w:r>
      <w:proofErr w:type="spellStart"/>
      <w:r>
        <w:t>piggable</w:t>
      </w:r>
      <w:proofErr w:type="spellEnd"/>
    </w:p>
    <w:p w:rsidR="008E5D8D" w:rsidRDefault="008E5D8D" w:rsidP="00135074">
      <w:pPr>
        <w:pStyle w:val="AERbulletlistfirststyle"/>
      </w:pPr>
      <w:r>
        <w:t>as PWC and Territory Generation are the major customers/end users of the pipeline, APTNT conducts a collaborative planning process with them and they have a role in deciding the scope and timing of some projects</w:t>
      </w:r>
    </w:p>
    <w:p w:rsidR="00135074" w:rsidRDefault="00135074" w:rsidP="00135074">
      <w:pPr>
        <w:pStyle w:val="AERbulletlistfirststyle"/>
      </w:pPr>
      <w:r w:rsidRPr="00135074">
        <w:t xml:space="preserve">Territory Generation is concerned that the </w:t>
      </w:r>
      <w:proofErr w:type="spellStart"/>
      <w:r w:rsidRPr="00135074">
        <w:t>piggability</w:t>
      </w:r>
      <w:proofErr w:type="spellEnd"/>
      <w:r w:rsidRPr="00135074">
        <w:t xml:space="preserve"> works may present risks to the security of gas supply to the Channel Island Power Station while the works are being undertaken</w:t>
      </w:r>
      <w:r w:rsidR="007C44AA">
        <w:t>. Territory Generation</w:t>
      </w:r>
      <w:r w:rsidRPr="00135074">
        <w:t xml:space="preserve"> considers that it would be prudent for it to</w:t>
      </w:r>
      <w:r w:rsidR="007C44AA">
        <w:t xml:space="preserve"> </w:t>
      </w:r>
      <w:r w:rsidRPr="00135074">
        <w:t xml:space="preserve">operate the Power Station on diesel for the entire duration of the works </w:t>
      </w:r>
      <w:r w:rsidR="00EE6C7C">
        <w:t>but</w:t>
      </w:r>
      <w:r w:rsidRPr="00135074">
        <w:t xml:space="preserve"> is concerned about its ability to maintain adequate electricity supply using only diesel fuel for this extended period</w:t>
      </w:r>
      <w:r w:rsidR="00E4178A">
        <w:t>.</w:t>
      </w:r>
    </w:p>
    <w:p w:rsidR="00741991" w:rsidRDefault="00135074" w:rsidP="00135074">
      <w:pPr>
        <w:pStyle w:val="AERbulletlistfirststyle"/>
      </w:pPr>
      <w:r w:rsidRPr="00135074">
        <w:t>Territory Generation has indicated that it intends to connect the Wickham Point Pipeline to the Channel Island Power Station, providing the security of an alternate gas supply</w:t>
      </w:r>
      <w:r w:rsidR="00EE6C7C">
        <w:t>.</w:t>
      </w:r>
      <w:r w:rsidR="00EE6C7C" w:rsidRPr="00EE6C7C">
        <w:t xml:space="preserve"> </w:t>
      </w:r>
      <w:r w:rsidR="00EE6C7C">
        <w:t xml:space="preserve">Territory Generation has indicated, as a preliminary estimate, that the planning and </w:t>
      </w:r>
      <w:r w:rsidR="00EE6C7C" w:rsidRPr="007C44AA">
        <w:t>construction of this additional pipeline would take two years.</w:t>
      </w:r>
    </w:p>
    <w:p w:rsidR="007C44AA" w:rsidRDefault="007C44AA" w:rsidP="007C44AA">
      <w:pPr>
        <w:pStyle w:val="AERbulletlistfirststyle"/>
      </w:pPr>
      <w:proofErr w:type="gramStart"/>
      <w:r>
        <w:t>the</w:t>
      </w:r>
      <w:proofErr w:type="gramEnd"/>
      <w:r>
        <w:t xml:space="preserve"> timing of the Channel Island bridge project may be delayed until the Wickham Point connection has been completed</w:t>
      </w:r>
      <w:r w:rsidR="00EE6C7C">
        <w:t xml:space="preserve"> to obviate the need for Territory Generation to operate the Channel Island Power Station on diesel fuel while the works are undertaken</w:t>
      </w:r>
      <w:r>
        <w:t xml:space="preserve">. </w:t>
      </w:r>
      <w:r w:rsidRPr="007C44AA">
        <w:t>APTNT estimate</w:t>
      </w:r>
      <w:r w:rsidR="00EE6C7C">
        <w:t>d that</w:t>
      </w:r>
      <w:r w:rsidRPr="007C44AA">
        <w:t xml:space="preserve"> </w:t>
      </w:r>
      <w:r w:rsidR="00EE6C7C">
        <w:t xml:space="preserve">'at this stage' it expects </w:t>
      </w:r>
      <w:r w:rsidRPr="007C44AA">
        <w:t xml:space="preserve">the </w:t>
      </w:r>
      <w:r w:rsidR="00B0726F">
        <w:t xml:space="preserve">Channel Island bridge project </w:t>
      </w:r>
      <w:r w:rsidRPr="007C44AA">
        <w:t xml:space="preserve">is more likely to proceed in 2019 rather than 2016. </w:t>
      </w:r>
    </w:p>
    <w:p w:rsidR="008E5D8D" w:rsidRDefault="008E5D8D" w:rsidP="00A0090B">
      <w:r>
        <w:t xml:space="preserve">In our view, the submissions received from PWC and Territory Generation </w:t>
      </w:r>
      <w:r w:rsidR="00C25F43">
        <w:t xml:space="preserve">indicate that there is </w:t>
      </w:r>
      <w:r w:rsidR="005B445D">
        <w:t xml:space="preserve">a </w:t>
      </w:r>
      <w:r w:rsidR="00C25F43">
        <w:t xml:space="preserve">high degree of uncertainty </w:t>
      </w:r>
      <w:r>
        <w:t xml:space="preserve">over the scope, timing and cost of the Channel Island bridge project as proposed by APTNT. </w:t>
      </w:r>
      <w:r w:rsidR="00EB6097">
        <w:t xml:space="preserve">PWC has identified a number of alternative options that it proposes to investigate. Territory Generation supports the construction of an additional pipeline to supply the Channel Island Power Station, which has implications for both the timing and underlying need for the scope of works </w:t>
      </w:r>
      <w:r w:rsidR="00AF69A0">
        <w:t xml:space="preserve">proposed by APTNT for the existing Channel Island </w:t>
      </w:r>
      <w:proofErr w:type="spellStart"/>
      <w:r w:rsidR="00AF69A0">
        <w:t>spurline</w:t>
      </w:r>
      <w:proofErr w:type="spellEnd"/>
      <w:r w:rsidR="00AF69A0">
        <w:t xml:space="preserve">. </w:t>
      </w:r>
      <w:r w:rsidR="00EB6097">
        <w:t xml:space="preserve">APTNT </w:t>
      </w:r>
      <w:r>
        <w:t>has acknowledged that the</w:t>
      </w:r>
      <w:r w:rsidR="00D676E2">
        <w:t xml:space="preserve"> planning of this project is 'fluid' and the project timing is</w:t>
      </w:r>
      <w:r>
        <w:t xml:space="preserve"> 'at this stage' likely to be deferred by three years.</w:t>
      </w:r>
      <w:r w:rsidR="00A83AA5">
        <w:rPr>
          <w:rStyle w:val="FootnoteReference"/>
        </w:rPr>
        <w:footnoteReference w:id="51"/>
      </w:r>
      <w:r w:rsidR="00EB6097">
        <w:t xml:space="preserve"> </w:t>
      </w:r>
      <w:r w:rsidR="00346B9C">
        <w:t xml:space="preserve">Given </w:t>
      </w:r>
      <w:r w:rsidR="00AF69A0">
        <w:t xml:space="preserve">these </w:t>
      </w:r>
      <w:r w:rsidR="005B445D">
        <w:t xml:space="preserve">circumstances and the </w:t>
      </w:r>
      <w:r w:rsidR="00346B9C">
        <w:t>alternative options</w:t>
      </w:r>
      <w:r w:rsidR="00FE78F9">
        <w:t xml:space="preserve"> </w:t>
      </w:r>
      <w:r w:rsidR="005B445D">
        <w:t xml:space="preserve">available </w:t>
      </w:r>
      <w:r w:rsidR="00FE78F9">
        <w:t xml:space="preserve">(undertaking dig-ups, construction of facilities to allow pigging of the section of the lateral between the Darwin City Gate station and the Channel Island Bridge and construction of a new pipeline to replace the lateral) </w:t>
      </w:r>
      <w:r w:rsidR="005B445D">
        <w:t>there is a significant</w:t>
      </w:r>
      <w:r w:rsidR="00FE78F9">
        <w:t xml:space="preserve"> degree of uncertainty in respect to the scope, timing and cost</w:t>
      </w:r>
      <w:r w:rsidR="005B445D">
        <w:t xml:space="preserve"> of this project. As such, </w:t>
      </w:r>
      <w:r w:rsidR="00346B9C">
        <w:t>we are not satisfied</w:t>
      </w:r>
      <w:r w:rsidR="00AF69A0">
        <w:t xml:space="preserve"> that APTNT's forecast capex for this project has been arrived at on a reasonable basis, represents the best forecast possible in the circumstances, or is such as would be incurred by a prudent service provider acting efficiently.</w:t>
      </w:r>
      <w:r w:rsidR="00AF69A0">
        <w:rPr>
          <w:rStyle w:val="FootnoteReference"/>
        </w:rPr>
        <w:footnoteReference w:id="52"/>
      </w:r>
    </w:p>
    <w:p w:rsidR="00F85E12" w:rsidRPr="00682852" w:rsidRDefault="008E5D8D" w:rsidP="005B445D">
      <w:pPr>
        <w:pStyle w:val="HeadingItalic"/>
        <w:keepNext/>
      </w:pPr>
      <w:proofErr w:type="spellStart"/>
      <w:r w:rsidRPr="00682852">
        <w:t>Sleeman</w:t>
      </w:r>
      <w:proofErr w:type="spellEnd"/>
      <w:r w:rsidRPr="00682852">
        <w:t xml:space="preserve"> Consulting engineering advice</w:t>
      </w:r>
    </w:p>
    <w:p w:rsidR="00F85E12" w:rsidRDefault="00F85E12" w:rsidP="00F85E12">
      <w:r>
        <w:t xml:space="preserve">In summary, </w:t>
      </w:r>
      <w:proofErr w:type="spellStart"/>
      <w:r>
        <w:t>Sleeman</w:t>
      </w:r>
      <w:proofErr w:type="spellEnd"/>
      <w:r>
        <w:t xml:space="preserve"> Consulting advised that:</w:t>
      </w:r>
    </w:p>
    <w:p w:rsidR="00F85E12" w:rsidRDefault="00F85E12" w:rsidP="00F85E12">
      <w:pPr>
        <w:pStyle w:val="AERbulletlistfirststyle"/>
      </w:pPr>
      <w:r>
        <w:t xml:space="preserve">in regard to the requirements of AS2885: </w:t>
      </w:r>
    </w:p>
    <w:p w:rsidR="00F85E12" w:rsidRDefault="00F85E12" w:rsidP="00F85E12">
      <w:pPr>
        <w:pStyle w:val="AERbulletlistsecondstyle"/>
      </w:pPr>
      <w:proofErr w:type="spellStart"/>
      <w:r>
        <w:t>Sleeman</w:t>
      </w:r>
      <w:proofErr w:type="spellEnd"/>
      <w:r>
        <w:t xml:space="preserve"> Consulting </w:t>
      </w:r>
      <w:r w:rsidRPr="00481579">
        <w:t>agree</w:t>
      </w:r>
      <w:r>
        <w:t>s with APTNT</w:t>
      </w:r>
      <w:r w:rsidRPr="00481579">
        <w:t xml:space="preserve"> that AS2885 is pragmati</w:t>
      </w:r>
      <w:r>
        <w:t>c in respect of the need for in-line inspection</w:t>
      </w:r>
      <w:r w:rsidRPr="00481579">
        <w:t xml:space="preserve"> and/or for modification of an</w:t>
      </w:r>
      <w:r>
        <w:t xml:space="preserve"> existing pipeline to permit in-line inspection</w:t>
      </w:r>
    </w:p>
    <w:p w:rsidR="00F85E12" w:rsidRDefault="00F85E12" w:rsidP="00F85E12">
      <w:pPr>
        <w:pStyle w:val="AERbulletlistsecondstyle"/>
      </w:pPr>
      <w:r>
        <w:t>AS2885 does not</w:t>
      </w:r>
      <w:r w:rsidRPr="00481579">
        <w:t xml:space="preserve"> require replacement of a pipeline (or section of pipeline) that is not </w:t>
      </w:r>
      <w:proofErr w:type="spellStart"/>
      <w:r w:rsidRPr="00481579">
        <w:t>piggable</w:t>
      </w:r>
      <w:proofErr w:type="spellEnd"/>
    </w:p>
    <w:p w:rsidR="00F85E12" w:rsidRDefault="00F85E12" w:rsidP="00F85E12">
      <w:pPr>
        <w:pStyle w:val="AERbulletlistsecondstyle"/>
      </w:pPr>
      <w:r>
        <w:t>a</w:t>
      </w:r>
      <w:r w:rsidRPr="00481579">
        <w:t xml:space="preserve"> d</w:t>
      </w:r>
      <w:r>
        <w:t>ecision as to whether or not a</w:t>
      </w:r>
      <w:r w:rsidRPr="00481579">
        <w:t xml:space="preserve"> pipeline should be modified should have reg</w:t>
      </w:r>
      <w:r>
        <w:t xml:space="preserve">ard for risks and consequences </w:t>
      </w:r>
      <w:r w:rsidRPr="00481579">
        <w:t>and also for costs and benefits</w:t>
      </w:r>
    </w:p>
    <w:p w:rsidR="00F85E12" w:rsidRDefault="00F85E12" w:rsidP="00F85E12">
      <w:pPr>
        <w:pStyle w:val="AERbulletlistsecondstyle"/>
      </w:pPr>
      <w:r w:rsidRPr="00481579">
        <w:t>the pragmatism of AS2885 extends to circumstances in whi</w:t>
      </w:r>
      <w:r>
        <w:t>ch the costs of carrying out in-line inspection</w:t>
      </w:r>
      <w:r w:rsidRPr="00481579">
        <w:t xml:space="preserve"> exceed the potential benefits of doing so</w:t>
      </w:r>
    </w:p>
    <w:p w:rsidR="00F85E12" w:rsidRDefault="00F85E12" w:rsidP="00F85E12">
      <w:pPr>
        <w:pStyle w:val="AERbulletlistsecondstyle"/>
      </w:pPr>
      <w:r w:rsidRPr="00481579">
        <w:t xml:space="preserve">APTNT has </w:t>
      </w:r>
      <w:r>
        <w:t>not assessed</w:t>
      </w:r>
      <w:r w:rsidRPr="00481579">
        <w:t xml:space="preserve"> all possible costs as</w:t>
      </w:r>
      <w:r>
        <w:t xml:space="preserve">sociated with pigging of the Channel Island </w:t>
      </w:r>
      <w:proofErr w:type="spellStart"/>
      <w:r>
        <w:t>spurline</w:t>
      </w:r>
      <w:proofErr w:type="spellEnd"/>
      <w:r>
        <w:t xml:space="preserve">, or </w:t>
      </w:r>
      <w:r w:rsidRPr="00481579">
        <w:t>quantified the benefits that may be realised</w:t>
      </w:r>
      <w:r>
        <w:t>.</w:t>
      </w:r>
    </w:p>
    <w:p w:rsidR="00F85E12" w:rsidRDefault="00F85E12" w:rsidP="00F85E12">
      <w:pPr>
        <w:pStyle w:val="AERbulletlistfirststyle"/>
      </w:pPr>
      <w:r>
        <w:t>in regard to the risks and consequences of pipeline failure:</w:t>
      </w:r>
    </w:p>
    <w:p w:rsidR="00F85E12" w:rsidRDefault="00F85E12" w:rsidP="00F85E12">
      <w:pPr>
        <w:pStyle w:val="AERbulletlistsecondstyle"/>
      </w:pPr>
      <w:r>
        <w:t>the Channel Island</w:t>
      </w:r>
      <w:r w:rsidRPr="00323B69">
        <w:t xml:space="preserve"> project should be assessed with consideration for the risks and consequences of pipeline failure</w:t>
      </w:r>
    </w:p>
    <w:p w:rsidR="00F85E12" w:rsidRDefault="00F85E12" w:rsidP="00F85E12">
      <w:pPr>
        <w:pStyle w:val="AERbulletlistsecondstyle"/>
      </w:pPr>
      <w:r w:rsidRPr="00323B69">
        <w:t xml:space="preserve">the likelihood of an extended gas supply interruption </w:t>
      </w:r>
      <w:r>
        <w:t xml:space="preserve">is at worst ‘remote’ given the anticipated </w:t>
      </w:r>
      <w:r w:rsidRPr="00323B69">
        <w:t>type of corrosion</w:t>
      </w:r>
      <w:r>
        <w:t xml:space="preserve"> on the pipeline</w:t>
      </w:r>
      <w:r w:rsidRPr="00323B69">
        <w:t xml:space="preserve"> is highly unlikely to result in a pipeline rupture, meaning the overall risk rating is ‘negligible’ to ‘lo</w:t>
      </w:r>
      <w:r>
        <w:t>w’ or, at worst, ‘intermediate’</w:t>
      </w:r>
    </w:p>
    <w:p w:rsidR="00F85E12" w:rsidRDefault="00F85E12" w:rsidP="00F85E12">
      <w:pPr>
        <w:pStyle w:val="AERbulletlistsecondstyle"/>
      </w:pPr>
      <w:r>
        <w:t>Territory Generation's</w:t>
      </w:r>
      <w:r w:rsidRPr="00323B69">
        <w:t xml:space="preserve"> intended approach </w:t>
      </w:r>
      <w:r>
        <w:t>to construct a new pipeline to Channel Island</w:t>
      </w:r>
      <w:r w:rsidRPr="00323B69">
        <w:t xml:space="preserve"> will have a material impact upon the consequences of failure of the </w:t>
      </w:r>
      <w:r>
        <w:t xml:space="preserve">existing </w:t>
      </w:r>
      <w:r w:rsidRPr="00323B69">
        <w:t>C</w:t>
      </w:r>
      <w:r>
        <w:t xml:space="preserve">hannel Island </w:t>
      </w:r>
      <w:proofErr w:type="spellStart"/>
      <w:r>
        <w:t>spurline</w:t>
      </w:r>
      <w:proofErr w:type="spellEnd"/>
    </w:p>
    <w:p w:rsidR="00F85E12" w:rsidRDefault="00F85E12" w:rsidP="00F85E12">
      <w:pPr>
        <w:pStyle w:val="AERbulletlistsecondstyle"/>
      </w:pPr>
      <w:proofErr w:type="gramStart"/>
      <w:r>
        <w:t>c</w:t>
      </w:r>
      <w:r w:rsidRPr="00323B69">
        <w:t>onstruction</w:t>
      </w:r>
      <w:proofErr w:type="gramEnd"/>
      <w:r w:rsidRPr="00323B69">
        <w:t xml:space="preserve"> by </w:t>
      </w:r>
      <w:r>
        <w:t>Territory Generation</w:t>
      </w:r>
      <w:r w:rsidRPr="00323B69">
        <w:t xml:space="preserve"> of a new pipeline to Channel Island will reduce the consequence of failure of the </w:t>
      </w:r>
      <w:r w:rsidR="00ED4845">
        <w:t xml:space="preserve">Channel Island </w:t>
      </w:r>
      <w:proofErr w:type="spellStart"/>
      <w:r w:rsidR="00ED4845">
        <w:t>spurline</w:t>
      </w:r>
      <w:proofErr w:type="spellEnd"/>
      <w:r w:rsidRPr="00323B69">
        <w:t xml:space="preserve"> to a ‘trivial’ or ‘minor’ level. With the likelihood of such failure being ‘remote’, the overall risk rating will be ‘negligible’.</w:t>
      </w:r>
    </w:p>
    <w:p w:rsidR="00F85E12" w:rsidRDefault="00F85E12" w:rsidP="00F85E12">
      <w:pPr>
        <w:pStyle w:val="AERbulletlistfirststyle"/>
      </w:pPr>
      <w:r>
        <w:t>in regard to cost considerations:</w:t>
      </w:r>
    </w:p>
    <w:p w:rsidR="00F85E12" w:rsidRDefault="00F85E12" w:rsidP="00F85E12">
      <w:pPr>
        <w:pStyle w:val="AERbulletlistsecondstyle"/>
      </w:pPr>
      <w:r w:rsidRPr="00F85E12">
        <w:rPr>
          <w:lang w:val="en-US"/>
        </w:rPr>
        <w:t>APTNT’s</w:t>
      </w:r>
      <w:r w:rsidRPr="00F85E12">
        <w:t xml:space="preserve"> estimated</w:t>
      </w:r>
      <w:r w:rsidRPr="00F85E12">
        <w:rPr>
          <w:lang w:val="en-US"/>
        </w:rPr>
        <w:t xml:space="preserve"> cost for</w:t>
      </w:r>
      <w:r w:rsidRPr="00F85E12">
        <w:t xml:space="preserve"> making the </w:t>
      </w:r>
      <w:r>
        <w:t xml:space="preserve">Channel Island </w:t>
      </w:r>
      <w:proofErr w:type="spellStart"/>
      <w:r>
        <w:t>spurline</w:t>
      </w:r>
      <w:proofErr w:type="spellEnd"/>
      <w:r w:rsidRPr="00F85E12">
        <w:rPr>
          <w:lang w:val="en-US"/>
        </w:rPr>
        <w:t xml:space="preserve"> </w:t>
      </w:r>
      <w:proofErr w:type="spellStart"/>
      <w:r w:rsidRPr="00F85E12">
        <w:rPr>
          <w:lang w:val="en-US"/>
        </w:rPr>
        <w:t>piggable</w:t>
      </w:r>
      <w:proofErr w:type="spellEnd"/>
      <w:r w:rsidRPr="00F85E12">
        <w:rPr>
          <w:lang w:val="en-US"/>
        </w:rPr>
        <w:t xml:space="preserve"> for its entire length does not make provision for remedial work that may be required, including at locations already in need of attention</w:t>
      </w:r>
    </w:p>
    <w:p w:rsidR="00F85E12" w:rsidRDefault="00F85E12" w:rsidP="00F85E12">
      <w:pPr>
        <w:pStyle w:val="AERbulletlistsecondstyle"/>
      </w:pPr>
      <w:r>
        <w:t>d</w:t>
      </w:r>
      <w:r w:rsidRPr="000E44D2">
        <w:t>epending upon remedial work requirements, overall costs incurred by proceeding with the project as proposed by APTNT may be higher, and potentially considerably</w:t>
      </w:r>
      <w:r>
        <w:t xml:space="preserve"> higher, than the upfront cost</w:t>
      </w:r>
      <w:r w:rsidRPr="000E44D2">
        <w:t xml:space="preserve"> estimate</w:t>
      </w:r>
    </w:p>
    <w:p w:rsidR="00F85E12" w:rsidRDefault="00F85E12" w:rsidP="00F85E12">
      <w:pPr>
        <w:pStyle w:val="AERbulletlistsecondstyle"/>
      </w:pPr>
      <w:r w:rsidRPr="000E44D2">
        <w:t>it would be prudent to carry out a preliminary assessment of</w:t>
      </w:r>
      <w:r>
        <w:t xml:space="preserve"> the condition of the Channel Island </w:t>
      </w:r>
      <w:proofErr w:type="spellStart"/>
      <w:r>
        <w:t>spurline</w:t>
      </w:r>
      <w:proofErr w:type="spellEnd"/>
      <w:r w:rsidRPr="000E44D2">
        <w:t xml:space="preserve"> prior to commi</w:t>
      </w:r>
      <w:r>
        <w:t xml:space="preserve">tting to the </w:t>
      </w:r>
      <w:proofErr w:type="spellStart"/>
      <w:r>
        <w:t>p</w:t>
      </w:r>
      <w:r w:rsidRPr="000E44D2">
        <w:t>iggability</w:t>
      </w:r>
      <w:proofErr w:type="spellEnd"/>
      <w:r w:rsidRPr="000E44D2">
        <w:t xml:space="preserve"> project</w:t>
      </w:r>
    </w:p>
    <w:p w:rsidR="00F85E12" w:rsidRDefault="00F85E12" w:rsidP="00F85E12">
      <w:pPr>
        <w:pStyle w:val="AERbulletlistfirststyle"/>
      </w:pPr>
      <w:r>
        <w:t>in regard to the project alternatives identified by PWC and Territory Generation:</w:t>
      </w:r>
    </w:p>
    <w:p w:rsidR="00F85E12" w:rsidRDefault="00F85E12" w:rsidP="00F85E12">
      <w:pPr>
        <w:pStyle w:val="AERbulletlistsecondstyle"/>
      </w:pPr>
      <w:r w:rsidRPr="00226AEA">
        <w:t>PWC’s proposal to undertake dig-ups t</w:t>
      </w:r>
      <w:r>
        <w:t>o allow the condition of the pipeline</w:t>
      </w:r>
      <w:r w:rsidRPr="00226AEA">
        <w:t xml:space="preserve"> to be reliably predicted has merit</w:t>
      </w:r>
    </w:p>
    <w:p w:rsidR="00F85E12" w:rsidRDefault="00F85E12" w:rsidP="00F85E12">
      <w:pPr>
        <w:pStyle w:val="AERbulletlistsecondstyle"/>
      </w:pPr>
      <w:r>
        <w:t>i</w:t>
      </w:r>
      <w:r w:rsidRPr="00226AEA">
        <w:t>n the event that dig-ups reveal material corrosion problems there would in turn be justifiable concern that, on top of the cos</w:t>
      </w:r>
      <w:r w:rsidR="00ED4845">
        <w:t>t of making the pipeline</w:t>
      </w:r>
      <w:r w:rsidRPr="00226AEA">
        <w:t xml:space="preserve"> </w:t>
      </w:r>
      <w:proofErr w:type="spellStart"/>
      <w:r w:rsidRPr="00226AEA">
        <w:t>piggable</w:t>
      </w:r>
      <w:proofErr w:type="spellEnd"/>
      <w:r w:rsidRPr="00226AEA">
        <w:t xml:space="preserve"> (all or in part)</w:t>
      </w:r>
      <w:r w:rsidR="00B855A1">
        <w:t>,</w:t>
      </w:r>
      <w:r w:rsidRPr="00226AEA">
        <w:t xml:space="preserve"> significant </w:t>
      </w:r>
      <w:r>
        <w:t>remedial costs may be incurred</w:t>
      </w:r>
    </w:p>
    <w:p w:rsidR="00F85E12" w:rsidRDefault="00F85E12" w:rsidP="00F85E12">
      <w:pPr>
        <w:pStyle w:val="AERbulletlistsecondstyle"/>
      </w:pPr>
      <w:r>
        <w:t>i</w:t>
      </w:r>
      <w:r w:rsidRPr="00226AEA">
        <w:t xml:space="preserve">n the event that dig-ups confirm that the integrity of the </w:t>
      </w:r>
      <w:r>
        <w:t>pipeline</w:t>
      </w:r>
      <w:r w:rsidRPr="00226AEA">
        <w:t xml:space="preserve"> is not compromised, arguments in favour of incurring sig</w:t>
      </w:r>
      <w:r>
        <w:t>nificant expense to make the pipeline</w:t>
      </w:r>
      <w:r w:rsidRPr="00226AEA">
        <w:t xml:space="preserve"> </w:t>
      </w:r>
      <w:proofErr w:type="spellStart"/>
      <w:r w:rsidRPr="00226AEA">
        <w:t>piggable</w:t>
      </w:r>
      <w:proofErr w:type="spellEnd"/>
      <w:r w:rsidRPr="00226AEA">
        <w:t xml:space="preserve"> (a</w:t>
      </w:r>
      <w:r>
        <w:t>ll or in part) will be weakened</w:t>
      </w:r>
    </w:p>
    <w:p w:rsidR="00F85E12" w:rsidRPr="00226AEA" w:rsidRDefault="00F85E12" w:rsidP="00F85E12">
      <w:pPr>
        <w:pStyle w:val="AERbulletlistsecondstyle"/>
      </w:pPr>
      <w:proofErr w:type="gramStart"/>
      <w:r>
        <w:t>if</w:t>
      </w:r>
      <w:proofErr w:type="gramEnd"/>
      <w:r>
        <w:t xml:space="preserve"> Territory Generation</w:t>
      </w:r>
      <w:r w:rsidRPr="00226AEA">
        <w:t xml:space="preserve"> proceeds with construction at its cost of </w:t>
      </w:r>
      <w:r>
        <w:t xml:space="preserve">a new pipeline </w:t>
      </w:r>
      <w:r w:rsidRPr="00226AEA">
        <w:t>running from the Wickham Point Pipeline to t</w:t>
      </w:r>
      <w:r>
        <w:t xml:space="preserve">he Channel Island Power Station </w:t>
      </w:r>
      <w:r w:rsidRPr="00226AEA">
        <w:t>then the risks and consequences asso</w:t>
      </w:r>
      <w:r>
        <w:t xml:space="preserve">ciated with operation of the existing Channel Island </w:t>
      </w:r>
      <w:proofErr w:type="spellStart"/>
      <w:r>
        <w:t>spurline</w:t>
      </w:r>
      <w:proofErr w:type="spellEnd"/>
      <w:r>
        <w:t xml:space="preserve"> </w:t>
      </w:r>
      <w:r w:rsidRPr="00226AEA">
        <w:t>will be materially impacted and the need for piggin</w:t>
      </w:r>
      <w:r w:rsidR="00ED4845">
        <w:t>g</w:t>
      </w:r>
      <w:r>
        <w:t xml:space="preserve"> reduced or avoided.</w:t>
      </w:r>
      <w:r w:rsidRPr="00226AEA">
        <w:t xml:space="preserve"> </w:t>
      </w:r>
    </w:p>
    <w:p w:rsidR="00F85E12" w:rsidRDefault="00F85E12" w:rsidP="00F85E12">
      <w:pPr>
        <w:pStyle w:val="AERbulletlistfirststyle"/>
      </w:pPr>
      <w:r>
        <w:t>in regard to the timing of the project:</w:t>
      </w:r>
    </w:p>
    <w:p w:rsidR="00F85E12" w:rsidRDefault="00F85E12" w:rsidP="00F85E12">
      <w:pPr>
        <w:pStyle w:val="AERbulletlistsecondstyle"/>
      </w:pPr>
      <w:r>
        <w:t>i</w:t>
      </w:r>
      <w:r w:rsidRPr="00F85E12">
        <w:t>nformation from dig</w:t>
      </w:r>
      <w:r>
        <w:t>-</w:t>
      </w:r>
      <w:r w:rsidRPr="00F85E12">
        <w:t>ups</w:t>
      </w:r>
      <w:r>
        <w:t xml:space="preserve"> of the Channel Island </w:t>
      </w:r>
      <w:proofErr w:type="spellStart"/>
      <w:r>
        <w:t>spurline</w:t>
      </w:r>
      <w:proofErr w:type="spellEnd"/>
      <w:r>
        <w:t xml:space="preserve"> to date </w:t>
      </w:r>
      <w:r w:rsidRPr="00F85E12">
        <w:rPr>
          <w:lang w:val="en-US"/>
        </w:rPr>
        <w:t xml:space="preserve">and of </w:t>
      </w:r>
      <w:r w:rsidRPr="00F85E12">
        <w:t>below ground station pipework show</w:t>
      </w:r>
      <w:r>
        <w:t>s that</w:t>
      </w:r>
      <w:r w:rsidRPr="00F85E12">
        <w:rPr>
          <w:lang w:val="en-US"/>
        </w:rPr>
        <w:t xml:space="preserve">, while the problem of </w:t>
      </w:r>
      <w:proofErr w:type="spellStart"/>
      <w:r w:rsidRPr="00F85E12">
        <w:rPr>
          <w:lang w:val="en-US"/>
        </w:rPr>
        <w:t>disbondment</w:t>
      </w:r>
      <w:proofErr w:type="spellEnd"/>
      <w:r w:rsidRPr="00F85E12">
        <w:rPr>
          <w:lang w:val="en-US"/>
        </w:rPr>
        <w:t xml:space="preserve"> of heat shrink sleeves may be widespread, the consequent metal loss is not material</w:t>
      </w:r>
    </w:p>
    <w:p w:rsidR="00F85E12" w:rsidRDefault="00F85E12" w:rsidP="00F85E12">
      <w:pPr>
        <w:pStyle w:val="AERbulletlistsecondstyle"/>
      </w:pPr>
      <w:r w:rsidRPr="00362FCA">
        <w:t>there is time available</w:t>
      </w:r>
      <w:r>
        <w:t xml:space="preserve"> to fully and prudently assess </w:t>
      </w:r>
      <w:r w:rsidRPr="00362FCA">
        <w:t xml:space="preserve">whether or not existing practices </w:t>
      </w:r>
      <w:r>
        <w:t xml:space="preserve">for ensuring the integrity of the Channel Island </w:t>
      </w:r>
      <w:proofErr w:type="spellStart"/>
      <w:r>
        <w:t>spurline</w:t>
      </w:r>
      <w:proofErr w:type="spellEnd"/>
      <w:r>
        <w:t xml:space="preserve"> need </w:t>
      </w:r>
      <w:r w:rsidRPr="00362FCA">
        <w:t xml:space="preserve">to be changed and/or </w:t>
      </w:r>
      <w:r>
        <w:t>work carried out to make the pipeline</w:t>
      </w:r>
      <w:r w:rsidRPr="00362FCA">
        <w:t xml:space="preserve"> </w:t>
      </w:r>
      <w:proofErr w:type="spellStart"/>
      <w:r w:rsidRPr="00362FCA">
        <w:t>piggable</w:t>
      </w:r>
      <w:proofErr w:type="spellEnd"/>
      <w:r w:rsidRPr="00362FCA">
        <w:t xml:space="preserve"> (all or in part)</w:t>
      </w:r>
    </w:p>
    <w:p w:rsidR="00F85E12" w:rsidRDefault="00F85E12" w:rsidP="00F85E12">
      <w:pPr>
        <w:pStyle w:val="AERbulletlistfirststyle"/>
      </w:pPr>
      <w:r>
        <w:t>in conclusion:</w:t>
      </w:r>
    </w:p>
    <w:p w:rsidR="00F85E12" w:rsidRDefault="00F85E12" w:rsidP="00F85E12">
      <w:pPr>
        <w:pStyle w:val="AERbulletlistsecondstyle"/>
      </w:pPr>
      <w:r>
        <w:t>p</w:t>
      </w:r>
      <w:proofErr w:type="spellStart"/>
      <w:r w:rsidRPr="00F85E12">
        <w:rPr>
          <w:lang w:val="en-US"/>
        </w:rPr>
        <w:t>rovision</w:t>
      </w:r>
      <w:proofErr w:type="spellEnd"/>
      <w:r w:rsidRPr="00F85E12">
        <w:rPr>
          <w:lang w:val="en-US"/>
        </w:rPr>
        <w:t xml:space="preserve"> should be made for dig</w:t>
      </w:r>
      <w:r>
        <w:t>-</w:t>
      </w:r>
      <w:r w:rsidRPr="00F85E12">
        <w:rPr>
          <w:lang w:val="en-US"/>
        </w:rPr>
        <w:t xml:space="preserve">ups and inspections to allow an assessment of </w:t>
      </w:r>
      <w:r w:rsidRPr="00F85E12">
        <w:t xml:space="preserve">the present condition of the </w:t>
      </w:r>
      <w:r>
        <w:t xml:space="preserve">Channel Island </w:t>
      </w:r>
      <w:proofErr w:type="spellStart"/>
      <w:r>
        <w:t>spurline</w:t>
      </w:r>
      <w:proofErr w:type="spellEnd"/>
    </w:p>
    <w:p w:rsidR="00F85E12" w:rsidRPr="00362FCA" w:rsidRDefault="00F85E12" w:rsidP="00F85E12">
      <w:pPr>
        <w:pStyle w:val="AERbulletlistsecondstyle"/>
      </w:pPr>
      <w:r w:rsidRPr="00362FCA">
        <w:t>T</w:t>
      </w:r>
      <w:r>
        <w:t xml:space="preserve">erritory </w:t>
      </w:r>
      <w:r w:rsidRPr="00362FCA">
        <w:t>Gen</w:t>
      </w:r>
      <w:r>
        <w:t>eration</w:t>
      </w:r>
      <w:r w:rsidRPr="00362FCA">
        <w:t>’s intention regarding construction of a new lateral to supply gas to Channel Island Po</w:t>
      </w:r>
      <w:r>
        <w:t xml:space="preserve">wer Station </w:t>
      </w:r>
      <w:r w:rsidR="00D322CC">
        <w:t xml:space="preserve">should </w:t>
      </w:r>
      <w:r>
        <w:t>be ascertained</w:t>
      </w:r>
    </w:p>
    <w:p w:rsidR="0075124B" w:rsidRPr="00362B50" w:rsidRDefault="00F85E12" w:rsidP="0052009A">
      <w:pPr>
        <w:pStyle w:val="AERbulletlistsecondstyle"/>
        <w:rPr>
          <w:rStyle w:val="AERtextitalic"/>
          <w:i w:val="0"/>
        </w:rPr>
      </w:pPr>
      <w:proofErr w:type="gramStart"/>
      <w:r>
        <w:t>h</w:t>
      </w:r>
      <w:r w:rsidRPr="00362FCA">
        <w:t>aving</w:t>
      </w:r>
      <w:proofErr w:type="gramEnd"/>
      <w:r w:rsidRPr="00362FCA">
        <w:t xml:space="preserve"> regard for the findings from dig-ups and the intention of T</w:t>
      </w:r>
      <w:r>
        <w:t xml:space="preserve">erritory </w:t>
      </w:r>
      <w:r w:rsidRPr="00362FCA">
        <w:t>Gen</w:t>
      </w:r>
      <w:r>
        <w:t>eration</w:t>
      </w:r>
      <w:r w:rsidRPr="00362FCA">
        <w:t xml:space="preserve">, all options for ongoing prudent management of the integrity of the </w:t>
      </w:r>
      <w:r>
        <w:t xml:space="preserve">Channel Island </w:t>
      </w:r>
      <w:proofErr w:type="spellStart"/>
      <w:r>
        <w:t>spurline</w:t>
      </w:r>
      <w:proofErr w:type="spellEnd"/>
      <w:r w:rsidRPr="00362FCA">
        <w:t xml:space="preserve"> should be considered with regard for costs, benefits, risks and consequences.</w:t>
      </w:r>
    </w:p>
    <w:p w:rsidR="0075124B" w:rsidRDefault="00D676E2">
      <w:r>
        <w:t xml:space="preserve">In our view, this advice from </w:t>
      </w:r>
      <w:proofErr w:type="spellStart"/>
      <w:r>
        <w:t>Sleeman</w:t>
      </w:r>
      <w:proofErr w:type="spellEnd"/>
      <w:r>
        <w:t xml:space="preserve"> Consulting further supports the views expressed by PWC and Territory Generation that alternatives to the project proposed by APTNT exist and should be further explored before a commitment is made to proceed with </w:t>
      </w:r>
      <w:r w:rsidR="00C16D40">
        <w:t>the project as proposed</w:t>
      </w:r>
      <w:r>
        <w:t xml:space="preserve">. </w:t>
      </w:r>
      <w:r w:rsidR="00722CC1">
        <w:t xml:space="preserve">Having regard to advice from </w:t>
      </w:r>
      <w:proofErr w:type="spellStart"/>
      <w:r w:rsidR="00722CC1">
        <w:t>Sleeman</w:t>
      </w:r>
      <w:proofErr w:type="spellEnd"/>
      <w:r w:rsidR="00722CC1">
        <w:t xml:space="preserve"> Consulting and submissions from PWC and Territory Generation we consider that t</w:t>
      </w:r>
      <w:r w:rsidR="004E183A">
        <w:t>he need for the works proposed by APTNT is not urgent</w:t>
      </w:r>
      <w:r w:rsidR="00D322CC">
        <w:t xml:space="preserve"> given the </w:t>
      </w:r>
      <w:r w:rsidR="003824D3">
        <w:t>likelihood of a significant</w:t>
      </w:r>
      <w:r w:rsidR="00D322CC">
        <w:t xml:space="preserve"> pipeline failure is considered to </w:t>
      </w:r>
      <w:r w:rsidR="003824D3">
        <w:t>be 'remote' and APTNT has confirmed it expects the project timing to be delayed 'at this stage' by three years</w:t>
      </w:r>
      <w:r w:rsidR="004E183A">
        <w:t xml:space="preserve">. Deferral of the project proposed by APTNT, substituted with a program of dig-ups and inspections to evaluate the condition of the Channel Island </w:t>
      </w:r>
      <w:proofErr w:type="spellStart"/>
      <w:r w:rsidR="004E183A">
        <w:t>spurline</w:t>
      </w:r>
      <w:proofErr w:type="spellEnd"/>
      <w:r w:rsidR="00C16D40">
        <w:t>,</w:t>
      </w:r>
      <w:r w:rsidR="004E183A">
        <w:t xml:space="preserve"> would provide additional information</w:t>
      </w:r>
      <w:r w:rsidR="00C16D40">
        <w:t xml:space="preserve"> to support the need or otherwise for the work as well as time to prudently assess the impact of Territory Generation's new pipeline, if constructed. </w:t>
      </w:r>
    </w:p>
    <w:p w:rsidR="00790DAD" w:rsidRPr="00682852" w:rsidRDefault="0005436B" w:rsidP="00A0090B">
      <w:pPr>
        <w:pStyle w:val="HeadingItalic"/>
        <w:keepNext/>
      </w:pPr>
      <w:r w:rsidRPr="00682852">
        <w:t>Considerations and conclusions</w:t>
      </w:r>
    </w:p>
    <w:p w:rsidR="00D322CC" w:rsidRDefault="00FE49A4" w:rsidP="00A0090B">
      <w:pPr>
        <w:keepNext/>
      </w:pPr>
      <w:r>
        <w:t>On the basis of</w:t>
      </w:r>
      <w:r w:rsidR="00D322CC">
        <w:t>:</w:t>
      </w:r>
    </w:p>
    <w:p w:rsidR="00D322CC" w:rsidRDefault="00FE49A4" w:rsidP="00A0090B">
      <w:pPr>
        <w:pStyle w:val="AERbulletlistfirststyle"/>
        <w:keepNext/>
      </w:pPr>
      <w:r>
        <w:t>APTNT's revised proposal and its response to our information request</w:t>
      </w:r>
      <w:r w:rsidR="00CE4E6A">
        <w:t>s</w:t>
      </w:r>
    </w:p>
    <w:p w:rsidR="00D322CC" w:rsidRDefault="00FE49A4" w:rsidP="00A0090B">
      <w:pPr>
        <w:pStyle w:val="AERbulletlistfirststyle"/>
        <w:keepNext/>
      </w:pPr>
      <w:r>
        <w:t>submissions from PWC and Territory Generation</w:t>
      </w:r>
      <w:r w:rsidR="00D322CC">
        <w:t>; and</w:t>
      </w:r>
    </w:p>
    <w:p w:rsidR="00D322CC" w:rsidRDefault="00CE4E6A" w:rsidP="00A0090B">
      <w:pPr>
        <w:pStyle w:val="AERbulletlistfirststyle"/>
        <w:keepNext/>
      </w:pPr>
      <w:r>
        <w:t>further advice</w:t>
      </w:r>
      <w:r w:rsidR="00FE49A4">
        <w:t xml:space="preserve"> from our </w:t>
      </w:r>
      <w:r>
        <w:t xml:space="preserve">engineering </w:t>
      </w:r>
      <w:r w:rsidR="00FE49A4">
        <w:t>consultant</w:t>
      </w:r>
    </w:p>
    <w:p w:rsidR="00D322CC" w:rsidRDefault="00FE49A4">
      <w:r>
        <w:t xml:space="preserve">we </w:t>
      </w:r>
      <w:r w:rsidR="00CE4E6A">
        <w:t xml:space="preserve">are not satisfied that </w:t>
      </w:r>
      <w:r w:rsidR="00C16D40">
        <w:t>the forecast of conforming capex for the AGP in the 2016</w:t>
      </w:r>
      <w:r w:rsidR="00A96938" w:rsidRPr="00440D98">
        <w:t>–</w:t>
      </w:r>
      <w:r w:rsidR="00C16D40">
        <w:t xml:space="preserve">21 access arrangement period should include </w:t>
      </w:r>
      <w:r w:rsidR="00E0031B">
        <w:t xml:space="preserve">provision for the cost of making the Channel Island </w:t>
      </w:r>
      <w:proofErr w:type="spellStart"/>
      <w:r w:rsidR="00CE4E6A">
        <w:t>spurline</w:t>
      </w:r>
      <w:proofErr w:type="spellEnd"/>
      <w:r w:rsidR="00E0031B">
        <w:t xml:space="preserve"> </w:t>
      </w:r>
      <w:proofErr w:type="spellStart"/>
      <w:r w:rsidR="00E0031B">
        <w:t>piggable</w:t>
      </w:r>
      <w:proofErr w:type="spellEnd"/>
      <w:r w:rsidR="00E0031B">
        <w:t xml:space="preserve"> </w:t>
      </w:r>
      <w:r w:rsidR="00C16D40">
        <w:t>as proposed by APTNT</w:t>
      </w:r>
      <w:r w:rsidR="00E0031B">
        <w:t xml:space="preserve">. </w:t>
      </w:r>
      <w:r w:rsidR="003824D3">
        <w:t>We are not satisfied that the forecast conforming capex for this project would be incurred by a prudent service provider acting efficiently, in accordance with accepted good industry practice to achieve the lowest sustainable cost of providing services.</w:t>
      </w:r>
      <w:r w:rsidR="003824D3">
        <w:rPr>
          <w:rStyle w:val="FootnoteReference"/>
        </w:rPr>
        <w:footnoteReference w:id="53"/>
      </w:r>
    </w:p>
    <w:p w:rsidR="00DC24B9" w:rsidRDefault="00DC24B9">
      <w:r>
        <w:t xml:space="preserve">In our view, the proposed $0.4 million opex provision for pigging and dig-ups of the Channel Island </w:t>
      </w:r>
      <w:proofErr w:type="spellStart"/>
      <w:r>
        <w:t>spurline</w:t>
      </w:r>
      <w:proofErr w:type="spellEnd"/>
      <w:r>
        <w:t xml:space="preserve"> should be applied to a more extensive program of dig-ups and inspections</w:t>
      </w:r>
      <w:r w:rsidR="00E0031B">
        <w:t xml:space="preserve"> to allow an assessment of the present condition of the Channel Island </w:t>
      </w:r>
      <w:proofErr w:type="spellStart"/>
      <w:r>
        <w:t>spurline</w:t>
      </w:r>
      <w:proofErr w:type="spellEnd"/>
      <w:r w:rsidR="00E0031B">
        <w:t xml:space="preserve">. </w:t>
      </w:r>
      <w:r w:rsidR="00034D26">
        <w:t xml:space="preserve">This provision is </w:t>
      </w:r>
      <w:r w:rsidR="005B445D">
        <w:t>included in the forecast opex discussed in</w:t>
      </w:r>
      <w:r w:rsidR="00034D26">
        <w:t xml:space="preserve"> attachment 7 of this decision. </w:t>
      </w:r>
      <w:r w:rsidR="00E0031B">
        <w:t>On the basis of the findings from the dig-</w:t>
      </w:r>
      <w:r w:rsidR="004F044B">
        <w:t xml:space="preserve">ups and inspections, all options </w:t>
      </w:r>
      <w:r>
        <w:t xml:space="preserve">for the </w:t>
      </w:r>
      <w:r w:rsidRPr="00DC24B9">
        <w:t xml:space="preserve">ongoing prudent management of the integrity of the </w:t>
      </w:r>
      <w:r>
        <w:t xml:space="preserve">Channel Island </w:t>
      </w:r>
      <w:proofErr w:type="spellStart"/>
      <w:r>
        <w:t>spurline</w:t>
      </w:r>
      <w:proofErr w:type="spellEnd"/>
      <w:r w:rsidRPr="00DC24B9">
        <w:t xml:space="preserve"> should be considered with regard for costs, benefits, risks and consequences</w:t>
      </w:r>
      <w:r w:rsidR="009243A0">
        <w:t>.</w:t>
      </w:r>
    </w:p>
    <w:p w:rsidR="0005436B" w:rsidRDefault="004F044B" w:rsidP="00C87F33">
      <w:r>
        <w:t xml:space="preserve">We have come to this </w:t>
      </w:r>
      <w:r w:rsidR="00B0726F">
        <w:t>view</w:t>
      </w:r>
      <w:r>
        <w:t xml:space="preserve"> o</w:t>
      </w:r>
      <w:r w:rsidR="00B0726F">
        <w:t>n</w:t>
      </w:r>
      <w:r>
        <w:t xml:space="preserve"> the basis that:</w:t>
      </w:r>
    </w:p>
    <w:p w:rsidR="004F044B" w:rsidRDefault="00EF30DF" w:rsidP="004F044B">
      <w:pPr>
        <w:pStyle w:val="AERbulletlistfirststyle"/>
      </w:pPr>
      <w:proofErr w:type="gramStart"/>
      <w:r>
        <w:t>the</w:t>
      </w:r>
      <w:proofErr w:type="gramEnd"/>
      <w:r>
        <w:t xml:space="preserve"> </w:t>
      </w:r>
      <w:r w:rsidR="00F172A2">
        <w:t xml:space="preserve">practical </w:t>
      </w:r>
      <w:r>
        <w:t xml:space="preserve">application of AS2885 does not extend to require replacement or modification of a pipeline (or section) that is not </w:t>
      </w:r>
      <w:proofErr w:type="spellStart"/>
      <w:r>
        <w:t>piggable</w:t>
      </w:r>
      <w:proofErr w:type="spellEnd"/>
      <w:r>
        <w:t xml:space="preserve"> without </w:t>
      </w:r>
      <w:r w:rsidR="00F172A2">
        <w:t>full</w:t>
      </w:r>
      <w:r>
        <w:t xml:space="preserve"> consideration of the </w:t>
      </w:r>
      <w:r w:rsidR="00F172A2">
        <w:t xml:space="preserve">relevant </w:t>
      </w:r>
      <w:r>
        <w:t>costs and benefits of doing so.</w:t>
      </w:r>
      <w:r w:rsidR="00034D26">
        <w:rPr>
          <w:rStyle w:val="FootnoteReference"/>
        </w:rPr>
        <w:footnoteReference w:id="54"/>
      </w:r>
      <w:r>
        <w:t xml:space="preserve"> </w:t>
      </w:r>
    </w:p>
    <w:p w:rsidR="00EF30DF" w:rsidRDefault="00F172A2" w:rsidP="004F044B">
      <w:pPr>
        <w:pStyle w:val="AERbulletlistfirststyle"/>
      </w:pPr>
      <w:proofErr w:type="gramStart"/>
      <w:r>
        <w:t>the</w:t>
      </w:r>
      <w:proofErr w:type="gramEnd"/>
      <w:r>
        <w:t xml:space="preserve"> risks to pipeline integrity</w:t>
      </w:r>
      <w:r w:rsidR="00EF30DF">
        <w:t xml:space="preserve"> identified by APTNT are overstated</w:t>
      </w:r>
      <w:r>
        <w:t xml:space="preserve">, and the need for the </w:t>
      </w:r>
      <w:proofErr w:type="spellStart"/>
      <w:r>
        <w:t>piggability</w:t>
      </w:r>
      <w:proofErr w:type="spellEnd"/>
      <w:r>
        <w:t xml:space="preserve"> works is not urgent</w:t>
      </w:r>
      <w:r w:rsidR="00007C9F">
        <w:t xml:space="preserve">. This view is supported by </w:t>
      </w:r>
      <w:r>
        <w:t xml:space="preserve">both </w:t>
      </w:r>
      <w:proofErr w:type="spellStart"/>
      <w:r>
        <w:t>Sleeman</w:t>
      </w:r>
      <w:proofErr w:type="spellEnd"/>
      <w:r>
        <w:t xml:space="preserve"> Consulting and </w:t>
      </w:r>
      <w:r w:rsidR="00007C9F">
        <w:t>PWC</w:t>
      </w:r>
      <w:r w:rsidR="00861F4D">
        <w:t>.</w:t>
      </w:r>
    </w:p>
    <w:p w:rsidR="00007C9F" w:rsidRDefault="00861F4D" w:rsidP="004F044B">
      <w:pPr>
        <w:pStyle w:val="AERbulletlistfirststyle"/>
      </w:pPr>
      <w:r>
        <w:t>PWC and Territory Generation, the sole customers/end users of the Channel Island lateral</w:t>
      </w:r>
      <w:r w:rsidR="00722CC1">
        <w:t>,</w:t>
      </w:r>
      <w:r>
        <w:t xml:space="preserve"> </w:t>
      </w:r>
      <w:r w:rsidR="00722CC1">
        <w:t>raised concerns in respect to the scope and timing</w:t>
      </w:r>
      <w:r>
        <w:t xml:space="preserve"> of the project as proposed. </w:t>
      </w:r>
    </w:p>
    <w:p w:rsidR="00861F4D" w:rsidRDefault="00FD340C" w:rsidP="004F044B">
      <w:pPr>
        <w:pStyle w:val="AERbulletlistfirststyle"/>
      </w:pPr>
      <w:r>
        <w:t xml:space="preserve">APTNT </w:t>
      </w:r>
      <w:r w:rsidR="00861F4D">
        <w:t xml:space="preserve">has </w:t>
      </w:r>
      <w:r>
        <w:t xml:space="preserve">acknowledged that the timing of the Channel Island bridge project </w:t>
      </w:r>
      <w:r w:rsidR="00861F4D">
        <w:t>is likely to be</w:t>
      </w:r>
      <w:r>
        <w:t xml:space="preserve"> delayed until the Wickham Point connection </w:t>
      </w:r>
      <w:r w:rsidR="00861F4D">
        <w:t xml:space="preserve">proposed by Territory Generation </w:t>
      </w:r>
      <w:r>
        <w:t xml:space="preserve">has been completed. </w:t>
      </w:r>
      <w:r w:rsidR="00861F4D">
        <w:t>On the evidence available, there is no certainty as to the timing of construction of this alternative pipeline, or whether this will actually proceed.</w:t>
      </w:r>
    </w:p>
    <w:p w:rsidR="0030144F" w:rsidRDefault="00861F4D" w:rsidP="004F044B">
      <w:pPr>
        <w:pStyle w:val="AERbulletlistfirststyle"/>
      </w:pPr>
      <w:r>
        <w:t xml:space="preserve">Should the Territory Generation owned pipeline be built, this would have implications for the risks and consequences associated with operating the existing Channel Island </w:t>
      </w:r>
      <w:proofErr w:type="spellStart"/>
      <w:r>
        <w:t>spurline</w:t>
      </w:r>
      <w:proofErr w:type="spellEnd"/>
      <w:r>
        <w:t xml:space="preserve">. </w:t>
      </w:r>
      <w:r w:rsidR="003824D3">
        <w:t>It is not clear</w:t>
      </w:r>
      <w:r>
        <w:t xml:space="preserve"> that these implications have been </w:t>
      </w:r>
      <w:r w:rsidR="003824D3">
        <w:t xml:space="preserve">fully </w:t>
      </w:r>
      <w:r>
        <w:t>considered or assessed by APTNT</w:t>
      </w:r>
      <w:r w:rsidR="005B445D">
        <w:t xml:space="preserve"> at this time</w:t>
      </w:r>
      <w:r>
        <w:t>.</w:t>
      </w:r>
    </w:p>
    <w:p w:rsidR="00192BFB" w:rsidRDefault="00D1069A" w:rsidP="00B5411F">
      <w:r w:rsidRPr="00747FBC">
        <w:t xml:space="preserve">We </w:t>
      </w:r>
      <w:r w:rsidR="00192BFB">
        <w:t xml:space="preserve">have therefore </w:t>
      </w:r>
      <w:r w:rsidR="009243A0">
        <w:t xml:space="preserve">not accepted </w:t>
      </w:r>
      <w:r w:rsidR="00192BFB">
        <w:t xml:space="preserve">APTNT's forecast capex for the Channel Island bridge project for the 2016–21 access arrangement </w:t>
      </w:r>
      <w:proofErr w:type="gramStart"/>
      <w:r w:rsidR="00192BFB">
        <w:t>period</w:t>
      </w:r>
      <w:proofErr w:type="gramEnd"/>
      <w:r w:rsidR="00192BFB">
        <w:t xml:space="preserve">. We will consider whether any actual capex incurred by APTNT in the 2016–21 access arrangement </w:t>
      </w:r>
      <w:proofErr w:type="gramStart"/>
      <w:r w:rsidR="00192BFB">
        <w:t>period</w:t>
      </w:r>
      <w:proofErr w:type="gramEnd"/>
      <w:r w:rsidR="00192BFB">
        <w:t xml:space="preserve"> in relation to this project meets the criteria for conforming capex under the NGR at the time of the next access arrangement review. </w:t>
      </w:r>
    </w:p>
    <w:p w:rsidR="00D1069A" w:rsidRDefault="006009B7" w:rsidP="00B5411F">
      <w:r>
        <w:t>We are satisfied that replacement capex</w:t>
      </w:r>
      <w:r w:rsidR="00D1069A" w:rsidRPr="00747FBC">
        <w:t xml:space="preserve"> of $</w:t>
      </w:r>
      <w:r w:rsidR="00C9476D">
        <w:t>8.7</w:t>
      </w:r>
      <w:r w:rsidR="00D1069A" w:rsidRPr="00747FBC">
        <w:t xml:space="preserve"> million ($2015</w:t>
      </w:r>
      <w:r w:rsidR="00631885" w:rsidRPr="00440D98">
        <w:t>–</w:t>
      </w:r>
      <w:r w:rsidR="00D1069A" w:rsidRPr="00747FBC">
        <w:t>16) for the 201</w:t>
      </w:r>
      <w:r w:rsidR="00D1069A">
        <w:t>6</w:t>
      </w:r>
      <w:r>
        <w:t>–</w:t>
      </w:r>
      <w:r w:rsidR="00D1069A">
        <w:t>2</w:t>
      </w:r>
      <w:r w:rsidR="00D1069A" w:rsidRPr="00747FBC">
        <w:t>1 access arrangement period meet</w:t>
      </w:r>
      <w:r>
        <w:t>s</w:t>
      </w:r>
      <w:r w:rsidR="00D1069A" w:rsidRPr="00747FBC">
        <w:t xml:space="preserve"> the criteria of rule 79(1)(a) of the NGR and is justifiable on the basis of rule 79(2)(b) of the NGR.</w:t>
      </w:r>
    </w:p>
    <w:p w:rsidR="00674600" w:rsidRPr="00682852" w:rsidRDefault="00674600" w:rsidP="00682852">
      <w:pPr>
        <w:pStyle w:val="HeadingBoldBlue"/>
      </w:pPr>
      <w:r w:rsidRPr="00682852">
        <w:t>Non-system capex</w:t>
      </w:r>
    </w:p>
    <w:p w:rsidR="00F32973" w:rsidRDefault="00674600" w:rsidP="00F32973">
      <w:r>
        <w:t xml:space="preserve">In our draft decision we accepted APTNT's forecast of </w:t>
      </w:r>
      <w:r w:rsidR="00F32973">
        <w:t>$8.7 million ($2015–16) for the 2016–21 access arrangement period for the replacement or refurbishment of non-system assets such as motor vehicles, buildings and information technology. APTNT</w:t>
      </w:r>
      <w:r w:rsidR="006009B7">
        <w:t>'s</w:t>
      </w:r>
      <w:r w:rsidR="00F32973">
        <w:t xml:space="preserve"> </w:t>
      </w:r>
      <w:r w:rsidR="006009B7">
        <w:t>revised proposal for</w:t>
      </w:r>
      <w:r w:rsidR="00F32973">
        <w:t xml:space="preserve"> non-system capex </w:t>
      </w:r>
      <w:r w:rsidR="006009B7">
        <w:t>in</w:t>
      </w:r>
      <w:r w:rsidR="00F32973">
        <w:t xml:space="preserve"> the 2016</w:t>
      </w:r>
      <w:r w:rsidR="006009B7">
        <w:t>–</w:t>
      </w:r>
      <w:r w:rsidR="00F32973">
        <w:t xml:space="preserve">21 access arrangement </w:t>
      </w:r>
      <w:proofErr w:type="gramStart"/>
      <w:r w:rsidR="00F32973">
        <w:t>period</w:t>
      </w:r>
      <w:proofErr w:type="gramEnd"/>
      <w:r w:rsidR="00F32973">
        <w:t xml:space="preserve"> i</w:t>
      </w:r>
      <w:r w:rsidR="006009B7">
        <w:t>s consistent with its initial proposal</w:t>
      </w:r>
      <w:r w:rsidR="00F32973">
        <w:t xml:space="preserve">. </w:t>
      </w:r>
      <w:r w:rsidR="00F32973" w:rsidRPr="00747FBC">
        <w:t xml:space="preserve">We therefore consider that APTNT's </w:t>
      </w:r>
      <w:r w:rsidR="001959DE" w:rsidRPr="00747FBC">
        <w:t>proposed</w:t>
      </w:r>
      <w:r w:rsidR="00F32973" w:rsidRPr="00747FBC">
        <w:t xml:space="preserve"> </w:t>
      </w:r>
      <w:r w:rsidR="00F32973">
        <w:t>non-system</w:t>
      </w:r>
      <w:r w:rsidR="00F32973" w:rsidRPr="00747FBC">
        <w:t xml:space="preserve"> capex of $</w:t>
      </w:r>
      <w:r w:rsidR="00F32973">
        <w:t>8.7</w:t>
      </w:r>
      <w:r w:rsidR="00F32973" w:rsidRPr="00747FBC">
        <w:t xml:space="preserve"> million ($2015-16) for the 201</w:t>
      </w:r>
      <w:r w:rsidR="00F32973">
        <w:t>6</w:t>
      </w:r>
      <w:r w:rsidR="00F32973" w:rsidRPr="00747FBC">
        <w:t>-</w:t>
      </w:r>
      <w:r w:rsidR="00F32973">
        <w:t>2</w:t>
      </w:r>
      <w:r w:rsidR="00F32973" w:rsidRPr="00747FBC">
        <w:t>1 access arrangement period meet the criteria of rule 79(1)(a) of the NGR and is justifiable on the basis of rule 79(2)(b) of the NGR.</w:t>
      </w:r>
    </w:p>
    <w:p w:rsidR="00F32973" w:rsidRPr="003B4CC5" w:rsidRDefault="00F32973" w:rsidP="00E209D5">
      <w:pPr>
        <w:pStyle w:val="Heading3"/>
        <w:keepNext/>
      </w:pPr>
      <w:bookmarkStart w:id="41" w:name="_Toc451529912"/>
      <w:r w:rsidRPr="003B4CC5">
        <w:t>Labour cost escalation</w:t>
      </w:r>
      <w:bookmarkEnd w:id="41"/>
    </w:p>
    <w:p w:rsidR="00674600" w:rsidRDefault="008773D1" w:rsidP="00B5411F">
      <w:r>
        <w:t xml:space="preserve">In our </w:t>
      </w:r>
      <w:r w:rsidR="001959DE">
        <w:t>draft</w:t>
      </w:r>
      <w:r>
        <w:t xml:space="preserve"> decision, we did not accept APTNT’s forecast of real labour cost escalation in </w:t>
      </w:r>
      <w:r w:rsidR="003B4CC5">
        <w:t xml:space="preserve">2015–16 and </w:t>
      </w:r>
      <w:r>
        <w:t xml:space="preserve">the 2016–21 access arrangement </w:t>
      </w:r>
      <w:proofErr w:type="gramStart"/>
      <w:r>
        <w:t>period</w:t>
      </w:r>
      <w:proofErr w:type="gramEnd"/>
      <w:r>
        <w:t xml:space="preserve">. We substituted our forecast of labour cost escalation in place of APTNT’s forecast in determining our estimate of conforming capex for </w:t>
      </w:r>
      <w:r w:rsidR="003B4CC5">
        <w:t xml:space="preserve">2015–16 and </w:t>
      </w:r>
      <w:r>
        <w:t xml:space="preserve">the 2016–21 access arrangement </w:t>
      </w:r>
      <w:proofErr w:type="gramStart"/>
      <w:r>
        <w:t>period</w:t>
      </w:r>
      <w:proofErr w:type="gramEnd"/>
      <w:r>
        <w:t>. The impact of applying our forecast for labour cost escalation was</w:t>
      </w:r>
      <w:r w:rsidRPr="009D1015">
        <w:t xml:space="preserve"> a reduction in forecast capex of $0.2</w:t>
      </w:r>
      <w:r>
        <w:t xml:space="preserve"> </w:t>
      </w:r>
      <w:r w:rsidRPr="009D1015">
        <w:t>million ($</w:t>
      </w:r>
      <w:r>
        <w:t>2015–16</w:t>
      </w:r>
      <w:r w:rsidRPr="009D1015">
        <w:t>).</w:t>
      </w:r>
      <w:r>
        <w:rPr>
          <w:rStyle w:val="FootnoteReference"/>
        </w:rPr>
        <w:footnoteReference w:id="55"/>
      </w:r>
    </w:p>
    <w:p w:rsidR="00F32973" w:rsidRDefault="008773D1" w:rsidP="00B5411F">
      <w:r>
        <w:t xml:space="preserve">In its revised </w:t>
      </w:r>
      <w:r w:rsidR="001959DE">
        <w:t>proposal</w:t>
      </w:r>
      <w:r>
        <w:t xml:space="preserve">, APTNT accepted our </w:t>
      </w:r>
      <w:r w:rsidR="0029465D">
        <w:t xml:space="preserve">methodology for </w:t>
      </w:r>
      <w:r>
        <w:t>real labour cost escalat</w:t>
      </w:r>
      <w:r w:rsidR="0029465D">
        <w:t>ion</w:t>
      </w:r>
      <w:r>
        <w:t xml:space="preserve">, and has applied </w:t>
      </w:r>
      <w:r w:rsidR="0029465D">
        <w:t>it</w:t>
      </w:r>
      <w:r>
        <w:t xml:space="preserve"> in respect of </w:t>
      </w:r>
      <w:r w:rsidR="0029465D">
        <w:t xml:space="preserve">the </w:t>
      </w:r>
      <w:r>
        <w:t>2015</w:t>
      </w:r>
      <w:r w:rsidR="0029465D">
        <w:t>–</w:t>
      </w:r>
      <w:r>
        <w:t xml:space="preserve">16 </w:t>
      </w:r>
      <w:r w:rsidR="0029465D">
        <w:t xml:space="preserve">year </w:t>
      </w:r>
      <w:r>
        <w:t>and forecast cap</w:t>
      </w:r>
      <w:r w:rsidR="0029465D">
        <w:t>ex</w:t>
      </w:r>
      <w:r>
        <w:t xml:space="preserve"> in the 2016</w:t>
      </w:r>
      <w:r w:rsidR="0029465D">
        <w:t>–</w:t>
      </w:r>
      <w:r>
        <w:t xml:space="preserve">21 access arrangement </w:t>
      </w:r>
      <w:proofErr w:type="gramStart"/>
      <w:r>
        <w:t>period</w:t>
      </w:r>
      <w:proofErr w:type="gramEnd"/>
      <w:r>
        <w:t>.</w:t>
      </w:r>
      <w:r>
        <w:rPr>
          <w:rStyle w:val="FootnoteReference"/>
        </w:rPr>
        <w:footnoteReference w:id="56"/>
      </w:r>
      <w:r w:rsidR="00B0726F">
        <w:t xml:space="preserve"> Since APTNT submitted their revised proposal, we have updated our </w:t>
      </w:r>
      <w:r w:rsidR="0029465D">
        <w:t xml:space="preserve">estimate of </w:t>
      </w:r>
      <w:r w:rsidR="00B0726F">
        <w:t xml:space="preserve">real labour cost escalators and </w:t>
      </w:r>
      <w:r w:rsidR="0029465D">
        <w:t xml:space="preserve">have therefore </w:t>
      </w:r>
      <w:r w:rsidR="00B0726F">
        <w:t xml:space="preserve">amended APTNT's conforming capex to reflect this adjustment. The impact of this adjustment is an increase in conforming capex of </w:t>
      </w:r>
      <w:r w:rsidR="00C9476D">
        <w:t>$0.1 million ($2015</w:t>
      </w:r>
      <w:r w:rsidR="00631885" w:rsidRPr="00440D98">
        <w:t>–</w:t>
      </w:r>
      <w:r w:rsidR="00C9476D">
        <w:t>16)</w:t>
      </w:r>
      <w:r w:rsidR="00B0726F">
        <w:t xml:space="preserve"> for the 2011</w:t>
      </w:r>
      <w:r w:rsidR="0029465D">
        <w:t>–</w:t>
      </w:r>
      <w:r w:rsidR="00B0726F">
        <w:t>1</w:t>
      </w:r>
      <w:r w:rsidR="00F450D9">
        <w:t>6</w:t>
      </w:r>
      <w:r w:rsidR="00B0726F">
        <w:t xml:space="preserve"> access arrangement period </w:t>
      </w:r>
      <w:r w:rsidR="00F450D9">
        <w:t>and $</w:t>
      </w:r>
      <w:r w:rsidR="00C9476D">
        <w:t>0.3 million ($2015-16)</w:t>
      </w:r>
      <w:r w:rsidR="00F450D9">
        <w:t xml:space="preserve"> for the 2016</w:t>
      </w:r>
      <w:r w:rsidR="0029465D">
        <w:t>–</w:t>
      </w:r>
      <w:r w:rsidR="00F450D9">
        <w:t xml:space="preserve">21 access arrangement </w:t>
      </w:r>
      <w:proofErr w:type="gramStart"/>
      <w:r w:rsidR="00F450D9">
        <w:t>period</w:t>
      </w:r>
      <w:proofErr w:type="gramEnd"/>
      <w:r w:rsidR="00F450D9">
        <w:t>.</w:t>
      </w:r>
    </w:p>
    <w:sectPr w:rsidR="00F32973" w:rsidSect="002874DE">
      <w:headerReference w:type="even" r:id="rId12"/>
      <w:footerReference w:type="even" r:id="rId13"/>
      <w:footerReference w:type="default" r:id="rId14"/>
      <w:headerReference w:type="first" r:id="rId15"/>
      <w:pgSz w:w="11906" w:h="16838" w:code="9"/>
      <w:pgMar w:top="1440" w:right="1701"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C24" w:rsidRPr="00290C63" w:rsidRDefault="008A7C24" w:rsidP="00290C63">
      <w:r>
        <w:separator/>
      </w:r>
    </w:p>
    <w:p w:rsidR="008A7C24" w:rsidRDefault="008A7C24"/>
  </w:endnote>
  <w:endnote w:type="continuationSeparator" w:id="0">
    <w:p w:rsidR="008A7C24" w:rsidRPr="00290C63" w:rsidRDefault="008A7C24" w:rsidP="00290C63">
      <w:r>
        <w:continuationSeparator/>
      </w:r>
    </w:p>
    <w:p w:rsidR="008A7C24" w:rsidRDefault="008A7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24" w:rsidRDefault="008A7C2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8A7C24" w:rsidRDefault="008A7C24">
    <w:pPr>
      <w:pStyle w:val="Footer"/>
    </w:pPr>
  </w:p>
  <w:p w:rsidR="008A7C24" w:rsidRDefault="008A7C24">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8A7C24" w:rsidRPr="00CA52A2" w:rsidRDefault="008A7C24" w:rsidP="00CA52A2">
        <w:pPr>
          <w:pStyle w:val="Footer"/>
        </w:pPr>
        <w:r w:rsidRPr="00CA52A2">
          <w:fldChar w:fldCharType="begin"/>
        </w:r>
        <w:r>
          <w:instrText xml:space="preserve"> PAGE   \* MERGEFORMAT </w:instrText>
        </w:r>
        <w:r w:rsidRPr="00CA52A2">
          <w:fldChar w:fldCharType="separate"/>
        </w:r>
        <w:r w:rsidR="00CF6C01">
          <w:rPr>
            <w:noProof/>
          </w:rPr>
          <w:t>6-19</w:t>
        </w:r>
        <w:r w:rsidRPr="00CA52A2">
          <w:fldChar w:fldCharType="end"/>
        </w:r>
        <w:r w:rsidRPr="00CA52A2">
          <w:t xml:space="preserve">          Attachment </w:t>
        </w:r>
        <w:r>
          <w:t xml:space="preserve">6 </w:t>
        </w:r>
        <w:r w:rsidRPr="00CA52A2">
          <w:t xml:space="preserve">– </w:t>
        </w:r>
        <w:r>
          <w:t xml:space="preserve">Capital expenditure </w:t>
        </w:r>
        <w:r w:rsidRPr="00CA52A2">
          <w:t xml:space="preserve">| </w:t>
        </w:r>
        <w:r>
          <w:t>Final decision: Amadeus Gas Pipeline Access Arrangement 2016</w:t>
        </w:r>
        <w:r w:rsidRPr="00CA52A2">
          <w:t>–</w:t>
        </w:r>
        <w:r>
          <w:t>21</w:t>
        </w:r>
      </w:p>
    </w:sdtContent>
  </w:sdt>
  <w:p w:rsidR="008A7C24" w:rsidRDefault="008A7C24">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C24" w:rsidRPr="00290C63" w:rsidRDefault="008A7C24" w:rsidP="00290C63">
      <w:r>
        <w:separator/>
      </w:r>
    </w:p>
    <w:p w:rsidR="008A7C24" w:rsidRDefault="008A7C24"/>
  </w:footnote>
  <w:footnote w:type="continuationSeparator" w:id="0">
    <w:p w:rsidR="008A7C24" w:rsidRPr="00290C63" w:rsidRDefault="008A7C24" w:rsidP="00290C63">
      <w:r>
        <w:continuationSeparator/>
      </w:r>
    </w:p>
    <w:p w:rsidR="008A7C24" w:rsidRDefault="008A7C24"/>
  </w:footnote>
  <w:footnote w:id="1">
    <w:p w:rsidR="008A7C24" w:rsidRPr="00F9442F" w:rsidRDefault="008A7C24" w:rsidP="00F86B9A">
      <w:pPr>
        <w:pStyle w:val="FootnoteText"/>
      </w:pPr>
      <w:r>
        <w:rPr>
          <w:rStyle w:val="FootnoteReference"/>
        </w:rPr>
        <w:footnoteRef/>
      </w:r>
      <w:r>
        <w:t xml:space="preserve"> </w:t>
      </w:r>
      <w:r>
        <w:tab/>
        <w:t xml:space="preserve">APTNT, </w:t>
      </w:r>
      <w:r w:rsidRPr="00A0090B">
        <w:rPr>
          <w:rStyle w:val="Emphasis"/>
        </w:rPr>
        <w:t>Amadeus Gas Pipeline</w:t>
      </w:r>
      <w:r w:rsidRPr="00F42178">
        <w:t>,</w:t>
      </w:r>
      <w:r>
        <w:t xml:space="preserve"> </w:t>
      </w:r>
      <w:r w:rsidRPr="00F877C8">
        <w:rPr>
          <w:rStyle w:val="AERtextitalic"/>
        </w:rPr>
        <w:t>Access Arrangement Revised Proposal, Response to Draft Submission Decision, 1 July 2016 to 30 June 2021</w:t>
      </w:r>
      <w:r>
        <w:t>, January 2016, p. 32; APTNT,</w:t>
      </w:r>
      <w:r w:rsidRPr="00AD5612">
        <w:rPr>
          <w:rStyle w:val="AERtextitalic"/>
        </w:rPr>
        <w:t xml:space="preserve"> Amadeus Gas Pipeline Access Arrangement Revised Proposal - B6 Capex model - 2016 AER labour escalators</w:t>
      </w:r>
      <w:r>
        <w:rPr>
          <w:rStyle w:val="AERtextitalic"/>
        </w:rPr>
        <w:t>,</w:t>
      </w:r>
      <w:r w:rsidRPr="00AD5612">
        <w:rPr>
          <w:rStyle w:val="AERtextitalic"/>
        </w:rPr>
        <w:t xml:space="preserve"> </w:t>
      </w:r>
      <w:r>
        <w:t>January 2016.</w:t>
      </w:r>
    </w:p>
  </w:footnote>
  <w:footnote w:id="2">
    <w:p w:rsidR="008A7C24" w:rsidRDefault="008A7C24">
      <w:pPr>
        <w:pStyle w:val="FootnoteText"/>
      </w:pPr>
      <w:r>
        <w:rPr>
          <w:rStyle w:val="FootnoteReference"/>
        </w:rPr>
        <w:footnoteRef/>
      </w:r>
      <w:r>
        <w:t xml:space="preserve"> </w:t>
      </w:r>
      <w:r>
        <w:tab/>
        <w:t xml:space="preserve">APTNT, </w:t>
      </w:r>
      <w:r w:rsidRPr="00A0090B">
        <w:rPr>
          <w:rStyle w:val="Emphasis"/>
        </w:rPr>
        <w:t>Amadeus Gas Pipeline,</w:t>
      </w:r>
      <w:r>
        <w:t xml:space="preserve"> </w:t>
      </w:r>
      <w:r w:rsidRPr="006537FD">
        <w:rPr>
          <w:rStyle w:val="AERtextitalic"/>
        </w:rPr>
        <w:t>Access Arrangement Revised Proposal, Response to Draft Submission Decision</w:t>
      </w:r>
      <w:r w:rsidRPr="00F42178">
        <w:t xml:space="preserve">, </w:t>
      </w:r>
      <w:r w:rsidRPr="00A0090B">
        <w:rPr>
          <w:rStyle w:val="Emphasis"/>
        </w:rPr>
        <w:t>1 July 2016 to 30 June 2021</w:t>
      </w:r>
      <w:r>
        <w:t>, January 2016, p. 31.</w:t>
      </w:r>
    </w:p>
  </w:footnote>
  <w:footnote w:id="3">
    <w:p w:rsidR="008A7C24" w:rsidRDefault="008A7C24">
      <w:pPr>
        <w:pStyle w:val="FootnoteText"/>
      </w:pPr>
      <w:r>
        <w:rPr>
          <w:rStyle w:val="FootnoteReference"/>
        </w:rPr>
        <w:footnoteRef/>
      </w:r>
      <w:r>
        <w:t xml:space="preserve"> </w:t>
      </w:r>
      <w:r>
        <w:tab/>
        <w:t xml:space="preserve">APTNT, </w:t>
      </w:r>
      <w:r w:rsidRPr="00F42178">
        <w:t>Amadeus Gas Pipeline,</w:t>
      </w:r>
      <w:r>
        <w:t xml:space="preserve"> </w:t>
      </w:r>
      <w:r w:rsidRPr="006537FD">
        <w:rPr>
          <w:rStyle w:val="AERtextitalic"/>
        </w:rPr>
        <w:t>Access Arrangement Revised Proposal, Response to Draft Submission Decision</w:t>
      </w:r>
      <w:r w:rsidRPr="00F42178">
        <w:t>, 1 July 2016 to 30 June 2021</w:t>
      </w:r>
      <w:r>
        <w:t>, p. 31.</w:t>
      </w:r>
    </w:p>
  </w:footnote>
  <w:footnote w:id="4">
    <w:p w:rsidR="008A7C24" w:rsidRDefault="008A7C24">
      <w:pPr>
        <w:pStyle w:val="FootnoteText"/>
      </w:pPr>
      <w:r>
        <w:rPr>
          <w:rStyle w:val="FootnoteReference"/>
        </w:rPr>
        <w:footnoteRef/>
      </w:r>
      <w:r>
        <w:t xml:space="preserve"> </w:t>
      </w:r>
      <w:r>
        <w:tab/>
        <w:t xml:space="preserve">APTNT, </w:t>
      </w:r>
      <w:r w:rsidRPr="00F42178">
        <w:t>Amadeus Gas Pipeline,</w:t>
      </w:r>
      <w:r>
        <w:t xml:space="preserve"> </w:t>
      </w:r>
      <w:r w:rsidRPr="006537FD">
        <w:rPr>
          <w:rStyle w:val="AERtextitalic"/>
        </w:rPr>
        <w:t>Access Arrangement Revised Proposal, Response to Draft Submission Decision</w:t>
      </w:r>
      <w:r w:rsidRPr="00F42178">
        <w:t>, 1 July 2016 to 30 June 2021</w:t>
      </w:r>
      <w:r>
        <w:t>, pp. 31</w:t>
      </w:r>
      <w:r w:rsidRPr="008A7C24">
        <w:t>–</w:t>
      </w:r>
      <w:r>
        <w:t>32.</w:t>
      </w:r>
    </w:p>
  </w:footnote>
  <w:footnote w:id="5">
    <w:p w:rsidR="008A7C24" w:rsidRDefault="008A7C24">
      <w:pPr>
        <w:pStyle w:val="FootnoteText"/>
      </w:pPr>
      <w:r>
        <w:rPr>
          <w:rStyle w:val="FootnoteReference"/>
        </w:rPr>
        <w:footnoteRef/>
      </w:r>
      <w:r>
        <w:t xml:space="preserve"> </w:t>
      </w:r>
      <w:r>
        <w:tab/>
        <w:t xml:space="preserve">APTNT, </w:t>
      </w:r>
      <w:r w:rsidRPr="00F42178">
        <w:t>Amadeus Gas Pipeline,</w:t>
      </w:r>
      <w:r>
        <w:t xml:space="preserve"> </w:t>
      </w:r>
      <w:r w:rsidRPr="006537FD">
        <w:rPr>
          <w:rStyle w:val="AERtextitalic"/>
        </w:rPr>
        <w:t>Access Arrangement Revised Proposal, Response to Draft Submission Decision</w:t>
      </w:r>
      <w:r w:rsidRPr="00F42178">
        <w:t>, 1 July 2016 to 30 June 2021</w:t>
      </w:r>
      <w:r>
        <w:t>, p. 32.</w:t>
      </w:r>
    </w:p>
  </w:footnote>
  <w:footnote w:id="6">
    <w:p w:rsidR="008A7C24" w:rsidRDefault="008A7C24" w:rsidP="00440D98">
      <w:pPr>
        <w:pStyle w:val="FootnoteText"/>
      </w:pPr>
      <w:r>
        <w:rPr>
          <w:rStyle w:val="FootnoteReference"/>
        </w:rPr>
        <w:footnoteRef/>
      </w:r>
      <w:r>
        <w:t xml:space="preserve"> </w:t>
      </w:r>
      <w:r>
        <w:tab/>
        <w:t xml:space="preserve">APTNT, </w:t>
      </w:r>
      <w:r w:rsidRPr="00F42178">
        <w:t>Amadeus Gas Pipeline,</w:t>
      </w:r>
      <w:r>
        <w:t xml:space="preserve"> </w:t>
      </w:r>
      <w:r w:rsidRPr="006537FD">
        <w:rPr>
          <w:rStyle w:val="AERtextitalic"/>
        </w:rPr>
        <w:t>Access Arrangement Revised Proposal, Response to Draft Submission Decision</w:t>
      </w:r>
      <w:r w:rsidRPr="00F42178">
        <w:t>, 1 July 2016 to 30 June 2021</w:t>
      </w:r>
      <w:r>
        <w:t xml:space="preserve">, p. 43 and </w:t>
      </w:r>
      <w:r w:rsidRPr="00AD5612">
        <w:rPr>
          <w:rStyle w:val="AERtextitalic"/>
        </w:rPr>
        <w:t>APTNT - Amadeus Gas Pipeline Access Arrangement Revised Proposal - B6 Capex model - 2016 AER labour escalators</w:t>
      </w:r>
      <w:r>
        <w:rPr>
          <w:rStyle w:val="AERtextitalic"/>
        </w:rPr>
        <w:t>,</w:t>
      </w:r>
      <w:r w:rsidRPr="00AD5612">
        <w:rPr>
          <w:rStyle w:val="AERtextitalic"/>
        </w:rPr>
        <w:t xml:space="preserve"> </w:t>
      </w:r>
      <w:r>
        <w:t>January 2016.</w:t>
      </w:r>
    </w:p>
  </w:footnote>
  <w:footnote w:id="7">
    <w:p w:rsidR="008A7C24" w:rsidRDefault="008A7C24">
      <w:pPr>
        <w:pStyle w:val="FootnoteText"/>
      </w:pPr>
      <w:r>
        <w:rPr>
          <w:rStyle w:val="FootnoteReference"/>
        </w:rPr>
        <w:footnoteRef/>
      </w:r>
      <w:r>
        <w:t xml:space="preserve"> </w:t>
      </w:r>
      <w:r>
        <w:tab/>
        <w:t xml:space="preserve">APTNT, </w:t>
      </w:r>
      <w:r w:rsidRPr="00A0090B">
        <w:rPr>
          <w:rStyle w:val="Emphasis"/>
        </w:rPr>
        <w:t xml:space="preserve">Amadeus Gas Pipeline, </w:t>
      </w:r>
      <w:r w:rsidRPr="006537FD">
        <w:rPr>
          <w:rStyle w:val="AERtextitalic"/>
        </w:rPr>
        <w:t>Access Arrangement Revised Proposal, Response to Draft Submission Decision</w:t>
      </w:r>
      <w:r w:rsidRPr="00F42178">
        <w:t xml:space="preserve">, </w:t>
      </w:r>
      <w:r w:rsidRPr="00A0090B">
        <w:rPr>
          <w:rStyle w:val="Emphasis"/>
        </w:rPr>
        <w:t>1 July 2016 to 30 June 2021</w:t>
      </w:r>
      <w:r>
        <w:t>, January 2016, p. 33.</w:t>
      </w:r>
    </w:p>
  </w:footnote>
  <w:footnote w:id="8">
    <w:p w:rsidR="008A7C24" w:rsidRDefault="008A7C24" w:rsidP="00647BBC">
      <w:pPr>
        <w:pStyle w:val="FootnoteText"/>
      </w:pPr>
      <w:r>
        <w:rPr>
          <w:rStyle w:val="FootnoteReference"/>
        </w:rPr>
        <w:footnoteRef/>
      </w:r>
      <w:r>
        <w:t xml:space="preserve"> </w:t>
      </w:r>
      <w:r>
        <w:tab/>
        <w:t xml:space="preserve">APTNT, </w:t>
      </w:r>
      <w:r w:rsidRPr="00A0090B">
        <w:rPr>
          <w:rStyle w:val="Emphasis"/>
        </w:rPr>
        <w:t>Amadeus Gas Pipeline,</w:t>
      </w:r>
      <w:r>
        <w:t xml:space="preserve"> </w:t>
      </w:r>
      <w:r w:rsidRPr="006537FD">
        <w:rPr>
          <w:rStyle w:val="AERtextitalic"/>
        </w:rPr>
        <w:t>Access Arrangement Revised Proposal, Response to Draft Submission Decision</w:t>
      </w:r>
      <w:r w:rsidRPr="00F42178">
        <w:t xml:space="preserve">, </w:t>
      </w:r>
      <w:r w:rsidRPr="00A0090B">
        <w:rPr>
          <w:rStyle w:val="Emphasis"/>
        </w:rPr>
        <w:t>1 July 2016 to 30 June 2021</w:t>
      </w:r>
      <w:r>
        <w:t>, January 2016, pp. 34</w:t>
      </w:r>
      <w:r w:rsidRPr="00440D98">
        <w:t>–</w:t>
      </w:r>
      <w:r>
        <w:t>42.</w:t>
      </w:r>
    </w:p>
  </w:footnote>
  <w:footnote w:id="9">
    <w:p w:rsidR="008A7C24" w:rsidRDefault="008A7C24">
      <w:pPr>
        <w:pStyle w:val="FootnoteText"/>
      </w:pPr>
      <w:r>
        <w:rPr>
          <w:rStyle w:val="FootnoteReference"/>
        </w:rPr>
        <w:footnoteRef/>
      </w:r>
      <w:r>
        <w:t xml:space="preserve"> </w:t>
      </w:r>
      <w:r>
        <w:tab/>
        <w:t xml:space="preserve">APTNT, </w:t>
      </w:r>
      <w:r w:rsidRPr="00A0090B">
        <w:rPr>
          <w:rStyle w:val="Emphasis"/>
        </w:rPr>
        <w:t>Amadeus Gas Pipeline,</w:t>
      </w:r>
      <w:r>
        <w:t xml:space="preserve"> </w:t>
      </w:r>
      <w:r w:rsidRPr="006537FD">
        <w:rPr>
          <w:rStyle w:val="AERtextitalic"/>
        </w:rPr>
        <w:t>Access Arrangement Revised Proposal, Response to Draft Submission Decision</w:t>
      </w:r>
      <w:r w:rsidRPr="00F42178">
        <w:t xml:space="preserve">, </w:t>
      </w:r>
      <w:r w:rsidRPr="00A0090B">
        <w:rPr>
          <w:rStyle w:val="Emphasis"/>
        </w:rPr>
        <w:t>1 July 2016 to 30 June 2021</w:t>
      </w:r>
      <w:r>
        <w:t>, January 2016, p. 35.</w:t>
      </w:r>
    </w:p>
  </w:footnote>
  <w:footnote w:id="10">
    <w:p w:rsidR="008A7C24" w:rsidRDefault="008A7C24">
      <w:pPr>
        <w:pStyle w:val="FootnoteText"/>
      </w:pPr>
      <w:r>
        <w:rPr>
          <w:rStyle w:val="FootnoteReference"/>
        </w:rPr>
        <w:footnoteRef/>
      </w:r>
      <w:r>
        <w:t xml:space="preserve"> </w:t>
      </w:r>
      <w:r>
        <w:tab/>
        <w:t xml:space="preserve">APTNT, </w:t>
      </w:r>
      <w:r w:rsidRPr="00A0090B">
        <w:rPr>
          <w:rStyle w:val="Emphasis"/>
        </w:rPr>
        <w:t>Amadeus Gas Pipeline, Access Arrangement Revised Proposal, Response to Draft Submission Decision, 1 July 2016 to 30 June 2021</w:t>
      </w:r>
      <w:r>
        <w:t>, January 2016, p. 35.</w:t>
      </w:r>
    </w:p>
  </w:footnote>
  <w:footnote w:id="11">
    <w:p w:rsidR="008A7C24" w:rsidRDefault="008A7C24">
      <w:pPr>
        <w:pStyle w:val="FootnoteText"/>
      </w:pPr>
      <w:r>
        <w:rPr>
          <w:rStyle w:val="FootnoteReference"/>
        </w:rPr>
        <w:footnoteRef/>
      </w:r>
      <w:r>
        <w:t xml:space="preserve"> </w:t>
      </w:r>
      <w:r>
        <w:tab/>
        <w:t xml:space="preserve">APTNT, </w:t>
      </w:r>
      <w:r w:rsidRPr="00A0090B">
        <w:rPr>
          <w:rStyle w:val="Emphasis"/>
        </w:rPr>
        <w:t>Amadeus Gas Pipeline, Access Arrangement Revised Proposal, Response to Draft Submission Decision, 1 July 2016 to 30 June 2021</w:t>
      </w:r>
      <w:r>
        <w:t>, January 2016, p. 35.</w:t>
      </w:r>
    </w:p>
  </w:footnote>
  <w:footnote w:id="12">
    <w:p w:rsidR="008A7C24" w:rsidRDefault="008A7C24">
      <w:pPr>
        <w:pStyle w:val="FootnoteText"/>
      </w:pPr>
      <w:r>
        <w:rPr>
          <w:rStyle w:val="FootnoteReference"/>
        </w:rPr>
        <w:footnoteRef/>
      </w:r>
      <w:r>
        <w:t xml:space="preserve"> </w:t>
      </w:r>
      <w:r>
        <w:tab/>
        <w:t xml:space="preserve">APTNT, </w:t>
      </w:r>
      <w:r w:rsidRPr="00A0090B">
        <w:rPr>
          <w:rStyle w:val="Emphasis"/>
        </w:rPr>
        <w:t>Amadeus Gas Pipeline, Access Arrangement Revised Proposal, Response to Draft Submission Decision, 1 July 2016 to 30 June 2021</w:t>
      </w:r>
      <w:r>
        <w:t>, January 2016, p. 36.</w:t>
      </w:r>
    </w:p>
  </w:footnote>
  <w:footnote w:id="13">
    <w:p w:rsidR="008A7C24" w:rsidRDefault="008A7C24">
      <w:pPr>
        <w:pStyle w:val="FootnoteText"/>
      </w:pPr>
      <w:r>
        <w:rPr>
          <w:rStyle w:val="FootnoteReference"/>
        </w:rPr>
        <w:footnoteRef/>
      </w:r>
      <w:r>
        <w:t xml:space="preserve"> </w:t>
      </w:r>
      <w:r>
        <w:tab/>
      </w:r>
      <w:r w:rsidRPr="006E7447">
        <w:t xml:space="preserve">GPA Engineering, </w:t>
      </w:r>
      <w:r w:rsidRPr="006E7447">
        <w:rPr>
          <w:rStyle w:val="AERtextitalic"/>
        </w:rPr>
        <w:t xml:space="preserve">AER Draft Decision Review - APA Channel Island Bridge Project </w:t>
      </w:r>
      <w:r>
        <w:rPr>
          <w:rStyle w:val="AERtextitalic"/>
        </w:rPr>
        <w:t xml:space="preserve">- </w:t>
      </w:r>
      <w:r w:rsidRPr="006E7447">
        <w:rPr>
          <w:rStyle w:val="AERtextitalic"/>
        </w:rPr>
        <w:t xml:space="preserve">APA Group, </w:t>
      </w:r>
      <w:r w:rsidRPr="006E7447">
        <w:t>December 2015</w:t>
      </w:r>
      <w:r>
        <w:t>.</w:t>
      </w:r>
    </w:p>
  </w:footnote>
  <w:footnote w:id="14">
    <w:p w:rsidR="008A7C24" w:rsidRDefault="008A7C24">
      <w:pPr>
        <w:pStyle w:val="FootnoteText"/>
      </w:pPr>
      <w:r>
        <w:rPr>
          <w:rStyle w:val="FootnoteReference"/>
        </w:rPr>
        <w:footnoteRef/>
      </w:r>
      <w:r>
        <w:t xml:space="preserve"> </w:t>
      </w:r>
      <w:r>
        <w:tab/>
        <w:t xml:space="preserve">APTNT, </w:t>
      </w:r>
      <w:r w:rsidRPr="00A0090B">
        <w:rPr>
          <w:rStyle w:val="Emphasis"/>
        </w:rPr>
        <w:t>Amadeus Gas Pipeline, Access Arrangement Revised Proposal, Response to Draft Submission Decision, 1 July 2016 to 30 June 2021</w:t>
      </w:r>
      <w:r>
        <w:t xml:space="preserve">, p. 36. </w:t>
      </w:r>
    </w:p>
  </w:footnote>
  <w:footnote w:id="15">
    <w:p w:rsidR="008A7C24" w:rsidRDefault="008A7C24">
      <w:pPr>
        <w:pStyle w:val="FootnoteText"/>
      </w:pPr>
      <w:r>
        <w:rPr>
          <w:rStyle w:val="FootnoteReference"/>
        </w:rPr>
        <w:footnoteRef/>
      </w:r>
      <w:r>
        <w:t xml:space="preserve"> </w:t>
      </w:r>
      <w:r>
        <w:tab/>
        <w:t xml:space="preserve">APTNT, </w:t>
      </w:r>
      <w:r w:rsidRPr="00A0090B">
        <w:rPr>
          <w:rStyle w:val="Emphasis"/>
        </w:rPr>
        <w:t>Amadeus Gas Pipeline, Access Arrangement Revised Proposal, Response to Draft Submission Decision, 1 July 2016 to 30 June 2021</w:t>
      </w:r>
      <w:r>
        <w:t>, January 2016, p. 37.</w:t>
      </w:r>
    </w:p>
  </w:footnote>
  <w:footnote w:id="16">
    <w:p w:rsidR="008A7C24" w:rsidRDefault="008A7C24">
      <w:pPr>
        <w:pStyle w:val="FootnoteText"/>
      </w:pPr>
      <w:r>
        <w:rPr>
          <w:rStyle w:val="FootnoteReference"/>
        </w:rPr>
        <w:footnoteRef/>
      </w:r>
      <w:r>
        <w:t xml:space="preserve"> </w:t>
      </w:r>
      <w:r>
        <w:tab/>
        <w:t xml:space="preserve">APTNT, </w:t>
      </w:r>
      <w:r w:rsidRPr="00A0090B">
        <w:rPr>
          <w:rStyle w:val="Emphasis"/>
        </w:rPr>
        <w:t>Amadeus Gas Pipeline, Access Arrangement Revised Proposal, Response to Draft Submission Decision, 1 July 2016 to 30 June 2021</w:t>
      </w:r>
      <w:r>
        <w:t>, January 2016, p. 37.</w:t>
      </w:r>
    </w:p>
  </w:footnote>
  <w:footnote w:id="17">
    <w:p w:rsidR="008A7C24" w:rsidRDefault="008A7C24">
      <w:pPr>
        <w:pStyle w:val="FootnoteText"/>
      </w:pPr>
      <w:r>
        <w:rPr>
          <w:rStyle w:val="FootnoteReference"/>
        </w:rPr>
        <w:footnoteRef/>
      </w:r>
      <w:r>
        <w:t xml:space="preserve"> </w:t>
      </w:r>
      <w:r>
        <w:tab/>
        <w:t xml:space="preserve">APTNT, </w:t>
      </w:r>
      <w:r w:rsidRPr="00A0090B">
        <w:rPr>
          <w:rStyle w:val="Emphasis"/>
        </w:rPr>
        <w:t>Amadeus Gas Pipeline, Access Arrangement Revised Proposal, Response to Draft Submission Decision, 1 July 2016 to 30 June 2021</w:t>
      </w:r>
      <w:r>
        <w:t>, January 2016, p. 37.</w:t>
      </w:r>
    </w:p>
  </w:footnote>
  <w:footnote w:id="18">
    <w:p w:rsidR="008A7C24" w:rsidRDefault="008A7C24">
      <w:pPr>
        <w:pStyle w:val="FootnoteText"/>
      </w:pPr>
      <w:r>
        <w:rPr>
          <w:rStyle w:val="FootnoteReference"/>
        </w:rPr>
        <w:footnoteRef/>
      </w:r>
      <w:r>
        <w:t xml:space="preserve"> </w:t>
      </w:r>
      <w:r>
        <w:tab/>
        <w:t xml:space="preserve">APTNT, </w:t>
      </w:r>
      <w:r w:rsidRPr="00A0090B">
        <w:rPr>
          <w:rStyle w:val="Emphasis"/>
        </w:rPr>
        <w:t>Amadeus Gas Pipeline, Access Arrangement Revised Proposal, Response to Draft Submission Decision, 1 July 2016 to 30 June 2021</w:t>
      </w:r>
      <w:r>
        <w:t>, January 2016, p. 37.</w:t>
      </w:r>
    </w:p>
  </w:footnote>
  <w:footnote w:id="19">
    <w:p w:rsidR="008A7C24" w:rsidRDefault="008A7C24">
      <w:pPr>
        <w:pStyle w:val="FootnoteText"/>
      </w:pPr>
      <w:r>
        <w:rPr>
          <w:rStyle w:val="FootnoteReference"/>
        </w:rPr>
        <w:footnoteRef/>
      </w:r>
      <w:r>
        <w:t xml:space="preserve"> </w:t>
      </w:r>
      <w:r>
        <w:tab/>
        <w:t xml:space="preserve">APTNT, </w:t>
      </w:r>
      <w:r w:rsidRPr="00A0090B">
        <w:rPr>
          <w:rStyle w:val="Emphasis"/>
        </w:rPr>
        <w:t>Amadeus Gas Pipeline, Access Arrangement Revised Proposal, Response to Draft Submission Decision, 1 July 2016 to 30 June 2021</w:t>
      </w:r>
      <w:r>
        <w:t>, January 2016, pp. 38</w:t>
      </w:r>
      <w:r w:rsidRPr="00440D98">
        <w:t>–</w:t>
      </w:r>
      <w:r>
        <w:t>40.</w:t>
      </w:r>
    </w:p>
  </w:footnote>
  <w:footnote w:id="20">
    <w:p w:rsidR="008A7C24" w:rsidRDefault="008A7C24">
      <w:pPr>
        <w:pStyle w:val="FootnoteText"/>
      </w:pPr>
      <w:r>
        <w:rPr>
          <w:rStyle w:val="FootnoteReference"/>
        </w:rPr>
        <w:footnoteRef/>
      </w:r>
      <w:r>
        <w:t xml:space="preserve"> </w:t>
      </w:r>
      <w:r>
        <w:tab/>
        <w:t xml:space="preserve">APTNT, </w:t>
      </w:r>
      <w:r w:rsidRPr="00A0090B">
        <w:rPr>
          <w:rStyle w:val="Emphasis"/>
        </w:rPr>
        <w:t>Amadeus Gas Pipeline, Access Arrangement Revised Proposal, Response to Draft Submission Decision, 1 July 2016 to 30 June 2021</w:t>
      </w:r>
      <w:r>
        <w:t>, January 2016, p. 38.</w:t>
      </w:r>
    </w:p>
  </w:footnote>
  <w:footnote w:id="21">
    <w:p w:rsidR="008A7C24" w:rsidRDefault="008A7C24">
      <w:pPr>
        <w:pStyle w:val="FootnoteText"/>
      </w:pPr>
      <w:r>
        <w:rPr>
          <w:rStyle w:val="FootnoteReference"/>
        </w:rPr>
        <w:footnoteRef/>
      </w:r>
      <w:r>
        <w:t xml:space="preserve"> </w:t>
      </w:r>
      <w:r>
        <w:tab/>
        <w:t xml:space="preserve">APTNT, </w:t>
      </w:r>
      <w:r w:rsidRPr="00A0090B">
        <w:rPr>
          <w:rStyle w:val="Emphasis"/>
        </w:rPr>
        <w:t>Amadeus Gas Pipeline, Access Arrangement Revised Proposal, Response to Draft Submission Decision, 1 July 2016 to 30 June 2021</w:t>
      </w:r>
      <w:r>
        <w:t>, January 2016, pp. 40</w:t>
      </w:r>
      <w:r w:rsidRPr="00440D98">
        <w:t>–</w:t>
      </w:r>
      <w:r>
        <w:t>41.</w:t>
      </w:r>
    </w:p>
  </w:footnote>
  <w:footnote w:id="22">
    <w:p w:rsidR="008A7C24" w:rsidRDefault="008A7C24">
      <w:pPr>
        <w:pStyle w:val="FootnoteText"/>
      </w:pPr>
      <w:r>
        <w:rPr>
          <w:rStyle w:val="FootnoteReference"/>
        </w:rPr>
        <w:footnoteRef/>
      </w:r>
      <w:r>
        <w:t xml:space="preserve"> </w:t>
      </w:r>
      <w:r>
        <w:tab/>
        <w:t xml:space="preserve">APTNT, </w:t>
      </w:r>
      <w:r w:rsidRPr="00A0090B">
        <w:rPr>
          <w:rStyle w:val="Emphasis"/>
        </w:rPr>
        <w:t>Amadeus Gas Pipeline, Access Arrangement Revised Proposal, Response to Draft Submission Decision, 1 July 2016 to 30 June 2021</w:t>
      </w:r>
      <w:r>
        <w:t>, January 2016, pp. 41</w:t>
      </w:r>
      <w:r w:rsidRPr="00440D98">
        <w:t>–</w:t>
      </w:r>
      <w:r>
        <w:t>42.</w:t>
      </w:r>
    </w:p>
  </w:footnote>
  <w:footnote w:id="23">
    <w:p w:rsidR="008A7C24" w:rsidRDefault="008A7C24">
      <w:pPr>
        <w:pStyle w:val="FootnoteText"/>
      </w:pPr>
      <w:r>
        <w:rPr>
          <w:rStyle w:val="FootnoteReference"/>
        </w:rPr>
        <w:footnoteRef/>
      </w:r>
      <w:r>
        <w:t xml:space="preserve"> </w:t>
      </w:r>
      <w:r>
        <w:tab/>
        <w:t xml:space="preserve">APTNT, </w:t>
      </w:r>
      <w:r w:rsidRPr="00A0090B">
        <w:rPr>
          <w:rStyle w:val="Emphasis"/>
        </w:rPr>
        <w:t>Amadeus Gas Pipeline, Access Arrangement Revised Proposal, Response to Draft Submission Decision, 1 July 2016 to 30 June 2021</w:t>
      </w:r>
      <w:r>
        <w:t>, January 2016, p. 42.</w:t>
      </w:r>
    </w:p>
  </w:footnote>
  <w:footnote w:id="24">
    <w:p w:rsidR="008A7C24" w:rsidRDefault="008A7C24">
      <w:pPr>
        <w:pStyle w:val="FootnoteText"/>
      </w:pPr>
      <w:r>
        <w:rPr>
          <w:rStyle w:val="FootnoteReference"/>
        </w:rPr>
        <w:footnoteRef/>
      </w:r>
      <w:r>
        <w:t xml:space="preserve"> </w:t>
      </w:r>
      <w:r>
        <w:tab/>
        <w:t xml:space="preserve">APTNT, </w:t>
      </w:r>
      <w:r w:rsidRPr="00A0090B">
        <w:rPr>
          <w:rStyle w:val="Emphasis"/>
        </w:rPr>
        <w:t>Amadeus Gas Pipeline, Access Arrangement Revised Proposal, Response to Draft Submission Decision, 1 July 2016 to 30 June 2021</w:t>
      </w:r>
      <w:r>
        <w:t>, January 2016, p. 43.</w:t>
      </w:r>
    </w:p>
  </w:footnote>
  <w:footnote w:id="25">
    <w:p w:rsidR="008A7C24" w:rsidRDefault="008A7C24">
      <w:pPr>
        <w:pStyle w:val="FootnoteText"/>
      </w:pPr>
      <w:r>
        <w:rPr>
          <w:rStyle w:val="FootnoteReference"/>
        </w:rPr>
        <w:footnoteRef/>
      </w:r>
      <w:r>
        <w:t xml:space="preserve"> </w:t>
      </w:r>
      <w:r>
        <w:tab/>
        <w:t xml:space="preserve">AER, Draft Decision, </w:t>
      </w:r>
      <w:r w:rsidRPr="007E76E0">
        <w:rPr>
          <w:rStyle w:val="AERtextitalic"/>
        </w:rPr>
        <w:t>Amadeus Gas Pipeline Access Arrangement 2016 to 2021, Attachment</w:t>
      </w:r>
      <w:r>
        <w:rPr>
          <w:rStyle w:val="AERtextitalic"/>
        </w:rPr>
        <w:t xml:space="preserve"> 6 - Capital</w:t>
      </w:r>
      <w:r w:rsidRPr="007E76E0">
        <w:rPr>
          <w:rStyle w:val="AERtextitalic"/>
        </w:rPr>
        <w:t xml:space="preserve"> expenditure</w:t>
      </w:r>
      <w:r>
        <w:t>, November 2015, pp. 6-10 to 6-14</w:t>
      </w:r>
      <w:r w:rsidRPr="007E76E0">
        <w:t>.</w:t>
      </w:r>
    </w:p>
  </w:footnote>
  <w:footnote w:id="26">
    <w:p w:rsidR="008A7C24" w:rsidRDefault="008A7C24" w:rsidP="00876A46">
      <w:pPr>
        <w:pStyle w:val="FootnoteText"/>
      </w:pPr>
      <w:r>
        <w:rPr>
          <w:rStyle w:val="FootnoteReference"/>
        </w:rPr>
        <w:footnoteRef/>
      </w:r>
      <w:r>
        <w:t xml:space="preserve"> </w:t>
      </w:r>
      <w:r>
        <w:tab/>
      </w:r>
      <w:proofErr w:type="gramStart"/>
      <w:r>
        <w:t>AER</w:t>
      </w:r>
      <w:r w:rsidRPr="00BB33BA">
        <w:rPr>
          <w:rStyle w:val="AERtextitalic"/>
        </w:rPr>
        <w:t>, Draft decision - Amadeus Gas Pipeline Access Arrangement 2016 to 2021 Attachment 6 – Capital expenditure</w:t>
      </w:r>
      <w:r>
        <w:t>, November 2015, pp. 6-15 to 6-16.</w:t>
      </w:r>
      <w:proofErr w:type="gramEnd"/>
    </w:p>
  </w:footnote>
  <w:footnote w:id="27">
    <w:p w:rsidR="008A7C24" w:rsidRDefault="008A7C24">
      <w:pPr>
        <w:pStyle w:val="FootnoteText"/>
      </w:pPr>
      <w:r>
        <w:rPr>
          <w:rStyle w:val="FootnoteReference"/>
        </w:rPr>
        <w:footnoteRef/>
      </w:r>
      <w:r>
        <w:t xml:space="preserve"> </w:t>
      </w:r>
      <w:r>
        <w:tab/>
      </w:r>
      <w:r w:rsidRPr="00A83E2F">
        <w:t>APTNT</w:t>
      </w:r>
      <w:r>
        <w:t>,</w:t>
      </w:r>
      <w:r w:rsidRPr="00A83E2F">
        <w:t xml:space="preserve"> </w:t>
      </w:r>
      <w:r w:rsidRPr="00A83E2F">
        <w:rPr>
          <w:rStyle w:val="AERtextitalic"/>
        </w:rPr>
        <w:t>Amadeus Gas Pipeline Access Arrangement Revised Proposal, B6 Capex model - 2016 AER labour escalators</w:t>
      </w:r>
      <w:r>
        <w:t>,</w:t>
      </w:r>
      <w:r w:rsidRPr="00A83E2F">
        <w:t xml:space="preserve"> January 2016</w:t>
      </w:r>
      <w:r>
        <w:t>.</w:t>
      </w:r>
    </w:p>
  </w:footnote>
  <w:footnote w:id="28">
    <w:p w:rsidR="008A7C24" w:rsidRDefault="008A7C24">
      <w:pPr>
        <w:pStyle w:val="FootnoteText"/>
      </w:pPr>
      <w:r>
        <w:rPr>
          <w:rStyle w:val="FootnoteReference"/>
        </w:rPr>
        <w:footnoteRef/>
      </w:r>
      <w:r>
        <w:t xml:space="preserve"> </w:t>
      </w:r>
      <w:r>
        <w:tab/>
      </w:r>
      <w:proofErr w:type="gramStart"/>
      <w:r w:rsidRPr="002C329D">
        <w:t>AER</w:t>
      </w:r>
      <w:r w:rsidRPr="002C329D">
        <w:rPr>
          <w:rStyle w:val="AERtextitalic"/>
        </w:rPr>
        <w:t>, Draft decision - Amadeus Gas Pipeline Access Arrangement 2016 to 2021 Attachment 6 – Capital expenditure</w:t>
      </w:r>
      <w:r w:rsidRPr="002C329D">
        <w:t>, November 2015, p. 6-16.</w:t>
      </w:r>
      <w:proofErr w:type="gramEnd"/>
    </w:p>
  </w:footnote>
  <w:footnote w:id="29">
    <w:p w:rsidR="008A7C24" w:rsidRDefault="008A7C24">
      <w:pPr>
        <w:pStyle w:val="FootnoteText"/>
      </w:pPr>
      <w:r>
        <w:rPr>
          <w:rStyle w:val="FootnoteReference"/>
        </w:rPr>
        <w:footnoteRef/>
      </w:r>
      <w:r>
        <w:t xml:space="preserve"> </w:t>
      </w:r>
      <w:r>
        <w:tab/>
      </w:r>
      <w:proofErr w:type="gramStart"/>
      <w:r w:rsidRPr="0072792F">
        <w:t>AER</w:t>
      </w:r>
      <w:r w:rsidRPr="0072792F">
        <w:rPr>
          <w:rStyle w:val="AERtextitalic"/>
        </w:rPr>
        <w:t>, Draft decision - Amadeus Gas Pipeline Access Arrangement 2016 to 2021 Attachment 6 – Capital expenditure</w:t>
      </w:r>
      <w:r w:rsidRPr="0072792F">
        <w:t>, November 2015, p. 6-1</w:t>
      </w:r>
      <w:r>
        <w:t>9</w:t>
      </w:r>
      <w:r w:rsidRPr="0072792F">
        <w:t>.</w:t>
      </w:r>
      <w:proofErr w:type="gramEnd"/>
    </w:p>
  </w:footnote>
  <w:footnote w:id="30">
    <w:p w:rsidR="008A7C24" w:rsidRDefault="008A7C24" w:rsidP="00D46184">
      <w:pPr>
        <w:pStyle w:val="FootnoteText"/>
      </w:pPr>
      <w:r>
        <w:rPr>
          <w:rStyle w:val="FootnoteReference"/>
        </w:rPr>
        <w:footnoteRef/>
      </w:r>
      <w:r>
        <w:t xml:space="preserve"> </w:t>
      </w:r>
      <w:r>
        <w:tab/>
        <w:t xml:space="preserve">APTNT, </w:t>
      </w:r>
      <w:r w:rsidRPr="00A0090B">
        <w:rPr>
          <w:rStyle w:val="Emphasis"/>
        </w:rPr>
        <w:t>Amadeus Gas Pipeline, Access Arrangement Revised Proposal, Response to Draft Submission Decision, 1 July 2016 to 30 June 2021</w:t>
      </w:r>
      <w:r>
        <w:t>, January 2016, pp. 31</w:t>
      </w:r>
      <w:r w:rsidRPr="00440D98">
        <w:t>–</w:t>
      </w:r>
      <w:r>
        <w:t>32.</w:t>
      </w:r>
    </w:p>
  </w:footnote>
  <w:footnote w:id="31">
    <w:p w:rsidR="008A7C24" w:rsidRDefault="008A7C24">
      <w:pPr>
        <w:pStyle w:val="FootnoteText"/>
      </w:pPr>
      <w:r>
        <w:rPr>
          <w:rStyle w:val="FootnoteReference"/>
        </w:rPr>
        <w:footnoteRef/>
      </w:r>
      <w:r>
        <w:t xml:space="preserve"> </w:t>
      </w:r>
      <w:r>
        <w:tab/>
        <w:t xml:space="preserve">Power and Water Corporation, </w:t>
      </w:r>
      <w:r w:rsidRPr="00BB33BA">
        <w:rPr>
          <w:rStyle w:val="AERtextitalic"/>
        </w:rPr>
        <w:t>Amadeus Gas Pipeline Access Arrangement 2016-21, Submission of Power and Water Corporation (public version)</w:t>
      </w:r>
      <w:r>
        <w:t>, February 2016.</w:t>
      </w:r>
    </w:p>
  </w:footnote>
  <w:footnote w:id="32">
    <w:p w:rsidR="008A7C24" w:rsidRDefault="008A7C24" w:rsidP="00747FBC">
      <w:pPr>
        <w:pStyle w:val="FootnoteText"/>
      </w:pPr>
      <w:r>
        <w:rPr>
          <w:rStyle w:val="FootnoteReference"/>
        </w:rPr>
        <w:footnoteRef/>
      </w:r>
      <w:r>
        <w:t xml:space="preserve"> </w:t>
      </w:r>
      <w:r>
        <w:tab/>
        <w:t xml:space="preserve">APTNT, </w:t>
      </w:r>
      <w:r w:rsidRPr="00A0090B">
        <w:rPr>
          <w:rStyle w:val="Emphasis"/>
        </w:rPr>
        <w:t>Amadeus Gas Pipeline, Access Arrangement Revised Proposal, Response to Draft Submission Decision, 1 July 2016 to 30 June 2021</w:t>
      </w:r>
      <w:r>
        <w:t>, January 2016, p. 31.</w:t>
      </w:r>
    </w:p>
  </w:footnote>
  <w:footnote w:id="33">
    <w:p w:rsidR="008A7C24" w:rsidRDefault="008A7C24" w:rsidP="00747FBC">
      <w:pPr>
        <w:pStyle w:val="FootnoteText"/>
      </w:pPr>
      <w:r>
        <w:rPr>
          <w:rStyle w:val="FootnoteReference"/>
        </w:rPr>
        <w:footnoteRef/>
      </w:r>
      <w:r>
        <w:t xml:space="preserve"> </w:t>
      </w:r>
      <w:r>
        <w:tab/>
        <w:t xml:space="preserve">APTNT, </w:t>
      </w:r>
      <w:r w:rsidRPr="00A0090B">
        <w:rPr>
          <w:rStyle w:val="Emphasis"/>
        </w:rPr>
        <w:t>Amadeus Gas Pipeline, Access Arrangement Revised Proposal, Response to Draft Submission Decision, 1 July 2016 to 30 June 2021</w:t>
      </w:r>
      <w:r>
        <w:t>, January 2016, p. 31.</w:t>
      </w:r>
    </w:p>
  </w:footnote>
  <w:footnote w:id="34">
    <w:p w:rsidR="008A7C24" w:rsidRDefault="008A7C24" w:rsidP="00BF5EC8">
      <w:pPr>
        <w:pStyle w:val="FootnoteText"/>
      </w:pPr>
      <w:r>
        <w:rPr>
          <w:rStyle w:val="FootnoteReference"/>
        </w:rPr>
        <w:footnoteRef/>
      </w:r>
      <w:r>
        <w:t xml:space="preserve"> </w:t>
      </w:r>
      <w:r>
        <w:tab/>
      </w:r>
      <w:proofErr w:type="spellStart"/>
      <w:r>
        <w:t>Sleeman</w:t>
      </w:r>
      <w:proofErr w:type="spellEnd"/>
      <w:r>
        <w:t xml:space="preserve"> Consulting, </w:t>
      </w:r>
      <w:r w:rsidRPr="00BF5EC8">
        <w:rPr>
          <w:rStyle w:val="AERtextitalic"/>
        </w:rPr>
        <w:t>Comments on APT Pipelines (NT) Pty Limited’s Response to the AER’s Draft Decision</w:t>
      </w:r>
      <w:r>
        <w:t>, March 2016.</w:t>
      </w:r>
    </w:p>
  </w:footnote>
  <w:footnote w:id="35">
    <w:p w:rsidR="008A7C24" w:rsidRDefault="008A7C24">
      <w:pPr>
        <w:pStyle w:val="FootnoteText"/>
      </w:pPr>
      <w:r>
        <w:rPr>
          <w:rStyle w:val="FootnoteReference"/>
        </w:rPr>
        <w:footnoteRef/>
      </w:r>
      <w:r>
        <w:t xml:space="preserve"> </w:t>
      </w:r>
      <w:r>
        <w:tab/>
      </w:r>
      <w:proofErr w:type="gramStart"/>
      <w:r>
        <w:t xml:space="preserve">APTNT, </w:t>
      </w:r>
      <w:r w:rsidRPr="00411489">
        <w:rPr>
          <w:rStyle w:val="AERtextitalic"/>
        </w:rPr>
        <w:t>Response to Information Request AER Amadeus 13a (PUBLIC)</w:t>
      </w:r>
      <w:r>
        <w:rPr>
          <w:rStyle w:val="AERtextitalic"/>
        </w:rPr>
        <w:t xml:space="preserve"> </w:t>
      </w:r>
      <w:r w:rsidRPr="00A0090B">
        <w:rPr>
          <w:rStyle w:val="AERtextsize8"/>
        </w:rPr>
        <w:t>[email to AER]</w:t>
      </w:r>
      <w:r>
        <w:t>, 22 March 2016, pp. 1-3.</w:t>
      </w:r>
      <w:proofErr w:type="gramEnd"/>
    </w:p>
  </w:footnote>
  <w:footnote w:id="36">
    <w:p w:rsidR="008A7C24" w:rsidRDefault="008A7C24">
      <w:pPr>
        <w:pStyle w:val="FootnoteText"/>
      </w:pPr>
      <w:r>
        <w:rPr>
          <w:rStyle w:val="FootnoteReference"/>
        </w:rPr>
        <w:footnoteRef/>
      </w:r>
      <w:r>
        <w:t xml:space="preserve"> </w:t>
      </w:r>
      <w:r>
        <w:tab/>
      </w:r>
      <w:proofErr w:type="gramStart"/>
      <w:r>
        <w:t xml:space="preserve">APTNT, </w:t>
      </w:r>
      <w:r w:rsidRPr="00411489">
        <w:rPr>
          <w:rStyle w:val="AERtextitalic"/>
        </w:rPr>
        <w:t>Response to Information Request AER Amadeus 13a (PUBLIC)</w:t>
      </w:r>
      <w:r>
        <w:rPr>
          <w:rStyle w:val="AERtextitalic"/>
        </w:rPr>
        <w:t xml:space="preserve"> </w:t>
      </w:r>
      <w:r w:rsidRPr="00A0090B">
        <w:rPr>
          <w:rStyle w:val="AERtextsize8"/>
        </w:rPr>
        <w:t>[email to AER]</w:t>
      </w:r>
      <w:r>
        <w:t>, 22 March 2016, p. 2.</w:t>
      </w:r>
      <w:proofErr w:type="gramEnd"/>
    </w:p>
  </w:footnote>
  <w:footnote w:id="37">
    <w:p w:rsidR="008A7C24" w:rsidRDefault="008A7C24">
      <w:pPr>
        <w:pStyle w:val="FootnoteText"/>
      </w:pPr>
      <w:r>
        <w:rPr>
          <w:rStyle w:val="FootnoteReference"/>
        </w:rPr>
        <w:footnoteRef/>
      </w:r>
      <w:r>
        <w:t xml:space="preserve"> </w:t>
      </w:r>
      <w:r>
        <w:tab/>
      </w:r>
      <w:proofErr w:type="gramStart"/>
      <w:r w:rsidRPr="002C329D">
        <w:t>AER</w:t>
      </w:r>
      <w:r w:rsidRPr="002C329D">
        <w:rPr>
          <w:rStyle w:val="AERtextitalic"/>
        </w:rPr>
        <w:t>, Draft decision - Amadeus Gas Pipeline Access Arrangement 2016 to 2021 Attachment 6 – Capital expenditure</w:t>
      </w:r>
      <w:r w:rsidRPr="002C329D">
        <w:t>, November 2015, p. 6-</w:t>
      </w:r>
      <w:r>
        <w:t>28</w:t>
      </w:r>
      <w:r w:rsidRPr="002C329D">
        <w:t>.</w:t>
      </w:r>
      <w:proofErr w:type="gramEnd"/>
    </w:p>
  </w:footnote>
  <w:footnote w:id="38">
    <w:p w:rsidR="008A7C24" w:rsidRDefault="008A7C24">
      <w:pPr>
        <w:pStyle w:val="FootnoteText"/>
      </w:pPr>
      <w:r>
        <w:rPr>
          <w:rStyle w:val="FootnoteReference"/>
        </w:rPr>
        <w:footnoteRef/>
      </w:r>
      <w:r>
        <w:t xml:space="preserve"> </w:t>
      </w:r>
      <w:r>
        <w:tab/>
      </w:r>
      <w:proofErr w:type="gramStart"/>
      <w:r w:rsidRPr="002C329D">
        <w:t>AER</w:t>
      </w:r>
      <w:r w:rsidRPr="002C329D">
        <w:rPr>
          <w:rStyle w:val="AERtextitalic"/>
        </w:rPr>
        <w:t>, Draft decision - Amadeus Gas Pipeline Access Arrangement 2016 to 2021 Attachment 6 – Capital expenditure</w:t>
      </w:r>
      <w:r w:rsidRPr="002C329D">
        <w:t>, November 2015, p. 6-</w:t>
      </w:r>
      <w:r>
        <w:t>24</w:t>
      </w:r>
      <w:r w:rsidRPr="002C329D">
        <w:t>.</w:t>
      </w:r>
      <w:proofErr w:type="gramEnd"/>
    </w:p>
  </w:footnote>
  <w:footnote w:id="39">
    <w:p w:rsidR="008A7C24" w:rsidRDefault="008A7C24">
      <w:pPr>
        <w:pStyle w:val="FootnoteText"/>
      </w:pPr>
      <w:r>
        <w:rPr>
          <w:rStyle w:val="FootnoteReference"/>
        </w:rPr>
        <w:footnoteRef/>
      </w:r>
      <w:r>
        <w:t xml:space="preserve"> </w:t>
      </w:r>
      <w:r>
        <w:tab/>
      </w:r>
      <w:proofErr w:type="gramStart"/>
      <w:r w:rsidRPr="002C329D">
        <w:t>AER</w:t>
      </w:r>
      <w:r w:rsidRPr="002C329D">
        <w:rPr>
          <w:rStyle w:val="AERtextitalic"/>
        </w:rPr>
        <w:t>, Draft decision - Amadeus Gas Pipeline Access Arrangement 2016 to 2021 Attachment 6 – Capital expenditure</w:t>
      </w:r>
      <w:r w:rsidRPr="002C329D">
        <w:t>, November 2015, p. 6-</w:t>
      </w:r>
      <w:r>
        <w:t>19</w:t>
      </w:r>
      <w:r w:rsidRPr="002C329D">
        <w:t>.</w:t>
      </w:r>
      <w:proofErr w:type="gramEnd"/>
    </w:p>
  </w:footnote>
  <w:footnote w:id="40">
    <w:p w:rsidR="008A7C24" w:rsidRDefault="008A7C24">
      <w:pPr>
        <w:pStyle w:val="FootnoteText"/>
      </w:pPr>
      <w:r>
        <w:rPr>
          <w:rStyle w:val="FootnoteReference"/>
        </w:rPr>
        <w:footnoteRef/>
      </w:r>
      <w:r>
        <w:t xml:space="preserve"> </w:t>
      </w:r>
      <w:r>
        <w:tab/>
      </w:r>
      <w:proofErr w:type="gramStart"/>
      <w:r w:rsidRPr="002C329D">
        <w:t>AER</w:t>
      </w:r>
      <w:r w:rsidRPr="002C329D">
        <w:rPr>
          <w:rStyle w:val="AERtextitalic"/>
        </w:rPr>
        <w:t>, Draft decision - Amadeus Gas Pipeline Access Arrangement 2016 to 2021 Attachment 6 – Capital expenditure</w:t>
      </w:r>
      <w:r w:rsidRPr="002C329D">
        <w:t>, November 2015, p. 6-</w:t>
      </w:r>
      <w:r>
        <w:t>27</w:t>
      </w:r>
      <w:r w:rsidRPr="002C329D">
        <w:t>.</w:t>
      </w:r>
      <w:proofErr w:type="gramEnd"/>
    </w:p>
  </w:footnote>
  <w:footnote w:id="41">
    <w:p w:rsidR="008A7C24" w:rsidRDefault="008A7C24">
      <w:pPr>
        <w:pStyle w:val="FootnoteText"/>
      </w:pPr>
      <w:r>
        <w:rPr>
          <w:rStyle w:val="FootnoteReference"/>
        </w:rPr>
        <w:footnoteRef/>
      </w:r>
      <w:r>
        <w:t xml:space="preserve"> </w:t>
      </w:r>
      <w:r>
        <w:tab/>
      </w:r>
      <w:proofErr w:type="gramStart"/>
      <w:r>
        <w:t xml:space="preserve">APTNT, </w:t>
      </w:r>
      <w:r>
        <w:rPr>
          <w:rStyle w:val="AERtextitalic"/>
        </w:rPr>
        <w:t>Further r</w:t>
      </w:r>
      <w:r w:rsidRPr="00411489">
        <w:rPr>
          <w:rStyle w:val="AERtextitalic"/>
        </w:rPr>
        <w:t xml:space="preserve">esponse to Information Request AER Amadeus 13a </w:t>
      </w:r>
      <w:r w:rsidRPr="00A0090B">
        <w:rPr>
          <w:rStyle w:val="AERtextsize8"/>
        </w:rPr>
        <w:t>[email to AER]</w:t>
      </w:r>
      <w:r>
        <w:t>, 24 March 2016.</w:t>
      </w:r>
      <w:proofErr w:type="gramEnd"/>
    </w:p>
  </w:footnote>
  <w:footnote w:id="42">
    <w:p w:rsidR="008A7C24" w:rsidRDefault="008A7C24" w:rsidP="005E115A">
      <w:pPr>
        <w:pStyle w:val="FootnoteText"/>
      </w:pPr>
      <w:r>
        <w:rPr>
          <w:rStyle w:val="FootnoteReference"/>
        </w:rPr>
        <w:footnoteRef/>
      </w:r>
      <w:r>
        <w:t xml:space="preserve"> </w:t>
      </w:r>
      <w:r>
        <w:tab/>
        <w:t>Australian Standard AS2885.3 provides that “where a pipeline (or section of a pipeline) is not capable of being inspected by an inline tool, the Licensee shall consider whether the pipeline needs to be modified to permit inspection by an inline inspection tool. Any decision not to undertake modifications for this purpose shall be consistent with the safety management study and the pipeline integrity management plan, and shall be documented.”</w:t>
      </w:r>
    </w:p>
  </w:footnote>
  <w:footnote w:id="43">
    <w:p w:rsidR="008A7C24" w:rsidRDefault="008A7C24" w:rsidP="00600F00">
      <w:pPr>
        <w:pStyle w:val="FootnoteText"/>
      </w:pPr>
      <w:r>
        <w:rPr>
          <w:rStyle w:val="FootnoteReference"/>
        </w:rPr>
        <w:footnoteRef/>
      </w:r>
      <w:r>
        <w:t xml:space="preserve"> </w:t>
      </w:r>
      <w:r>
        <w:tab/>
        <w:t>NGR, r. 79(1</w:t>
      </w:r>
      <w:proofErr w:type="gramStart"/>
      <w:r>
        <w:t>)(</w:t>
      </w:r>
      <w:proofErr w:type="gramEnd"/>
      <w:r>
        <w:t>a).</w:t>
      </w:r>
    </w:p>
  </w:footnote>
  <w:footnote w:id="44">
    <w:p w:rsidR="008A7C24" w:rsidRDefault="008A7C24">
      <w:pPr>
        <w:pStyle w:val="FootnoteText"/>
      </w:pPr>
      <w:r>
        <w:rPr>
          <w:rStyle w:val="FootnoteReference"/>
        </w:rPr>
        <w:footnoteRef/>
      </w:r>
      <w:r>
        <w:t xml:space="preserve"> </w:t>
      </w:r>
      <w:r>
        <w:tab/>
      </w:r>
      <w:proofErr w:type="gramStart"/>
      <w:r w:rsidRPr="002C329D">
        <w:t>AER</w:t>
      </w:r>
      <w:r w:rsidRPr="002C329D">
        <w:rPr>
          <w:rStyle w:val="AERtextitalic"/>
        </w:rPr>
        <w:t>, Draft decision - Amadeus Gas Pipeline Access Arrangement 2016 to 2021 Attachment 6 – Capital expenditure</w:t>
      </w:r>
      <w:r w:rsidRPr="002C329D">
        <w:t>, November 2015, p. 6-</w:t>
      </w:r>
      <w:r>
        <w:t>26</w:t>
      </w:r>
      <w:r w:rsidRPr="002C329D">
        <w:t>.</w:t>
      </w:r>
      <w:proofErr w:type="gramEnd"/>
    </w:p>
  </w:footnote>
  <w:footnote w:id="45">
    <w:p w:rsidR="008A7C24" w:rsidRDefault="008A7C24" w:rsidP="00A35F25">
      <w:pPr>
        <w:pStyle w:val="FootnoteText"/>
      </w:pPr>
      <w:r>
        <w:rPr>
          <w:rStyle w:val="FootnoteReference"/>
        </w:rPr>
        <w:footnoteRef/>
      </w:r>
      <w:r>
        <w:t xml:space="preserve"> </w:t>
      </w:r>
      <w:r>
        <w:tab/>
      </w:r>
      <w:proofErr w:type="gramStart"/>
      <w:r w:rsidRPr="002C329D">
        <w:t>AER</w:t>
      </w:r>
      <w:r w:rsidRPr="002C329D">
        <w:rPr>
          <w:rStyle w:val="AERtextitalic"/>
        </w:rPr>
        <w:t>, Draft decision - Amadeus Gas Pipeline Access Arrangement 2016 to 2021 Attachment 6 – Capital expenditure</w:t>
      </w:r>
      <w:r w:rsidRPr="002C329D">
        <w:t>, November 2015, p. 6-</w:t>
      </w:r>
      <w:r>
        <w:t>26</w:t>
      </w:r>
      <w:r w:rsidRPr="002C329D">
        <w:t>.</w:t>
      </w:r>
      <w:proofErr w:type="gramEnd"/>
    </w:p>
  </w:footnote>
  <w:footnote w:id="46">
    <w:p w:rsidR="008A7C24" w:rsidRDefault="008A7C24">
      <w:pPr>
        <w:pStyle w:val="FootnoteText"/>
      </w:pPr>
      <w:r>
        <w:rPr>
          <w:rStyle w:val="FootnoteReference"/>
        </w:rPr>
        <w:footnoteRef/>
      </w:r>
      <w:r>
        <w:t xml:space="preserve"> </w:t>
      </w:r>
      <w:r>
        <w:tab/>
        <w:t xml:space="preserve">Power and Water Corporation, </w:t>
      </w:r>
      <w:r w:rsidRPr="00BB33BA">
        <w:rPr>
          <w:rStyle w:val="AERtextitalic"/>
        </w:rPr>
        <w:t>Amadeus Gas Pipeline Access Arrangement 2016-21, Submission of Power and Water Corporation (public version)</w:t>
      </w:r>
      <w:r>
        <w:t>, February 2016, p. 3.</w:t>
      </w:r>
    </w:p>
  </w:footnote>
  <w:footnote w:id="47">
    <w:p w:rsidR="008A7C24" w:rsidRDefault="008A7C24" w:rsidP="00C25F43">
      <w:pPr>
        <w:pStyle w:val="FootnoteText"/>
      </w:pPr>
      <w:r>
        <w:rPr>
          <w:rStyle w:val="FootnoteReference"/>
        </w:rPr>
        <w:footnoteRef/>
      </w:r>
      <w:r>
        <w:t xml:space="preserve"> </w:t>
      </w:r>
      <w:r>
        <w:tab/>
        <w:t xml:space="preserve">Power and Water Corporation, </w:t>
      </w:r>
      <w:r w:rsidRPr="00BB33BA">
        <w:rPr>
          <w:rStyle w:val="AERtextitalic"/>
        </w:rPr>
        <w:t>Amadeus Gas Pipeline Access Arrangement 2016-21, Submission of Power and Water Corporation (public version)</w:t>
      </w:r>
      <w:r>
        <w:t>, February 2016, pp. 3</w:t>
      </w:r>
      <w:r w:rsidR="00A96938" w:rsidRPr="00440D98">
        <w:t>–</w:t>
      </w:r>
      <w:r>
        <w:t>4.</w:t>
      </w:r>
    </w:p>
  </w:footnote>
  <w:footnote w:id="48">
    <w:p w:rsidR="008A7C24" w:rsidRDefault="008A7C24" w:rsidP="00892DFB">
      <w:pPr>
        <w:pStyle w:val="FootnoteText"/>
      </w:pPr>
      <w:r>
        <w:rPr>
          <w:rStyle w:val="FootnoteReference"/>
        </w:rPr>
        <w:footnoteRef/>
      </w:r>
      <w:r>
        <w:t xml:space="preserve"> </w:t>
      </w:r>
      <w:r>
        <w:tab/>
        <w:t xml:space="preserve">Territory Generation, </w:t>
      </w:r>
      <w:hyperlink r:id="rId1" w:history="1">
        <w:r w:rsidRPr="00307353">
          <w:rPr>
            <w:rStyle w:val="AERtextitalic"/>
          </w:rPr>
          <w:t xml:space="preserve">Submission on APT Pipelines (NT) Pty </w:t>
        </w:r>
        <w:proofErr w:type="spellStart"/>
        <w:r w:rsidRPr="00307353">
          <w:rPr>
            <w:rStyle w:val="AERtextitalic"/>
          </w:rPr>
          <w:t>Ltd’s</w:t>
        </w:r>
        <w:proofErr w:type="spellEnd"/>
        <w:r w:rsidRPr="00307353">
          <w:rPr>
            <w:rStyle w:val="AERtextitalic"/>
          </w:rPr>
          <w:t xml:space="preserve"> Revised Proposal for the Amadeus Gas Pipeline Access Arrangement for the 2016-21 Access Arrangement Period</w:t>
        </w:r>
        <w:r>
          <w:t>,</w:t>
        </w:r>
        <w:r w:rsidRPr="00307353">
          <w:t xml:space="preserve"> February 2016</w:t>
        </w:r>
      </w:hyperlink>
      <w:r>
        <w:t>.</w:t>
      </w:r>
    </w:p>
  </w:footnote>
  <w:footnote w:id="49">
    <w:p w:rsidR="008A7C24" w:rsidRDefault="008A7C24" w:rsidP="00892DFB">
      <w:pPr>
        <w:pStyle w:val="FootnoteText"/>
      </w:pPr>
      <w:r>
        <w:rPr>
          <w:rStyle w:val="FootnoteReference"/>
        </w:rPr>
        <w:footnoteRef/>
      </w:r>
      <w:r>
        <w:t xml:space="preserve"> </w:t>
      </w:r>
      <w:r>
        <w:tab/>
      </w:r>
      <w:r w:rsidRPr="00B9684B">
        <w:t xml:space="preserve">Territory Generation, </w:t>
      </w:r>
      <w:hyperlink r:id="rId2" w:history="1">
        <w:r w:rsidRPr="00B9684B">
          <w:rPr>
            <w:rStyle w:val="AERtextitalic"/>
          </w:rPr>
          <w:t xml:space="preserve">Submission on APT Pipelines (NT) Pty </w:t>
        </w:r>
        <w:proofErr w:type="spellStart"/>
        <w:r w:rsidRPr="00B9684B">
          <w:rPr>
            <w:rStyle w:val="AERtextitalic"/>
          </w:rPr>
          <w:t>Ltd’s</w:t>
        </w:r>
        <w:proofErr w:type="spellEnd"/>
        <w:r w:rsidRPr="00B9684B">
          <w:rPr>
            <w:rStyle w:val="AERtextitalic"/>
          </w:rPr>
          <w:t xml:space="preserve"> Revised Proposal for the Amadeus Gas Pipeline Access Arrangement for the 2016-21 Access Arrangement Period</w:t>
        </w:r>
        <w:r w:rsidRPr="00B9684B">
          <w:t>, February 2016</w:t>
        </w:r>
      </w:hyperlink>
      <w:r w:rsidRPr="00B9684B">
        <w:t>.</w:t>
      </w:r>
    </w:p>
  </w:footnote>
  <w:footnote w:id="50">
    <w:p w:rsidR="008A7C24" w:rsidRDefault="008A7C24">
      <w:pPr>
        <w:pStyle w:val="FootnoteText"/>
      </w:pPr>
      <w:r>
        <w:rPr>
          <w:rStyle w:val="FootnoteReference"/>
        </w:rPr>
        <w:footnoteRef/>
      </w:r>
      <w:r>
        <w:t xml:space="preserve"> </w:t>
      </w:r>
      <w:r>
        <w:tab/>
      </w:r>
      <w:proofErr w:type="gramStart"/>
      <w:r>
        <w:t xml:space="preserve">APTNT, </w:t>
      </w:r>
      <w:r w:rsidRPr="00411489">
        <w:rPr>
          <w:rStyle w:val="AERtextitalic"/>
        </w:rPr>
        <w:t>Response to Information Request AER Amadeus 13a (PUBLIC)</w:t>
      </w:r>
      <w:r>
        <w:rPr>
          <w:rStyle w:val="AERtextitalic"/>
        </w:rPr>
        <w:t xml:space="preserve"> </w:t>
      </w:r>
      <w:r w:rsidRPr="00A0090B">
        <w:rPr>
          <w:rStyle w:val="AERtextsize8"/>
        </w:rPr>
        <w:t>[email to AER]</w:t>
      </w:r>
      <w:r>
        <w:t>, 18 March 2016, pp. 5</w:t>
      </w:r>
      <w:r w:rsidR="00A96938" w:rsidRPr="00440D98">
        <w:t>–</w:t>
      </w:r>
      <w:r>
        <w:t>7.</w:t>
      </w:r>
      <w:proofErr w:type="gramEnd"/>
    </w:p>
  </w:footnote>
  <w:footnote w:id="51">
    <w:p w:rsidR="008A7C24" w:rsidRDefault="008A7C24">
      <w:pPr>
        <w:pStyle w:val="FootnoteText"/>
      </w:pPr>
      <w:r>
        <w:rPr>
          <w:rStyle w:val="FootnoteReference"/>
        </w:rPr>
        <w:footnoteRef/>
      </w:r>
      <w:r>
        <w:t xml:space="preserve"> </w:t>
      </w:r>
      <w:r>
        <w:tab/>
      </w:r>
      <w:proofErr w:type="gramStart"/>
      <w:r>
        <w:t xml:space="preserve">APTNT, </w:t>
      </w:r>
      <w:r w:rsidRPr="00411489">
        <w:rPr>
          <w:rStyle w:val="AERtextitalic"/>
        </w:rPr>
        <w:t>Response to Information Request AER Amadeus 13a (PUBLIC)</w:t>
      </w:r>
      <w:r>
        <w:rPr>
          <w:rStyle w:val="AERtextitalic"/>
        </w:rPr>
        <w:t xml:space="preserve"> </w:t>
      </w:r>
      <w:r w:rsidRPr="00A0090B">
        <w:rPr>
          <w:rStyle w:val="AERtextsize8"/>
        </w:rPr>
        <w:t>[email to AER]</w:t>
      </w:r>
      <w:r>
        <w:t>, 18 March 2016, pp. 5</w:t>
      </w:r>
      <w:r w:rsidR="00631885" w:rsidRPr="00440D98">
        <w:t>–</w:t>
      </w:r>
      <w:r>
        <w:t>7.</w:t>
      </w:r>
      <w:proofErr w:type="gramEnd"/>
    </w:p>
  </w:footnote>
  <w:footnote w:id="52">
    <w:p w:rsidR="008A7C24" w:rsidRDefault="008A7C24">
      <w:pPr>
        <w:pStyle w:val="FootnoteText"/>
      </w:pPr>
      <w:r>
        <w:rPr>
          <w:rStyle w:val="FootnoteReference"/>
        </w:rPr>
        <w:footnoteRef/>
      </w:r>
      <w:r>
        <w:t xml:space="preserve"> </w:t>
      </w:r>
      <w:r>
        <w:tab/>
        <w:t xml:space="preserve">NGR, </w:t>
      </w:r>
      <w:proofErr w:type="spellStart"/>
      <w:proofErr w:type="gramStart"/>
      <w:r>
        <w:t>rr</w:t>
      </w:r>
      <w:proofErr w:type="spellEnd"/>
      <w:proofErr w:type="gramEnd"/>
      <w:r>
        <w:t>. 74(2) and 79(1</w:t>
      </w:r>
      <w:proofErr w:type="gramStart"/>
      <w:r>
        <w:t>)(</w:t>
      </w:r>
      <w:proofErr w:type="gramEnd"/>
      <w:r>
        <w:t>a).</w:t>
      </w:r>
    </w:p>
  </w:footnote>
  <w:footnote w:id="53">
    <w:p w:rsidR="008A7C24" w:rsidRDefault="008A7C24">
      <w:pPr>
        <w:pStyle w:val="FootnoteText"/>
      </w:pPr>
      <w:r>
        <w:rPr>
          <w:rStyle w:val="FootnoteReference"/>
        </w:rPr>
        <w:footnoteRef/>
      </w:r>
      <w:r>
        <w:t xml:space="preserve"> </w:t>
      </w:r>
      <w:r>
        <w:tab/>
        <w:t>NGR, r. 79(1</w:t>
      </w:r>
      <w:proofErr w:type="gramStart"/>
      <w:r>
        <w:t>)(</w:t>
      </w:r>
      <w:proofErr w:type="gramEnd"/>
      <w:r>
        <w:t>a).</w:t>
      </w:r>
    </w:p>
  </w:footnote>
  <w:footnote w:id="54">
    <w:p w:rsidR="008A7C24" w:rsidRDefault="008A7C24">
      <w:pPr>
        <w:pStyle w:val="FootnoteText"/>
      </w:pPr>
      <w:r>
        <w:rPr>
          <w:rStyle w:val="FootnoteReference"/>
        </w:rPr>
        <w:footnoteRef/>
      </w:r>
      <w:r>
        <w:t xml:space="preserve"> </w:t>
      </w:r>
      <w:r>
        <w:tab/>
        <w:t>APTNT's safety management study and pipeline integrity management plan do not dictate mandatory obligations in respect of pipeline management.</w:t>
      </w:r>
    </w:p>
  </w:footnote>
  <w:footnote w:id="55">
    <w:p w:rsidR="008A7C24" w:rsidRDefault="008A7C24">
      <w:pPr>
        <w:pStyle w:val="FootnoteText"/>
      </w:pPr>
      <w:r>
        <w:rPr>
          <w:rStyle w:val="FootnoteReference"/>
        </w:rPr>
        <w:footnoteRef/>
      </w:r>
      <w:r>
        <w:t xml:space="preserve"> </w:t>
      </w:r>
      <w:r>
        <w:tab/>
      </w:r>
      <w:proofErr w:type="gramStart"/>
      <w:r w:rsidRPr="002C329D">
        <w:t>AER</w:t>
      </w:r>
      <w:r w:rsidRPr="002C329D">
        <w:rPr>
          <w:rStyle w:val="AERtextitalic"/>
        </w:rPr>
        <w:t>, Draft decision - Amadeus Gas Pipeline Access Arrangement 2016 to 2021 Attachment 6 – Capital expenditure</w:t>
      </w:r>
      <w:r w:rsidRPr="002C329D">
        <w:t>, November 2015, p</w:t>
      </w:r>
      <w:r>
        <w:t>p</w:t>
      </w:r>
      <w:r w:rsidRPr="002C329D">
        <w:t>. 6-</w:t>
      </w:r>
      <w:r>
        <w:t>32</w:t>
      </w:r>
      <w:r w:rsidR="00631885">
        <w:t xml:space="preserve"> to 6-</w:t>
      </w:r>
      <w:r>
        <w:t>33</w:t>
      </w:r>
      <w:r w:rsidRPr="002C329D">
        <w:t>.</w:t>
      </w:r>
      <w:proofErr w:type="gramEnd"/>
    </w:p>
  </w:footnote>
  <w:footnote w:id="56">
    <w:p w:rsidR="008A7C24" w:rsidRDefault="008A7C24" w:rsidP="008773D1">
      <w:pPr>
        <w:pStyle w:val="FootnoteText"/>
      </w:pPr>
      <w:r>
        <w:rPr>
          <w:rStyle w:val="FootnoteReference"/>
        </w:rPr>
        <w:footnoteRef/>
      </w:r>
      <w:r>
        <w:t xml:space="preserve"> </w:t>
      </w:r>
      <w:r>
        <w:tab/>
        <w:t xml:space="preserve">APTNT, </w:t>
      </w:r>
      <w:r w:rsidRPr="00A0090B">
        <w:rPr>
          <w:rStyle w:val="Emphasis"/>
        </w:rPr>
        <w:t>Amadeus Gas Pipeline, Access Arrangement Revised Proposal, Response to Draft Submission Decision, 1 July 2016 to 30 June 2021</w:t>
      </w:r>
      <w:r>
        <w:t>, January 2016, p.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24" w:rsidRDefault="00CF6C01">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8A7C24">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24" w:rsidRDefault="00CF6C01">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2B4308"/>
    <w:multiLevelType w:val="multilevel"/>
    <w:tmpl w:val="03B82A9C"/>
    <w:lvl w:ilvl="0">
      <w:start w:val="1"/>
      <w:numFmt w:val="decimal"/>
      <w:lvlText w:val="%1"/>
      <w:lvlJc w:val="left"/>
      <w:pPr>
        <w:ind w:left="432" w:hanging="432"/>
      </w:pPr>
    </w:lvl>
    <w:lvl w:ilvl="1">
      <w:start w:val="1"/>
      <w:numFmt w:val="decimal"/>
      <w:lvlText w:val="%1.%2"/>
      <w:lvlJc w:val="left"/>
      <w:pPr>
        <w:ind w:left="576" w:hanging="576"/>
      </w:pPr>
      <w:rPr>
        <w:color w:val="076A92" w:themeColor="text1"/>
      </w:rPr>
    </w:lvl>
    <w:lvl w:ilvl="2">
      <w:start w:val="1"/>
      <w:numFmt w:val="decimal"/>
      <w:lvlText w:val="%1.%2.%3"/>
      <w:lvlJc w:val="left"/>
      <w:pPr>
        <w:ind w:left="720" w:hanging="720"/>
      </w:pPr>
      <w:rPr>
        <w:color w:val="076A92" w:themeColor="text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5ECE4384"/>
    <w:multiLevelType w:val="multilevel"/>
    <w:tmpl w:val="40A0BE36"/>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1AC2164"/>
    <w:multiLevelType w:val="hybridMultilevel"/>
    <w:tmpl w:val="6B5ADF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8"/>
  </w:num>
  <w:num w:numId="14">
    <w:abstractNumId w:val="10"/>
  </w:num>
  <w:num w:numId="15">
    <w:abstractNumId w:val="12"/>
  </w:num>
  <w:num w:numId="16">
    <w:abstractNumId w:val="19"/>
  </w:num>
  <w:num w:numId="17">
    <w:abstractNumId w:val="9"/>
  </w:num>
  <w:num w:numId="18">
    <w:abstractNumId w:val="14"/>
  </w:num>
  <w:num w:numId="19">
    <w:abstractNumId w:val="20"/>
  </w:num>
  <w:num w:numId="20">
    <w:abstractNumId w:val="26"/>
  </w:num>
  <w:num w:numId="21">
    <w:abstractNumId w:val="23"/>
  </w:num>
  <w:num w:numId="22">
    <w:abstractNumId w:val="21"/>
  </w:num>
  <w:num w:numId="23">
    <w:abstractNumId w:val="16"/>
  </w:num>
  <w:num w:numId="24">
    <w:abstractNumId w:val="22"/>
  </w:num>
  <w:num w:numId="25">
    <w:abstractNumId w:val="24"/>
  </w:num>
  <w:num w:numId="26">
    <w:abstractNumId w:val="17"/>
  </w:num>
  <w:num w:numId="27">
    <w:abstractNumId w:val="1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752\AER15 4326  AER - Final decision Amadeus Gas Pipeline Access Arrangement - Attachment 7 - Operating expenditure - April 2016.DOCX"/>
  </w:docVars>
  <w:rsids>
    <w:rsidRoot w:val="00961A4A"/>
    <w:rsid w:val="00004633"/>
    <w:rsid w:val="00007C9F"/>
    <w:rsid w:val="00010286"/>
    <w:rsid w:val="00021202"/>
    <w:rsid w:val="00021C2B"/>
    <w:rsid w:val="0002517F"/>
    <w:rsid w:val="00026495"/>
    <w:rsid w:val="00027AC4"/>
    <w:rsid w:val="00030E3B"/>
    <w:rsid w:val="00034D26"/>
    <w:rsid w:val="0003578C"/>
    <w:rsid w:val="000401AF"/>
    <w:rsid w:val="00041DDA"/>
    <w:rsid w:val="0004774C"/>
    <w:rsid w:val="00053EEA"/>
    <w:rsid w:val="0005436B"/>
    <w:rsid w:val="00063247"/>
    <w:rsid w:val="00063A92"/>
    <w:rsid w:val="00070F9F"/>
    <w:rsid w:val="000711DD"/>
    <w:rsid w:val="0007137B"/>
    <w:rsid w:val="00085531"/>
    <w:rsid w:val="00085663"/>
    <w:rsid w:val="00085EBF"/>
    <w:rsid w:val="00085F93"/>
    <w:rsid w:val="00086777"/>
    <w:rsid w:val="00091B15"/>
    <w:rsid w:val="000A1E7C"/>
    <w:rsid w:val="000A3020"/>
    <w:rsid w:val="000A3CF6"/>
    <w:rsid w:val="000A515A"/>
    <w:rsid w:val="000A6C7B"/>
    <w:rsid w:val="000B0360"/>
    <w:rsid w:val="000B0409"/>
    <w:rsid w:val="000C040B"/>
    <w:rsid w:val="000C2B40"/>
    <w:rsid w:val="000C4827"/>
    <w:rsid w:val="000C4B00"/>
    <w:rsid w:val="000D01F4"/>
    <w:rsid w:val="000D034D"/>
    <w:rsid w:val="000D06C1"/>
    <w:rsid w:val="000D122C"/>
    <w:rsid w:val="000D3016"/>
    <w:rsid w:val="000D64F2"/>
    <w:rsid w:val="000D7F32"/>
    <w:rsid w:val="000E1819"/>
    <w:rsid w:val="000E260B"/>
    <w:rsid w:val="000E44D2"/>
    <w:rsid w:val="000E4821"/>
    <w:rsid w:val="000E6C72"/>
    <w:rsid w:val="000F00B5"/>
    <w:rsid w:val="000F0B2B"/>
    <w:rsid w:val="000F2023"/>
    <w:rsid w:val="000F3E72"/>
    <w:rsid w:val="000F48B1"/>
    <w:rsid w:val="000F723D"/>
    <w:rsid w:val="00103A67"/>
    <w:rsid w:val="001051F9"/>
    <w:rsid w:val="001100B9"/>
    <w:rsid w:val="0011291A"/>
    <w:rsid w:val="00114C3B"/>
    <w:rsid w:val="00116EB2"/>
    <w:rsid w:val="00116F2B"/>
    <w:rsid w:val="00124606"/>
    <w:rsid w:val="00124609"/>
    <w:rsid w:val="00125125"/>
    <w:rsid w:val="00126A4C"/>
    <w:rsid w:val="00135074"/>
    <w:rsid w:val="00142AB6"/>
    <w:rsid w:val="0014573B"/>
    <w:rsid w:val="00147E70"/>
    <w:rsid w:val="00156DCC"/>
    <w:rsid w:val="001573E4"/>
    <w:rsid w:val="00160756"/>
    <w:rsid w:val="00160F2B"/>
    <w:rsid w:val="0017232E"/>
    <w:rsid w:val="00174102"/>
    <w:rsid w:val="0017480F"/>
    <w:rsid w:val="001754EE"/>
    <w:rsid w:val="00180157"/>
    <w:rsid w:val="00182082"/>
    <w:rsid w:val="00182467"/>
    <w:rsid w:val="00184987"/>
    <w:rsid w:val="00185CB9"/>
    <w:rsid w:val="00186F77"/>
    <w:rsid w:val="001926A4"/>
    <w:rsid w:val="00192AD5"/>
    <w:rsid w:val="00192BFB"/>
    <w:rsid w:val="00192C39"/>
    <w:rsid w:val="001959DE"/>
    <w:rsid w:val="00196ACD"/>
    <w:rsid w:val="001A6931"/>
    <w:rsid w:val="001B0A0C"/>
    <w:rsid w:val="001B3372"/>
    <w:rsid w:val="001B3F62"/>
    <w:rsid w:val="001B45A0"/>
    <w:rsid w:val="001B45C0"/>
    <w:rsid w:val="001B6F2E"/>
    <w:rsid w:val="001B7D00"/>
    <w:rsid w:val="001C17E7"/>
    <w:rsid w:val="001D055E"/>
    <w:rsid w:val="001D21D6"/>
    <w:rsid w:val="001D79B7"/>
    <w:rsid w:val="001D7D05"/>
    <w:rsid w:val="001E009C"/>
    <w:rsid w:val="001E2213"/>
    <w:rsid w:val="001E340B"/>
    <w:rsid w:val="001E5FE2"/>
    <w:rsid w:val="001F0420"/>
    <w:rsid w:val="001F05A4"/>
    <w:rsid w:val="001F492E"/>
    <w:rsid w:val="001F6DA3"/>
    <w:rsid w:val="002010BC"/>
    <w:rsid w:val="0020169D"/>
    <w:rsid w:val="002016E7"/>
    <w:rsid w:val="00201F98"/>
    <w:rsid w:val="00202E03"/>
    <w:rsid w:val="0020478D"/>
    <w:rsid w:val="0020492C"/>
    <w:rsid w:val="00205A33"/>
    <w:rsid w:val="0022444D"/>
    <w:rsid w:val="00224DB9"/>
    <w:rsid w:val="00226AEA"/>
    <w:rsid w:val="00227412"/>
    <w:rsid w:val="00227942"/>
    <w:rsid w:val="00227DCE"/>
    <w:rsid w:val="0023276C"/>
    <w:rsid w:val="00233775"/>
    <w:rsid w:val="00247D60"/>
    <w:rsid w:val="00251084"/>
    <w:rsid w:val="00251745"/>
    <w:rsid w:val="00253A9F"/>
    <w:rsid w:val="00257784"/>
    <w:rsid w:val="002607CE"/>
    <w:rsid w:val="00263AC0"/>
    <w:rsid w:val="00264264"/>
    <w:rsid w:val="0026772D"/>
    <w:rsid w:val="00277554"/>
    <w:rsid w:val="00286874"/>
    <w:rsid w:val="002874DE"/>
    <w:rsid w:val="0029013C"/>
    <w:rsid w:val="00290C63"/>
    <w:rsid w:val="0029465D"/>
    <w:rsid w:val="002962EB"/>
    <w:rsid w:val="0029660B"/>
    <w:rsid w:val="00296B65"/>
    <w:rsid w:val="0029724D"/>
    <w:rsid w:val="002A25A9"/>
    <w:rsid w:val="002A6688"/>
    <w:rsid w:val="002A6AEB"/>
    <w:rsid w:val="002A7DEF"/>
    <w:rsid w:val="002B1003"/>
    <w:rsid w:val="002B573C"/>
    <w:rsid w:val="002C03BB"/>
    <w:rsid w:val="002C109B"/>
    <w:rsid w:val="002C233C"/>
    <w:rsid w:val="002C2519"/>
    <w:rsid w:val="002C329D"/>
    <w:rsid w:val="002C67D1"/>
    <w:rsid w:val="002D343E"/>
    <w:rsid w:val="002D72E8"/>
    <w:rsid w:val="002E0FA6"/>
    <w:rsid w:val="002E3164"/>
    <w:rsid w:val="002E7B22"/>
    <w:rsid w:val="002F7986"/>
    <w:rsid w:val="0030144F"/>
    <w:rsid w:val="00301B40"/>
    <w:rsid w:val="00301F1F"/>
    <w:rsid w:val="003029A5"/>
    <w:rsid w:val="003029EE"/>
    <w:rsid w:val="0030370B"/>
    <w:rsid w:val="00305CC8"/>
    <w:rsid w:val="00307353"/>
    <w:rsid w:val="00307F6D"/>
    <w:rsid w:val="00310E66"/>
    <w:rsid w:val="00312D56"/>
    <w:rsid w:val="003130C9"/>
    <w:rsid w:val="0031573D"/>
    <w:rsid w:val="003177A2"/>
    <w:rsid w:val="00320869"/>
    <w:rsid w:val="00323B69"/>
    <w:rsid w:val="00325E3B"/>
    <w:rsid w:val="00326B1D"/>
    <w:rsid w:val="003271B5"/>
    <w:rsid w:val="00327A1E"/>
    <w:rsid w:val="00330C65"/>
    <w:rsid w:val="00330EDE"/>
    <w:rsid w:val="00331264"/>
    <w:rsid w:val="003321AF"/>
    <w:rsid w:val="003338A2"/>
    <w:rsid w:val="00334C8D"/>
    <w:rsid w:val="0033548E"/>
    <w:rsid w:val="003409EA"/>
    <w:rsid w:val="00343A18"/>
    <w:rsid w:val="00344473"/>
    <w:rsid w:val="00344D08"/>
    <w:rsid w:val="003457F9"/>
    <w:rsid w:val="00346B9C"/>
    <w:rsid w:val="00347114"/>
    <w:rsid w:val="0035032A"/>
    <w:rsid w:val="003518B3"/>
    <w:rsid w:val="0035573B"/>
    <w:rsid w:val="003571B4"/>
    <w:rsid w:val="003578CD"/>
    <w:rsid w:val="0036016E"/>
    <w:rsid w:val="00362B50"/>
    <w:rsid w:val="00362FCA"/>
    <w:rsid w:val="003666F2"/>
    <w:rsid w:val="00367875"/>
    <w:rsid w:val="003717D8"/>
    <w:rsid w:val="003824D3"/>
    <w:rsid w:val="0038464E"/>
    <w:rsid w:val="003846F1"/>
    <w:rsid w:val="0038739B"/>
    <w:rsid w:val="003903D4"/>
    <w:rsid w:val="00391BF0"/>
    <w:rsid w:val="00392B7B"/>
    <w:rsid w:val="003931A7"/>
    <w:rsid w:val="00393646"/>
    <w:rsid w:val="00395567"/>
    <w:rsid w:val="003B0689"/>
    <w:rsid w:val="003B0C13"/>
    <w:rsid w:val="003B484F"/>
    <w:rsid w:val="003B4CC5"/>
    <w:rsid w:val="003B7FBA"/>
    <w:rsid w:val="003C3A70"/>
    <w:rsid w:val="003E13BB"/>
    <w:rsid w:val="003E1BCA"/>
    <w:rsid w:val="003E6BAA"/>
    <w:rsid w:val="003F174D"/>
    <w:rsid w:val="003F5355"/>
    <w:rsid w:val="003F572D"/>
    <w:rsid w:val="003F72B3"/>
    <w:rsid w:val="003F7442"/>
    <w:rsid w:val="004023D2"/>
    <w:rsid w:val="00403896"/>
    <w:rsid w:val="00403BE6"/>
    <w:rsid w:val="0040560C"/>
    <w:rsid w:val="00411489"/>
    <w:rsid w:val="00412D93"/>
    <w:rsid w:val="00415F31"/>
    <w:rsid w:val="0042205D"/>
    <w:rsid w:val="00423A77"/>
    <w:rsid w:val="00424458"/>
    <w:rsid w:val="004257E7"/>
    <w:rsid w:val="00436ECD"/>
    <w:rsid w:val="00440D98"/>
    <w:rsid w:val="0045173F"/>
    <w:rsid w:val="00452473"/>
    <w:rsid w:val="004557E6"/>
    <w:rsid w:val="0045777E"/>
    <w:rsid w:val="004579CD"/>
    <w:rsid w:val="00461B0F"/>
    <w:rsid w:val="00461C29"/>
    <w:rsid w:val="0046589C"/>
    <w:rsid w:val="00472E45"/>
    <w:rsid w:val="00474EC7"/>
    <w:rsid w:val="00477939"/>
    <w:rsid w:val="00480B4B"/>
    <w:rsid w:val="00481579"/>
    <w:rsid w:val="00481F3D"/>
    <w:rsid w:val="0048407A"/>
    <w:rsid w:val="00485DC4"/>
    <w:rsid w:val="004871DB"/>
    <w:rsid w:val="00490537"/>
    <w:rsid w:val="00494678"/>
    <w:rsid w:val="004A0A5E"/>
    <w:rsid w:val="004A338A"/>
    <w:rsid w:val="004A3B35"/>
    <w:rsid w:val="004A43D1"/>
    <w:rsid w:val="004A5C4F"/>
    <w:rsid w:val="004B355D"/>
    <w:rsid w:val="004B4412"/>
    <w:rsid w:val="004B78CA"/>
    <w:rsid w:val="004C0C43"/>
    <w:rsid w:val="004C1819"/>
    <w:rsid w:val="004C348C"/>
    <w:rsid w:val="004C6A30"/>
    <w:rsid w:val="004D1A96"/>
    <w:rsid w:val="004D24B7"/>
    <w:rsid w:val="004D3500"/>
    <w:rsid w:val="004D5082"/>
    <w:rsid w:val="004D55BA"/>
    <w:rsid w:val="004E183A"/>
    <w:rsid w:val="004E22EC"/>
    <w:rsid w:val="004E2A4C"/>
    <w:rsid w:val="004E5030"/>
    <w:rsid w:val="004F044B"/>
    <w:rsid w:val="004F475B"/>
    <w:rsid w:val="004F6A0E"/>
    <w:rsid w:val="00502593"/>
    <w:rsid w:val="0051521E"/>
    <w:rsid w:val="0052009A"/>
    <w:rsid w:val="00521651"/>
    <w:rsid w:val="0052222E"/>
    <w:rsid w:val="00530128"/>
    <w:rsid w:val="00530675"/>
    <w:rsid w:val="00532467"/>
    <w:rsid w:val="00533223"/>
    <w:rsid w:val="0053424C"/>
    <w:rsid w:val="00536F05"/>
    <w:rsid w:val="00537598"/>
    <w:rsid w:val="00537FD6"/>
    <w:rsid w:val="00542664"/>
    <w:rsid w:val="00544B36"/>
    <w:rsid w:val="005611DA"/>
    <w:rsid w:val="00563E81"/>
    <w:rsid w:val="00564A4D"/>
    <w:rsid w:val="0056588A"/>
    <w:rsid w:val="0056711A"/>
    <w:rsid w:val="00567BA5"/>
    <w:rsid w:val="00571B35"/>
    <w:rsid w:val="00571D57"/>
    <w:rsid w:val="00572985"/>
    <w:rsid w:val="00577A09"/>
    <w:rsid w:val="005829C2"/>
    <w:rsid w:val="00584D8F"/>
    <w:rsid w:val="00584EF3"/>
    <w:rsid w:val="00585A4E"/>
    <w:rsid w:val="00586819"/>
    <w:rsid w:val="00596F20"/>
    <w:rsid w:val="0059704C"/>
    <w:rsid w:val="005A404D"/>
    <w:rsid w:val="005B1E3C"/>
    <w:rsid w:val="005B3FB7"/>
    <w:rsid w:val="005B445D"/>
    <w:rsid w:val="005B4D33"/>
    <w:rsid w:val="005B597C"/>
    <w:rsid w:val="005B704A"/>
    <w:rsid w:val="005C0752"/>
    <w:rsid w:val="005C0A7F"/>
    <w:rsid w:val="005C26CC"/>
    <w:rsid w:val="005C39A8"/>
    <w:rsid w:val="005C4C9C"/>
    <w:rsid w:val="005C6218"/>
    <w:rsid w:val="005D03B1"/>
    <w:rsid w:val="005D2260"/>
    <w:rsid w:val="005D4C70"/>
    <w:rsid w:val="005D7BA2"/>
    <w:rsid w:val="005E115A"/>
    <w:rsid w:val="005E36C2"/>
    <w:rsid w:val="005F0183"/>
    <w:rsid w:val="005F066F"/>
    <w:rsid w:val="005F727F"/>
    <w:rsid w:val="006007DE"/>
    <w:rsid w:val="006009B7"/>
    <w:rsid w:val="00600DC6"/>
    <w:rsid w:val="00600F00"/>
    <w:rsid w:val="00601435"/>
    <w:rsid w:val="00601638"/>
    <w:rsid w:val="0060267C"/>
    <w:rsid w:val="00610E6B"/>
    <w:rsid w:val="00610EF9"/>
    <w:rsid w:val="006129B3"/>
    <w:rsid w:val="00612F4F"/>
    <w:rsid w:val="00615C6B"/>
    <w:rsid w:val="00620DC3"/>
    <w:rsid w:val="00621DCE"/>
    <w:rsid w:val="00624632"/>
    <w:rsid w:val="006259B8"/>
    <w:rsid w:val="00626954"/>
    <w:rsid w:val="00631885"/>
    <w:rsid w:val="006325A9"/>
    <w:rsid w:val="00632D6D"/>
    <w:rsid w:val="00634F83"/>
    <w:rsid w:val="00636054"/>
    <w:rsid w:val="00640812"/>
    <w:rsid w:val="00642C3E"/>
    <w:rsid w:val="006476F3"/>
    <w:rsid w:val="00647BBC"/>
    <w:rsid w:val="00651C3A"/>
    <w:rsid w:val="00651CB2"/>
    <w:rsid w:val="006537FD"/>
    <w:rsid w:val="0065564A"/>
    <w:rsid w:val="006560CA"/>
    <w:rsid w:val="0066104A"/>
    <w:rsid w:val="00663DAD"/>
    <w:rsid w:val="00665649"/>
    <w:rsid w:val="00666E20"/>
    <w:rsid w:val="006672AA"/>
    <w:rsid w:val="00673161"/>
    <w:rsid w:val="00673EC7"/>
    <w:rsid w:val="00674600"/>
    <w:rsid w:val="00674DB1"/>
    <w:rsid w:val="0067522E"/>
    <w:rsid w:val="00675875"/>
    <w:rsid w:val="00675E20"/>
    <w:rsid w:val="00676679"/>
    <w:rsid w:val="006812E7"/>
    <w:rsid w:val="00682852"/>
    <w:rsid w:val="00682DF3"/>
    <w:rsid w:val="00683C89"/>
    <w:rsid w:val="00684C16"/>
    <w:rsid w:val="00691D9A"/>
    <w:rsid w:val="006A7CB9"/>
    <w:rsid w:val="006A7D76"/>
    <w:rsid w:val="006B2395"/>
    <w:rsid w:val="006B45A4"/>
    <w:rsid w:val="006B4CF9"/>
    <w:rsid w:val="006B785B"/>
    <w:rsid w:val="006B7AC8"/>
    <w:rsid w:val="006C1736"/>
    <w:rsid w:val="006C2993"/>
    <w:rsid w:val="006C4798"/>
    <w:rsid w:val="006C774D"/>
    <w:rsid w:val="006D22F2"/>
    <w:rsid w:val="006D550F"/>
    <w:rsid w:val="006D6533"/>
    <w:rsid w:val="006D7401"/>
    <w:rsid w:val="006E3F76"/>
    <w:rsid w:val="006E7447"/>
    <w:rsid w:val="006F1F83"/>
    <w:rsid w:val="006F2F85"/>
    <w:rsid w:val="006F3AD1"/>
    <w:rsid w:val="006F3FC8"/>
    <w:rsid w:val="006F4AAB"/>
    <w:rsid w:val="006F6183"/>
    <w:rsid w:val="006F7AD6"/>
    <w:rsid w:val="0070011E"/>
    <w:rsid w:val="00701CAB"/>
    <w:rsid w:val="00702FE2"/>
    <w:rsid w:val="00707471"/>
    <w:rsid w:val="00707563"/>
    <w:rsid w:val="0071712B"/>
    <w:rsid w:val="00722CC1"/>
    <w:rsid w:val="0072348C"/>
    <w:rsid w:val="007236F3"/>
    <w:rsid w:val="00723A0B"/>
    <w:rsid w:val="00724A37"/>
    <w:rsid w:val="00725057"/>
    <w:rsid w:val="0072792F"/>
    <w:rsid w:val="007303C3"/>
    <w:rsid w:val="00731775"/>
    <w:rsid w:val="00734857"/>
    <w:rsid w:val="00740ADB"/>
    <w:rsid w:val="00741991"/>
    <w:rsid w:val="00741C46"/>
    <w:rsid w:val="00741E23"/>
    <w:rsid w:val="007429BE"/>
    <w:rsid w:val="00743223"/>
    <w:rsid w:val="007462F4"/>
    <w:rsid w:val="00746E01"/>
    <w:rsid w:val="00747EEA"/>
    <w:rsid w:val="00747FBC"/>
    <w:rsid w:val="0075124B"/>
    <w:rsid w:val="00752561"/>
    <w:rsid w:val="00752C8D"/>
    <w:rsid w:val="00757364"/>
    <w:rsid w:val="00757BDF"/>
    <w:rsid w:val="00757EE9"/>
    <w:rsid w:val="007609D0"/>
    <w:rsid w:val="00763618"/>
    <w:rsid w:val="00763E5D"/>
    <w:rsid w:val="00767740"/>
    <w:rsid w:val="00777EE6"/>
    <w:rsid w:val="00782EEA"/>
    <w:rsid w:val="00790DAD"/>
    <w:rsid w:val="00792C5B"/>
    <w:rsid w:val="007A0D18"/>
    <w:rsid w:val="007A5388"/>
    <w:rsid w:val="007A7002"/>
    <w:rsid w:val="007A7136"/>
    <w:rsid w:val="007A7F63"/>
    <w:rsid w:val="007B011C"/>
    <w:rsid w:val="007B186E"/>
    <w:rsid w:val="007B2C72"/>
    <w:rsid w:val="007B3891"/>
    <w:rsid w:val="007B59C6"/>
    <w:rsid w:val="007B6C52"/>
    <w:rsid w:val="007C1C53"/>
    <w:rsid w:val="007C44AA"/>
    <w:rsid w:val="007C54C9"/>
    <w:rsid w:val="007C74BB"/>
    <w:rsid w:val="007D456E"/>
    <w:rsid w:val="007E376C"/>
    <w:rsid w:val="007E42F4"/>
    <w:rsid w:val="007E4904"/>
    <w:rsid w:val="007E4CB5"/>
    <w:rsid w:val="007E76E0"/>
    <w:rsid w:val="007F066B"/>
    <w:rsid w:val="007F213A"/>
    <w:rsid w:val="007F5160"/>
    <w:rsid w:val="007F75C4"/>
    <w:rsid w:val="007F7D77"/>
    <w:rsid w:val="008033C4"/>
    <w:rsid w:val="008040C4"/>
    <w:rsid w:val="00804D77"/>
    <w:rsid w:val="008057DE"/>
    <w:rsid w:val="00806C88"/>
    <w:rsid w:val="00810070"/>
    <w:rsid w:val="0081034E"/>
    <w:rsid w:val="00812B03"/>
    <w:rsid w:val="00812BDB"/>
    <w:rsid w:val="00813D93"/>
    <w:rsid w:val="00815CAC"/>
    <w:rsid w:val="008168E7"/>
    <w:rsid w:val="008202FA"/>
    <w:rsid w:val="00821004"/>
    <w:rsid w:val="008221F2"/>
    <w:rsid w:val="00825985"/>
    <w:rsid w:val="008301A7"/>
    <w:rsid w:val="008301B2"/>
    <w:rsid w:val="008344F6"/>
    <w:rsid w:val="0083484F"/>
    <w:rsid w:val="0083510F"/>
    <w:rsid w:val="008408C5"/>
    <w:rsid w:val="008414FC"/>
    <w:rsid w:val="00845891"/>
    <w:rsid w:val="00847887"/>
    <w:rsid w:val="00851209"/>
    <w:rsid w:val="0085722A"/>
    <w:rsid w:val="00861F4D"/>
    <w:rsid w:val="00862B19"/>
    <w:rsid w:val="00864594"/>
    <w:rsid w:val="00864B35"/>
    <w:rsid w:val="008664C8"/>
    <w:rsid w:val="00866D99"/>
    <w:rsid w:val="00867CF6"/>
    <w:rsid w:val="0087066F"/>
    <w:rsid w:val="008730CA"/>
    <w:rsid w:val="008749E0"/>
    <w:rsid w:val="00874CD0"/>
    <w:rsid w:val="008758B7"/>
    <w:rsid w:val="00876A46"/>
    <w:rsid w:val="008773D1"/>
    <w:rsid w:val="00877503"/>
    <w:rsid w:val="00880032"/>
    <w:rsid w:val="00882481"/>
    <w:rsid w:val="008837AC"/>
    <w:rsid w:val="00884DB7"/>
    <w:rsid w:val="00884DF5"/>
    <w:rsid w:val="00886BB2"/>
    <w:rsid w:val="00892DFB"/>
    <w:rsid w:val="008A43C4"/>
    <w:rsid w:val="008A587D"/>
    <w:rsid w:val="008A721A"/>
    <w:rsid w:val="008A7C24"/>
    <w:rsid w:val="008B35CD"/>
    <w:rsid w:val="008B5FCC"/>
    <w:rsid w:val="008B7544"/>
    <w:rsid w:val="008C3374"/>
    <w:rsid w:val="008C39F0"/>
    <w:rsid w:val="008C5486"/>
    <w:rsid w:val="008C63DF"/>
    <w:rsid w:val="008C708B"/>
    <w:rsid w:val="008D1661"/>
    <w:rsid w:val="008D3944"/>
    <w:rsid w:val="008D6800"/>
    <w:rsid w:val="008E54A6"/>
    <w:rsid w:val="008E5D8D"/>
    <w:rsid w:val="008E7031"/>
    <w:rsid w:val="008E77DE"/>
    <w:rsid w:val="008F07A3"/>
    <w:rsid w:val="008F16B3"/>
    <w:rsid w:val="008F34DD"/>
    <w:rsid w:val="008F6566"/>
    <w:rsid w:val="008F6A48"/>
    <w:rsid w:val="008F7B16"/>
    <w:rsid w:val="009001B6"/>
    <w:rsid w:val="00900E1B"/>
    <w:rsid w:val="00901C3C"/>
    <w:rsid w:val="009038ED"/>
    <w:rsid w:val="009233EE"/>
    <w:rsid w:val="00923CFC"/>
    <w:rsid w:val="00923FA9"/>
    <w:rsid w:val="009243A0"/>
    <w:rsid w:val="0092491F"/>
    <w:rsid w:val="009272AD"/>
    <w:rsid w:val="009277DC"/>
    <w:rsid w:val="009460AA"/>
    <w:rsid w:val="0094641C"/>
    <w:rsid w:val="00951978"/>
    <w:rsid w:val="00951A2C"/>
    <w:rsid w:val="009603AE"/>
    <w:rsid w:val="00961115"/>
    <w:rsid w:val="00961A4A"/>
    <w:rsid w:val="00961D09"/>
    <w:rsid w:val="00963D99"/>
    <w:rsid w:val="00965679"/>
    <w:rsid w:val="009661DE"/>
    <w:rsid w:val="00974077"/>
    <w:rsid w:val="009774A6"/>
    <w:rsid w:val="00983C25"/>
    <w:rsid w:val="009856B7"/>
    <w:rsid w:val="00985C86"/>
    <w:rsid w:val="00993C3B"/>
    <w:rsid w:val="00996BAF"/>
    <w:rsid w:val="009972D8"/>
    <w:rsid w:val="009977AC"/>
    <w:rsid w:val="009A4FAA"/>
    <w:rsid w:val="009A5113"/>
    <w:rsid w:val="009A539D"/>
    <w:rsid w:val="009A55C4"/>
    <w:rsid w:val="009A5FC3"/>
    <w:rsid w:val="009B0698"/>
    <w:rsid w:val="009B1EF4"/>
    <w:rsid w:val="009B5DC8"/>
    <w:rsid w:val="009B6F84"/>
    <w:rsid w:val="009B7343"/>
    <w:rsid w:val="009B74B0"/>
    <w:rsid w:val="009C2832"/>
    <w:rsid w:val="009C691D"/>
    <w:rsid w:val="009D26F6"/>
    <w:rsid w:val="009D2B38"/>
    <w:rsid w:val="009D30BD"/>
    <w:rsid w:val="009D3906"/>
    <w:rsid w:val="009D6B46"/>
    <w:rsid w:val="009E2813"/>
    <w:rsid w:val="009F1C3E"/>
    <w:rsid w:val="009F3C67"/>
    <w:rsid w:val="009F4940"/>
    <w:rsid w:val="009F5BA1"/>
    <w:rsid w:val="00A0090B"/>
    <w:rsid w:val="00A02A88"/>
    <w:rsid w:val="00A0562E"/>
    <w:rsid w:val="00A06085"/>
    <w:rsid w:val="00A0726D"/>
    <w:rsid w:val="00A13672"/>
    <w:rsid w:val="00A1477F"/>
    <w:rsid w:val="00A15B4C"/>
    <w:rsid w:val="00A16596"/>
    <w:rsid w:val="00A17E8E"/>
    <w:rsid w:val="00A2303E"/>
    <w:rsid w:val="00A32FBB"/>
    <w:rsid w:val="00A35F25"/>
    <w:rsid w:val="00A428EE"/>
    <w:rsid w:val="00A4478A"/>
    <w:rsid w:val="00A44852"/>
    <w:rsid w:val="00A4650A"/>
    <w:rsid w:val="00A50502"/>
    <w:rsid w:val="00A527D9"/>
    <w:rsid w:val="00A5591E"/>
    <w:rsid w:val="00A570D7"/>
    <w:rsid w:val="00A57D04"/>
    <w:rsid w:val="00A57F0A"/>
    <w:rsid w:val="00A60A26"/>
    <w:rsid w:val="00A61598"/>
    <w:rsid w:val="00A72AEB"/>
    <w:rsid w:val="00A7385F"/>
    <w:rsid w:val="00A76EB9"/>
    <w:rsid w:val="00A83AA5"/>
    <w:rsid w:val="00A83E2F"/>
    <w:rsid w:val="00A84A99"/>
    <w:rsid w:val="00A84F46"/>
    <w:rsid w:val="00A84FFE"/>
    <w:rsid w:val="00A871F4"/>
    <w:rsid w:val="00A90AA4"/>
    <w:rsid w:val="00A9129F"/>
    <w:rsid w:val="00A923BF"/>
    <w:rsid w:val="00A952B1"/>
    <w:rsid w:val="00A96938"/>
    <w:rsid w:val="00AA2BB9"/>
    <w:rsid w:val="00AA2F9F"/>
    <w:rsid w:val="00AA5F2C"/>
    <w:rsid w:val="00AA7ACE"/>
    <w:rsid w:val="00AB0936"/>
    <w:rsid w:val="00AB47E1"/>
    <w:rsid w:val="00AC12D5"/>
    <w:rsid w:val="00AC1B2C"/>
    <w:rsid w:val="00AC3264"/>
    <w:rsid w:val="00AD3884"/>
    <w:rsid w:val="00AD5612"/>
    <w:rsid w:val="00AD5CF4"/>
    <w:rsid w:val="00AD5E3E"/>
    <w:rsid w:val="00AD7B56"/>
    <w:rsid w:val="00AE1BF1"/>
    <w:rsid w:val="00AE44DF"/>
    <w:rsid w:val="00AF0DD2"/>
    <w:rsid w:val="00AF4009"/>
    <w:rsid w:val="00AF5074"/>
    <w:rsid w:val="00AF5CD4"/>
    <w:rsid w:val="00AF69A0"/>
    <w:rsid w:val="00B0209D"/>
    <w:rsid w:val="00B02961"/>
    <w:rsid w:val="00B04908"/>
    <w:rsid w:val="00B04B4C"/>
    <w:rsid w:val="00B0726F"/>
    <w:rsid w:val="00B07CEA"/>
    <w:rsid w:val="00B12E77"/>
    <w:rsid w:val="00B13048"/>
    <w:rsid w:val="00B1317B"/>
    <w:rsid w:val="00B15686"/>
    <w:rsid w:val="00B1716D"/>
    <w:rsid w:val="00B17A1D"/>
    <w:rsid w:val="00B207A0"/>
    <w:rsid w:val="00B25D91"/>
    <w:rsid w:val="00B27572"/>
    <w:rsid w:val="00B303B6"/>
    <w:rsid w:val="00B314E7"/>
    <w:rsid w:val="00B37614"/>
    <w:rsid w:val="00B40CAA"/>
    <w:rsid w:val="00B502F6"/>
    <w:rsid w:val="00B514DD"/>
    <w:rsid w:val="00B51F3F"/>
    <w:rsid w:val="00B52AF0"/>
    <w:rsid w:val="00B5411F"/>
    <w:rsid w:val="00B561BD"/>
    <w:rsid w:val="00B56E03"/>
    <w:rsid w:val="00B5712D"/>
    <w:rsid w:val="00B60D98"/>
    <w:rsid w:val="00B61EDF"/>
    <w:rsid w:val="00B74650"/>
    <w:rsid w:val="00B74AC5"/>
    <w:rsid w:val="00B757A6"/>
    <w:rsid w:val="00B8080B"/>
    <w:rsid w:val="00B82223"/>
    <w:rsid w:val="00B82C55"/>
    <w:rsid w:val="00B855A1"/>
    <w:rsid w:val="00B866F2"/>
    <w:rsid w:val="00B87BA5"/>
    <w:rsid w:val="00B87C39"/>
    <w:rsid w:val="00B9562D"/>
    <w:rsid w:val="00B95C80"/>
    <w:rsid w:val="00B9684B"/>
    <w:rsid w:val="00BA0731"/>
    <w:rsid w:val="00BA2F86"/>
    <w:rsid w:val="00BA4665"/>
    <w:rsid w:val="00BA47EE"/>
    <w:rsid w:val="00BA6235"/>
    <w:rsid w:val="00BA693E"/>
    <w:rsid w:val="00BB0D65"/>
    <w:rsid w:val="00BB2602"/>
    <w:rsid w:val="00BB2FB2"/>
    <w:rsid w:val="00BB3304"/>
    <w:rsid w:val="00BB33BA"/>
    <w:rsid w:val="00BB3FD7"/>
    <w:rsid w:val="00BB6848"/>
    <w:rsid w:val="00BB7528"/>
    <w:rsid w:val="00BC1435"/>
    <w:rsid w:val="00BC18DE"/>
    <w:rsid w:val="00BC2FAF"/>
    <w:rsid w:val="00BC42EF"/>
    <w:rsid w:val="00BD0920"/>
    <w:rsid w:val="00BD0ACD"/>
    <w:rsid w:val="00BD0C45"/>
    <w:rsid w:val="00BD310B"/>
    <w:rsid w:val="00BD3446"/>
    <w:rsid w:val="00BD3A06"/>
    <w:rsid w:val="00BD7835"/>
    <w:rsid w:val="00BE1F1B"/>
    <w:rsid w:val="00BE47B5"/>
    <w:rsid w:val="00BF0C8F"/>
    <w:rsid w:val="00BF0CD7"/>
    <w:rsid w:val="00BF1A4A"/>
    <w:rsid w:val="00BF4E52"/>
    <w:rsid w:val="00BF5EC8"/>
    <w:rsid w:val="00C016A0"/>
    <w:rsid w:val="00C04223"/>
    <w:rsid w:val="00C1134C"/>
    <w:rsid w:val="00C15EFB"/>
    <w:rsid w:val="00C16D40"/>
    <w:rsid w:val="00C24121"/>
    <w:rsid w:val="00C25F43"/>
    <w:rsid w:val="00C25FA6"/>
    <w:rsid w:val="00C275C4"/>
    <w:rsid w:val="00C30637"/>
    <w:rsid w:val="00C35316"/>
    <w:rsid w:val="00C36F19"/>
    <w:rsid w:val="00C400A4"/>
    <w:rsid w:val="00C42ACA"/>
    <w:rsid w:val="00C439C3"/>
    <w:rsid w:val="00C5122C"/>
    <w:rsid w:val="00C538A9"/>
    <w:rsid w:val="00C53B5A"/>
    <w:rsid w:val="00C53E7B"/>
    <w:rsid w:val="00C547B9"/>
    <w:rsid w:val="00C54F5A"/>
    <w:rsid w:val="00C569B4"/>
    <w:rsid w:val="00C56A01"/>
    <w:rsid w:val="00C56A3E"/>
    <w:rsid w:val="00C613BE"/>
    <w:rsid w:val="00C64503"/>
    <w:rsid w:val="00C67A92"/>
    <w:rsid w:val="00C71EDC"/>
    <w:rsid w:val="00C7255F"/>
    <w:rsid w:val="00C74389"/>
    <w:rsid w:val="00C7497E"/>
    <w:rsid w:val="00C74D43"/>
    <w:rsid w:val="00C77688"/>
    <w:rsid w:val="00C810EC"/>
    <w:rsid w:val="00C81568"/>
    <w:rsid w:val="00C84560"/>
    <w:rsid w:val="00C84F52"/>
    <w:rsid w:val="00C86679"/>
    <w:rsid w:val="00C87F33"/>
    <w:rsid w:val="00C90E51"/>
    <w:rsid w:val="00C9203D"/>
    <w:rsid w:val="00C9476D"/>
    <w:rsid w:val="00C97CDF"/>
    <w:rsid w:val="00CA2ABF"/>
    <w:rsid w:val="00CA2C1D"/>
    <w:rsid w:val="00CA489E"/>
    <w:rsid w:val="00CA52A2"/>
    <w:rsid w:val="00CA6EBA"/>
    <w:rsid w:val="00CB0279"/>
    <w:rsid w:val="00CB666B"/>
    <w:rsid w:val="00CB6AA8"/>
    <w:rsid w:val="00CC07DE"/>
    <w:rsid w:val="00CC1227"/>
    <w:rsid w:val="00CC1D7A"/>
    <w:rsid w:val="00CC7F1D"/>
    <w:rsid w:val="00CD19EE"/>
    <w:rsid w:val="00CD57C1"/>
    <w:rsid w:val="00CE11F6"/>
    <w:rsid w:val="00CE33BD"/>
    <w:rsid w:val="00CE484B"/>
    <w:rsid w:val="00CE4900"/>
    <w:rsid w:val="00CE4E6A"/>
    <w:rsid w:val="00CE7C3C"/>
    <w:rsid w:val="00CF0DEE"/>
    <w:rsid w:val="00CF0E09"/>
    <w:rsid w:val="00CF2C05"/>
    <w:rsid w:val="00CF4A95"/>
    <w:rsid w:val="00CF6C01"/>
    <w:rsid w:val="00CF6EDE"/>
    <w:rsid w:val="00CF7002"/>
    <w:rsid w:val="00D006AE"/>
    <w:rsid w:val="00D01CF0"/>
    <w:rsid w:val="00D01EFD"/>
    <w:rsid w:val="00D0442A"/>
    <w:rsid w:val="00D0538C"/>
    <w:rsid w:val="00D06055"/>
    <w:rsid w:val="00D066B7"/>
    <w:rsid w:val="00D0788C"/>
    <w:rsid w:val="00D1069A"/>
    <w:rsid w:val="00D15374"/>
    <w:rsid w:val="00D173E6"/>
    <w:rsid w:val="00D17683"/>
    <w:rsid w:val="00D277D5"/>
    <w:rsid w:val="00D30778"/>
    <w:rsid w:val="00D30D3D"/>
    <w:rsid w:val="00D322CC"/>
    <w:rsid w:val="00D36FCC"/>
    <w:rsid w:val="00D41E80"/>
    <w:rsid w:val="00D45694"/>
    <w:rsid w:val="00D46184"/>
    <w:rsid w:val="00D46BD3"/>
    <w:rsid w:val="00D5595E"/>
    <w:rsid w:val="00D608F6"/>
    <w:rsid w:val="00D60EFF"/>
    <w:rsid w:val="00D61388"/>
    <w:rsid w:val="00D61A54"/>
    <w:rsid w:val="00D64275"/>
    <w:rsid w:val="00D64DEA"/>
    <w:rsid w:val="00D676E2"/>
    <w:rsid w:val="00D7168E"/>
    <w:rsid w:val="00D71E57"/>
    <w:rsid w:val="00D75AA2"/>
    <w:rsid w:val="00D7645E"/>
    <w:rsid w:val="00D80893"/>
    <w:rsid w:val="00D84854"/>
    <w:rsid w:val="00D848B4"/>
    <w:rsid w:val="00D86209"/>
    <w:rsid w:val="00D86B06"/>
    <w:rsid w:val="00D92CF1"/>
    <w:rsid w:val="00D92D38"/>
    <w:rsid w:val="00D93D32"/>
    <w:rsid w:val="00D950F5"/>
    <w:rsid w:val="00DA0BCC"/>
    <w:rsid w:val="00DA4752"/>
    <w:rsid w:val="00DA5803"/>
    <w:rsid w:val="00DA61F3"/>
    <w:rsid w:val="00DA6B93"/>
    <w:rsid w:val="00DA6F94"/>
    <w:rsid w:val="00DA78E5"/>
    <w:rsid w:val="00DB0F93"/>
    <w:rsid w:val="00DB1A67"/>
    <w:rsid w:val="00DB28B4"/>
    <w:rsid w:val="00DB3CB3"/>
    <w:rsid w:val="00DB5074"/>
    <w:rsid w:val="00DB5B21"/>
    <w:rsid w:val="00DC24B9"/>
    <w:rsid w:val="00DC2B4E"/>
    <w:rsid w:val="00DC74BD"/>
    <w:rsid w:val="00DC7981"/>
    <w:rsid w:val="00DD1C15"/>
    <w:rsid w:val="00DE1093"/>
    <w:rsid w:val="00DE4EFA"/>
    <w:rsid w:val="00DE5520"/>
    <w:rsid w:val="00DE563D"/>
    <w:rsid w:val="00DE5E2E"/>
    <w:rsid w:val="00DE6879"/>
    <w:rsid w:val="00DE70DD"/>
    <w:rsid w:val="00DE772C"/>
    <w:rsid w:val="00DF05B9"/>
    <w:rsid w:val="00DF13C0"/>
    <w:rsid w:val="00DF1D9A"/>
    <w:rsid w:val="00DF312A"/>
    <w:rsid w:val="00DF438E"/>
    <w:rsid w:val="00DF7171"/>
    <w:rsid w:val="00E0031B"/>
    <w:rsid w:val="00E031CC"/>
    <w:rsid w:val="00E0399A"/>
    <w:rsid w:val="00E04782"/>
    <w:rsid w:val="00E04818"/>
    <w:rsid w:val="00E06442"/>
    <w:rsid w:val="00E06BCF"/>
    <w:rsid w:val="00E07546"/>
    <w:rsid w:val="00E1001C"/>
    <w:rsid w:val="00E11949"/>
    <w:rsid w:val="00E145C1"/>
    <w:rsid w:val="00E168F6"/>
    <w:rsid w:val="00E209D5"/>
    <w:rsid w:val="00E21915"/>
    <w:rsid w:val="00E23993"/>
    <w:rsid w:val="00E257D6"/>
    <w:rsid w:val="00E25B8C"/>
    <w:rsid w:val="00E344BB"/>
    <w:rsid w:val="00E3544F"/>
    <w:rsid w:val="00E3574F"/>
    <w:rsid w:val="00E40177"/>
    <w:rsid w:val="00E4178A"/>
    <w:rsid w:val="00E453CA"/>
    <w:rsid w:val="00E47436"/>
    <w:rsid w:val="00E51D65"/>
    <w:rsid w:val="00E531CF"/>
    <w:rsid w:val="00E5524E"/>
    <w:rsid w:val="00E565EC"/>
    <w:rsid w:val="00E6200B"/>
    <w:rsid w:val="00E65C85"/>
    <w:rsid w:val="00E66199"/>
    <w:rsid w:val="00E711C7"/>
    <w:rsid w:val="00E7494F"/>
    <w:rsid w:val="00E74A73"/>
    <w:rsid w:val="00E755EC"/>
    <w:rsid w:val="00E7624D"/>
    <w:rsid w:val="00E7758A"/>
    <w:rsid w:val="00E81BC8"/>
    <w:rsid w:val="00E83720"/>
    <w:rsid w:val="00E842E0"/>
    <w:rsid w:val="00E97242"/>
    <w:rsid w:val="00EA38F3"/>
    <w:rsid w:val="00EA3D42"/>
    <w:rsid w:val="00EA44C8"/>
    <w:rsid w:val="00EA4D62"/>
    <w:rsid w:val="00EA588A"/>
    <w:rsid w:val="00EA5E25"/>
    <w:rsid w:val="00EA6B1B"/>
    <w:rsid w:val="00EB5BC8"/>
    <w:rsid w:val="00EB606C"/>
    <w:rsid w:val="00EB6097"/>
    <w:rsid w:val="00EC04F1"/>
    <w:rsid w:val="00EC1B2B"/>
    <w:rsid w:val="00EC32E5"/>
    <w:rsid w:val="00ED0EC2"/>
    <w:rsid w:val="00ED0FB3"/>
    <w:rsid w:val="00ED2DDE"/>
    <w:rsid w:val="00ED3474"/>
    <w:rsid w:val="00ED4845"/>
    <w:rsid w:val="00ED6ED2"/>
    <w:rsid w:val="00ED7323"/>
    <w:rsid w:val="00EE28F3"/>
    <w:rsid w:val="00EE31BF"/>
    <w:rsid w:val="00EE50D1"/>
    <w:rsid w:val="00EE6C7C"/>
    <w:rsid w:val="00EE77FA"/>
    <w:rsid w:val="00EE7A83"/>
    <w:rsid w:val="00EF1B7A"/>
    <w:rsid w:val="00EF30DF"/>
    <w:rsid w:val="00EF5110"/>
    <w:rsid w:val="00F021D4"/>
    <w:rsid w:val="00F0334E"/>
    <w:rsid w:val="00F0537F"/>
    <w:rsid w:val="00F07967"/>
    <w:rsid w:val="00F10411"/>
    <w:rsid w:val="00F15882"/>
    <w:rsid w:val="00F17192"/>
    <w:rsid w:val="00F171E0"/>
    <w:rsid w:val="00F172A2"/>
    <w:rsid w:val="00F20BD3"/>
    <w:rsid w:val="00F2526A"/>
    <w:rsid w:val="00F32973"/>
    <w:rsid w:val="00F3326B"/>
    <w:rsid w:val="00F35081"/>
    <w:rsid w:val="00F373A5"/>
    <w:rsid w:val="00F42178"/>
    <w:rsid w:val="00F42E08"/>
    <w:rsid w:val="00F450D9"/>
    <w:rsid w:val="00F47559"/>
    <w:rsid w:val="00F5302E"/>
    <w:rsid w:val="00F54563"/>
    <w:rsid w:val="00F5615C"/>
    <w:rsid w:val="00F57907"/>
    <w:rsid w:val="00F606A0"/>
    <w:rsid w:val="00F61176"/>
    <w:rsid w:val="00F62A30"/>
    <w:rsid w:val="00F64C7B"/>
    <w:rsid w:val="00F65B25"/>
    <w:rsid w:val="00F676DD"/>
    <w:rsid w:val="00F71667"/>
    <w:rsid w:val="00F73895"/>
    <w:rsid w:val="00F75A26"/>
    <w:rsid w:val="00F76706"/>
    <w:rsid w:val="00F768C8"/>
    <w:rsid w:val="00F81B8D"/>
    <w:rsid w:val="00F83FAD"/>
    <w:rsid w:val="00F85E12"/>
    <w:rsid w:val="00F8653A"/>
    <w:rsid w:val="00F86B9A"/>
    <w:rsid w:val="00F877C8"/>
    <w:rsid w:val="00F911B5"/>
    <w:rsid w:val="00F91F55"/>
    <w:rsid w:val="00F92349"/>
    <w:rsid w:val="00F93B21"/>
    <w:rsid w:val="00F952A0"/>
    <w:rsid w:val="00F95FD6"/>
    <w:rsid w:val="00FA07D0"/>
    <w:rsid w:val="00FA3C7F"/>
    <w:rsid w:val="00FA6AB9"/>
    <w:rsid w:val="00FB1BF3"/>
    <w:rsid w:val="00FB4402"/>
    <w:rsid w:val="00FB60FE"/>
    <w:rsid w:val="00FB74E2"/>
    <w:rsid w:val="00FC71DC"/>
    <w:rsid w:val="00FD2AE5"/>
    <w:rsid w:val="00FD2CEE"/>
    <w:rsid w:val="00FD2ED2"/>
    <w:rsid w:val="00FD340C"/>
    <w:rsid w:val="00FD5614"/>
    <w:rsid w:val="00FD5E78"/>
    <w:rsid w:val="00FD641B"/>
    <w:rsid w:val="00FE0BE1"/>
    <w:rsid w:val="00FE1DE9"/>
    <w:rsid w:val="00FE36AF"/>
    <w:rsid w:val="00FE39C2"/>
    <w:rsid w:val="00FE3C32"/>
    <w:rsid w:val="00FE4160"/>
    <w:rsid w:val="00FE49A4"/>
    <w:rsid w:val="00FE5742"/>
    <w:rsid w:val="00FE64AE"/>
    <w:rsid w:val="00FE78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aer.gov.au/system/files/Territory%20Generation%20%E2%80%93%20Submission%20on%20APT%20Pipelines%20%28NT%29%20Pty%20Ltd%E2%80%99s%20Revised%20Proposal%20for%20the%20Amadeus%20Gas%20Pipeline%20Access%20Arrangement%20for%20the%202016-21%20Access%20Arrangement%20Period%20%E2%80%93%204%20February%202016.pdf" TargetMode="External"/><Relationship Id="rId1" Type="http://schemas.openxmlformats.org/officeDocument/2006/relationships/hyperlink" Target="http://www.aer.gov.au/system/files/Territory%20Generation%20%E2%80%93%20Submission%20on%20APT%20Pipelines%20%28NT%29%20Pty%20Ltd%E2%80%99s%20Revised%20Proposal%20for%20the%20Amadeus%20Gas%20Pipeline%20Access%20Arrangement%20for%20the%202016-21%20Access%20Arrangement%20Period%20%E2%80%93%204%20February%202016.pdf"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6E104F-2D98-4DA7-850F-0973C5ED7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D6946E32</Template>
  <TotalTime>0</TotalTime>
  <Pages>29</Pages>
  <Words>7688</Words>
  <Characters>43822</Characters>
  <Application>Microsoft Office Word</Application>
  <DocSecurity>0</DocSecurity>
  <Lines>365</Lines>
  <Paragraphs>102</Paragraphs>
  <ScaleCrop>false</ScaleCrop>
  <Company/>
  <LinksUpToDate>false</LinksUpToDate>
  <CharactersWithSpaces>51408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2016-05-20T07:50:00Z</dcterms:created>
  <dcterms:modified xsi:type="dcterms:W3CDTF">2016-05-20T07:50:00Z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8575436</vt:lpwstr>
  </property>
</Properties>
</file>