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1803C484" wp14:editId="6396C6E1">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B04B4C" w:rsidRDefault="00B04B4C" w:rsidP="00F171E0"/>
        <w:p w:rsidR="00F171E0" w:rsidRDefault="00F171E0" w:rsidP="00F171E0"/>
        <w:p w:rsidR="00327A1E" w:rsidRDefault="001754EE" w:rsidP="001754EE">
          <w:pPr>
            <w:pStyle w:val="ReportSubtitle"/>
            <w:tabs>
              <w:tab w:val="left" w:pos="1122"/>
              <w:tab w:val="center" w:pos="4238"/>
            </w:tabs>
            <w:jc w:val="left"/>
          </w:pPr>
          <w:r>
            <w:tab/>
          </w:r>
          <w:r>
            <w:tab/>
          </w:r>
          <w:r w:rsidR="00A2303E">
            <w:t>FINAL</w:t>
          </w:r>
          <w:r w:rsidR="00DA4752">
            <w:t xml:space="preserve"> DECISION</w:t>
          </w:r>
        </w:p>
        <w:p w:rsidR="00415F31" w:rsidRDefault="000D64F2" w:rsidP="008F07A3">
          <w:pPr>
            <w:pStyle w:val="ReportSubtitle"/>
          </w:pPr>
          <w:r>
            <w:t>Amadeus</w:t>
          </w:r>
          <w:r w:rsidR="00A06085">
            <w:t xml:space="preserve"> </w:t>
          </w:r>
          <w:r w:rsidR="0033548E">
            <w:t>Gas Pipeline</w:t>
          </w:r>
          <w:r w:rsidR="00CF2C05">
            <w:br/>
            <w:t>Access Arrangement</w:t>
          </w:r>
        </w:p>
        <w:p w:rsidR="000A6C7B" w:rsidRDefault="005C0A7F" w:rsidP="008F07A3">
          <w:pPr>
            <w:pStyle w:val="ReportSubtitle"/>
          </w:pPr>
          <w:r>
            <w:t>20</w:t>
          </w:r>
          <w:r w:rsidR="00DA4752">
            <w:t xml:space="preserve">16 to </w:t>
          </w:r>
          <w:r w:rsidR="00A06085">
            <w:t>2021</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D46BD3">
            <w:t>7</w:t>
          </w:r>
          <w:r w:rsidR="00DA4752">
            <w:t xml:space="preserve"> </w:t>
          </w:r>
          <w:r w:rsidR="00415F31">
            <w:rPr>
              <w:rFonts w:cs="Arial"/>
            </w:rPr>
            <w:t>–</w:t>
          </w:r>
          <w:r w:rsidR="00DA4752">
            <w:t xml:space="preserve"> </w:t>
          </w:r>
          <w:r w:rsidR="00D46BD3">
            <w:t>Operating expenditure</w:t>
          </w:r>
        </w:p>
        <w:p w:rsidR="000A6C7B" w:rsidRPr="00327A1E" w:rsidRDefault="00C031D5" w:rsidP="00327A1E">
          <w:pPr>
            <w:pStyle w:val="ReportDate"/>
          </w:pPr>
          <w:r>
            <w:t xml:space="preserve">May </w:t>
          </w:r>
          <w:r w:rsidR="00A2303E">
            <w:t>2016</w:t>
          </w:r>
        </w:p>
      </w:sdtContent>
    </w:sdt>
    <w:p w:rsidR="00327A1E" w:rsidRPr="00290C63" w:rsidRDefault="00327A1E" w:rsidP="00290C63">
      <w:r>
        <w:br w:type="page"/>
      </w:r>
    </w:p>
    <w:p w:rsidR="000A6C7B" w:rsidRDefault="001A05EA" w:rsidP="00961A4A">
      <w:pPr>
        <w:pStyle w:val="Copyright"/>
      </w:pPr>
      <w:r>
        <w:lastRenderedPageBreak/>
        <w:t>© Commonwealth of Australia 2016</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51530017"/>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A2303E">
        <w:t>final</w:t>
      </w:r>
      <w:r w:rsidR="00415F31">
        <w:t xml:space="preserve"> decision on </w:t>
      </w:r>
      <w:r w:rsidR="0033548E">
        <w:t>the</w:t>
      </w:r>
      <w:r w:rsidR="00415F31">
        <w:t xml:space="preserve"> </w:t>
      </w:r>
      <w:r w:rsidR="00CF2C05">
        <w:t>access</w:t>
      </w:r>
      <w:r w:rsidR="00415F31">
        <w:t xml:space="preserve"> </w:t>
      </w:r>
      <w:r w:rsidR="00CF2C05">
        <w:t>arrangement for</w:t>
      </w:r>
      <w:r w:rsidR="00415F31">
        <w:t xml:space="preserve"> </w:t>
      </w:r>
      <w:r w:rsidR="0033548E">
        <w:t xml:space="preserve">the Amadeus Gas Pipeline for </w:t>
      </w:r>
      <w:r w:rsidR="00415F31">
        <w:t>201</w:t>
      </w:r>
      <w:r w:rsidR="005C0A7F">
        <w:t>6</w:t>
      </w:r>
      <w:r w:rsidR="00415F31" w:rsidRPr="00D904FA">
        <w:t>–</w:t>
      </w:r>
      <w:r w:rsidR="00103A67">
        <w:t>21</w:t>
      </w:r>
      <w:r w:rsidR="00415F31">
        <w:t xml:space="preserve">. It should be read with </w:t>
      </w:r>
      <w:r w:rsidR="005C0A7F">
        <w:t xml:space="preserve">all </w:t>
      </w:r>
      <w:r w:rsidR="00415F31">
        <w:t xml:space="preserve">other parts of the </w:t>
      </w:r>
      <w:r w:rsidR="00A2303E">
        <w:t>final</w:t>
      </w:r>
      <w:r w:rsidR="005C0A7F">
        <w:t xml:space="preserve"> </w:t>
      </w:r>
      <w:r w:rsidR="00415F31">
        <w:t>decision.</w:t>
      </w:r>
    </w:p>
    <w:p w:rsidR="00415F31" w:rsidRDefault="00415F31" w:rsidP="00DE772C">
      <w:pPr>
        <w:numPr>
          <w:ilvl w:val="0"/>
          <w:numId w:val="24"/>
        </w:numPr>
        <w:spacing w:before="0" w:after="240" w:line="288" w:lineRule="auto"/>
        <w:jc w:val="both"/>
      </w:pPr>
      <w:r>
        <w:t xml:space="preserve">The </w:t>
      </w:r>
      <w:r w:rsidR="00A2303E">
        <w:t>final</w:t>
      </w:r>
      <w:r w:rsidR="005C0A7F">
        <w:t xml:space="preserve">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 xml:space="preserve">Attachment 1 - </w:t>
      </w:r>
      <w:r w:rsidR="00EE77FA">
        <w:t>Services covered by the access arrangement</w:t>
      </w:r>
    </w:p>
    <w:p w:rsidR="0070011E" w:rsidRDefault="0070011E" w:rsidP="0070011E">
      <w:r>
        <w:t xml:space="preserve">Attachment 2 - </w:t>
      </w:r>
      <w:r w:rsidR="00EE77FA">
        <w:t>Capital base</w:t>
      </w:r>
    </w:p>
    <w:p w:rsidR="0070011E" w:rsidRDefault="0070011E" w:rsidP="0070011E">
      <w:r>
        <w:t xml:space="preserve">Attachment 3 - </w:t>
      </w:r>
      <w:r w:rsidR="00EE77FA">
        <w:t>R</w:t>
      </w:r>
      <w:r>
        <w:t>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 xml:space="preserve">Attachment 9 - Efficiency </w:t>
      </w:r>
      <w:r w:rsidR="00EE77FA">
        <w:t>carryover mechanism</w:t>
      </w:r>
    </w:p>
    <w:p w:rsidR="0070011E" w:rsidRDefault="0070011E" w:rsidP="0070011E">
      <w:r>
        <w:t xml:space="preserve">Attachment 10 - </w:t>
      </w:r>
      <w:r w:rsidR="00EE77FA">
        <w:t>Reference tariff setting</w:t>
      </w:r>
    </w:p>
    <w:p w:rsidR="0070011E" w:rsidRDefault="0070011E" w:rsidP="0070011E">
      <w:r>
        <w:t xml:space="preserve">Attachment 11 - </w:t>
      </w:r>
      <w:r w:rsidR="00EE77FA">
        <w:t>Reference tariff variation mechanism</w:t>
      </w:r>
    </w:p>
    <w:p w:rsidR="0070011E" w:rsidRDefault="0070011E" w:rsidP="0070011E">
      <w:r>
        <w:t xml:space="preserve">Attachment 12 - </w:t>
      </w:r>
      <w:r w:rsidR="00EE77FA">
        <w:t>Non-tariff components</w:t>
      </w:r>
    </w:p>
    <w:p w:rsidR="0070011E" w:rsidRDefault="0070011E" w:rsidP="0070011E">
      <w:r>
        <w:t xml:space="preserve">Attachment 13 - </w:t>
      </w:r>
      <w:r w:rsidR="00EE77FA">
        <w:t>Demand</w:t>
      </w:r>
    </w:p>
    <w:p w:rsidR="00DE563D" w:rsidRPr="00A72B34" w:rsidRDefault="00DE563D" w:rsidP="00DE772C">
      <w:pPr>
        <w:pStyle w:val="UnnumberedHeading"/>
        <w:numPr>
          <w:ilvl w:val="0"/>
          <w:numId w:val="23"/>
        </w:numPr>
      </w:pPr>
      <w:bookmarkStart w:id="5" w:name="_Toc403144133"/>
      <w:bookmarkStart w:id="6" w:name="_Toc451530018"/>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bookmarkStart w:id="7" w:name="_GoBack" w:displacedByCustomXml="prev"/>
        <w:bookmarkEnd w:id="7" w:displacedByCustomXml="prev"/>
        <w:p w:rsidR="0070203A" w:rsidRDefault="00091B15">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51530017" w:history="1">
            <w:r w:rsidR="0070203A" w:rsidRPr="002E7CCC">
              <w:rPr>
                <w:rStyle w:val="Hyperlink"/>
              </w:rPr>
              <w:t>Note</w:t>
            </w:r>
            <w:r w:rsidR="0070203A">
              <w:rPr>
                <w:webHidden/>
              </w:rPr>
              <w:tab/>
            </w:r>
            <w:r w:rsidR="0070203A">
              <w:rPr>
                <w:webHidden/>
              </w:rPr>
              <w:fldChar w:fldCharType="begin"/>
            </w:r>
            <w:r w:rsidR="0070203A">
              <w:rPr>
                <w:webHidden/>
              </w:rPr>
              <w:instrText xml:space="preserve"> PAGEREF _Toc451530017 \h </w:instrText>
            </w:r>
            <w:r w:rsidR="0070203A">
              <w:rPr>
                <w:webHidden/>
              </w:rPr>
            </w:r>
            <w:r w:rsidR="0070203A">
              <w:rPr>
                <w:webHidden/>
              </w:rPr>
              <w:fldChar w:fldCharType="separate"/>
            </w:r>
            <w:r w:rsidR="0070203A">
              <w:rPr>
                <w:webHidden/>
              </w:rPr>
              <w:t>7-2</w:t>
            </w:r>
            <w:r w:rsidR="0070203A">
              <w:rPr>
                <w:webHidden/>
              </w:rPr>
              <w:fldChar w:fldCharType="end"/>
            </w:r>
          </w:hyperlink>
        </w:p>
        <w:p w:rsidR="0070203A" w:rsidRDefault="0070203A">
          <w:pPr>
            <w:pStyle w:val="TOC1"/>
            <w:rPr>
              <w:rFonts w:asciiTheme="minorHAnsi" w:eastAsiaTheme="minorEastAsia" w:hAnsiTheme="minorHAnsi"/>
              <w:b w:val="0"/>
              <w:color w:val="auto"/>
              <w:sz w:val="22"/>
              <w:lang w:val="en-AU" w:eastAsia="en-AU"/>
            </w:rPr>
          </w:pPr>
          <w:hyperlink w:anchor="_Toc451530018" w:history="1">
            <w:r w:rsidRPr="002E7CCC">
              <w:rPr>
                <w:rStyle w:val="Hyperlink"/>
              </w:rPr>
              <w:t>Contents</w:t>
            </w:r>
            <w:r>
              <w:rPr>
                <w:webHidden/>
              </w:rPr>
              <w:tab/>
            </w:r>
            <w:r>
              <w:rPr>
                <w:webHidden/>
              </w:rPr>
              <w:fldChar w:fldCharType="begin"/>
            </w:r>
            <w:r>
              <w:rPr>
                <w:webHidden/>
              </w:rPr>
              <w:instrText xml:space="preserve"> PAGEREF _Toc451530018 \h </w:instrText>
            </w:r>
            <w:r>
              <w:rPr>
                <w:webHidden/>
              </w:rPr>
            </w:r>
            <w:r>
              <w:rPr>
                <w:webHidden/>
              </w:rPr>
              <w:fldChar w:fldCharType="separate"/>
            </w:r>
            <w:r>
              <w:rPr>
                <w:webHidden/>
              </w:rPr>
              <w:t>7-3</w:t>
            </w:r>
            <w:r>
              <w:rPr>
                <w:webHidden/>
              </w:rPr>
              <w:fldChar w:fldCharType="end"/>
            </w:r>
          </w:hyperlink>
        </w:p>
        <w:p w:rsidR="0070203A" w:rsidRDefault="0070203A">
          <w:pPr>
            <w:pStyle w:val="TOC1"/>
            <w:rPr>
              <w:rFonts w:asciiTheme="minorHAnsi" w:eastAsiaTheme="minorEastAsia" w:hAnsiTheme="minorHAnsi"/>
              <w:b w:val="0"/>
              <w:color w:val="auto"/>
              <w:sz w:val="22"/>
              <w:lang w:val="en-AU" w:eastAsia="en-AU"/>
            </w:rPr>
          </w:pPr>
          <w:hyperlink w:anchor="_Toc451530019" w:history="1">
            <w:r w:rsidRPr="002E7CCC">
              <w:rPr>
                <w:rStyle w:val="Hyperlink"/>
              </w:rPr>
              <w:t>Shortened forms</w:t>
            </w:r>
            <w:r>
              <w:rPr>
                <w:webHidden/>
              </w:rPr>
              <w:tab/>
            </w:r>
            <w:r>
              <w:rPr>
                <w:webHidden/>
              </w:rPr>
              <w:fldChar w:fldCharType="begin"/>
            </w:r>
            <w:r>
              <w:rPr>
                <w:webHidden/>
              </w:rPr>
              <w:instrText xml:space="preserve"> PAGEREF _Toc451530019 \h </w:instrText>
            </w:r>
            <w:r>
              <w:rPr>
                <w:webHidden/>
              </w:rPr>
            </w:r>
            <w:r>
              <w:rPr>
                <w:webHidden/>
              </w:rPr>
              <w:fldChar w:fldCharType="separate"/>
            </w:r>
            <w:r>
              <w:rPr>
                <w:webHidden/>
              </w:rPr>
              <w:t>7-4</w:t>
            </w:r>
            <w:r>
              <w:rPr>
                <w:webHidden/>
              </w:rPr>
              <w:fldChar w:fldCharType="end"/>
            </w:r>
          </w:hyperlink>
        </w:p>
        <w:p w:rsidR="0070203A" w:rsidRDefault="0070203A">
          <w:pPr>
            <w:pStyle w:val="TOC1"/>
            <w:rPr>
              <w:rFonts w:asciiTheme="minorHAnsi" w:eastAsiaTheme="minorEastAsia" w:hAnsiTheme="minorHAnsi"/>
              <w:b w:val="0"/>
              <w:color w:val="auto"/>
              <w:sz w:val="22"/>
              <w:lang w:val="en-AU" w:eastAsia="en-AU"/>
            </w:rPr>
          </w:pPr>
          <w:hyperlink w:anchor="_Toc451530020" w:history="1">
            <w:r w:rsidRPr="002E7CCC">
              <w:rPr>
                <w:rStyle w:val="Hyperlink"/>
              </w:rPr>
              <w:t>7</w:t>
            </w:r>
            <w:r>
              <w:rPr>
                <w:rFonts w:asciiTheme="minorHAnsi" w:eastAsiaTheme="minorEastAsia" w:hAnsiTheme="minorHAnsi"/>
                <w:b w:val="0"/>
                <w:color w:val="auto"/>
                <w:sz w:val="22"/>
                <w:lang w:val="en-AU" w:eastAsia="en-AU"/>
              </w:rPr>
              <w:tab/>
            </w:r>
            <w:r w:rsidRPr="002E7CCC">
              <w:rPr>
                <w:rStyle w:val="Hyperlink"/>
              </w:rPr>
              <w:t>Operating expenditure</w:t>
            </w:r>
            <w:r>
              <w:rPr>
                <w:webHidden/>
              </w:rPr>
              <w:tab/>
            </w:r>
            <w:r>
              <w:rPr>
                <w:webHidden/>
              </w:rPr>
              <w:fldChar w:fldCharType="begin"/>
            </w:r>
            <w:r>
              <w:rPr>
                <w:webHidden/>
              </w:rPr>
              <w:instrText xml:space="preserve"> PAGEREF _Toc451530020 \h </w:instrText>
            </w:r>
            <w:r>
              <w:rPr>
                <w:webHidden/>
              </w:rPr>
            </w:r>
            <w:r>
              <w:rPr>
                <w:webHidden/>
              </w:rPr>
              <w:fldChar w:fldCharType="separate"/>
            </w:r>
            <w:r>
              <w:rPr>
                <w:webHidden/>
              </w:rPr>
              <w:t>7-6</w:t>
            </w:r>
            <w:r>
              <w:rPr>
                <w:webHidden/>
              </w:rPr>
              <w:fldChar w:fldCharType="end"/>
            </w:r>
          </w:hyperlink>
        </w:p>
        <w:p w:rsidR="0070203A" w:rsidRDefault="0070203A">
          <w:pPr>
            <w:pStyle w:val="TOC2"/>
            <w:rPr>
              <w:rFonts w:asciiTheme="minorHAnsi" w:eastAsiaTheme="minorEastAsia" w:hAnsiTheme="minorHAnsi"/>
              <w:b w:val="0"/>
              <w:color w:val="auto"/>
              <w:sz w:val="22"/>
              <w:lang w:eastAsia="en-AU"/>
            </w:rPr>
          </w:pPr>
          <w:hyperlink w:anchor="_Toc451530021" w:history="1">
            <w:r w:rsidRPr="002E7CCC">
              <w:rPr>
                <w:rStyle w:val="Hyperlink"/>
              </w:rPr>
              <w:t>7.1</w:t>
            </w:r>
            <w:r>
              <w:rPr>
                <w:rFonts w:asciiTheme="minorHAnsi" w:eastAsiaTheme="minorEastAsia" w:hAnsiTheme="minorHAnsi"/>
                <w:b w:val="0"/>
                <w:color w:val="auto"/>
                <w:sz w:val="22"/>
                <w:lang w:eastAsia="en-AU"/>
              </w:rPr>
              <w:tab/>
            </w:r>
            <w:r w:rsidRPr="002E7CCC">
              <w:rPr>
                <w:rStyle w:val="Hyperlink"/>
              </w:rPr>
              <w:t>Final decision</w:t>
            </w:r>
            <w:r>
              <w:rPr>
                <w:webHidden/>
              </w:rPr>
              <w:tab/>
            </w:r>
            <w:r>
              <w:rPr>
                <w:webHidden/>
              </w:rPr>
              <w:fldChar w:fldCharType="begin"/>
            </w:r>
            <w:r>
              <w:rPr>
                <w:webHidden/>
              </w:rPr>
              <w:instrText xml:space="preserve"> PAGEREF _Toc451530021 \h </w:instrText>
            </w:r>
            <w:r>
              <w:rPr>
                <w:webHidden/>
              </w:rPr>
            </w:r>
            <w:r>
              <w:rPr>
                <w:webHidden/>
              </w:rPr>
              <w:fldChar w:fldCharType="separate"/>
            </w:r>
            <w:r>
              <w:rPr>
                <w:webHidden/>
              </w:rPr>
              <w:t>7-6</w:t>
            </w:r>
            <w:r>
              <w:rPr>
                <w:webHidden/>
              </w:rPr>
              <w:fldChar w:fldCharType="end"/>
            </w:r>
          </w:hyperlink>
        </w:p>
        <w:p w:rsidR="0070203A" w:rsidRDefault="0070203A">
          <w:pPr>
            <w:pStyle w:val="TOC2"/>
            <w:rPr>
              <w:rFonts w:asciiTheme="minorHAnsi" w:eastAsiaTheme="minorEastAsia" w:hAnsiTheme="minorHAnsi"/>
              <w:b w:val="0"/>
              <w:color w:val="auto"/>
              <w:sz w:val="22"/>
              <w:lang w:eastAsia="en-AU"/>
            </w:rPr>
          </w:pPr>
          <w:hyperlink w:anchor="_Toc451530022" w:history="1">
            <w:r w:rsidRPr="002E7CCC">
              <w:rPr>
                <w:rStyle w:val="Hyperlink"/>
              </w:rPr>
              <w:t>7.2</w:t>
            </w:r>
            <w:r>
              <w:rPr>
                <w:rFonts w:asciiTheme="minorHAnsi" w:eastAsiaTheme="minorEastAsia" w:hAnsiTheme="minorHAnsi"/>
                <w:b w:val="0"/>
                <w:color w:val="auto"/>
                <w:sz w:val="22"/>
                <w:lang w:eastAsia="en-AU"/>
              </w:rPr>
              <w:tab/>
            </w:r>
            <w:r w:rsidRPr="002E7CCC">
              <w:rPr>
                <w:rStyle w:val="Hyperlink"/>
              </w:rPr>
              <w:t>APTNT’s revised proposal</w:t>
            </w:r>
            <w:r>
              <w:rPr>
                <w:webHidden/>
              </w:rPr>
              <w:tab/>
            </w:r>
            <w:r>
              <w:rPr>
                <w:webHidden/>
              </w:rPr>
              <w:fldChar w:fldCharType="begin"/>
            </w:r>
            <w:r>
              <w:rPr>
                <w:webHidden/>
              </w:rPr>
              <w:instrText xml:space="preserve"> PAGEREF _Toc451530022 \h </w:instrText>
            </w:r>
            <w:r>
              <w:rPr>
                <w:webHidden/>
              </w:rPr>
            </w:r>
            <w:r>
              <w:rPr>
                <w:webHidden/>
              </w:rPr>
              <w:fldChar w:fldCharType="separate"/>
            </w:r>
            <w:r>
              <w:rPr>
                <w:webHidden/>
              </w:rPr>
              <w:t>7-6</w:t>
            </w:r>
            <w:r>
              <w:rPr>
                <w:webHidden/>
              </w:rPr>
              <w:fldChar w:fldCharType="end"/>
            </w:r>
          </w:hyperlink>
        </w:p>
        <w:p w:rsidR="0070203A" w:rsidRDefault="0070203A">
          <w:pPr>
            <w:pStyle w:val="TOC2"/>
            <w:rPr>
              <w:rFonts w:asciiTheme="minorHAnsi" w:eastAsiaTheme="minorEastAsia" w:hAnsiTheme="minorHAnsi"/>
              <w:b w:val="0"/>
              <w:color w:val="auto"/>
              <w:sz w:val="22"/>
              <w:lang w:eastAsia="en-AU"/>
            </w:rPr>
          </w:pPr>
          <w:hyperlink w:anchor="_Toc451530023" w:history="1">
            <w:r w:rsidRPr="002E7CCC">
              <w:rPr>
                <w:rStyle w:val="Hyperlink"/>
              </w:rPr>
              <w:t>7.3</w:t>
            </w:r>
            <w:r>
              <w:rPr>
                <w:rFonts w:asciiTheme="minorHAnsi" w:eastAsiaTheme="minorEastAsia" w:hAnsiTheme="minorHAnsi"/>
                <w:b w:val="0"/>
                <w:color w:val="auto"/>
                <w:sz w:val="22"/>
                <w:lang w:eastAsia="en-AU"/>
              </w:rPr>
              <w:tab/>
            </w:r>
            <w:r w:rsidRPr="002E7CCC">
              <w:rPr>
                <w:rStyle w:val="Hyperlink"/>
              </w:rPr>
              <w:t>AER’s assessment approach</w:t>
            </w:r>
            <w:r>
              <w:rPr>
                <w:webHidden/>
              </w:rPr>
              <w:tab/>
            </w:r>
            <w:r>
              <w:rPr>
                <w:webHidden/>
              </w:rPr>
              <w:fldChar w:fldCharType="begin"/>
            </w:r>
            <w:r>
              <w:rPr>
                <w:webHidden/>
              </w:rPr>
              <w:instrText xml:space="preserve"> PAGEREF _Toc451530023 \h </w:instrText>
            </w:r>
            <w:r>
              <w:rPr>
                <w:webHidden/>
              </w:rPr>
            </w:r>
            <w:r>
              <w:rPr>
                <w:webHidden/>
              </w:rPr>
              <w:fldChar w:fldCharType="separate"/>
            </w:r>
            <w:r>
              <w:rPr>
                <w:webHidden/>
              </w:rPr>
              <w:t>7-6</w:t>
            </w:r>
            <w:r>
              <w:rPr>
                <w:webHidden/>
              </w:rPr>
              <w:fldChar w:fldCharType="end"/>
            </w:r>
          </w:hyperlink>
        </w:p>
        <w:p w:rsidR="0070203A" w:rsidRDefault="0070203A">
          <w:pPr>
            <w:pStyle w:val="TOC2"/>
            <w:rPr>
              <w:rFonts w:asciiTheme="minorHAnsi" w:eastAsiaTheme="minorEastAsia" w:hAnsiTheme="minorHAnsi"/>
              <w:b w:val="0"/>
              <w:color w:val="auto"/>
              <w:sz w:val="22"/>
              <w:lang w:eastAsia="en-AU"/>
            </w:rPr>
          </w:pPr>
          <w:hyperlink w:anchor="_Toc451530024" w:history="1">
            <w:r w:rsidRPr="002E7CCC">
              <w:rPr>
                <w:rStyle w:val="Hyperlink"/>
              </w:rPr>
              <w:t>7.4</w:t>
            </w:r>
            <w:r>
              <w:rPr>
                <w:rFonts w:asciiTheme="minorHAnsi" w:eastAsiaTheme="minorEastAsia" w:hAnsiTheme="minorHAnsi"/>
                <w:b w:val="0"/>
                <w:color w:val="auto"/>
                <w:sz w:val="22"/>
                <w:lang w:eastAsia="en-AU"/>
              </w:rPr>
              <w:tab/>
            </w:r>
            <w:r w:rsidRPr="002E7CCC">
              <w:rPr>
                <w:rStyle w:val="Hyperlink"/>
              </w:rPr>
              <w:t>Reasons for final decision</w:t>
            </w:r>
            <w:r>
              <w:rPr>
                <w:webHidden/>
              </w:rPr>
              <w:tab/>
            </w:r>
            <w:r>
              <w:rPr>
                <w:webHidden/>
              </w:rPr>
              <w:fldChar w:fldCharType="begin"/>
            </w:r>
            <w:r>
              <w:rPr>
                <w:webHidden/>
              </w:rPr>
              <w:instrText xml:space="preserve"> PAGEREF _Toc451530024 \h </w:instrText>
            </w:r>
            <w:r>
              <w:rPr>
                <w:webHidden/>
              </w:rPr>
            </w:r>
            <w:r>
              <w:rPr>
                <w:webHidden/>
              </w:rPr>
              <w:fldChar w:fldCharType="separate"/>
            </w:r>
            <w:r>
              <w:rPr>
                <w:webHidden/>
              </w:rPr>
              <w:t>7-7</w:t>
            </w:r>
            <w:r>
              <w:rPr>
                <w:webHidden/>
              </w:rPr>
              <w:fldChar w:fldCharType="end"/>
            </w:r>
          </w:hyperlink>
        </w:p>
        <w:p w:rsidR="00DE563D" w:rsidRDefault="00091B15" w:rsidP="00091B15">
          <w:pPr>
            <w:pStyle w:val="TOC1"/>
          </w:pPr>
          <w:r>
            <w:rPr>
              <w:color w:val="auto"/>
              <w:sz w:val="22"/>
            </w:rPr>
            <w:fldChar w:fldCharType="end"/>
          </w:r>
        </w:p>
      </w:sdtContent>
    </w:sdt>
    <w:p w:rsidR="00DE563D" w:rsidRDefault="00C84560">
      <w:pPr>
        <w:spacing w:line="240" w:lineRule="auto"/>
      </w:pPr>
      <w:r>
        <w:t xml:space="preserve"> </w:t>
      </w:r>
    </w:p>
    <w:p w:rsidR="00E7494F" w:rsidRDefault="00DE563D" w:rsidP="00DE772C">
      <w:pPr>
        <w:pStyle w:val="UnnumberedHeading"/>
        <w:numPr>
          <w:ilvl w:val="0"/>
          <w:numId w:val="23"/>
        </w:numPr>
      </w:pPr>
      <w:bookmarkStart w:id="8" w:name="_Toc404700925"/>
      <w:bookmarkStart w:id="9" w:name="_Toc451530019"/>
      <w:r>
        <w:lastRenderedPageBreak/>
        <w:t>Shortened forms</w:t>
      </w:r>
      <w:bookmarkEnd w:id="8"/>
      <w:bookmarkEnd w:id="9"/>
    </w:p>
    <w:tbl>
      <w:tblPr>
        <w:tblStyle w:val="AERtable-numbers"/>
        <w:tblW w:w="0" w:type="auto"/>
        <w:tblLook w:val="04A0" w:firstRow="1" w:lastRow="0" w:firstColumn="1" w:lastColumn="0" w:noHBand="0" w:noVBand="1"/>
      </w:tblPr>
      <w:tblGrid>
        <w:gridCol w:w="2376"/>
        <w:gridCol w:w="1276"/>
        <w:gridCol w:w="5041"/>
      </w:tblGrid>
      <w:tr w:rsidR="00E7494F" w:rsidTr="0081129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52" w:type="dxa"/>
            <w:gridSpan w:val="2"/>
          </w:tcPr>
          <w:p w:rsidR="00E7494F" w:rsidRDefault="00E7494F" w:rsidP="00E7494F">
            <w:pPr>
              <w:numPr>
                <w:ilvl w:val="0"/>
                <w:numId w:val="24"/>
              </w:numPr>
            </w:pPr>
            <w:r>
              <w:t>Shortened form</w:t>
            </w:r>
          </w:p>
        </w:tc>
        <w:tc>
          <w:tcPr>
            <w:tcW w:w="5041" w:type="dxa"/>
          </w:tcPr>
          <w:p w:rsidR="00E7494F" w:rsidRDefault="00E7494F" w:rsidP="00E7494F">
            <w:pPr>
              <w:numPr>
                <w:ilvl w:val="0"/>
                <w:numId w:val="24"/>
              </w:numPr>
              <w:cnfStyle w:val="100000000000" w:firstRow="1" w:lastRow="0" w:firstColumn="0" w:lastColumn="0" w:oddVBand="0" w:evenVBand="0" w:oddHBand="0" w:evenHBand="0" w:firstRowFirstColumn="0" w:firstRowLastColumn="0" w:lastRowFirstColumn="0" w:lastRowLastColumn="0"/>
            </w:pPr>
            <w:r>
              <w:t>Extended form</w:t>
            </w:r>
          </w:p>
        </w:tc>
      </w:tr>
      <w:tr w:rsidR="00E7494F" w:rsidTr="0081129F">
        <w:tc>
          <w:tcPr>
            <w:cnfStyle w:val="001000000000" w:firstRow="0" w:lastRow="0" w:firstColumn="1" w:lastColumn="0" w:oddVBand="0" w:evenVBand="0" w:oddHBand="0" w:evenHBand="0" w:firstRowFirstColumn="0" w:firstRowLastColumn="0" w:lastRowFirstColumn="0" w:lastRowLastColumn="0"/>
            <w:tcW w:w="3652" w:type="dxa"/>
            <w:gridSpan w:val="2"/>
          </w:tcPr>
          <w:p w:rsidR="00E7494F" w:rsidRDefault="00E7494F" w:rsidP="00E7494F">
            <w:pPr>
              <w:numPr>
                <w:ilvl w:val="0"/>
                <w:numId w:val="24"/>
              </w:numPr>
            </w:pPr>
          </w:p>
        </w:tc>
        <w:tc>
          <w:tcPr>
            <w:tcW w:w="5041" w:type="dxa"/>
          </w:tcPr>
          <w:p w:rsidR="00E7494F" w:rsidRPr="00E7494F" w:rsidRDefault="00E7494F" w:rsidP="00E7494F">
            <w:pPr>
              <w:cnfStyle w:val="000000000000" w:firstRow="0" w:lastRow="0" w:firstColumn="0" w:lastColumn="0" w:oddVBand="0" w:evenVBand="0" w:oddHBand="0" w:evenHBand="0" w:firstRowFirstColumn="0" w:firstRowLastColumn="0" w:lastRowFirstColumn="0" w:lastRowLastColumn="0"/>
            </w:pP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AA</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rsidRPr="00F13601">
              <w:t>Access Arrangement</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AAI</w:t>
            </w:r>
          </w:p>
        </w:tc>
        <w:tc>
          <w:tcPr>
            <w:tcW w:w="6317" w:type="dxa"/>
            <w:gridSpan w:val="2"/>
          </w:tcPr>
          <w:p w:rsidR="00CD5F75" w:rsidRPr="00CD5F75" w:rsidRDefault="00CD5F75" w:rsidP="00CD5F75">
            <w:pPr>
              <w:cnfStyle w:val="000000000000" w:firstRow="0" w:lastRow="0" w:firstColumn="0" w:lastColumn="0" w:oddVBand="0" w:evenVBand="0" w:oddHBand="0" w:evenHBand="0" w:firstRowFirstColumn="0" w:firstRowLastColumn="0" w:lastRowFirstColumn="0" w:lastRowLastColumn="0"/>
            </w:pPr>
            <w:r w:rsidRPr="00F13601">
              <w:t>Access Arrangement Information</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035E7">
              <w:t>APTNT</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035E7">
              <w:t>APT Pipelines (NT) Pty Limited (APTNT)</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AER</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Australian Energy Regulator</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t>AGP</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t>Amadeus Gas Pipeline</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ATO</w:t>
            </w:r>
          </w:p>
        </w:tc>
        <w:tc>
          <w:tcPr>
            <w:tcW w:w="6317" w:type="dxa"/>
            <w:gridSpan w:val="2"/>
          </w:tcPr>
          <w:p w:rsidR="00CD5F75" w:rsidRPr="00CD5F75" w:rsidRDefault="00CD5F75" w:rsidP="00CD5F75">
            <w:pPr>
              <w:cnfStyle w:val="000000000000" w:firstRow="0" w:lastRow="0" w:firstColumn="0" w:lastColumn="0" w:oddVBand="0" w:evenVBand="0" w:oddHBand="0" w:evenHBand="0" w:firstRowFirstColumn="0" w:firstRowLastColumn="0" w:lastRowFirstColumn="0" w:lastRowLastColumn="0"/>
            </w:pPr>
            <w:r w:rsidRPr="00F13601">
              <w:t>Australian Tax Office</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capex</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13601">
              <w:t>capital expenditure</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CAPM</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capital asset pricing model</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CPI</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13601">
              <w:t>consumer price index</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DRP</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debt risk premium</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B2363F" w:rsidRDefault="00CD5F75" w:rsidP="00CD5F75">
            <w:pPr>
              <w:numPr>
                <w:ilvl w:val="0"/>
                <w:numId w:val="24"/>
              </w:numPr>
            </w:pPr>
            <w:r>
              <w:t>ECM</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t>Efficiency carryover mechanism</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ERP</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equity risk premium</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Expenditure Guideline</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rsidRPr="00F13601">
              <w:t>Expenditure Forecast Assessment Guideline</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gamma</w:t>
            </w:r>
          </w:p>
        </w:tc>
        <w:tc>
          <w:tcPr>
            <w:tcW w:w="6317" w:type="dxa"/>
            <w:gridSpan w:val="2"/>
          </w:tcPr>
          <w:p w:rsidR="00CD5F75" w:rsidRPr="00CD5F75" w:rsidRDefault="00CD5F75" w:rsidP="00CD5F75">
            <w:pPr>
              <w:cnfStyle w:val="000000000000" w:firstRow="0" w:lastRow="0" w:firstColumn="0" w:lastColumn="0" w:oddVBand="0" w:evenVBand="0" w:oddHBand="0" w:evenHBand="0" w:firstRowFirstColumn="0" w:firstRowLastColumn="0" w:lastRowFirstColumn="0" w:lastRowLastColumn="0"/>
            </w:pPr>
            <w:r>
              <w:t>v</w:t>
            </w:r>
            <w:r w:rsidRPr="00CD5F75">
              <w:t>alue of imputation credits</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GTA</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t>G</w:t>
            </w:r>
            <w:r w:rsidRPr="00CD5F75">
              <w:t>as Transport Services Agreement</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MRP</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market risk premium</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N</w:t>
            </w:r>
            <w:r>
              <w:t>GP</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t>Northern Gas Pipeline (formerly North East Gas Interconnector/NEGI)</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NGL</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t>N</w:t>
            </w:r>
            <w:r w:rsidRPr="00F13601">
              <w:t xml:space="preserve">ational </w:t>
            </w:r>
            <w:r>
              <w:t>G</w:t>
            </w:r>
            <w:r w:rsidRPr="00F13601">
              <w:t xml:space="preserve">as </w:t>
            </w:r>
            <w:r>
              <w:t>L</w:t>
            </w:r>
            <w:r w:rsidRPr="00F13601">
              <w:t>aw</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NGO</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t>N</w:t>
            </w:r>
            <w:r w:rsidRPr="00F13601">
              <w:t xml:space="preserve">ational </w:t>
            </w:r>
            <w:r>
              <w:t>G</w:t>
            </w:r>
            <w:r w:rsidRPr="00F13601">
              <w:t xml:space="preserve">as </w:t>
            </w:r>
            <w:r>
              <w:t>O</w:t>
            </w:r>
            <w:r w:rsidRPr="00F13601">
              <w:t>bjective</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NGR</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t>N</w:t>
            </w:r>
            <w:r w:rsidRPr="00F13601">
              <w:t xml:space="preserve">ational </w:t>
            </w:r>
            <w:r>
              <w:t>G</w:t>
            </w:r>
            <w:r w:rsidRPr="00F13601">
              <w:t xml:space="preserve">as </w:t>
            </w:r>
            <w:r>
              <w:t>R</w:t>
            </w:r>
            <w:r w:rsidRPr="00F13601">
              <w:t>ules</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NPV</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rsidRPr="00F13601">
              <w:t>net present value</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opex</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operating expenditure</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PTRM</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13601">
              <w:t>post-tax revenue model</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RBA</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Reserve Bank of Australia</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RFM</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13601">
              <w:t>roll forward model</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RIN</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regulatory information notice</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RPP</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13601">
              <w:t>revenue and pricing principles</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SLCAPM</w:t>
            </w:r>
          </w:p>
        </w:tc>
        <w:tc>
          <w:tcPr>
            <w:tcW w:w="6317" w:type="dxa"/>
            <w:gridSpan w:val="2"/>
          </w:tcPr>
          <w:p w:rsidR="00CD5F75" w:rsidRPr="00F13601" w:rsidRDefault="00CD5F75" w:rsidP="00CD5F75">
            <w:pPr>
              <w:numPr>
                <w:ilvl w:val="0"/>
                <w:numId w:val="24"/>
              </w:numPr>
              <w:cnfStyle w:val="000000000000" w:firstRow="0" w:lastRow="0" w:firstColumn="0" w:lastColumn="0" w:oddVBand="0" w:evenVBand="0" w:oddHBand="0" w:evenHBand="0" w:firstRowFirstColumn="0" w:firstRowLastColumn="0" w:lastRowFirstColumn="0" w:lastRowLastColumn="0"/>
            </w:pPr>
            <w:r w:rsidRPr="00F13601">
              <w:t>Sharpe-</w:t>
            </w:r>
            <w:proofErr w:type="spellStart"/>
            <w:r w:rsidRPr="00F13601">
              <w:t>Lintner</w:t>
            </w:r>
            <w:proofErr w:type="spellEnd"/>
            <w:r w:rsidRPr="00F13601">
              <w:t xml:space="preserve"> capital asset pricing model</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TAB</w:t>
            </w:r>
          </w:p>
        </w:tc>
        <w:tc>
          <w:tcPr>
            <w:tcW w:w="6317" w:type="dxa"/>
            <w:gridSpan w:val="2"/>
          </w:tcPr>
          <w:p w:rsidR="00CD5F75" w:rsidRPr="00CD5F75" w:rsidRDefault="00CD5F75" w:rsidP="00CD5F75">
            <w:pPr>
              <w:cnfStyle w:val="000000010000" w:firstRow="0" w:lastRow="0" w:firstColumn="0" w:lastColumn="0" w:oddVBand="0" w:evenVBand="0" w:oddHBand="0" w:evenHBand="1" w:firstRowFirstColumn="0" w:firstRowLastColumn="0" w:lastRowFirstColumn="0" w:lastRowLastColumn="0"/>
            </w:pPr>
            <w:r>
              <w:t>t</w:t>
            </w:r>
            <w:r w:rsidRPr="00CD5F75">
              <w:t>ax asset base</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lastRenderedPageBreak/>
              <w:t>UAFG</w:t>
            </w:r>
          </w:p>
        </w:tc>
        <w:tc>
          <w:tcPr>
            <w:tcW w:w="6317" w:type="dxa"/>
            <w:gridSpan w:val="2"/>
          </w:tcPr>
          <w:p w:rsidR="00CD5F75" w:rsidRPr="00CD5F75" w:rsidRDefault="00CD5F75" w:rsidP="00CD5F75">
            <w:pPr>
              <w:cnfStyle w:val="000000000000" w:firstRow="0" w:lastRow="0" w:firstColumn="0" w:lastColumn="0" w:oddVBand="0" w:evenVBand="0" w:oddHBand="0" w:evenHBand="0" w:firstRowFirstColumn="0" w:firstRowLastColumn="0" w:lastRowFirstColumn="0" w:lastRowLastColumn="0"/>
            </w:pPr>
            <w:r>
              <w:t>u</w:t>
            </w:r>
            <w:r w:rsidRPr="00CD5F75">
              <w:t>naccounted for gas</w:t>
            </w:r>
          </w:p>
        </w:tc>
      </w:tr>
      <w:tr w:rsidR="00CD5F75" w:rsidRPr="00B2363F" w:rsidTr="00FC5A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WACC</w:t>
            </w:r>
          </w:p>
        </w:tc>
        <w:tc>
          <w:tcPr>
            <w:tcW w:w="6317" w:type="dxa"/>
            <w:gridSpan w:val="2"/>
          </w:tcPr>
          <w:p w:rsidR="00CD5F75" w:rsidRPr="00F13601" w:rsidRDefault="00CD5F75" w:rsidP="00CD5F75">
            <w:pPr>
              <w:numPr>
                <w:ilvl w:val="0"/>
                <w:numId w:val="24"/>
              </w:numPr>
              <w:cnfStyle w:val="000000010000" w:firstRow="0" w:lastRow="0" w:firstColumn="0" w:lastColumn="0" w:oddVBand="0" w:evenVBand="0" w:oddHBand="0" w:evenHBand="1" w:firstRowFirstColumn="0" w:firstRowLastColumn="0" w:lastRowFirstColumn="0" w:lastRowLastColumn="0"/>
            </w:pPr>
            <w:r w:rsidRPr="00F13601">
              <w:t>weighted average cost of capital</w:t>
            </w:r>
          </w:p>
        </w:tc>
      </w:tr>
      <w:tr w:rsidR="00CD5F75" w:rsidRPr="00B2363F" w:rsidTr="00FC5A62">
        <w:tc>
          <w:tcPr>
            <w:cnfStyle w:val="001000000000" w:firstRow="0" w:lastRow="0" w:firstColumn="1" w:lastColumn="0" w:oddVBand="0" w:evenVBand="0" w:oddHBand="0" w:evenHBand="0" w:firstRowFirstColumn="0" w:firstRowLastColumn="0" w:lastRowFirstColumn="0" w:lastRowLastColumn="0"/>
            <w:tcW w:w="2376" w:type="dxa"/>
          </w:tcPr>
          <w:p w:rsidR="00CD5F75" w:rsidRPr="00F13601" w:rsidRDefault="00CD5F75" w:rsidP="00CD5F75">
            <w:pPr>
              <w:numPr>
                <w:ilvl w:val="0"/>
                <w:numId w:val="24"/>
              </w:numPr>
            </w:pPr>
            <w:r w:rsidRPr="00F13601">
              <w:t>WPI</w:t>
            </w:r>
          </w:p>
        </w:tc>
        <w:tc>
          <w:tcPr>
            <w:tcW w:w="6317" w:type="dxa"/>
            <w:gridSpan w:val="2"/>
          </w:tcPr>
          <w:p w:rsidR="00CD5F75" w:rsidRPr="00CD5F75" w:rsidRDefault="00CD5F75" w:rsidP="00CD5F75">
            <w:pPr>
              <w:cnfStyle w:val="000000000000" w:firstRow="0" w:lastRow="0" w:firstColumn="0" w:lastColumn="0" w:oddVBand="0" w:evenVBand="0" w:oddHBand="0" w:evenHBand="0" w:firstRowFirstColumn="0" w:firstRowLastColumn="0" w:lastRowFirstColumn="0" w:lastRowLastColumn="0"/>
            </w:pPr>
            <w:r w:rsidRPr="00F13601">
              <w:t>Wage Price Index</w:t>
            </w:r>
          </w:p>
        </w:tc>
      </w:tr>
    </w:tbl>
    <w:p w:rsidR="00DE563D" w:rsidRDefault="00D46BD3" w:rsidP="00D46BD3">
      <w:pPr>
        <w:pStyle w:val="Heading1"/>
      </w:pPr>
      <w:bookmarkStart w:id="10" w:name="_Toc451530020"/>
      <w:r>
        <w:lastRenderedPageBreak/>
        <w:t>Operating expenditure</w:t>
      </w:r>
      <w:bookmarkEnd w:id="10"/>
    </w:p>
    <w:p w:rsidR="007E1C6B" w:rsidRPr="00970AF6" w:rsidRDefault="007E1C6B" w:rsidP="007E1C6B">
      <w:r w:rsidRPr="00970AF6">
        <w:t xml:space="preserve">Forecast </w:t>
      </w:r>
      <w:r>
        <w:t>operating expenditure (</w:t>
      </w:r>
      <w:r w:rsidRPr="00970AF6">
        <w:t>opex</w:t>
      </w:r>
      <w:r>
        <w:t>)</w:t>
      </w:r>
      <w:r w:rsidRPr="00970AF6">
        <w:t xml:space="preserve"> is the forecast operating, maintenance and other non-capital </w:t>
      </w:r>
      <w:r w:rsidR="005F428D">
        <w:t>expenditure</w:t>
      </w:r>
      <w:r w:rsidRPr="00970AF6">
        <w:t xml:space="preserve"> incurred in the provision of </w:t>
      </w:r>
      <w:r>
        <w:t>reference</w:t>
      </w:r>
      <w:r w:rsidRPr="00970AF6">
        <w:t xml:space="preserve"> services</w:t>
      </w:r>
      <w:r>
        <w:t xml:space="preserve"> for a pipeline</w:t>
      </w:r>
      <w:r w:rsidRPr="00970AF6">
        <w:t xml:space="preserve">. It includes </w:t>
      </w:r>
      <w:r w:rsidR="005F428D">
        <w:t>expenditures</w:t>
      </w:r>
      <w:r w:rsidRPr="00970AF6">
        <w:t xml:space="preserve"> that a prudent service provider is likely to require during </w:t>
      </w:r>
      <w:r>
        <w:t>an</w:t>
      </w:r>
      <w:r w:rsidRPr="00970AF6">
        <w:t xml:space="preserve"> access arrangement period for the efficient operation of its </w:t>
      </w:r>
      <w:r>
        <w:t>pipeline</w:t>
      </w:r>
      <w:r w:rsidRPr="00970AF6">
        <w:t>.</w:t>
      </w:r>
    </w:p>
    <w:p w:rsidR="00A2303E" w:rsidRDefault="00A2303E" w:rsidP="00A2303E">
      <w:pPr>
        <w:pStyle w:val="Heading2"/>
      </w:pPr>
      <w:bookmarkStart w:id="11" w:name="_Toc408404320"/>
      <w:bookmarkStart w:id="12" w:name="_Toc419366913"/>
      <w:bookmarkStart w:id="13" w:name="_Toc451530021"/>
      <w:r>
        <w:t>Final</w:t>
      </w:r>
      <w:r w:rsidRPr="0074565D">
        <w:t xml:space="preserve"> decision</w:t>
      </w:r>
      <w:bookmarkEnd w:id="11"/>
      <w:bookmarkEnd w:id="12"/>
      <w:bookmarkEnd w:id="13"/>
    </w:p>
    <w:p w:rsidR="005F428D" w:rsidRDefault="00AF64A0" w:rsidP="00AF64A0">
      <w:r w:rsidRPr="00AF64A0">
        <w:t>We are satisfied that the forecast of total opex APTNT proposed complies with the opex criteria, and satisfies the criteria for forecasts and estimates. We therefore accept the forecast of opex APTNT included in its access arrangement proposal.</w:t>
      </w:r>
      <w:r w:rsidR="00A31864">
        <w:rPr>
          <w:rStyle w:val="FootnoteReference"/>
        </w:rPr>
        <w:footnoteReference w:id="1"/>
      </w:r>
      <w:r w:rsidRPr="00AF64A0">
        <w:t xml:space="preserve"> </w:t>
      </w:r>
    </w:p>
    <w:p w:rsidR="00AF64A0" w:rsidRPr="00AF64A0" w:rsidRDefault="00AF64A0" w:rsidP="00AF64A0">
      <w:r w:rsidRPr="00AF64A0">
        <w:t xml:space="preserve">APTNT’s proposed total opex and our decision on opex for the 2016–21 access arrangement </w:t>
      </w:r>
      <w:proofErr w:type="gramStart"/>
      <w:r w:rsidRPr="00AF64A0">
        <w:t>period</w:t>
      </w:r>
      <w:proofErr w:type="gramEnd"/>
      <w:r w:rsidRPr="00AF64A0">
        <w:t xml:space="preserve"> are in </w:t>
      </w:r>
      <w:r w:rsidR="00F37DF7">
        <w:fldChar w:fldCharType="begin"/>
      </w:r>
      <w:r w:rsidR="00F37DF7">
        <w:instrText xml:space="preserve"> REF _Ref440437093 \h </w:instrText>
      </w:r>
      <w:r w:rsidR="00F37DF7">
        <w:fldChar w:fldCharType="separate"/>
      </w:r>
      <w:r w:rsidR="00F37DF7">
        <w:t xml:space="preserve">Table </w:t>
      </w:r>
      <w:r w:rsidR="00F37DF7">
        <w:rPr>
          <w:noProof/>
        </w:rPr>
        <w:t>7</w:t>
      </w:r>
      <w:r w:rsidR="00F37DF7">
        <w:t>.</w:t>
      </w:r>
      <w:r w:rsidR="00F37DF7">
        <w:rPr>
          <w:noProof/>
        </w:rPr>
        <w:t>1</w:t>
      </w:r>
      <w:r w:rsidR="00F37DF7">
        <w:fldChar w:fldCharType="end"/>
      </w:r>
      <w:r w:rsidRPr="00AF64A0">
        <w:t>.</w:t>
      </w:r>
    </w:p>
    <w:p w:rsidR="00AF64A0" w:rsidRPr="00AF64A0" w:rsidRDefault="00F37DF7" w:rsidP="00F37DF7">
      <w:pPr>
        <w:pStyle w:val="Caption"/>
      </w:pPr>
      <w:bookmarkStart w:id="14" w:name="_Ref440437093"/>
      <w:proofErr w:type="gramStart"/>
      <w:r>
        <w:t xml:space="preserve">Table </w:t>
      </w:r>
      <w:r w:rsidR="00DA109E">
        <w:fldChar w:fldCharType="begin"/>
      </w:r>
      <w:r w:rsidR="00DA109E">
        <w:instrText xml:space="preserve"> STYLEREF 1 \s </w:instrText>
      </w:r>
      <w:r w:rsidR="00DA109E">
        <w:fldChar w:fldCharType="separate"/>
      </w:r>
      <w:r w:rsidR="003C4170">
        <w:rPr>
          <w:noProof/>
        </w:rPr>
        <w:t>7</w:t>
      </w:r>
      <w:r w:rsidR="00DA109E">
        <w:rPr>
          <w:noProof/>
        </w:rPr>
        <w:fldChar w:fldCharType="end"/>
      </w:r>
      <w:r w:rsidR="003C4170">
        <w:t>.</w:t>
      </w:r>
      <w:proofErr w:type="gramEnd"/>
      <w:r w:rsidR="00DA109E">
        <w:fldChar w:fldCharType="begin"/>
      </w:r>
      <w:r w:rsidR="00DA109E">
        <w:instrText xml:space="preserve"> SEQ Table \* ARABIC \s 1 </w:instrText>
      </w:r>
      <w:r w:rsidR="00DA109E">
        <w:fldChar w:fldCharType="separate"/>
      </w:r>
      <w:r w:rsidR="003C4170">
        <w:rPr>
          <w:noProof/>
        </w:rPr>
        <w:t>1</w:t>
      </w:r>
      <w:r w:rsidR="00DA109E">
        <w:rPr>
          <w:noProof/>
        </w:rPr>
        <w:fldChar w:fldCharType="end"/>
      </w:r>
      <w:bookmarkEnd w:id="14"/>
      <w:r w:rsidR="00AF64A0" w:rsidRPr="00AF64A0">
        <w:tab/>
        <w:t>APTNT opex</w:t>
      </w:r>
      <w:r w:rsidR="00527C6F">
        <w:t xml:space="preserve"> </w:t>
      </w:r>
      <w:r w:rsidR="00AF64A0" w:rsidRPr="00AF64A0">
        <w:t>($million, 2015–16)</w:t>
      </w:r>
    </w:p>
    <w:tbl>
      <w:tblPr>
        <w:tblStyle w:val="AERtable-numbers"/>
        <w:tblW w:w="0" w:type="auto"/>
        <w:tblLook w:val="04A0" w:firstRow="1" w:lastRow="0" w:firstColumn="1" w:lastColumn="0" w:noHBand="0" w:noVBand="1"/>
      </w:tblPr>
      <w:tblGrid>
        <w:gridCol w:w="1241"/>
        <w:gridCol w:w="1242"/>
        <w:gridCol w:w="1242"/>
        <w:gridCol w:w="1242"/>
        <w:gridCol w:w="1242"/>
        <w:gridCol w:w="1242"/>
        <w:gridCol w:w="1242"/>
      </w:tblGrid>
      <w:tr w:rsidR="00F37DF7" w:rsidRPr="00F37DF7" w:rsidTr="00F37DF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41" w:type="dxa"/>
          </w:tcPr>
          <w:p w:rsidR="00F37DF7" w:rsidRPr="00F37DF7" w:rsidRDefault="00F37DF7" w:rsidP="00451FB0">
            <w:pPr>
              <w:pStyle w:val="AERtabletextleft"/>
            </w:pPr>
          </w:p>
        </w:tc>
        <w:tc>
          <w:tcPr>
            <w:tcW w:w="1242" w:type="dxa"/>
          </w:tcPr>
          <w:p w:rsidR="00F37DF7" w:rsidRPr="00F37DF7" w:rsidRDefault="00F37DF7" w:rsidP="00451FB0">
            <w:pPr>
              <w:pStyle w:val="AERtabletextleft"/>
              <w:cnfStyle w:val="100000000000" w:firstRow="1" w:lastRow="0" w:firstColumn="0" w:lastColumn="0" w:oddVBand="0" w:evenVBand="0" w:oddHBand="0" w:evenHBand="0" w:firstRowFirstColumn="0" w:firstRowLastColumn="0" w:lastRowFirstColumn="0" w:lastRowLastColumn="0"/>
            </w:pPr>
            <w:r w:rsidRPr="00F37DF7">
              <w:t>2016–17</w:t>
            </w:r>
          </w:p>
        </w:tc>
        <w:tc>
          <w:tcPr>
            <w:tcW w:w="1242" w:type="dxa"/>
          </w:tcPr>
          <w:p w:rsidR="00F37DF7" w:rsidRPr="00F37DF7" w:rsidRDefault="00F37DF7" w:rsidP="00451FB0">
            <w:pPr>
              <w:pStyle w:val="AERtabletextleft"/>
              <w:cnfStyle w:val="100000000000" w:firstRow="1" w:lastRow="0" w:firstColumn="0" w:lastColumn="0" w:oddVBand="0" w:evenVBand="0" w:oddHBand="0" w:evenHBand="0" w:firstRowFirstColumn="0" w:firstRowLastColumn="0" w:lastRowFirstColumn="0" w:lastRowLastColumn="0"/>
            </w:pPr>
            <w:r w:rsidRPr="00F37DF7">
              <w:t>2017–18</w:t>
            </w:r>
          </w:p>
        </w:tc>
        <w:tc>
          <w:tcPr>
            <w:tcW w:w="1242" w:type="dxa"/>
          </w:tcPr>
          <w:p w:rsidR="00F37DF7" w:rsidRPr="00F37DF7" w:rsidRDefault="00F37DF7" w:rsidP="00451FB0">
            <w:pPr>
              <w:pStyle w:val="AERtabletextleft"/>
              <w:cnfStyle w:val="100000000000" w:firstRow="1" w:lastRow="0" w:firstColumn="0" w:lastColumn="0" w:oddVBand="0" w:evenVBand="0" w:oddHBand="0" w:evenHBand="0" w:firstRowFirstColumn="0" w:firstRowLastColumn="0" w:lastRowFirstColumn="0" w:lastRowLastColumn="0"/>
            </w:pPr>
            <w:r w:rsidRPr="00F37DF7">
              <w:t>2018–19</w:t>
            </w:r>
          </w:p>
        </w:tc>
        <w:tc>
          <w:tcPr>
            <w:tcW w:w="1242" w:type="dxa"/>
          </w:tcPr>
          <w:p w:rsidR="00F37DF7" w:rsidRPr="00F37DF7" w:rsidRDefault="00F37DF7" w:rsidP="00451FB0">
            <w:pPr>
              <w:pStyle w:val="AERtabletextleft"/>
              <w:cnfStyle w:val="100000000000" w:firstRow="1" w:lastRow="0" w:firstColumn="0" w:lastColumn="0" w:oddVBand="0" w:evenVBand="0" w:oddHBand="0" w:evenHBand="0" w:firstRowFirstColumn="0" w:firstRowLastColumn="0" w:lastRowFirstColumn="0" w:lastRowLastColumn="0"/>
            </w:pPr>
            <w:r w:rsidRPr="00F37DF7">
              <w:t>2019–20</w:t>
            </w:r>
          </w:p>
        </w:tc>
        <w:tc>
          <w:tcPr>
            <w:tcW w:w="1242" w:type="dxa"/>
          </w:tcPr>
          <w:p w:rsidR="00F37DF7" w:rsidRPr="00F37DF7" w:rsidRDefault="00F37DF7" w:rsidP="00451FB0">
            <w:pPr>
              <w:pStyle w:val="AERtabletextleft"/>
              <w:cnfStyle w:val="100000000000" w:firstRow="1" w:lastRow="0" w:firstColumn="0" w:lastColumn="0" w:oddVBand="0" w:evenVBand="0" w:oddHBand="0" w:evenHBand="0" w:firstRowFirstColumn="0" w:firstRowLastColumn="0" w:lastRowFirstColumn="0" w:lastRowLastColumn="0"/>
            </w:pPr>
            <w:r w:rsidRPr="00F37DF7">
              <w:t>2020–21</w:t>
            </w:r>
          </w:p>
        </w:tc>
        <w:tc>
          <w:tcPr>
            <w:tcW w:w="1242" w:type="dxa"/>
          </w:tcPr>
          <w:p w:rsidR="00F37DF7" w:rsidRPr="00F37DF7" w:rsidRDefault="00F37DF7" w:rsidP="00451FB0">
            <w:pPr>
              <w:pStyle w:val="AERtabletextleft"/>
              <w:cnfStyle w:val="100000000000" w:firstRow="1" w:lastRow="0" w:firstColumn="0" w:lastColumn="0" w:oddVBand="0" w:evenVBand="0" w:oddHBand="0" w:evenHBand="0" w:firstRowFirstColumn="0" w:firstRowLastColumn="0" w:lastRowFirstColumn="0" w:lastRowLastColumn="0"/>
            </w:pPr>
            <w:r w:rsidRPr="00F37DF7">
              <w:t>Total</w:t>
            </w:r>
          </w:p>
        </w:tc>
      </w:tr>
      <w:tr w:rsidR="00F37DF7" w:rsidRPr="00F37DF7" w:rsidTr="00F37DF7">
        <w:tc>
          <w:tcPr>
            <w:cnfStyle w:val="001000000000" w:firstRow="0" w:lastRow="0" w:firstColumn="1" w:lastColumn="0" w:oddVBand="0" w:evenVBand="0" w:oddHBand="0" w:evenHBand="0" w:firstRowFirstColumn="0" w:firstRowLastColumn="0" w:lastRowFirstColumn="0" w:lastRowLastColumn="0"/>
            <w:tcW w:w="1241" w:type="dxa"/>
          </w:tcPr>
          <w:p w:rsidR="00F37DF7" w:rsidRPr="00F37DF7" w:rsidRDefault="00F37DF7" w:rsidP="00451FB0">
            <w:pPr>
              <w:pStyle w:val="AERtabletextleft"/>
            </w:pPr>
            <w:r w:rsidRPr="00F37DF7">
              <w:t>APTNT's proposal</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11.9</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12.9</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13.9</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11.8</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12.3</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62.8</w:t>
            </w:r>
          </w:p>
        </w:tc>
      </w:tr>
      <w:tr w:rsidR="00F37DF7" w:rsidRPr="00F37DF7" w:rsidTr="00F37DF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41" w:type="dxa"/>
          </w:tcPr>
          <w:p w:rsidR="00F37DF7" w:rsidRPr="00F37DF7" w:rsidRDefault="00F37DF7" w:rsidP="00451FB0">
            <w:pPr>
              <w:pStyle w:val="AERtabletextleft"/>
            </w:pPr>
            <w:r w:rsidRPr="00F37DF7">
              <w:t>AER decision</w:t>
            </w:r>
          </w:p>
        </w:tc>
        <w:tc>
          <w:tcPr>
            <w:tcW w:w="1242" w:type="dxa"/>
          </w:tcPr>
          <w:p w:rsidR="00F37DF7" w:rsidRPr="00F37DF7" w:rsidRDefault="00F37DF7" w:rsidP="00451FB0">
            <w:pPr>
              <w:pStyle w:val="AERtabletextleft"/>
              <w:cnfStyle w:val="000000010000" w:firstRow="0" w:lastRow="0" w:firstColumn="0" w:lastColumn="0" w:oddVBand="0" w:evenVBand="0" w:oddHBand="0" w:evenHBand="1" w:firstRowFirstColumn="0" w:firstRowLastColumn="0" w:lastRowFirstColumn="0" w:lastRowLastColumn="0"/>
            </w:pPr>
            <w:r w:rsidRPr="00F37DF7">
              <w:t>11.9</w:t>
            </w:r>
          </w:p>
        </w:tc>
        <w:tc>
          <w:tcPr>
            <w:tcW w:w="1242" w:type="dxa"/>
          </w:tcPr>
          <w:p w:rsidR="00F37DF7" w:rsidRPr="00F37DF7" w:rsidRDefault="00F37DF7" w:rsidP="00451FB0">
            <w:pPr>
              <w:pStyle w:val="AERtabletextleft"/>
              <w:cnfStyle w:val="000000010000" w:firstRow="0" w:lastRow="0" w:firstColumn="0" w:lastColumn="0" w:oddVBand="0" w:evenVBand="0" w:oddHBand="0" w:evenHBand="1" w:firstRowFirstColumn="0" w:firstRowLastColumn="0" w:lastRowFirstColumn="0" w:lastRowLastColumn="0"/>
            </w:pPr>
            <w:r w:rsidRPr="00F37DF7">
              <w:t>12.9</w:t>
            </w:r>
          </w:p>
        </w:tc>
        <w:tc>
          <w:tcPr>
            <w:tcW w:w="1242" w:type="dxa"/>
          </w:tcPr>
          <w:p w:rsidR="00F37DF7" w:rsidRPr="00F37DF7" w:rsidRDefault="00F37DF7" w:rsidP="00451FB0">
            <w:pPr>
              <w:pStyle w:val="AERtabletextleft"/>
              <w:cnfStyle w:val="000000010000" w:firstRow="0" w:lastRow="0" w:firstColumn="0" w:lastColumn="0" w:oddVBand="0" w:evenVBand="0" w:oddHBand="0" w:evenHBand="1" w:firstRowFirstColumn="0" w:firstRowLastColumn="0" w:lastRowFirstColumn="0" w:lastRowLastColumn="0"/>
            </w:pPr>
            <w:r w:rsidRPr="00F37DF7">
              <w:t>13.9</w:t>
            </w:r>
          </w:p>
        </w:tc>
        <w:tc>
          <w:tcPr>
            <w:tcW w:w="1242" w:type="dxa"/>
          </w:tcPr>
          <w:p w:rsidR="00F37DF7" w:rsidRPr="00F37DF7" w:rsidRDefault="00F37DF7" w:rsidP="00451FB0">
            <w:pPr>
              <w:pStyle w:val="AERtabletextleft"/>
              <w:cnfStyle w:val="000000010000" w:firstRow="0" w:lastRow="0" w:firstColumn="0" w:lastColumn="0" w:oddVBand="0" w:evenVBand="0" w:oddHBand="0" w:evenHBand="1" w:firstRowFirstColumn="0" w:firstRowLastColumn="0" w:lastRowFirstColumn="0" w:lastRowLastColumn="0"/>
            </w:pPr>
            <w:r w:rsidRPr="00F37DF7">
              <w:t>11.8</w:t>
            </w:r>
          </w:p>
        </w:tc>
        <w:tc>
          <w:tcPr>
            <w:tcW w:w="1242" w:type="dxa"/>
          </w:tcPr>
          <w:p w:rsidR="00F37DF7" w:rsidRPr="00F37DF7" w:rsidRDefault="00F37DF7" w:rsidP="00451FB0">
            <w:pPr>
              <w:pStyle w:val="AERtabletextleft"/>
              <w:cnfStyle w:val="000000010000" w:firstRow="0" w:lastRow="0" w:firstColumn="0" w:lastColumn="0" w:oddVBand="0" w:evenVBand="0" w:oddHBand="0" w:evenHBand="1" w:firstRowFirstColumn="0" w:firstRowLastColumn="0" w:lastRowFirstColumn="0" w:lastRowLastColumn="0"/>
            </w:pPr>
            <w:r w:rsidRPr="00F37DF7">
              <w:t>12.3</w:t>
            </w:r>
          </w:p>
        </w:tc>
        <w:tc>
          <w:tcPr>
            <w:tcW w:w="1242" w:type="dxa"/>
          </w:tcPr>
          <w:p w:rsidR="00F37DF7" w:rsidRPr="00F37DF7" w:rsidRDefault="00F37DF7" w:rsidP="00451FB0">
            <w:pPr>
              <w:pStyle w:val="AERtabletextleft"/>
              <w:cnfStyle w:val="000000010000" w:firstRow="0" w:lastRow="0" w:firstColumn="0" w:lastColumn="0" w:oddVBand="0" w:evenVBand="0" w:oddHBand="0" w:evenHBand="1" w:firstRowFirstColumn="0" w:firstRowLastColumn="0" w:lastRowFirstColumn="0" w:lastRowLastColumn="0"/>
            </w:pPr>
            <w:r w:rsidRPr="00F37DF7">
              <w:t>62.8</w:t>
            </w:r>
          </w:p>
        </w:tc>
      </w:tr>
      <w:tr w:rsidR="00F37DF7" w:rsidRPr="00F37DF7" w:rsidTr="00F37DF7">
        <w:tc>
          <w:tcPr>
            <w:cnfStyle w:val="001000000000" w:firstRow="0" w:lastRow="0" w:firstColumn="1" w:lastColumn="0" w:oddVBand="0" w:evenVBand="0" w:oddHBand="0" w:evenHBand="0" w:firstRowFirstColumn="0" w:firstRowLastColumn="0" w:lastRowFirstColumn="0" w:lastRowLastColumn="0"/>
            <w:tcW w:w="1241" w:type="dxa"/>
          </w:tcPr>
          <w:p w:rsidR="00F37DF7" w:rsidRPr="00F37DF7" w:rsidRDefault="00F37DF7" w:rsidP="00451FB0">
            <w:pPr>
              <w:pStyle w:val="AERtabletextleft"/>
            </w:pPr>
            <w:r w:rsidRPr="00F37DF7">
              <w:t>Difference</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w:t>
            </w:r>
          </w:p>
        </w:tc>
        <w:tc>
          <w:tcPr>
            <w:tcW w:w="1242" w:type="dxa"/>
          </w:tcPr>
          <w:p w:rsidR="00F37DF7" w:rsidRPr="00F37DF7" w:rsidRDefault="00F37DF7" w:rsidP="00451FB0">
            <w:pPr>
              <w:pStyle w:val="AERtabletextleft"/>
              <w:cnfStyle w:val="000000000000" w:firstRow="0" w:lastRow="0" w:firstColumn="0" w:lastColumn="0" w:oddVBand="0" w:evenVBand="0" w:oddHBand="0" w:evenHBand="0" w:firstRowFirstColumn="0" w:firstRowLastColumn="0" w:lastRowFirstColumn="0" w:lastRowLastColumn="0"/>
            </w:pPr>
            <w:r w:rsidRPr="00F37DF7">
              <w:t>–</w:t>
            </w:r>
          </w:p>
        </w:tc>
      </w:tr>
    </w:tbl>
    <w:p w:rsidR="00AF64A0" w:rsidRDefault="00AF64A0" w:rsidP="005F428D">
      <w:pPr>
        <w:pStyle w:val="AERtablesource"/>
      </w:pPr>
      <w:r w:rsidRPr="00AF64A0">
        <w:t>Source:</w:t>
      </w:r>
      <w:r w:rsidRPr="00AF64A0">
        <w:tab/>
      </w:r>
      <w:r w:rsidR="00EB60A6" w:rsidRPr="00AF64A0">
        <w:t xml:space="preserve">APTNT, </w:t>
      </w:r>
      <w:r w:rsidR="00EB60A6" w:rsidRPr="0065109C">
        <w:rPr>
          <w:rStyle w:val="AERtextitalic"/>
        </w:rPr>
        <w:t>Access arrangement revised proposal, 2016</w:t>
      </w:r>
      <w:r w:rsidR="00AB634C">
        <w:rPr>
          <w:rStyle w:val="AERtextitalic"/>
        </w:rPr>
        <w:t>–</w:t>
      </w:r>
      <w:r w:rsidR="00EB60A6" w:rsidRPr="0065109C">
        <w:rPr>
          <w:rStyle w:val="AERtextitalic"/>
        </w:rPr>
        <w:t>21 Access arrangement information</w:t>
      </w:r>
      <w:r w:rsidR="00EB60A6" w:rsidRPr="00AF64A0">
        <w:t xml:space="preserve">, </w:t>
      </w:r>
      <w:r w:rsidR="00EB60A6">
        <w:t>January</w:t>
      </w:r>
      <w:r w:rsidR="00EB60A6" w:rsidRPr="00AF64A0">
        <w:t xml:space="preserve"> 201</w:t>
      </w:r>
      <w:r w:rsidR="00EB60A6">
        <w:t>6, p. 17</w:t>
      </w:r>
      <w:r w:rsidR="00EB60A6" w:rsidRPr="00AF64A0">
        <w:t>; AER analysis.</w:t>
      </w:r>
    </w:p>
    <w:p w:rsidR="00AC150B" w:rsidRPr="00AC150B" w:rsidRDefault="00AC150B" w:rsidP="0070203A">
      <w:pPr>
        <w:pStyle w:val="AERtablesource"/>
      </w:pPr>
      <w:r>
        <w:t>Note:</w:t>
      </w:r>
      <w:r>
        <w:tab/>
        <w:t>Excludes debt raising costs</w:t>
      </w:r>
      <w:r w:rsidR="00847147">
        <w:t>.</w:t>
      </w:r>
    </w:p>
    <w:p w:rsidR="00A2303E" w:rsidRDefault="00A2303E" w:rsidP="00A2303E">
      <w:pPr>
        <w:pStyle w:val="Heading2"/>
      </w:pPr>
      <w:bookmarkStart w:id="15" w:name="_Toc419366914"/>
      <w:bookmarkStart w:id="16" w:name="_Toc451530022"/>
      <w:r>
        <w:t xml:space="preserve">APTNT’s </w:t>
      </w:r>
      <w:r w:rsidR="001A05EA">
        <w:t xml:space="preserve">revised </w:t>
      </w:r>
      <w:r>
        <w:t>proposal</w:t>
      </w:r>
      <w:bookmarkEnd w:id="15"/>
      <w:bookmarkEnd w:id="16"/>
    </w:p>
    <w:p w:rsidR="00F37DF7" w:rsidRPr="00AF64A0" w:rsidRDefault="00527C6F" w:rsidP="00AF64A0">
      <w:r>
        <w:t>APTNT noted the AER</w:t>
      </w:r>
      <w:r w:rsidR="00F37DF7">
        <w:t>'s draft decision</w:t>
      </w:r>
      <w:r>
        <w:t xml:space="preserve"> </w:t>
      </w:r>
      <w:r w:rsidR="00F37DF7">
        <w:t xml:space="preserve">accepted APTNT's </w:t>
      </w:r>
      <w:r>
        <w:t xml:space="preserve">forecast </w:t>
      </w:r>
      <w:r w:rsidR="00F37DF7">
        <w:t>opex for the access arrangement period. APTNT did not propose any further revisions to its opex forecast.</w:t>
      </w:r>
      <w:r>
        <w:t xml:space="preserve"> </w:t>
      </w:r>
    </w:p>
    <w:p w:rsidR="00A2303E" w:rsidRDefault="00A2303E" w:rsidP="00A2303E">
      <w:pPr>
        <w:pStyle w:val="Heading2"/>
      </w:pPr>
      <w:bookmarkStart w:id="17" w:name="_Toc408404322"/>
      <w:bookmarkStart w:id="18" w:name="_Toc419366915"/>
      <w:bookmarkStart w:id="19" w:name="_Toc451530023"/>
      <w:r w:rsidRPr="0074565D">
        <w:t>AER’s assessment approach</w:t>
      </w:r>
      <w:bookmarkEnd w:id="17"/>
      <w:bookmarkEnd w:id="18"/>
      <w:bookmarkEnd w:id="19"/>
    </w:p>
    <w:p w:rsidR="00BD5868" w:rsidRDefault="00BD5868" w:rsidP="00F37DF7">
      <w:r w:rsidRPr="00BD5868">
        <w:t>Our assessment approach is the same as in the draft decision.</w:t>
      </w:r>
      <w:r>
        <w:rPr>
          <w:rStyle w:val="FootnoteReference"/>
        </w:rPr>
        <w:footnoteReference w:id="2"/>
      </w:r>
      <w:r w:rsidRPr="00BD5868">
        <w:t xml:space="preserve">  </w:t>
      </w:r>
    </w:p>
    <w:p w:rsidR="005F428D" w:rsidRDefault="005F428D" w:rsidP="00F37DF7"/>
    <w:p w:rsidR="00A2303E" w:rsidRDefault="00A2303E" w:rsidP="00A2303E">
      <w:pPr>
        <w:pStyle w:val="Heading2"/>
      </w:pPr>
      <w:bookmarkStart w:id="20" w:name="_Toc408404324"/>
      <w:bookmarkStart w:id="21" w:name="_Toc419366917"/>
      <w:bookmarkStart w:id="22" w:name="_Toc451530024"/>
      <w:r w:rsidRPr="0074565D">
        <w:lastRenderedPageBreak/>
        <w:t xml:space="preserve">Reasons for </w:t>
      </w:r>
      <w:r>
        <w:t>final</w:t>
      </w:r>
      <w:r w:rsidRPr="0074565D">
        <w:t xml:space="preserve"> decision</w:t>
      </w:r>
      <w:bookmarkEnd w:id="20"/>
      <w:bookmarkEnd w:id="21"/>
      <w:bookmarkEnd w:id="22"/>
      <w:r w:rsidRPr="0074565D">
        <w:t xml:space="preserve"> </w:t>
      </w:r>
    </w:p>
    <w:p w:rsidR="00CC70C5" w:rsidRDefault="006F61BC" w:rsidP="005F428D">
      <w:r>
        <w:t>In</w:t>
      </w:r>
      <w:r w:rsidR="00CC70C5">
        <w:t xml:space="preserve"> our draft decision</w:t>
      </w:r>
      <w:r w:rsidR="00791EE0">
        <w:t>,</w:t>
      </w:r>
      <w:r w:rsidR="00CC70C5">
        <w:t xml:space="preserve"> we accepted APTNT's proposed opex forecast, which was consistent with the estimate derived from our revealed cost (base-step-trend) forecasting methodology. </w:t>
      </w:r>
    </w:p>
    <w:p w:rsidR="003C4170" w:rsidRDefault="0081311C" w:rsidP="005F428D">
      <w:r>
        <w:t>We have reviewed the estimate derived for our draft decision to determine if any new information should be taken into account, including updates to inputs or submissions from interested parties.</w:t>
      </w:r>
      <w:r w:rsidR="005F428D" w:rsidRPr="005F428D">
        <w:t xml:space="preserve"> </w:t>
      </w:r>
      <w:r w:rsidR="009F5B3C">
        <w:t xml:space="preserve">We received no specific submissions on APTNT's forecast opex. Our </w:t>
      </w:r>
      <w:r w:rsidR="009B5E92">
        <w:t xml:space="preserve">review has not identified </w:t>
      </w:r>
      <w:r w:rsidR="00D757AE">
        <w:t>any new information</w:t>
      </w:r>
      <w:r w:rsidR="009B5E92" w:rsidRPr="00DF7C79">
        <w:t xml:space="preserve"> which impact</w:t>
      </w:r>
      <w:r w:rsidR="00D757AE">
        <w:t>s</w:t>
      </w:r>
      <w:r w:rsidR="009B5E92" w:rsidRPr="00DF7C79">
        <w:t xml:space="preserve"> upon our reasoning as set out in the draft decision</w:t>
      </w:r>
      <w:r w:rsidR="005F428D" w:rsidRPr="005F428D">
        <w:t xml:space="preserve">. </w:t>
      </w:r>
    </w:p>
    <w:p w:rsidR="003C4170" w:rsidRDefault="003C4170" w:rsidP="006400E8">
      <w:r w:rsidRPr="003C4170">
        <w:t>We are satisfied that APTNT's forecast opex for the 2016–21 access arrangement period complies with the opex criteria and criteria for forecast and estimates</w:t>
      </w:r>
      <w:r w:rsidR="006F61BC">
        <w:t xml:space="preserve"> for the reasons set out in our draft decision</w:t>
      </w:r>
      <w:r w:rsidRPr="003C4170">
        <w:t xml:space="preserve">. </w:t>
      </w:r>
      <w:r>
        <w:t>This conclusion must be read in conjunction with our draft decision, which details our analysis of APTNT's forecast opex.</w:t>
      </w:r>
      <w:r w:rsidR="009F5B3C">
        <w:rPr>
          <w:rStyle w:val="FootnoteReference"/>
        </w:rPr>
        <w:footnoteReference w:id="3"/>
      </w:r>
      <w:r>
        <w:t xml:space="preserve"> </w:t>
      </w:r>
      <w:r w:rsidRPr="003C4170">
        <w:t>Debt raising costs are discussed in Attachment 3.</w:t>
      </w:r>
    </w:p>
    <w:p w:rsidR="003C4170" w:rsidRDefault="003C4170" w:rsidP="006400E8"/>
    <w:p w:rsidR="006400E8" w:rsidRPr="006400E8" w:rsidRDefault="0081311C" w:rsidP="006400E8">
      <w:r>
        <w:t xml:space="preserve"> </w:t>
      </w:r>
    </w:p>
    <w:sectPr w:rsidR="006400E8" w:rsidRPr="006400E8" w:rsidSect="00B757A6">
      <w:headerReference w:type="even" r:id="rId12"/>
      <w:footerReference w:type="even" r:id="rId13"/>
      <w:footerReference w:type="default" r:id="rId14"/>
      <w:headerReference w:type="first" r:id="rId15"/>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3646" w:rsidRPr="00290C63" w:rsidRDefault="00393646" w:rsidP="00290C63">
      <w:r>
        <w:separator/>
      </w:r>
    </w:p>
    <w:p w:rsidR="00393646" w:rsidRDefault="00393646"/>
  </w:endnote>
  <w:endnote w:type="continuationSeparator" w:id="0">
    <w:p w:rsidR="00393646" w:rsidRPr="00290C63" w:rsidRDefault="00393646" w:rsidP="00290C63">
      <w:r>
        <w:continuationSeparator/>
      </w:r>
    </w:p>
    <w:p w:rsidR="00393646" w:rsidRDefault="003936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dge Roun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646" w:rsidRDefault="00393646">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393646" w:rsidRDefault="00393646">
    <w:pPr>
      <w:pStyle w:val="Footer"/>
    </w:pPr>
  </w:p>
  <w:p w:rsidR="00393646" w:rsidRDefault="00393646">
    <w:pPr>
      <w:pStyle w:val="Footer"/>
    </w:pPr>
    <w:r>
      <w:fldChar w:fldCharType="begin"/>
    </w:r>
    <w:r>
      <w:instrText xml:space="preserve"> DOCPROPERTY DocumentID \* MERGEFORMAT </w:instrText>
    </w:r>
    <w:r>
      <w:fldChar w:fldCharType="separate"/>
    </w:r>
    <w:r>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393646" w:rsidRPr="00CA52A2" w:rsidRDefault="00393646" w:rsidP="00CA52A2">
        <w:pPr>
          <w:pStyle w:val="Footer"/>
        </w:pPr>
        <w:r w:rsidRPr="00CA52A2">
          <w:fldChar w:fldCharType="begin"/>
        </w:r>
        <w:r>
          <w:instrText xml:space="preserve"> PAGE   \* MERGEFORMAT </w:instrText>
        </w:r>
        <w:r w:rsidRPr="00CA52A2">
          <w:fldChar w:fldCharType="separate"/>
        </w:r>
        <w:r w:rsidR="00DA109E">
          <w:rPr>
            <w:noProof/>
          </w:rPr>
          <w:t>7-3</w:t>
        </w:r>
        <w:r w:rsidRPr="00CA52A2">
          <w:fldChar w:fldCharType="end"/>
        </w:r>
        <w:r w:rsidRPr="00CA52A2">
          <w:t xml:space="preserve">          Attachment </w:t>
        </w:r>
        <w:r w:rsidR="00D46BD3">
          <w:t>7</w:t>
        </w:r>
        <w:r>
          <w:t xml:space="preserve"> </w:t>
        </w:r>
        <w:r w:rsidRPr="00CA52A2">
          <w:t xml:space="preserve">– </w:t>
        </w:r>
        <w:r w:rsidR="00D46BD3">
          <w:t xml:space="preserve">Operating expenditure </w:t>
        </w:r>
        <w:r w:rsidRPr="00CA52A2">
          <w:t xml:space="preserve">| </w:t>
        </w:r>
        <w:r w:rsidR="00D41E80">
          <w:t>Final</w:t>
        </w:r>
        <w:r>
          <w:t xml:space="preserve"> decision: Amadeus Gas Pipeline Access Arrangement 2016</w:t>
        </w:r>
        <w:r w:rsidRPr="00CA52A2">
          <w:t>–</w:t>
        </w:r>
        <w:r>
          <w:t>21</w:t>
        </w:r>
      </w:p>
    </w:sdtContent>
  </w:sdt>
  <w:p w:rsidR="00393646" w:rsidRDefault="00393646">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3646" w:rsidRPr="00290C63" w:rsidRDefault="00393646" w:rsidP="00290C63">
      <w:r>
        <w:separator/>
      </w:r>
    </w:p>
    <w:p w:rsidR="00393646" w:rsidRDefault="00393646"/>
  </w:footnote>
  <w:footnote w:type="continuationSeparator" w:id="0">
    <w:p w:rsidR="00393646" w:rsidRPr="00290C63" w:rsidRDefault="00393646" w:rsidP="00290C63">
      <w:r>
        <w:continuationSeparator/>
      </w:r>
    </w:p>
    <w:p w:rsidR="00393646" w:rsidRDefault="00393646"/>
  </w:footnote>
  <w:footnote w:id="1">
    <w:p w:rsidR="00A31864" w:rsidRDefault="00A31864">
      <w:pPr>
        <w:pStyle w:val="FootnoteText"/>
      </w:pPr>
      <w:r>
        <w:rPr>
          <w:rStyle w:val="FootnoteReference"/>
        </w:rPr>
        <w:footnoteRef/>
      </w:r>
      <w:r>
        <w:t xml:space="preserve"> </w:t>
      </w:r>
      <w:r>
        <w:tab/>
        <w:t>The opex input to the PTRM in the AER draft decision was not consistent with the AER draft decision on forecast opex. Therefore the opex forecast input to the final decision PTRM has been amended.</w:t>
      </w:r>
    </w:p>
  </w:footnote>
  <w:footnote w:id="2">
    <w:p w:rsidR="00BD5868" w:rsidRDefault="00BD5868">
      <w:pPr>
        <w:pStyle w:val="FootnoteText"/>
      </w:pPr>
      <w:r>
        <w:rPr>
          <w:rStyle w:val="FootnoteReference"/>
        </w:rPr>
        <w:footnoteRef/>
      </w:r>
      <w:r>
        <w:t xml:space="preserve"> </w:t>
      </w:r>
      <w:r>
        <w:tab/>
      </w:r>
      <w:proofErr w:type="gramStart"/>
      <w:r w:rsidRPr="00BD5868">
        <w:t xml:space="preserve">AER, Draft Decision, </w:t>
      </w:r>
      <w:r w:rsidRPr="00BD5868">
        <w:rPr>
          <w:rStyle w:val="AERtextitalic"/>
        </w:rPr>
        <w:t>Amadeus Gas Pipeline Access Arrangement 2016 to 2021, Attachment 7 - Operating expenditure</w:t>
      </w:r>
      <w:r w:rsidRPr="00BD5868">
        <w:t>, November 2015, pp</w:t>
      </w:r>
      <w:r w:rsidR="002C4A86">
        <w:t>.</w:t>
      </w:r>
      <w:r w:rsidRPr="00BD5868">
        <w:t xml:space="preserve"> 7</w:t>
      </w:r>
      <w:r w:rsidR="00847147">
        <w:t>-</w:t>
      </w:r>
      <w:r w:rsidRPr="00BD5868">
        <w:t>8 to 7</w:t>
      </w:r>
      <w:r w:rsidR="00847147">
        <w:t>-</w:t>
      </w:r>
      <w:r w:rsidRPr="00BD5868">
        <w:t>11</w:t>
      </w:r>
      <w:r>
        <w:t>.</w:t>
      </w:r>
      <w:proofErr w:type="gramEnd"/>
    </w:p>
  </w:footnote>
  <w:footnote w:id="3">
    <w:p w:rsidR="009F5B3C" w:rsidRDefault="009F5B3C">
      <w:pPr>
        <w:pStyle w:val="FootnoteText"/>
      </w:pPr>
      <w:r>
        <w:rPr>
          <w:rStyle w:val="FootnoteReference"/>
        </w:rPr>
        <w:footnoteRef/>
      </w:r>
      <w:r>
        <w:t xml:space="preserve"> </w:t>
      </w:r>
      <w:r>
        <w:tab/>
      </w:r>
      <w:proofErr w:type="gramStart"/>
      <w:r w:rsidRPr="00BD5868">
        <w:t xml:space="preserve">AER, Draft Decision, </w:t>
      </w:r>
      <w:r w:rsidRPr="00BD5868">
        <w:rPr>
          <w:rStyle w:val="AERtextitalic"/>
        </w:rPr>
        <w:t>Amadeus Gas Pipeline Access Arrangement 2016 to 2021, Attachment 7 - Operating expenditure</w:t>
      </w:r>
      <w:r w:rsidRPr="00BD5868">
        <w:t>, November 2015</w:t>
      </w:r>
      <w:r>
        <w:t>.</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646" w:rsidRDefault="00DA109E">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393646">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646" w:rsidRDefault="00DA109E">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8F84440C"/>
    <w:lvl w:ilvl="0">
      <w:start w:val="7"/>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644"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5"/>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xo4G3Ut0M/AKWE4CP5kzzF6iLgfhJks4BnimrBXo5wg=" w:saltValue="sf0nm7nqqdJ8I3oCu4hv8g=="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5404\AER15 4325  AER - Final decision Amadeus Gas Pipeline Access Arrangement - Attachment 8 - Corporate income tax - April 2016.DOCX"/>
  </w:docVars>
  <w:rsids>
    <w:rsidRoot w:val="00961A4A"/>
    <w:rsid w:val="00004633"/>
    <w:rsid w:val="00010286"/>
    <w:rsid w:val="00021202"/>
    <w:rsid w:val="00021C2B"/>
    <w:rsid w:val="0002517F"/>
    <w:rsid w:val="00026495"/>
    <w:rsid w:val="0003578C"/>
    <w:rsid w:val="000401AF"/>
    <w:rsid w:val="00041DDA"/>
    <w:rsid w:val="00063247"/>
    <w:rsid w:val="00063A92"/>
    <w:rsid w:val="00070F9F"/>
    <w:rsid w:val="0007137B"/>
    <w:rsid w:val="00085663"/>
    <w:rsid w:val="00085EBF"/>
    <w:rsid w:val="00085F93"/>
    <w:rsid w:val="00091B15"/>
    <w:rsid w:val="000A1E7C"/>
    <w:rsid w:val="000A3020"/>
    <w:rsid w:val="000A6C7B"/>
    <w:rsid w:val="000B0360"/>
    <w:rsid w:val="000C2B40"/>
    <w:rsid w:val="000D01F4"/>
    <w:rsid w:val="000D06C1"/>
    <w:rsid w:val="000D122C"/>
    <w:rsid w:val="000D3016"/>
    <w:rsid w:val="000D64F2"/>
    <w:rsid w:val="000D7F32"/>
    <w:rsid w:val="000E1819"/>
    <w:rsid w:val="000E4821"/>
    <w:rsid w:val="000E6C72"/>
    <w:rsid w:val="000F0B2B"/>
    <w:rsid w:val="000F3E72"/>
    <w:rsid w:val="000F48B1"/>
    <w:rsid w:val="000F723D"/>
    <w:rsid w:val="00103A67"/>
    <w:rsid w:val="00116EB2"/>
    <w:rsid w:val="00124609"/>
    <w:rsid w:val="00126A4C"/>
    <w:rsid w:val="00142AB6"/>
    <w:rsid w:val="00144E43"/>
    <w:rsid w:val="0014573B"/>
    <w:rsid w:val="00147E70"/>
    <w:rsid w:val="00156DCC"/>
    <w:rsid w:val="001573E4"/>
    <w:rsid w:val="00160756"/>
    <w:rsid w:val="0017232E"/>
    <w:rsid w:val="00174102"/>
    <w:rsid w:val="0017480F"/>
    <w:rsid w:val="001754EE"/>
    <w:rsid w:val="00180157"/>
    <w:rsid w:val="00182467"/>
    <w:rsid w:val="00185CB9"/>
    <w:rsid w:val="00186F77"/>
    <w:rsid w:val="001926A4"/>
    <w:rsid w:val="00192AD5"/>
    <w:rsid w:val="001A05EA"/>
    <w:rsid w:val="001B3F62"/>
    <w:rsid w:val="001B45A0"/>
    <w:rsid w:val="001B45C0"/>
    <w:rsid w:val="001B6F2E"/>
    <w:rsid w:val="001B7D00"/>
    <w:rsid w:val="001C17E7"/>
    <w:rsid w:val="001D055E"/>
    <w:rsid w:val="001E009C"/>
    <w:rsid w:val="001E5FE2"/>
    <w:rsid w:val="001F05A4"/>
    <w:rsid w:val="001F492E"/>
    <w:rsid w:val="001F6DA3"/>
    <w:rsid w:val="002010BC"/>
    <w:rsid w:val="002016E7"/>
    <w:rsid w:val="00201F98"/>
    <w:rsid w:val="00202E03"/>
    <w:rsid w:val="0020478D"/>
    <w:rsid w:val="0020492C"/>
    <w:rsid w:val="00205A33"/>
    <w:rsid w:val="0022444D"/>
    <w:rsid w:val="00224DB9"/>
    <w:rsid w:val="00227DCE"/>
    <w:rsid w:val="0023276C"/>
    <w:rsid w:val="00233775"/>
    <w:rsid w:val="00251745"/>
    <w:rsid w:val="00263AC0"/>
    <w:rsid w:val="00264264"/>
    <w:rsid w:val="0026772D"/>
    <w:rsid w:val="00277554"/>
    <w:rsid w:val="00286874"/>
    <w:rsid w:val="00290C63"/>
    <w:rsid w:val="00296B65"/>
    <w:rsid w:val="0029724D"/>
    <w:rsid w:val="002A6688"/>
    <w:rsid w:val="002A7DEF"/>
    <w:rsid w:val="002B1003"/>
    <w:rsid w:val="002B573C"/>
    <w:rsid w:val="002C233C"/>
    <w:rsid w:val="002C4A86"/>
    <w:rsid w:val="002D72E8"/>
    <w:rsid w:val="002E7B22"/>
    <w:rsid w:val="002F7986"/>
    <w:rsid w:val="00301B40"/>
    <w:rsid w:val="00301F1F"/>
    <w:rsid w:val="003029A5"/>
    <w:rsid w:val="003029EE"/>
    <w:rsid w:val="0030370B"/>
    <w:rsid w:val="00305CC8"/>
    <w:rsid w:val="00307F6D"/>
    <w:rsid w:val="003130C9"/>
    <w:rsid w:val="003177A2"/>
    <w:rsid w:val="00320869"/>
    <w:rsid w:val="00326B1D"/>
    <w:rsid w:val="003271B5"/>
    <w:rsid w:val="00327A1E"/>
    <w:rsid w:val="00331264"/>
    <w:rsid w:val="003338A2"/>
    <w:rsid w:val="00334C8D"/>
    <w:rsid w:val="0033548E"/>
    <w:rsid w:val="00343A18"/>
    <w:rsid w:val="00344473"/>
    <w:rsid w:val="00344D08"/>
    <w:rsid w:val="003457F9"/>
    <w:rsid w:val="00347114"/>
    <w:rsid w:val="003518B3"/>
    <w:rsid w:val="003578CD"/>
    <w:rsid w:val="003666F2"/>
    <w:rsid w:val="003717D8"/>
    <w:rsid w:val="003846F1"/>
    <w:rsid w:val="003903D4"/>
    <w:rsid w:val="00391BF0"/>
    <w:rsid w:val="003931A7"/>
    <w:rsid w:val="00393646"/>
    <w:rsid w:val="003B484F"/>
    <w:rsid w:val="003B7FBA"/>
    <w:rsid w:val="003C4170"/>
    <w:rsid w:val="003C6694"/>
    <w:rsid w:val="003F174D"/>
    <w:rsid w:val="003F572D"/>
    <w:rsid w:val="003F7442"/>
    <w:rsid w:val="00415F31"/>
    <w:rsid w:val="0042205D"/>
    <w:rsid w:val="00423A77"/>
    <w:rsid w:val="00436ECD"/>
    <w:rsid w:val="00452473"/>
    <w:rsid w:val="0045777E"/>
    <w:rsid w:val="00461B0F"/>
    <w:rsid w:val="00461C29"/>
    <w:rsid w:val="00474EC7"/>
    <w:rsid w:val="00480B4B"/>
    <w:rsid w:val="00481E85"/>
    <w:rsid w:val="00485DC4"/>
    <w:rsid w:val="004A0A5E"/>
    <w:rsid w:val="004A43D1"/>
    <w:rsid w:val="004B355D"/>
    <w:rsid w:val="004B4412"/>
    <w:rsid w:val="004C0C43"/>
    <w:rsid w:val="004C348C"/>
    <w:rsid w:val="004C6A30"/>
    <w:rsid w:val="004D1A96"/>
    <w:rsid w:val="004D55BA"/>
    <w:rsid w:val="004E22EC"/>
    <w:rsid w:val="004E2A4C"/>
    <w:rsid w:val="004F6A0E"/>
    <w:rsid w:val="00527C6F"/>
    <w:rsid w:val="00530128"/>
    <w:rsid w:val="00532467"/>
    <w:rsid w:val="00537FD6"/>
    <w:rsid w:val="00564A4D"/>
    <w:rsid w:val="0056588A"/>
    <w:rsid w:val="00567BA5"/>
    <w:rsid w:val="00571B35"/>
    <w:rsid w:val="00571D57"/>
    <w:rsid w:val="00577A09"/>
    <w:rsid w:val="005829C2"/>
    <w:rsid w:val="00584D8F"/>
    <w:rsid w:val="00585A4E"/>
    <w:rsid w:val="00586819"/>
    <w:rsid w:val="0059704C"/>
    <w:rsid w:val="005A404D"/>
    <w:rsid w:val="005B1E3C"/>
    <w:rsid w:val="005B3FB7"/>
    <w:rsid w:val="005B4D33"/>
    <w:rsid w:val="005B704A"/>
    <w:rsid w:val="005C0A7F"/>
    <w:rsid w:val="005C26CC"/>
    <w:rsid w:val="005C4C9C"/>
    <w:rsid w:val="005C6218"/>
    <w:rsid w:val="005D03B1"/>
    <w:rsid w:val="005D7BA2"/>
    <w:rsid w:val="005E36C2"/>
    <w:rsid w:val="005F0183"/>
    <w:rsid w:val="005F428D"/>
    <w:rsid w:val="005F727F"/>
    <w:rsid w:val="006007DE"/>
    <w:rsid w:val="00601638"/>
    <w:rsid w:val="00610EF9"/>
    <w:rsid w:val="00612F4F"/>
    <w:rsid w:val="00615C6B"/>
    <w:rsid w:val="00620DC3"/>
    <w:rsid w:val="00621DCE"/>
    <w:rsid w:val="00632D6D"/>
    <w:rsid w:val="006400E8"/>
    <w:rsid w:val="00640812"/>
    <w:rsid w:val="00642C3E"/>
    <w:rsid w:val="00651C3A"/>
    <w:rsid w:val="00651CB2"/>
    <w:rsid w:val="006560CA"/>
    <w:rsid w:val="0066104A"/>
    <w:rsid w:val="00663DAD"/>
    <w:rsid w:val="00665649"/>
    <w:rsid w:val="00666E20"/>
    <w:rsid w:val="006672AA"/>
    <w:rsid w:val="00675E20"/>
    <w:rsid w:val="00676679"/>
    <w:rsid w:val="006812E7"/>
    <w:rsid w:val="00683C89"/>
    <w:rsid w:val="00684C16"/>
    <w:rsid w:val="00691D9A"/>
    <w:rsid w:val="006A7CB9"/>
    <w:rsid w:val="006A7D76"/>
    <w:rsid w:val="006B2395"/>
    <w:rsid w:val="006B45A4"/>
    <w:rsid w:val="006B4CF9"/>
    <w:rsid w:val="006B785B"/>
    <w:rsid w:val="006B7AC8"/>
    <w:rsid w:val="006C1736"/>
    <w:rsid w:val="006C4798"/>
    <w:rsid w:val="006C774D"/>
    <w:rsid w:val="006D22F2"/>
    <w:rsid w:val="006D550F"/>
    <w:rsid w:val="006E3F76"/>
    <w:rsid w:val="006F1F83"/>
    <w:rsid w:val="006F3AD1"/>
    <w:rsid w:val="006F3FC8"/>
    <w:rsid w:val="006F6183"/>
    <w:rsid w:val="006F61BC"/>
    <w:rsid w:val="0070011E"/>
    <w:rsid w:val="00701CAB"/>
    <w:rsid w:val="0070203A"/>
    <w:rsid w:val="00707563"/>
    <w:rsid w:val="0072348C"/>
    <w:rsid w:val="00724A37"/>
    <w:rsid w:val="007303C3"/>
    <w:rsid w:val="00741C46"/>
    <w:rsid w:val="00741E23"/>
    <w:rsid w:val="007429BE"/>
    <w:rsid w:val="00743223"/>
    <w:rsid w:val="00746E01"/>
    <w:rsid w:val="00747EEA"/>
    <w:rsid w:val="00752C8D"/>
    <w:rsid w:val="00757364"/>
    <w:rsid w:val="00757BDF"/>
    <w:rsid w:val="007609D0"/>
    <w:rsid w:val="00763618"/>
    <w:rsid w:val="00763E5D"/>
    <w:rsid w:val="00767740"/>
    <w:rsid w:val="00777EE6"/>
    <w:rsid w:val="00782EEA"/>
    <w:rsid w:val="00791EE0"/>
    <w:rsid w:val="007A7002"/>
    <w:rsid w:val="007A7136"/>
    <w:rsid w:val="007A7F63"/>
    <w:rsid w:val="007B011C"/>
    <w:rsid w:val="007B186E"/>
    <w:rsid w:val="007B2C72"/>
    <w:rsid w:val="007B6C52"/>
    <w:rsid w:val="007C1C53"/>
    <w:rsid w:val="007C74BB"/>
    <w:rsid w:val="007D456E"/>
    <w:rsid w:val="007E1C6B"/>
    <w:rsid w:val="007E42F4"/>
    <w:rsid w:val="007E4904"/>
    <w:rsid w:val="007E4CB5"/>
    <w:rsid w:val="007F066B"/>
    <w:rsid w:val="007F213A"/>
    <w:rsid w:val="007F75C4"/>
    <w:rsid w:val="008033C4"/>
    <w:rsid w:val="008057DE"/>
    <w:rsid w:val="00806C88"/>
    <w:rsid w:val="00810070"/>
    <w:rsid w:val="0081034E"/>
    <w:rsid w:val="00812B03"/>
    <w:rsid w:val="0081311C"/>
    <w:rsid w:val="00815CAC"/>
    <w:rsid w:val="008168E7"/>
    <w:rsid w:val="00821004"/>
    <w:rsid w:val="008221F2"/>
    <w:rsid w:val="00825985"/>
    <w:rsid w:val="008301A7"/>
    <w:rsid w:val="008301B2"/>
    <w:rsid w:val="008344F6"/>
    <w:rsid w:val="0083510F"/>
    <w:rsid w:val="008408C5"/>
    <w:rsid w:val="008414FC"/>
    <w:rsid w:val="00847147"/>
    <w:rsid w:val="00847887"/>
    <w:rsid w:val="00851209"/>
    <w:rsid w:val="0085722A"/>
    <w:rsid w:val="00861CF8"/>
    <w:rsid w:val="00862B19"/>
    <w:rsid w:val="00864B35"/>
    <w:rsid w:val="00866D99"/>
    <w:rsid w:val="00867CF6"/>
    <w:rsid w:val="008749E0"/>
    <w:rsid w:val="00874CD0"/>
    <w:rsid w:val="00882481"/>
    <w:rsid w:val="008837AC"/>
    <w:rsid w:val="008A587D"/>
    <w:rsid w:val="008B35CD"/>
    <w:rsid w:val="008B5FCC"/>
    <w:rsid w:val="008B7544"/>
    <w:rsid w:val="008C3374"/>
    <w:rsid w:val="008C39F0"/>
    <w:rsid w:val="008C5486"/>
    <w:rsid w:val="008C63DF"/>
    <w:rsid w:val="008C708B"/>
    <w:rsid w:val="008D1661"/>
    <w:rsid w:val="008D6800"/>
    <w:rsid w:val="008E7031"/>
    <w:rsid w:val="008E77DE"/>
    <w:rsid w:val="008F07A3"/>
    <w:rsid w:val="008F16B3"/>
    <w:rsid w:val="008F34DD"/>
    <w:rsid w:val="009001B6"/>
    <w:rsid w:val="00900E1B"/>
    <w:rsid w:val="00901C3C"/>
    <w:rsid w:val="009038ED"/>
    <w:rsid w:val="009233EE"/>
    <w:rsid w:val="00923CFC"/>
    <w:rsid w:val="00923FA9"/>
    <w:rsid w:val="009272AD"/>
    <w:rsid w:val="009277DC"/>
    <w:rsid w:val="009460AA"/>
    <w:rsid w:val="0094641C"/>
    <w:rsid w:val="00951978"/>
    <w:rsid w:val="00961115"/>
    <w:rsid w:val="00961A4A"/>
    <w:rsid w:val="009661DE"/>
    <w:rsid w:val="00983C25"/>
    <w:rsid w:val="009856B7"/>
    <w:rsid w:val="00985C86"/>
    <w:rsid w:val="00996BAF"/>
    <w:rsid w:val="009972D8"/>
    <w:rsid w:val="009A4FAA"/>
    <w:rsid w:val="009A5113"/>
    <w:rsid w:val="009A539D"/>
    <w:rsid w:val="009A5FC3"/>
    <w:rsid w:val="009B5DC8"/>
    <w:rsid w:val="009B5E92"/>
    <w:rsid w:val="009B6F84"/>
    <w:rsid w:val="009B7343"/>
    <w:rsid w:val="009B74B0"/>
    <w:rsid w:val="009C691D"/>
    <w:rsid w:val="009D2B38"/>
    <w:rsid w:val="009D3906"/>
    <w:rsid w:val="009D6B46"/>
    <w:rsid w:val="009F4940"/>
    <w:rsid w:val="009F5B3C"/>
    <w:rsid w:val="009F5BA1"/>
    <w:rsid w:val="00A02A88"/>
    <w:rsid w:val="00A0562E"/>
    <w:rsid w:val="00A06085"/>
    <w:rsid w:val="00A0726D"/>
    <w:rsid w:val="00A16596"/>
    <w:rsid w:val="00A2303E"/>
    <w:rsid w:val="00A25830"/>
    <w:rsid w:val="00A31864"/>
    <w:rsid w:val="00A32FBB"/>
    <w:rsid w:val="00A428EE"/>
    <w:rsid w:val="00A4478A"/>
    <w:rsid w:val="00A44852"/>
    <w:rsid w:val="00A4650A"/>
    <w:rsid w:val="00A50502"/>
    <w:rsid w:val="00A57D04"/>
    <w:rsid w:val="00A60A26"/>
    <w:rsid w:val="00A61598"/>
    <w:rsid w:val="00A84A99"/>
    <w:rsid w:val="00A84F46"/>
    <w:rsid w:val="00A871F4"/>
    <w:rsid w:val="00A90AA4"/>
    <w:rsid w:val="00A923BF"/>
    <w:rsid w:val="00AB47E1"/>
    <w:rsid w:val="00AB634C"/>
    <w:rsid w:val="00AC150B"/>
    <w:rsid w:val="00AC1B2C"/>
    <w:rsid w:val="00AC3264"/>
    <w:rsid w:val="00AD3884"/>
    <w:rsid w:val="00AD7B56"/>
    <w:rsid w:val="00AE1BF1"/>
    <w:rsid w:val="00AF0DD2"/>
    <w:rsid w:val="00AF64A0"/>
    <w:rsid w:val="00B0209D"/>
    <w:rsid w:val="00B02961"/>
    <w:rsid w:val="00B04908"/>
    <w:rsid w:val="00B04B4C"/>
    <w:rsid w:val="00B07CEA"/>
    <w:rsid w:val="00B13048"/>
    <w:rsid w:val="00B1716D"/>
    <w:rsid w:val="00B17A1D"/>
    <w:rsid w:val="00B207A0"/>
    <w:rsid w:val="00B40CAA"/>
    <w:rsid w:val="00B514DD"/>
    <w:rsid w:val="00B51F3F"/>
    <w:rsid w:val="00B52AF0"/>
    <w:rsid w:val="00B561BD"/>
    <w:rsid w:val="00B56E03"/>
    <w:rsid w:val="00B61EDF"/>
    <w:rsid w:val="00B658E9"/>
    <w:rsid w:val="00B74AC5"/>
    <w:rsid w:val="00B757A6"/>
    <w:rsid w:val="00B8080B"/>
    <w:rsid w:val="00B82223"/>
    <w:rsid w:val="00B87BA5"/>
    <w:rsid w:val="00B87C39"/>
    <w:rsid w:val="00B9562D"/>
    <w:rsid w:val="00BA0731"/>
    <w:rsid w:val="00BA4665"/>
    <w:rsid w:val="00BA47EE"/>
    <w:rsid w:val="00BB2FB2"/>
    <w:rsid w:val="00BB3304"/>
    <w:rsid w:val="00BB3FD7"/>
    <w:rsid w:val="00BB6848"/>
    <w:rsid w:val="00BB7528"/>
    <w:rsid w:val="00BC18DE"/>
    <w:rsid w:val="00BC2FAF"/>
    <w:rsid w:val="00BC42EF"/>
    <w:rsid w:val="00BD0920"/>
    <w:rsid w:val="00BD0C45"/>
    <w:rsid w:val="00BD310B"/>
    <w:rsid w:val="00BD3446"/>
    <w:rsid w:val="00BD5868"/>
    <w:rsid w:val="00BE1F1B"/>
    <w:rsid w:val="00BE47B5"/>
    <w:rsid w:val="00BF0C8F"/>
    <w:rsid w:val="00BF0CD7"/>
    <w:rsid w:val="00C031D5"/>
    <w:rsid w:val="00C04223"/>
    <w:rsid w:val="00C25FA6"/>
    <w:rsid w:val="00C275C4"/>
    <w:rsid w:val="00C30637"/>
    <w:rsid w:val="00C36F19"/>
    <w:rsid w:val="00C376C1"/>
    <w:rsid w:val="00C42ACA"/>
    <w:rsid w:val="00C5122C"/>
    <w:rsid w:val="00C538A9"/>
    <w:rsid w:val="00C53B5A"/>
    <w:rsid w:val="00C54F5A"/>
    <w:rsid w:val="00C569B4"/>
    <w:rsid w:val="00C56A01"/>
    <w:rsid w:val="00C56A3E"/>
    <w:rsid w:val="00C60604"/>
    <w:rsid w:val="00C67A92"/>
    <w:rsid w:val="00C7497E"/>
    <w:rsid w:val="00C74D43"/>
    <w:rsid w:val="00C81568"/>
    <w:rsid w:val="00C84560"/>
    <w:rsid w:val="00C84F52"/>
    <w:rsid w:val="00C86679"/>
    <w:rsid w:val="00C97CDF"/>
    <w:rsid w:val="00CA2ABF"/>
    <w:rsid w:val="00CA2C1D"/>
    <w:rsid w:val="00CA489E"/>
    <w:rsid w:val="00CA52A2"/>
    <w:rsid w:val="00CB0279"/>
    <w:rsid w:val="00CB666B"/>
    <w:rsid w:val="00CC70C5"/>
    <w:rsid w:val="00CC7F1D"/>
    <w:rsid w:val="00CD19EE"/>
    <w:rsid w:val="00CD5F75"/>
    <w:rsid w:val="00CE484B"/>
    <w:rsid w:val="00CE4900"/>
    <w:rsid w:val="00CF0DEE"/>
    <w:rsid w:val="00CF2C05"/>
    <w:rsid w:val="00CF6EDE"/>
    <w:rsid w:val="00D006AE"/>
    <w:rsid w:val="00D01CF0"/>
    <w:rsid w:val="00D01EFD"/>
    <w:rsid w:val="00D0442A"/>
    <w:rsid w:val="00D06055"/>
    <w:rsid w:val="00D066B7"/>
    <w:rsid w:val="00D17683"/>
    <w:rsid w:val="00D36FCC"/>
    <w:rsid w:val="00D41E80"/>
    <w:rsid w:val="00D45694"/>
    <w:rsid w:val="00D46BD3"/>
    <w:rsid w:val="00D608F6"/>
    <w:rsid w:val="00D60EFF"/>
    <w:rsid w:val="00D61388"/>
    <w:rsid w:val="00D61A54"/>
    <w:rsid w:val="00D64275"/>
    <w:rsid w:val="00D64DEA"/>
    <w:rsid w:val="00D7168E"/>
    <w:rsid w:val="00D71E57"/>
    <w:rsid w:val="00D757AE"/>
    <w:rsid w:val="00D75AA2"/>
    <w:rsid w:val="00D7645E"/>
    <w:rsid w:val="00D80893"/>
    <w:rsid w:val="00D84854"/>
    <w:rsid w:val="00D848B4"/>
    <w:rsid w:val="00D86B06"/>
    <w:rsid w:val="00D92CF1"/>
    <w:rsid w:val="00D92D38"/>
    <w:rsid w:val="00D950F5"/>
    <w:rsid w:val="00DA0BCC"/>
    <w:rsid w:val="00DA109E"/>
    <w:rsid w:val="00DA4752"/>
    <w:rsid w:val="00DA61F3"/>
    <w:rsid w:val="00DA6B93"/>
    <w:rsid w:val="00DA6F94"/>
    <w:rsid w:val="00DB0F93"/>
    <w:rsid w:val="00DB1A67"/>
    <w:rsid w:val="00DB5074"/>
    <w:rsid w:val="00DB5B21"/>
    <w:rsid w:val="00DC7981"/>
    <w:rsid w:val="00DD1C15"/>
    <w:rsid w:val="00DE1093"/>
    <w:rsid w:val="00DE4EFA"/>
    <w:rsid w:val="00DE5520"/>
    <w:rsid w:val="00DE563D"/>
    <w:rsid w:val="00DE5E2E"/>
    <w:rsid w:val="00DE772C"/>
    <w:rsid w:val="00DF1D9A"/>
    <w:rsid w:val="00DF312A"/>
    <w:rsid w:val="00E04818"/>
    <w:rsid w:val="00E06442"/>
    <w:rsid w:val="00E06BCF"/>
    <w:rsid w:val="00E1001C"/>
    <w:rsid w:val="00E23993"/>
    <w:rsid w:val="00E257D6"/>
    <w:rsid w:val="00E25B8C"/>
    <w:rsid w:val="00E3544F"/>
    <w:rsid w:val="00E51D65"/>
    <w:rsid w:val="00E6200B"/>
    <w:rsid w:val="00E65C85"/>
    <w:rsid w:val="00E66199"/>
    <w:rsid w:val="00E711C7"/>
    <w:rsid w:val="00E7494F"/>
    <w:rsid w:val="00E755EC"/>
    <w:rsid w:val="00E7624D"/>
    <w:rsid w:val="00E97242"/>
    <w:rsid w:val="00EA38F3"/>
    <w:rsid w:val="00EA3D42"/>
    <w:rsid w:val="00EA6B1B"/>
    <w:rsid w:val="00EB5BC8"/>
    <w:rsid w:val="00EB606C"/>
    <w:rsid w:val="00EB60A6"/>
    <w:rsid w:val="00EC04F1"/>
    <w:rsid w:val="00EC1B2B"/>
    <w:rsid w:val="00EC32E5"/>
    <w:rsid w:val="00ED0EC2"/>
    <w:rsid w:val="00ED3474"/>
    <w:rsid w:val="00ED7323"/>
    <w:rsid w:val="00EE28F3"/>
    <w:rsid w:val="00EE50D1"/>
    <w:rsid w:val="00EE77FA"/>
    <w:rsid w:val="00EE7A83"/>
    <w:rsid w:val="00EF1B7A"/>
    <w:rsid w:val="00EF5110"/>
    <w:rsid w:val="00F0334E"/>
    <w:rsid w:val="00F07967"/>
    <w:rsid w:val="00F10411"/>
    <w:rsid w:val="00F15882"/>
    <w:rsid w:val="00F171E0"/>
    <w:rsid w:val="00F20BD3"/>
    <w:rsid w:val="00F2526A"/>
    <w:rsid w:val="00F327C9"/>
    <w:rsid w:val="00F35081"/>
    <w:rsid w:val="00F373A5"/>
    <w:rsid w:val="00F37DF7"/>
    <w:rsid w:val="00F42E08"/>
    <w:rsid w:val="00F47559"/>
    <w:rsid w:val="00F57907"/>
    <w:rsid w:val="00F61176"/>
    <w:rsid w:val="00F62A30"/>
    <w:rsid w:val="00F64C7B"/>
    <w:rsid w:val="00F65B25"/>
    <w:rsid w:val="00F676DD"/>
    <w:rsid w:val="00F71667"/>
    <w:rsid w:val="00F73895"/>
    <w:rsid w:val="00F75A26"/>
    <w:rsid w:val="00F76706"/>
    <w:rsid w:val="00F768C8"/>
    <w:rsid w:val="00F81B8D"/>
    <w:rsid w:val="00F83FAD"/>
    <w:rsid w:val="00F8653A"/>
    <w:rsid w:val="00F91F55"/>
    <w:rsid w:val="00F92349"/>
    <w:rsid w:val="00F93B21"/>
    <w:rsid w:val="00F952A0"/>
    <w:rsid w:val="00FA3C7F"/>
    <w:rsid w:val="00FB1BF3"/>
    <w:rsid w:val="00FB4402"/>
    <w:rsid w:val="00FB60FE"/>
    <w:rsid w:val="00FB74E2"/>
    <w:rsid w:val="00FC71DC"/>
    <w:rsid w:val="00FD2ED2"/>
    <w:rsid w:val="00FD5614"/>
    <w:rsid w:val="00FD5E78"/>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annotation text" w:uiPriority="0"/>
    <w:lsdException w:name="header" w:uiPriority="0" w:qFormat="1"/>
    <w:lsdException w:name="footer" w:qFormat="1"/>
    <w:lsdException w:name="caption" w:uiPriority="35"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60"/>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annotation text" w:uiPriority="0"/>
    <w:lsdException w:name="header" w:uiPriority="0" w:qFormat="1"/>
    <w:lsdException w:name="footer" w:qFormat="1"/>
    <w:lsdException w:name="caption" w:uiPriority="35"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60"/>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21515850">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AB3F8C-E56A-41DB-B4D9-FBA40A1A9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E16FD504</Template>
  <TotalTime>0</TotalTime>
  <Pages>8</Pages>
  <Words>942</Words>
  <Characters>5373</Characters>
  <Application>Microsoft Office Word</Application>
  <DocSecurity>0</DocSecurity>
  <Lines>44</Lines>
  <Paragraphs>12</Paragraphs>
  <ScaleCrop>false</ScaleCrop>
  <Company/>
  <LinksUpToDate>false</LinksUpToDate>
  <CharactersWithSpaces>6303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2016-05-20T07:51:00Z</dcterms:created>
  <dcterms:modified xsi:type="dcterms:W3CDTF">2016-05-20T07:53:00Z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8575390</vt:lpwstr>
  </property>
</Properties>
</file>