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6699C04C" wp14:editId="3373004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D86B06">
            <w:t>8</w:t>
          </w:r>
          <w:r w:rsidR="00DA4752">
            <w:t xml:space="preserve"> </w:t>
          </w:r>
          <w:r w:rsidR="00415F31">
            <w:rPr>
              <w:rFonts w:cs="Arial"/>
            </w:rPr>
            <w:t>–</w:t>
          </w:r>
          <w:r w:rsidR="00DA4752">
            <w:t xml:space="preserve"> </w:t>
          </w:r>
          <w:r w:rsidR="00D86B06">
            <w:t>Corporate income tax</w:t>
          </w:r>
        </w:p>
        <w:p w:rsidR="000A6C7B" w:rsidRPr="00327A1E" w:rsidRDefault="008C1FC7" w:rsidP="00327A1E">
          <w:pPr>
            <w:pStyle w:val="ReportDate"/>
          </w:pPr>
          <w:r>
            <w:t xml:space="preserve">May </w:t>
          </w:r>
          <w:r w:rsidR="00A2303E">
            <w:t>2016</w:t>
          </w:r>
        </w:p>
      </w:sdtContent>
    </w:sdt>
    <w:p w:rsidR="00327A1E" w:rsidRPr="00290C63" w:rsidRDefault="00327A1E" w:rsidP="00290C63">
      <w:r>
        <w:br w:type="page"/>
      </w:r>
    </w:p>
    <w:p w:rsidR="000A6C7B" w:rsidRDefault="0028791C"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30201"/>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3020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FD14B2"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30201" w:history="1">
            <w:r w:rsidR="00FD14B2" w:rsidRPr="000172F0">
              <w:rPr>
                <w:rStyle w:val="Hyperlink"/>
              </w:rPr>
              <w:t>Note</w:t>
            </w:r>
            <w:r w:rsidR="00FD14B2">
              <w:rPr>
                <w:webHidden/>
              </w:rPr>
              <w:tab/>
            </w:r>
            <w:r w:rsidR="00FD14B2">
              <w:rPr>
                <w:webHidden/>
              </w:rPr>
              <w:fldChar w:fldCharType="begin"/>
            </w:r>
            <w:r w:rsidR="00FD14B2">
              <w:rPr>
                <w:webHidden/>
              </w:rPr>
              <w:instrText xml:space="preserve"> PAGEREF _Toc451530201 \h </w:instrText>
            </w:r>
            <w:r w:rsidR="00FD14B2">
              <w:rPr>
                <w:webHidden/>
              </w:rPr>
            </w:r>
            <w:r w:rsidR="00FD14B2">
              <w:rPr>
                <w:webHidden/>
              </w:rPr>
              <w:fldChar w:fldCharType="separate"/>
            </w:r>
            <w:r w:rsidR="00FD14B2">
              <w:rPr>
                <w:webHidden/>
              </w:rPr>
              <w:t>8-2</w:t>
            </w:r>
            <w:r w:rsidR="00FD14B2">
              <w:rPr>
                <w:webHidden/>
              </w:rPr>
              <w:fldChar w:fldCharType="end"/>
            </w:r>
          </w:hyperlink>
        </w:p>
        <w:p w:rsidR="00FD14B2" w:rsidRDefault="00FD14B2">
          <w:pPr>
            <w:pStyle w:val="TOC1"/>
            <w:rPr>
              <w:rFonts w:asciiTheme="minorHAnsi" w:eastAsiaTheme="minorEastAsia" w:hAnsiTheme="minorHAnsi"/>
              <w:b w:val="0"/>
              <w:color w:val="auto"/>
              <w:sz w:val="22"/>
              <w:lang w:val="en-AU" w:eastAsia="en-AU"/>
            </w:rPr>
          </w:pPr>
          <w:hyperlink w:anchor="_Toc451530202" w:history="1">
            <w:r w:rsidRPr="000172F0">
              <w:rPr>
                <w:rStyle w:val="Hyperlink"/>
              </w:rPr>
              <w:t>Contents</w:t>
            </w:r>
            <w:r>
              <w:rPr>
                <w:webHidden/>
              </w:rPr>
              <w:tab/>
            </w:r>
            <w:r>
              <w:rPr>
                <w:webHidden/>
              </w:rPr>
              <w:fldChar w:fldCharType="begin"/>
            </w:r>
            <w:r>
              <w:rPr>
                <w:webHidden/>
              </w:rPr>
              <w:instrText xml:space="preserve"> PAGEREF _Toc451530202 \h </w:instrText>
            </w:r>
            <w:r>
              <w:rPr>
                <w:webHidden/>
              </w:rPr>
            </w:r>
            <w:r>
              <w:rPr>
                <w:webHidden/>
              </w:rPr>
              <w:fldChar w:fldCharType="separate"/>
            </w:r>
            <w:r>
              <w:rPr>
                <w:webHidden/>
              </w:rPr>
              <w:t>8-3</w:t>
            </w:r>
            <w:r>
              <w:rPr>
                <w:webHidden/>
              </w:rPr>
              <w:fldChar w:fldCharType="end"/>
            </w:r>
          </w:hyperlink>
        </w:p>
        <w:p w:rsidR="00FD14B2" w:rsidRDefault="00FD14B2">
          <w:pPr>
            <w:pStyle w:val="TOC1"/>
            <w:rPr>
              <w:rFonts w:asciiTheme="minorHAnsi" w:eastAsiaTheme="minorEastAsia" w:hAnsiTheme="minorHAnsi"/>
              <w:b w:val="0"/>
              <w:color w:val="auto"/>
              <w:sz w:val="22"/>
              <w:lang w:val="en-AU" w:eastAsia="en-AU"/>
            </w:rPr>
          </w:pPr>
          <w:hyperlink w:anchor="_Toc451530203" w:history="1">
            <w:r w:rsidRPr="000172F0">
              <w:rPr>
                <w:rStyle w:val="Hyperlink"/>
              </w:rPr>
              <w:t>Shortened forms</w:t>
            </w:r>
            <w:r>
              <w:rPr>
                <w:webHidden/>
              </w:rPr>
              <w:tab/>
            </w:r>
            <w:r>
              <w:rPr>
                <w:webHidden/>
              </w:rPr>
              <w:fldChar w:fldCharType="begin"/>
            </w:r>
            <w:r>
              <w:rPr>
                <w:webHidden/>
              </w:rPr>
              <w:instrText xml:space="preserve"> PAGEREF _Toc451530203 \h </w:instrText>
            </w:r>
            <w:r>
              <w:rPr>
                <w:webHidden/>
              </w:rPr>
            </w:r>
            <w:r>
              <w:rPr>
                <w:webHidden/>
              </w:rPr>
              <w:fldChar w:fldCharType="separate"/>
            </w:r>
            <w:r>
              <w:rPr>
                <w:webHidden/>
              </w:rPr>
              <w:t>8-4</w:t>
            </w:r>
            <w:r>
              <w:rPr>
                <w:webHidden/>
              </w:rPr>
              <w:fldChar w:fldCharType="end"/>
            </w:r>
          </w:hyperlink>
        </w:p>
        <w:p w:rsidR="00FD14B2" w:rsidRDefault="00FD14B2">
          <w:pPr>
            <w:pStyle w:val="TOC1"/>
            <w:rPr>
              <w:rFonts w:asciiTheme="minorHAnsi" w:eastAsiaTheme="minorEastAsia" w:hAnsiTheme="minorHAnsi"/>
              <w:b w:val="0"/>
              <w:color w:val="auto"/>
              <w:sz w:val="22"/>
              <w:lang w:val="en-AU" w:eastAsia="en-AU"/>
            </w:rPr>
          </w:pPr>
          <w:hyperlink w:anchor="_Toc451530204" w:history="1">
            <w:r w:rsidRPr="000172F0">
              <w:rPr>
                <w:rStyle w:val="Hyperlink"/>
              </w:rPr>
              <w:t>8</w:t>
            </w:r>
            <w:r>
              <w:rPr>
                <w:rFonts w:asciiTheme="minorHAnsi" w:eastAsiaTheme="minorEastAsia" w:hAnsiTheme="minorHAnsi"/>
                <w:b w:val="0"/>
                <w:color w:val="auto"/>
                <w:sz w:val="22"/>
                <w:lang w:val="en-AU" w:eastAsia="en-AU"/>
              </w:rPr>
              <w:tab/>
            </w:r>
            <w:r w:rsidRPr="000172F0">
              <w:rPr>
                <w:rStyle w:val="Hyperlink"/>
              </w:rPr>
              <w:t>Corporate income tax</w:t>
            </w:r>
            <w:r>
              <w:rPr>
                <w:webHidden/>
              </w:rPr>
              <w:tab/>
            </w:r>
            <w:r>
              <w:rPr>
                <w:webHidden/>
              </w:rPr>
              <w:fldChar w:fldCharType="begin"/>
            </w:r>
            <w:r>
              <w:rPr>
                <w:webHidden/>
              </w:rPr>
              <w:instrText xml:space="preserve"> PAGEREF _Toc451530204 \h </w:instrText>
            </w:r>
            <w:r>
              <w:rPr>
                <w:webHidden/>
              </w:rPr>
            </w:r>
            <w:r>
              <w:rPr>
                <w:webHidden/>
              </w:rPr>
              <w:fldChar w:fldCharType="separate"/>
            </w:r>
            <w:r>
              <w:rPr>
                <w:webHidden/>
              </w:rPr>
              <w:t>8-6</w:t>
            </w:r>
            <w:r>
              <w:rPr>
                <w:webHidden/>
              </w:rPr>
              <w:fldChar w:fldCharType="end"/>
            </w:r>
          </w:hyperlink>
        </w:p>
        <w:p w:rsidR="00FD14B2" w:rsidRDefault="00FD14B2">
          <w:pPr>
            <w:pStyle w:val="TOC2"/>
            <w:rPr>
              <w:rFonts w:asciiTheme="minorHAnsi" w:eastAsiaTheme="minorEastAsia" w:hAnsiTheme="minorHAnsi"/>
              <w:b w:val="0"/>
              <w:color w:val="auto"/>
              <w:sz w:val="22"/>
              <w:lang w:eastAsia="en-AU"/>
            </w:rPr>
          </w:pPr>
          <w:hyperlink w:anchor="_Toc451530205" w:history="1">
            <w:r w:rsidRPr="000172F0">
              <w:rPr>
                <w:rStyle w:val="Hyperlink"/>
              </w:rPr>
              <w:t>8.1</w:t>
            </w:r>
            <w:r>
              <w:rPr>
                <w:rFonts w:asciiTheme="minorHAnsi" w:eastAsiaTheme="minorEastAsia" w:hAnsiTheme="minorHAnsi"/>
                <w:b w:val="0"/>
                <w:color w:val="auto"/>
                <w:sz w:val="22"/>
                <w:lang w:eastAsia="en-AU"/>
              </w:rPr>
              <w:tab/>
            </w:r>
            <w:r w:rsidRPr="000172F0">
              <w:rPr>
                <w:rStyle w:val="Hyperlink"/>
              </w:rPr>
              <w:t>Final decision</w:t>
            </w:r>
            <w:r>
              <w:rPr>
                <w:webHidden/>
              </w:rPr>
              <w:tab/>
            </w:r>
            <w:r>
              <w:rPr>
                <w:webHidden/>
              </w:rPr>
              <w:fldChar w:fldCharType="begin"/>
            </w:r>
            <w:r>
              <w:rPr>
                <w:webHidden/>
              </w:rPr>
              <w:instrText xml:space="preserve"> PAGEREF _Toc451530205 \h </w:instrText>
            </w:r>
            <w:r>
              <w:rPr>
                <w:webHidden/>
              </w:rPr>
            </w:r>
            <w:r>
              <w:rPr>
                <w:webHidden/>
              </w:rPr>
              <w:fldChar w:fldCharType="separate"/>
            </w:r>
            <w:r>
              <w:rPr>
                <w:webHidden/>
              </w:rPr>
              <w:t>8-6</w:t>
            </w:r>
            <w:r>
              <w:rPr>
                <w:webHidden/>
              </w:rPr>
              <w:fldChar w:fldCharType="end"/>
            </w:r>
          </w:hyperlink>
        </w:p>
        <w:p w:rsidR="00FD14B2" w:rsidRDefault="00FD14B2">
          <w:pPr>
            <w:pStyle w:val="TOC2"/>
            <w:rPr>
              <w:rFonts w:asciiTheme="minorHAnsi" w:eastAsiaTheme="minorEastAsia" w:hAnsiTheme="minorHAnsi"/>
              <w:b w:val="0"/>
              <w:color w:val="auto"/>
              <w:sz w:val="22"/>
              <w:lang w:eastAsia="en-AU"/>
            </w:rPr>
          </w:pPr>
          <w:hyperlink w:anchor="_Toc451530206" w:history="1">
            <w:r w:rsidRPr="000172F0">
              <w:rPr>
                <w:rStyle w:val="Hyperlink"/>
              </w:rPr>
              <w:t>8.2</w:t>
            </w:r>
            <w:r>
              <w:rPr>
                <w:rFonts w:asciiTheme="minorHAnsi" w:eastAsiaTheme="minorEastAsia" w:hAnsiTheme="minorHAnsi"/>
                <w:b w:val="0"/>
                <w:color w:val="auto"/>
                <w:sz w:val="22"/>
                <w:lang w:eastAsia="en-AU"/>
              </w:rPr>
              <w:tab/>
            </w:r>
            <w:r w:rsidRPr="000172F0">
              <w:rPr>
                <w:rStyle w:val="Hyperlink"/>
              </w:rPr>
              <w:t>APTNT’s revised proposal</w:t>
            </w:r>
            <w:r>
              <w:rPr>
                <w:webHidden/>
              </w:rPr>
              <w:tab/>
            </w:r>
            <w:r>
              <w:rPr>
                <w:webHidden/>
              </w:rPr>
              <w:fldChar w:fldCharType="begin"/>
            </w:r>
            <w:r>
              <w:rPr>
                <w:webHidden/>
              </w:rPr>
              <w:instrText xml:space="preserve"> PAGEREF _Toc451530206 \h </w:instrText>
            </w:r>
            <w:r>
              <w:rPr>
                <w:webHidden/>
              </w:rPr>
            </w:r>
            <w:r>
              <w:rPr>
                <w:webHidden/>
              </w:rPr>
              <w:fldChar w:fldCharType="separate"/>
            </w:r>
            <w:r>
              <w:rPr>
                <w:webHidden/>
              </w:rPr>
              <w:t>8-7</w:t>
            </w:r>
            <w:r>
              <w:rPr>
                <w:webHidden/>
              </w:rPr>
              <w:fldChar w:fldCharType="end"/>
            </w:r>
          </w:hyperlink>
        </w:p>
        <w:p w:rsidR="00FD14B2" w:rsidRDefault="00FD14B2">
          <w:pPr>
            <w:pStyle w:val="TOC2"/>
            <w:rPr>
              <w:rFonts w:asciiTheme="minorHAnsi" w:eastAsiaTheme="minorEastAsia" w:hAnsiTheme="minorHAnsi"/>
              <w:b w:val="0"/>
              <w:color w:val="auto"/>
              <w:sz w:val="22"/>
              <w:lang w:eastAsia="en-AU"/>
            </w:rPr>
          </w:pPr>
          <w:hyperlink w:anchor="_Toc451530207" w:history="1">
            <w:r w:rsidRPr="000172F0">
              <w:rPr>
                <w:rStyle w:val="Hyperlink"/>
              </w:rPr>
              <w:t>8.3</w:t>
            </w:r>
            <w:r>
              <w:rPr>
                <w:rFonts w:asciiTheme="minorHAnsi" w:eastAsiaTheme="minorEastAsia" w:hAnsiTheme="minorHAnsi"/>
                <w:b w:val="0"/>
                <w:color w:val="auto"/>
                <w:sz w:val="22"/>
                <w:lang w:eastAsia="en-AU"/>
              </w:rPr>
              <w:tab/>
            </w:r>
            <w:r w:rsidRPr="000172F0">
              <w:rPr>
                <w:rStyle w:val="Hyperlink"/>
              </w:rPr>
              <w:t>AER’s assessment approach</w:t>
            </w:r>
            <w:r>
              <w:rPr>
                <w:webHidden/>
              </w:rPr>
              <w:tab/>
            </w:r>
            <w:r>
              <w:rPr>
                <w:webHidden/>
              </w:rPr>
              <w:fldChar w:fldCharType="begin"/>
            </w:r>
            <w:r>
              <w:rPr>
                <w:webHidden/>
              </w:rPr>
              <w:instrText xml:space="preserve"> PAGEREF _Toc451530207 \h </w:instrText>
            </w:r>
            <w:r>
              <w:rPr>
                <w:webHidden/>
              </w:rPr>
            </w:r>
            <w:r>
              <w:rPr>
                <w:webHidden/>
              </w:rPr>
              <w:fldChar w:fldCharType="separate"/>
            </w:r>
            <w:r>
              <w:rPr>
                <w:webHidden/>
              </w:rPr>
              <w:t>8-8</w:t>
            </w:r>
            <w:r>
              <w:rPr>
                <w:webHidden/>
              </w:rPr>
              <w:fldChar w:fldCharType="end"/>
            </w:r>
          </w:hyperlink>
        </w:p>
        <w:p w:rsidR="00FD14B2" w:rsidRDefault="00FD14B2">
          <w:pPr>
            <w:pStyle w:val="TOC2"/>
            <w:rPr>
              <w:rFonts w:asciiTheme="minorHAnsi" w:eastAsiaTheme="minorEastAsia" w:hAnsiTheme="minorHAnsi"/>
              <w:b w:val="0"/>
              <w:color w:val="auto"/>
              <w:sz w:val="22"/>
              <w:lang w:eastAsia="en-AU"/>
            </w:rPr>
          </w:pPr>
          <w:hyperlink w:anchor="_Toc451530208" w:history="1">
            <w:r w:rsidRPr="000172F0">
              <w:rPr>
                <w:rStyle w:val="Hyperlink"/>
              </w:rPr>
              <w:t>8.4</w:t>
            </w:r>
            <w:r>
              <w:rPr>
                <w:rFonts w:asciiTheme="minorHAnsi" w:eastAsiaTheme="minorEastAsia" w:hAnsiTheme="minorHAnsi"/>
                <w:b w:val="0"/>
                <w:color w:val="auto"/>
                <w:sz w:val="22"/>
                <w:lang w:eastAsia="en-AU"/>
              </w:rPr>
              <w:tab/>
            </w:r>
            <w:r w:rsidRPr="000172F0">
              <w:rPr>
                <w:rStyle w:val="Hyperlink"/>
              </w:rPr>
              <w:t>Reasons for final decision</w:t>
            </w:r>
            <w:r>
              <w:rPr>
                <w:webHidden/>
              </w:rPr>
              <w:tab/>
            </w:r>
            <w:r>
              <w:rPr>
                <w:webHidden/>
              </w:rPr>
              <w:fldChar w:fldCharType="begin"/>
            </w:r>
            <w:r>
              <w:rPr>
                <w:webHidden/>
              </w:rPr>
              <w:instrText xml:space="preserve"> PAGEREF _Toc451530208 \h </w:instrText>
            </w:r>
            <w:r>
              <w:rPr>
                <w:webHidden/>
              </w:rPr>
            </w:r>
            <w:r>
              <w:rPr>
                <w:webHidden/>
              </w:rPr>
              <w:fldChar w:fldCharType="separate"/>
            </w:r>
            <w:r>
              <w:rPr>
                <w:webHidden/>
              </w:rPr>
              <w:t>8-8</w:t>
            </w:r>
            <w:r>
              <w:rPr>
                <w:webHidden/>
              </w:rPr>
              <w:fldChar w:fldCharType="end"/>
            </w:r>
          </w:hyperlink>
        </w:p>
        <w:p w:rsidR="00FD14B2" w:rsidRDefault="00FD14B2">
          <w:pPr>
            <w:pStyle w:val="TOC3"/>
            <w:rPr>
              <w:rFonts w:asciiTheme="minorHAnsi" w:eastAsiaTheme="minorEastAsia" w:hAnsiTheme="minorHAnsi"/>
              <w:lang w:eastAsia="en-AU"/>
            </w:rPr>
          </w:pPr>
          <w:hyperlink w:anchor="_Toc451530209" w:history="1">
            <w:r w:rsidRPr="000172F0">
              <w:rPr>
                <w:rStyle w:val="Hyperlink"/>
              </w:rPr>
              <w:t>8.4.1</w:t>
            </w:r>
            <w:r>
              <w:rPr>
                <w:rFonts w:asciiTheme="minorHAnsi" w:eastAsiaTheme="minorEastAsia" w:hAnsiTheme="minorHAnsi"/>
                <w:lang w:eastAsia="en-AU"/>
              </w:rPr>
              <w:tab/>
            </w:r>
            <w:r w:rsidRPr="000172F0">
              <w:rPr>
                <w:rStyle w:val="Hyperlink"/>
              </w:rPr>
              <w:t>Opening tax asset base as at 1 July 2016</w:t>
            </w:r>
            <w:r>
              <w:rPr>
                <w:webHidden/>
              </w:rPr>
              <w:tab/>
            </w:r>
            <w:r>
              <w:rPr>
                <w:webHidden/>
              </w:rPr>
              <w:fldChar w:fldCharType="begin"/>
            </w:r>
            <w:r>
              <w:rPr>
                <w:webHidden/>
              </w:rPr>
              <w:instrText xml:space="preserve"> PAGEREF _Toc451530209 \h </w:instrText>
            </w:r>
            <w:r>
              <w:rPr>
                <w:webHidden/>
              </w:rPr>
            </w:r>
            <w:r>
              <w:rPr>
                <w:webHidden/>
              </w:rPr>
              <w:fldChar w:fldCharType="separate"/>
            </w:r>
            <w:r>
              <w:rPr>
                <w:webHidden/>
              </w:rPr>
              <w:t>8-9</w:t>
            </w:r>
            <w:r>
              <w:rPr>
                <w:webHidden/>
              </w:rPr>
              <w:fldChar w:fldCharType="end"/>
            </w:r>
          </w:hyperlink>
        </w:p>
        <w:p w:rsidR="00FD14B2" w:rsidRDefault="00FD14B2">
          <w:pPr>
            <w:pStyle w:val="TOC3"/>
            <w:rPr>
              <w:rFonts w:asciiTheme="minorHAnsi" w:eastAsiaTheme="minorEastAsia" w:hAnsiTheme="minorHAnsi"/>
              <w:lang w:eastAsia="en-AU"/>
            </w:rPr>
          </w:pPr>
          <w:hyperlink w:anchor="_Toc451530210" w:history="1">
            <w:r w:rsidRPr="000172F0">
              <w:rPr>
                <w:rStyle w:val="Hyperlink"/>
              </w:rPr>
              <w:t>8.4.2</w:t>
            </w:r>
            <w:r>
              <w:rPr>
                <w:rFonts w:asciiTheme="minorHAnsi" w:eastAsiaTheme="minorEastAsia" w:hAnsiTheme="minorHAnsi"/>
                <w:lang w:eastAsia="en-AU"/>
              </w:rPr>
              <w:tab/>
            </w:r>
            <w:r w:rsidRPr="000172F0">
              <w:rPr>
                <w:rStyle w:val="Hyperlink"/>
              </w:rPr>
              <w:t>Standard tax asset lives</w:t>
            </w:r>
            <w:r>
              <w:rPr>
                <w:webHidden/>
              </w:rPr>
              <w:tab/>
            </w:r>
            <w:r>
              <w:rPr>
                <w:webHidden/>
              </w:rPr>
              <w:fldChar w:fldCharType="begin"/>
            </w:r>
            <w:r>
              <w:rPr>
                <w:webHidden/>
              </w:rPr>
              <w:instrText xml:space="preserve"> PAGEREF _Toc451530210 \h </w:instrText>
            </w:r>
            <w:r>
              <w:rPr>
                <w:webHidden/>
              </w:rPr>
            </w:r>
            <w:r>
              <w:rPr>
                <w:webHidden/>
              </w:rPr>
              <w:fldChar w:fldCharType="separate"/>
            </w:r>
            <w:r>
              <w:rPr>
                <w:webHidden/>
              </w:rPr>
              <w:t>8-9</w:t>
            </w:r>
            <w:r>
              <w:rPr>
                <w:webHidden/>
              </w:rPr>
              <w:fldChar w:fldCharType="end"/>
            </w:r>
          </w:hyperlink>
        </w:p>
        <w:p w:rsidR="00FD14B2" w:rsidRDefault="00FD14B2">
          <w:pPr>
            <w:pStyle w:val="TOC3"/>
            <w:rPr>
              <w:rFonts w:asciiTheme="minorHAnsi" w:eastAsiaTheme="minorEastAsia" w:hAnsiTheme="minorHAnsi"/>
              <w:lang w:eastAsia="en-AU"/>
            </w:rPr>
          </w:pPr>
          <w:hyperlink w:anchor="_Toc451530211" w:history="1">
            <w:r w:rsidRPr="000172F0">
              <w:rPr>
                <w:rStyle w:val="Hyperlink"/>
              </w:rPr>
              <w:t>8.4.3</w:t>
            </w:r>
            <w:r>
              <w:rPr>
                <w:rFonts w:asciiTheme="minorHAnsi" w:eastAsiaTheme="minorEastAsia" w:hAnsiTheme="minorHAnsi"/>
                <w:lang w:eastAsia="en-AU"/>
              </w:rPr>
              <w:tab/>
            </w:r>
            <w:r w:rsidRPr="000172F0">
              <w:rPr>
                <w:rStyle w:val="Hyperlink"/>
              </w:rPr>
              <w:t>Remaining tax asset lives as at 1 July 2016</w:t>
            </w:r>
            <w:r>
              <w:rPr>
                <w:webHidden/>
              </w:rPr>
              <w:tab/>
            </w:r>
            <w:r>
              <w:rPr>
                <w:webHidden/>
              </w:rPr>
              <w:fldChar w:fldCharType="begin"/>
            </w:r>
            <w:r>
              <w:rPr>
                <w:webHidden/>
              </w:rPr>
              <w:instrText xml:space="preserve"> PAGEREF _Toc451530211 \h </w:instrText>
            </w:r>
            <w:r>
              <w:rPr>
                <w:webHidden/>
              </w:rPr>
            </w:r>
            <w:r>
              <w:rPr>
                <w:webHidden/>
              </w:rPr>
              <w:fldChar w:fldCharType="separate"/>
            </w:r>
            <w:r>
              <w:rPr>
                <w:webHidden/>
              </w:rPr>
              <w:t>8-10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30203"/>
      <w:r>
        <w:t>Shortened forms</w:t>
      </w:r>
      <w:bookmarkEnd w:id="8"/>
      <w:bookmarkEnd w:id="9"/>
    </w:p>
    <w:tbl>
      <w:tblPr>
        <w:tblStyle w:val="AERtable-numbers"/>
        <w:tblW w:w="0" w:type="auto"/>
        <w:tblLook w:val="04A0" w:firstRow="1" w:lastRow="0" w:firstColumn="1" w:lastColumn="0" w:noHBand="0" w:noVBand="1"/>
      </w:tblPr>
      <w:tblGrid>
        <w:gridCol w:w="2376"/>
        <w:gridCol w:w="1276"/>
        <w:gridCol w:w="5041"/>
      </w:tblGrid>
      <w:tr w:rsidR="00E7494F" w:rsidTr="006314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gridSpan w:val="2"/>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AA</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AAI</w:t>
            </w:r>
          </w:p>
        </w:tc>
        <w:tc>
          <w:tcPr>
            <w:tcW w:w="6317" w:type="dxa"/>
            <w:gridSpan w:val="2"/>
          </w:tcPr>
          <w:p w:rsidR="00700AFB" w:rsidRPr="00700AFB" w:rsidRDefault="00700AFB" w:rsidP="00700AFB">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035E7">
              <w:t>APTNT</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AER</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t>AGP</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t>Amadeus Gas Pipeline</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ATO</w:t>
            </w:r>
          </w:p>
        </w:tc>
        <w:tc>
          <w:tcPr>
            <w:tcW w:w="6317" w:type="dxa"/>
            <w:gridSpan w:val="2"/>
          </w:tcPr>
          <w:p w:rsidR="00700AFB" w:rsidRPr="00700AFB" w:rsidRDefault="00700AFB" w:rsidP="00700AFB">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capex</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CAPM</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CPI</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DRP</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B2363F" w:rsidRDefault="00700AFB" w:rsidP="00700AFB">
            <w:pPr>
              <w:numPr>
                <w:ilvl w:val="0"/>
                <w:numId w:val="24"/>
              </w:numPr>
            </w:pPr>
            <w:r>
              <w:t>ECM</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ERP</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Expenditure Guideline</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gamma</w:t>
            </w:r>
          </w:p>
        </w:tc>
        <w:tc>
          <w:tcPr>
            <w:tcW w:w="6317" w:type="dxa"/>
            <w:gridSpan w:val="2"/>
          </w:tcPr>
          <w:p w:rsidR="00700AFB" w:rsidRPr="00700AFB" w:rsidRDefault="00700AFB" w:rsidP="00700AFB">
            <w:pPr>
              <w:cnfStyle w:val="000000010000" w:firstRow="0" w:lastRow="0" w:firstColumn="0" w:lastColumn="0" w:oddVBand="0" w:evenVBand="0" w:oddHBand="0" w:evenHBand="1" w:firstRowFirstColumn="0" w:firstRowLastColumn="0" w:lastRowFirstColumn="0" w:lastRowLastColumn="0"/>
            </w:pPr>
            <w:r>
              <w:t>v</w:t>
            </w:r>
            <w:r w:rsidRPr="00700AFB">
              <w:t>alue of imputation credits</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GTA</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t>G</w:t>
            </w:r>
            <w:r w:rsidRPr="00700AFB">
              <w:t>as Transport Services Agreement</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MRP</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N</w:t>
            </w:r>
            <w:r>
              <w:t>GP</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NGL</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NGO</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NGR</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NPV</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opex</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PTRM</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RBA</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RFM</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RIN</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RPP</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SLCAPM</w:t>
            </w:r>
          </w:p>
        </w:tc>
        <w:tc>
          <w:tcPr>
            <w:tcW w:w="6317" w:type="dxa"/>
            <w:gridSpan w:val="2"/>
          </w:tcPr>
          <w:p w:rsidR="00700AFB" w:rsidRPr="00F13601" w:rsidRDefault="00700AFB" w:rsidP="00700AFB">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TAB</w:t>
            </w:r>
          </w:p>
        </w:tc>
        <w:tc>
          <w:tcPr>
            <w:tcW w:w="6317" w:type="dxa"/>
            <w:gridSpan w:val="2"/>
          </w:tcPr>
          <w:p w:rsidR="00700AFB" w:rsidRPr="00700AFB" w:rsidRDefault="00700AFB" w:rsidP="00700AFB">
            <w:pPr>
              <w:cnfStyle w:val="000000000000" w:firstRow="0" w:lastRow="0" w:firstColumn="0" w:lastColumn="0" w:oddVBand="0" w:evenVBand="0" w:oddHBand="0" w:evenHBand="0" w:firstRowFirstColumn="0" w:firstRowLastColumn="0" w:lastRowFirstColumn="0" w:lastRowLastColumn="0"/>
            </w:pPr>
            <w:r>
              <w:t>t</w:t>
            </w:r>
            <w:r w:rsidRPr="00700AFB">
              <w:t>ax asset base</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UAFG</w:t>
            </w:r>
          </w:p>
        </w:tc>
        <w:tc>
          <w:tcPr>
            <w:tcW w:w="6317" w:type="dxa"/>
            <w:gridSpan w:val="2"/>
          </w:tcPr>
          <w:p w:rsidR="00700AFB" w:rsidRPr="00700AFB" w:rsidRDefault="00700AFB" w:rsidP="00700AFB">
            <w:pPr>
              <w:cnfStyle w:val="000000010000" w:firstRow="0" w:lastRow="0" w:firstColumn="0" w:lastColumn="0" w:oddVBand="0" w:evenVBand="0" w:oddHBand="0" w:evenHBand="1" w:firstRowFirstColumn="0" w:firstRowLastColumn="0" w:lastRowFirstColumn="0" w:lastRowLastColumn="0"/>
            </w:pPr>
            <w:r>
              <w:t>u</w:t>
            </w:r>
            <w:r w:rsidRPr="00700AFB">
              <w:t>naccounted for gas</w:t>
            </w:r>
          </w:p>
        </w:tc>
      </w:tr>
      <w:tr w:rsidR="00700AFB"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WACC</w:t>
            </w:r>
          </w:p>
        </w:tc>
        <w:tc>
          <w:tcPr>
            <w:tcW w:w="6317" w:type="dxa"/>
            <w:gridSpan w:val="2"/>
          </w:tcPr>
          <w:p w:rsidR="00700AFB" w:rsidRPr="00F13601" w:rsidRDefault="00700AFB" w:rsidP="00700AFB">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700AFB"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700AFB" w:rsidRPr="00F13601" w:rsidRDefault="00700AFB" w:rsidP="00700AFB">
            <w:pPr>
              <w:numPr>
                <w:ilvl w:val="0"/>
                <w:numId w:val="24"/>
              </w:numPr>
            </w:pPr>
            <w:r w:rsidRPr="00F13601">
              <w:t>WPI</w:t>
            </w:r>
          </w:p>
        </w:tc>
        <w:tc>
          <w:tcPr>
            <w:tcW w:w="6317" w:type="dxa"/>
            <w:gridSpan w:val="2"/>
          </w:tcPr>
          <w:p w:rsidR="00700AFB" w:rsidRPr="00700AFB" w:rsidRDefault="00700AFB" w:rsidP="00700AFB">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D86B06" w:rsidP="00D86B06">
      <w:pPr>
        <w:pStyle w:val="Heading1"/>
      </w:pPr>
      <w:bookmarkStart w:id="10" w:name="_Toc451530204"/>
      <w:r>
        <w:t>Corporate income tax</w:t>
      </w:r>
      <w:bookmarkEnd w:id="10"/>
    </w:p>
    <w:p w:rsidR="000F0FA4" w:rsidRPr="00FD50DB" w:rsidRDefault="000F0FA4" w:rsidP="000F0FA4">
      <w:r w:rsidRPr="00FD50DB">
        <w:t xml:space="preserve">When determining the total revenue for </w:t>
      </w:r>
      <w:r>
        <w:t>APTNT</w:t>
      </w:r>
      <w:r w:rsidRPr="00FD50DB">
        <w:t xml:space="preserve">, we must estimate </w:t>
      </w:r>
      <w:r>
        <w:t>APTNT</w:t>
      </w:r>
      <w:r w:rsidRPr="00FD50DB">
        <w:t>’s cost of corporate income tax.</w:t>
      </w:r>
      <w:r w:rsidRPr="00FD50DB">
        <w:rPr>
          <w:rStyle w:val="FootnoteReference"/>
        </w:rPr>
        <w:footnoteReference w:id="1"/>
      </w:r>
      <w:r w:rsidRPr="00FD50DB">
        <w:t xml:space="preserve"> </w:t>
      </w:r>
      <w:r>
        <w:t>APTNT</w:t>
      </w:r>
      <w:r w:rsidRPr="00FD50DB">
        <w:t xml:space="preserve"> has adopted the post-tax framework to derive its revenue requirement for the </w:t>
      </w:r>
      <w:r>
        <w:t>2016–21</w:t>
      </w:r>
      <w:r w:rsidRPr="00FD50DB">
        <w:t xml:space="preserve"> access arrangement </w:t>
      </w:r>
      <w:proofErr w:type="gramStart"/>
      <w:r w:rsidRPr="00FD50DB">
        <w:t>period</w:t>
      </w:r>
      <w:proofErr w:type="gramEnd"/>
      <w:r w:rsidRPr="00FD50DB">
        <w:t>.</w:t>
      </w:r>
      <w:r w:rsidRPr="00FD50DB">
        <w:rPr>
          <w:rStyle w:val="FootnoteReference"/>
        </w:rPr>
        <w:footnoteReference w:id="2"/>
      </w:r>
      <w:r w:rsidRPr="00FD50DB">
        <w:t xml:space="preserve"> Under the post-tax framework, a separate corporate income tax allowance is calculated as part of the building blocks assessment. </w:t>
      </w:r>
    </w:p>
    <w:p w:rsidR="000F0FA4" w:rsidRDefault="000F0FA4" w:rsidP="000F0FA4">
      <w:pPr>
        <w:pStyle w:val="Heading2"/>
      </w:pPr>
      <w:bookmarkStart w:id="11" w:name="_Toc432605356"/>
      <w:bookmarkStart w:id="12" w:name="_Toc436043513"/>
      <w:bookmarkStart w:id="13" w:name="_Toc451530205"/>
      <w:r>
        <w:t>Final</w:t>
      </w:r>
      <w:r w:rsidRPr="0074565D">
        <w:t xml:space="preserve"> decision</w:t>
      </w:r>
      <w:bookmarkEnd w:id="11"/>
      <w:bookmarkEnd w:id="12"/>
      <w:bookmarkEnd w:id="13"/>
    </w:p>
    <w:p w:rsidR="00440728" w:rsidRDefault="00B31CA3" w:rsidP="000F0FA4">
      <w:r>
        <w:t xml:space="preserve">We do not approve APTNT's </w:t>
      </w:r>
      <w:r w:rsidR="00DD35B4">
        <w:t>revised proposed</w:t>
      </w:r>
      <w:r w:rsidR="00E35937">
        <w:t xml:space="preserve"> cost of</w:t>
      </w:r>
      <w:r w:rsidR="00DD35B4">
        <w:t xml:space="preserve"> corporate income tax of $</w:t>
      </w:r>
      <w:r w:rsidR="002E67F6">
        <w:t>3.3</w:t>
      </w:r>
      <w:r w:rsidR="003134CD">
        <w:t> million</w:t>
      </w:r>
      <w:r w:rsidR="00DD35B4">
        <w:t xml:space="preserve"> ($nominal)</w:t>
      </w:r>
      <w:r w:rsidR="003134CD">
        <w:t xml:space="preserve"> for the 2016–21 access arrangement period</w:t>
      </w:r>
      <w:r w:rsidR="00DD35B4">
        <w:t>. This is mainly a consequence of our adjustments to APTNT's proposed value of imputation credits–gamma–</w:t>
      </w:r>
      <w:r w:rsidR="006C5BFB">
        <w:t xml:space="preserve">(attachment 4) </w:t>
      </w:r>
      <w:r w:rsidR="00DD35B4">
        <w:t>and other building block costs that affect revenues, such as the rate of return on capital (attachment 3)</w:t>
      </w:r>
      <w:r w:rsidR="003E2294">
        <w:t xml:space="preserve"> and</w:t>
      </w:r>
      <w:r w:rsidR="002E67F6">
        <w:t xml:space="preserve"> </w:t>
      </w:r>
      <w:r w:rsidR="00DD35B4">
        <w:t>forecast capex (</w:t>
      </w:r>
      <w:r w:rsidR="006C5BFB">
        <w:t>attachment 6).</w:t>
      </w:r>
      <w:r w:rsidR="003134CD">
        <w:rPr>
          <w:rStyle w:val="FootnoteReference"/>
        </w:rPr>
        <w:footnoteReference w:id="3"/>
      </w:r>
    </w:p>
    <w:p w:rsidR="004A4DAF" w:rsidRDefault="00093164" w:rsidP="00093164">
      <w:pPr>
        <w:rPr>
          <w:rStyle w:val="AERbody"/>
        </w:rPr>
      </w:pPr>
      <w:r>
        <w:rPr>
          <w:rStyle w:val="AERbody"/>
        </w:rPr>
        <w:t>We approve APTNT’s proposed method to roll forward the tax asset base (TAB) because it is consistent with the AER’s roll forward model (RFM) for electricity service providers and the approach previously approved in gas access arrangement decisions.</w:t>
      </w:r>
      <w:r w:rsidR="001A600C">
        <w:rPr>
          <w:rStyle w:val="AERbody"/>
        </w:rPr>
        <w:t xml:space="preserve"> </w:t>
      </w:r>
      <w:r w:rsidR="00851E22">
        <w:rPr>
          <w:rStyle w:val="AERbody"/>
        </w:rPr>
        <w:t xml:space="preserve">However, we do not approve APTNT's revised proposed opening TAB value of </w:t>
      </w:r>
      <w:r w:rsidR="004A4DAF">
        <w:rPr>
          <w:rStyle w:val="AERbody"/>
        </w:rPr>
        <w:t>$</w:t>
      </w:r>
      <w:r w:rsidR="00851E22">
        <w:rPr>
          <w:rStyle w:val="AERbody"/>
        </w:rPr>
        <w:t>42.5</w:t>
      </w:r>
      <w:r w:rsidR="0030069F">
        <w:rPr>
          <w:rStyle w:val="AERbody"/>
        </w:rPr>
        <w:t> </w:t>
      </w:r>
      <w:r w:rsidR="004A4DAF">
        <w:rPr>
          <w:rStyle w:val="AERbody"/>
        </w:rPr>
        <w:t>million ($nominal) as at 1 July 2016</w:t>
      </w:r>
      <w:r w:rsidR="00851E22">
        <w:rPr>
          <w:rStyle w:val="AERbody"/>
        </w:rPr>
        <w:t xml:space="preserve"> due to adjustments we have made to conforming capex for 2015–16</w:t>
      </w:r>
      <w:r w:rsidR="004A4DAF">
        <w:rPr>
          <w:rStyle w:val="AERbody"/>
        </w:rPr>
        <w:t>.</w:t>
      </w:r>
      <w:r w:rsidR="00851E22">
        <w:rPr>
          <w:rStyle w:val="AERbody"/>
        </w:rPr>
        <w:t xml:space="preserve"> Instead we determine an opening TAB val</w:t>
      </w:r>
      <w:r w:rsidR="0030069F">
        <w:rPr>
          <w:rStyle w:val="AERbody"/>
        </w:rPr>
        <w:t>ue of $40.2 </w:t>
      </w:r>
      <w:r w:rsidR="00851E22">
        <w:rPr>
          <w:rStyle w:val="AERbody"/>
        </w:rPr>
        <w:t>million ($nominal).</w:t>
      </w:r>
      <w:r w:rsidR="004A4DAF">
        <w:rPr>
          <w:rStyle w:val="AERbody"/>
        </w:rPr>
        <w:t xml:space="preserve"> </w:t>
      </w:r>
    </w:p>
    <w:p w:rsidR="004A4DAF" w:rsidRDefault="006C5BFB" w:rsidP="000F0FA4">
      <w:r>
        <w:t>Our adjustments result in an estimated</w:t>
      </w:r>
      <w:r w:rsidR="00E35937">
        <w:t xml:space="preserve"> cost of</w:t>
      </w:r>
      <w:r>
        <w:t xml:space="preserve"> corporate income tax</w:t>
      </w:r>
      <w:r w:rsidR="007A0706">
        <w:t xml:space="preserve"> </w:t>
      </w:r>
      <w:r>
        <w:t>of $</w:t>
      </w:r>
      <w:r w:rsidR="00635AB0">
        <w:t>1.5</w:t>
      </w:r>
      <w:r w:rsidR="002C5708">
        <w:t xml:space="preserve"> </w:t>
      </w:r>
      <w:r>
        <w:t>million ($nominal)</w:t>
      </w:r>
      <w:r w:rsidR="00B30B12">
        <w:t xml:space="preserve"> for APTNT as shown in</w:t>
      </w:r>
      <w:r w:rsidR="00DB62DB">
        <w:t xml:space="preserve"> </w:t>
      </w:r>
      <w:r w:rsidR="00DB62DB">
        <w:fldChar w:fldCharType="begin"/>
      </w:r>
      <w:r w:rsidR="00DB62DB">
        <w:instrText xml:space="preserve"> REF _Ref398553891 \h </w:instrText>
      </w:r>
      <w:r w:rsidR="00DB62DB">
        <w:fldChar w:fldCharType="separate"/>
      </w:r>
      <w:r w:rsidR="00DB62DB">
        <w:t>t</w:t>
      </w:r>
      <w:r w:rsidR="00DB62DB" w:rsidRPr="00807DCF">
        <w:t xml:space="preserve">able </w:t>
      </w:r>
      <w:r w:rsidR="00DB62DB">
        <w:rPr>
          <w:noProof/>
        </w:rPr>
        <w:t>8</w:t>
      </w:r>
      <w:r w:rsidR="00DB62DB" w:rsidRPr="00807DCF">
        <w:t>.</w:t>
      </w:r>
      <w:r w:rsidR="00DB62DB">
        <w:rPr>
          <w:noProof/>
        </w:rPr>
        <w:t>1</w:t>
      </w:r>
      <w:r w:rsidR="00DB62DB">
        <w:fldChar w:fldCharType="end"/>
      </w:r>
      <w:r w:rsidR="006023E3">
        <w:t xml:space="preserve">. </w:t>
      </w:r>
    </w:p>
    <w:p w:rsidR="001534D1" w:rsidRPr="001534D1" w:rsidRDefault="001534D1" w:rsidP="001534D1">
      <w:r w:rsidRPr="001534D1">
        <w:t xml:space="preserve">We have revised the access arrangement having regard to our reasons for refusing to approve APTNT's proposal and the further matters identified in the NGR section 64(2). Our revisions are reflected in the </w:t>
      </w:r>
      <w:r w:rsidRPr="001534D1">
        <w:rPr>
          <w:rStyle w:val="Emphasis"/>
        </w:rPr>
        <w:t>Approved Access Arrangement for the Amadeus Gas Pipeline 1 July 2016 to 30 June 2021</w:t>
      </w:r>
      <w:r w:rsidRPr="001534D1">
        <w:t xml:space="preserve">, May 2016, which gives effect to this decision. </w:t>
      </w:r>
    </w:p>
    <w:p w:rsidR="000F0FA4" w:rsidRPr="00807DCF" w:rsidRDefault="000F0FA4" w:rsidP="007B1F57">
      <w:pPr>
        <w:pStyle w:val="Caption"/>
      </w:pPr>
      <w:bookmarkStart w:id="14" w:name="_Ref398553891"/>
      <w:bookmarkStart w:id="15" w:name="_Ref442449184"/>
      <w:proofErr w:type="gramStart"/>
      <w:r w:rsidRPr="00807DCF">
        <w:t xml:space="preserve">Table </w:t>
      </w:r>
      <w:r w:rsidR="006437C6">
        <w:fldChar w:fldCharType="begin"/>
      </w:r>
      <w:r w:rsidR="006437C6">
        <w:instrText xml:space="preserve"> STYLEREF 1 \s </w:instrText>
      </w:r>
      <w:r w:rsidR="006437C6">
        <w:fldChar w:fldCharType="separate"/>
      </w:r>
      <w:r w:rsidR="00363AB1">
        <w:rPr>
          <w:noProof/>
        </w:rPr>
        <w:t>8</w:t>
      </w:r>
      <w:r w:rsidR="006437C6">
        <w:rPr>
          <w:noProof/>
        </w:rPr>
        <w:fldChar w:fldCharType="end"/>
      </w:r>
      <w:r w:rsidRPr="00807DCF">
        <w:t>.</w:t>
      </w:r>
      <w:proofErr w:type="gramEnd"/>
      <w:r w:rsidR="006437C6">
        <w:fldChar w:fldCharType="begin"/>
      </w:r>
      <w:r w:rsidR="006437C6">
        <w:instrText xml:space="preserve"> SEQ Table \* ARABIC \s 1 </w:instrText>
      </w:r>
      <w:r w:rsidR="006437C6">
        <w:fldChar w:fldCharType="separate"/>
      </w:r>
      <w:r w:rsidR="00363AB1">
        <w:rPr>
          <w:noProof/>
        </w:rPr>
        <w:t>1</w:t>
      </w:r>
      <w:r w:rsidR="006437C6">
        <w:rPr>
          <w:noProof/>
        </w:rPr>
        <w:fldChar w:fldCharType="end"/>
      </w:r>
      <w:bookmarkEnd w:id="14"/>
      <w:r w:rsidRPr="00807DCF">
        <w:tab/>
        <w:t xml:space="preserve">AER’s </w:t>
      </w:r>
      <w:r w:rsidR="00C9777D">
        <w:t>final</w:t>
      </w:r>
      <w:r w:rsidRPr="00807DCF">
        <w:t xml:space="preserve"> decision on corporate income tax allowance for APTNT ($million, nominal)</w:t>
      </w:r>
      <w:bookmarkEnd w:id="15"/>
      <w:r w:rsidRPr="00807DCF">
        <w:t xml:space="preserve">  </w:t>
      </w:r>
    </w:p>
    <w:tbl>
      <w:tblPr>
        <w:tblStyle w:val="AERtable-numbers"/>
        <w:tblW w:w="8688" w:type="dxa"/>
        <w:tblLayout w:type="fixed"/>
        <w:tblLook w:val="01E0" w:firstRow="1" w:lastRow="1" w:firstColumn="1" w:lastColumn="1" w:noHBand="0" w:noVBand="0"/>
      </w:tblPr>
      <w:tblGrid>
        <w:gridCol w:w="3085"/>
        <w:gridCol w:w="933"/>
        <w:gridCol w:w="934"/>
        <w:gridCol w:w="934"/>
        <w:gridCol w:w="934"/>
        <w:gridCol w:w="934"/>
        <w:gridCol w:w="934"/>
      </w:tblGrid>
      <w:tr w:rsidR="003134CD" w:rsidRPr="00077B2C" w:rsidTr="00A95F5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085" w:type="dxa"/>
          </w:tcPr>
          <w:p w:rsidR="000F0FA4" w:rsidRPr="000F0FA4" w:rsidRDefault="000F0FA4" w:rsidP="007B1F57">
            <w:pPr>
              <w:keepNext/>
            </w:pPr>
          </w:p>
        </w:tc>
        <w:tc>
          <w:tcPr>
            <w:tcW w:w="933" w:type="dxa"/>
          </w:tcPr>
          <w:p w:rsidR="000F0FA4" w:rsidRPr="000F0FA4" w:rsidRDefault="000F0FA4" w:rsidP="007B1F57">
            <w:pPr>
              <w:keepNext/>
              <w:cnfStyle w:val="100000000000" w:firstRow="1" w:lastRow="0" w:firstColumn="0" w:lastColumn="0" w:oddVBand="0" w:evenVBand="0" w:oddHBand="0" w:evenHBand="0" w:firstRowFirstColumn="0" w:firstRowLastColumn="0" w:lastRowFirstColumn="0" w:lastRowLastColumn="0"/>
            </w:pPr>
            <w:r w:rsidRPr="000F0FA4">
              <w:t>2016–17</w:t>
            </w:r>
          </w:p>
        </w:tc>
        <w:tc>
          <w:tcPr>
            <w:tcW w:w="934" w:type="dxa"/>
          </w:tcPr>
          <w:p w:rsidR="000F0FA4" w:rsidRPr="000F0FA4" w:rsidRDefault="000F0FA4" w:rsidP="007B1F57">
            <w:pPr>
              <w:keepNext/>
              <w:cnfStyle w:val="100000000000" w:firstRow="1" w:lastRow="0" w:firstColumn="0" w:lastColumn="0" w:oddVBand="0" w:evenVBand="0" w:oddHBand="0" w:evenHBand="0" w:firstRowFirstColumn="0" w:firstRowLastColumn="0" w:lastRowFirstColumn="0" w:lastRowLastColumn="0"/>
            </w:pPr>
            <w:r w:rsidRPr="000F0FA4">
              <w:t>2017–18</w:t>
            </w:r>
          </w:p>
        </w:tc>
        <w:tc>
          <w:tcPr>
            <w:tcW w:w="934" w:type="dxa"/>
          </w:tcPr>
          <w:p w:rsidR="000F0FA4" w:rsidRPr="000F0FA4" w:rsidRDefault="000F0FA4" w:rsidP="007B1F57">
            <w:pPr>
              <w:keepNext/>
              <w:cnfStyle w:val="100000000000" w:firstRow="1" w:lastRow="0" w:firstColumn="0" w:lastColumn="0" w:oddVBand="0" w:evenVBand="0" w:oddHBand="0" w:evenHBand="0" w:firstRowFirstColumn="0" w:firstRowLastColumn="0" w:lastRowFirstColumn="0" w:lastRowLastColumn="0"/>
            </w:pPr>
            <w:r w:rsidRPr="000F0FA4">
              <w:t>2018–19</w:t>
            </w:r>
          </w:p>
        </w:tc>
        <w:tc>
          <w:tcPr>
            <w:tcW w:w="934" w:type="dxa"/>
          </w:tcPr>
          <w:p w:rsidR="000F0FA4" w:rsidRPr="000F0FA4" w:rsidRDefault="000F0FA4" w:rsidP="007B1F57">
            <w:pPr>
              <w:keepNext/>
              <w:cnfStyle w:val="100000000000" w:firstRow="1" w:lastRow="0" w:firstColumn="0" w:lastColumn="0" w:oddVBand="0" w:evenVBand="0" w:oddHBand="0" w:evenHBand="0" w:firstRowFirstColumn="0" w:firstRowLastColumn="0" w:lastRowFirstColumn="0" w:lastRowLastColumn="0"/>
            </w:pPr>
            <w:r w:rsidRPr="000F0FA4">
              <w:t>2019–20</w:t>
            </w:r>
          </w:p>
        </w:tc>
        <w:tc>
          <w:tcPr>
            <w:tcW w:w="934" w:type="dxa"/>
          </w:tcPr>
          <w:p w:rsidR="000F0FA4" w:rsidRPr="000F0FA4" w:rsidRDefault="000F0FA4" w:rsidP="007B1F57">
            <w:pPr>
              <w:keepNext/>
              <w:cnfStyle w:val="100000000000" w:firstRow="1" w:lastRow="0" w:firstColumn="0" w:lastColumn="0" w:oddVBand="0" w:evenVBand="0" w:oddHBand="0" w:evenHBand="0" w:firstRowFirstColumn="0" w:firstRowLastColumn="0" w:lastRowFirstColumn="0" w:lastRowLastColumn="0"/>
            </w:pPr>
            <w:r w:rsidRPr="000F0FA4">
              <w:t>2020–21</w:t>
            </w:r>
          </w:p>
        </w:tc>
        <w:tc>
          <w:tcPr>
            <w:tcW w:w="934" w:type="dxa"/>
          </w:tcPr>
          <w:p w:rsidR="000F0FA4" w:rsidRPr="000F0FA4" w:rsidRDefault="000F0FA4" w:rsidP="007B1F57">
            <w:pPr>
              <w:keepNext/>
              <w:cnfStyle w:val="100000000000" w:firstRow="1" w:lastRow="0" w:firstColumn="0" w:lastColumn="0" w:oddVBand="0" w:evenVBand="0" w:oddHBand="0" w:evenHBand="0" w:firstRowFirstColumn="0" w:firstRowLastColumn="0" w:lastRowFirstColumn="0" w:lastRowLastColumn="0"/>
            </w:pPr>
            <w:r w:rsidRPr="000F0FA4">
              <w:t>Total</w:t>
            </w:r>
          </w:p>
        </w:tc>
      </w:tr>
      <w:tr w:rsidR="00635AB0" w:rsidRPr="00077B2C" w:rsidTr="008325B2">
        <w:trPr>
          <w:trHeight w:val="278"/>
        </w:trPr>
        <w:tc>
          <w:tcPr>
            <w:cnfStyle w:val="001000000000" w:firstRow="0" w:lastRow="0" w:firstColumn="1" w:lastColumn="0" w:oddVBand="0" w:evenVBand="0" w:oddHBand="0" w:evenHBand="0" w:firstRowFirstColumn="0" w:firstRowLastColumn="0" w:lastRowFirstColumn="0" w:lastRowLastColumn="0"/>
            <w:tcW w:w="3085" w:type="dxa"/>
          </w:tcPr>
          <w:p w:rsidR="00635AB0" w:rsidRPr="00635AB0" w:rsidRDefault="00635AB0" w:rsidP="007B1F57">
            <w:pPr>
              <w:keepNext/>
            </w:pPr>
            <w:r w:rsidRPr="00635AB0">
              <w:t>Tax payable</w:t>
            </w:r>
          </w:p>
        </w:tc>
        <w:tc>
          <w:tcPr>
            <w:tcW w:w="933"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0.5</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0.5</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0.5</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0.5</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0.6</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2.6</w:t>
            </w:r>
          </w:p>
        </w:tc>
      </w:tr>
      <w:tr w:rsidR="00635AB0" w:rsidRPr="00077B2C" w:rsidTr="00851E22">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3085" w:type="dxa"/>
          </w:tcPr>
          <w:p w:rsidR="00635AB0" w:rsidRPr="00635AB0" w:rsidRDefault="00635AB0" w:rsidP="007B1F57">
            <w:pPr>
              <w:keepNext/>
            </w:pPr>
            <w:r w:rsidRPr="00635AB0">
              <w:rPr>
                <w:rStyle w:val="AERtextitalic"/>
              </w:rPr>
              <w:t>Less</w:t>
            </w:r>
            <w:r w:rsidRPr="00635AB0">
              <w:t>: value of imputation credits</w:t>
            </w:r>
          </w:p>
        </w:tc>
        <w:tc>
          <w:tcPr>
            <w:tcW w:w="933" w:type="dxa"/>
          </w:tcPr>
          <w:p w:rsidR="00635AB0" w:rsidRPr="00635AB0" w:rsidRDefault="00635AB0" w:rsidP="007B1F57">
            <w:pPr>
              <w:keepNext/>
              <w:cnfStyle w:val="000000010000" w:firstRow="0" w:lastRow="0" w:firstColumn="0" w:lastColumn="0" w:oddVBand="0" w:evenVBand="0" w:oddHBand="0" w:evenHBand="1" w:firstRowFirstColumn="0" w:firstRowLastColumn="0" w:lastRowFirstColumn="0" w:lastRowLastColumn="0"/>
            </w:pPr>
            <w:r w:rsidRPr="00635AB0">
              <w:t>0.2</w:t>
            </w:r>
          </w:p>
        </w:tc>
        <w:tc>
          <w:tcPr>
            <w:tcW w:w="934" w:type="dxa"/>
          </w:tcPr>
          <w:p w:rsidR="00635AB0" w:rsidRPr="00635AB0" w:rsidRDefault="00635AB0" w:rsidP="007B1F57">
            <w:pPr>
              <w:keepNext/>
              <w:cnfStyle w:val="000000010000" w:firstRow="0" w:lastRow="0" w:firstColumn="0" w:lastColumn="0" w:oddVBand="0" w:evenVBand="0" w:oddHBand="0" w:evenHBand="1" w:firstRowFirstColumn="0" w:firstRowLastColumn="0" w:lastRowFirstColumn="0" w:lastRowLastColumn="0"/>
            </w:pPr>
            <w:r w:rsidRPr="00635AB0">
              <w:t>0.2</w:t>
            </w:r>
          </w:p>
        </w:tc>
        <w:tc>
          <w:tcPr>
            <w:tcW w:w="934" w:type="dxa"/>
          </w:tcPr>
          <w:p w:rsidR="00635AB0" w:rsidRPr="00635AB0" w:rsidRDefault="00635AB0" w:rsidP="007B1F57">
            <w:pPr>
              <w:keepNext/>
              <w:cnfStyle w:val="000000010000" w:firstRow="0" w:lastRow="0" w:firstColumn="0" w:lastColumn="0" w:oddVBand="0" w:evenVBand="0" w:oddHBand="0" w:evenHBand="1" w:firstRowFirstColumn="0" w:firstRowLastColumn="0" w:lastRowFirstColumn="0" w:lastRowLastColumn="0"/>
            </w:pPr>
            <w:r w:rsidRPr="00635AB0">
              <w:t>0.2</w:t>
            </w:r>
          </w:p>
        </w:tc>
        <w:tc>
          <w:tcPr>
            <w:tcW w:w="934" w:type="dxa"/>
          </w:tcPr>
          <w:p w:rsidR="00635AB0" w:rsidRPr="00635AB0" w:rsidRDefault="00635AB0" w:rsidP="007B1F57">
            <w:pPr>
              <w:keepNext/>
              <w:cnfStyle w:val="000000010000" w:firstRow="0" w:lastRow="0" w:firstColumn="0" w:lastColumn="0" w:oddVBand="0" w:evenVBand="0" w:oddHBand="0" w:evenHBand="1" w:firstRowFirstColumn="0" w:firstRowLastColumn="0" w:lastRowFirstColumn="0" w:lastRowLastColumn="0"/>
            </w:pPr>
            <w:r w:rsidRPr="00635AB0">
              <w:t>0.2</w:t>
            </w:r>
          </w:p>
        </w:tc>
        <w:tc>
          <w:tcPr>
            <w:tcW w:w="934" w:type="dxa"/>
          </w:tcPr>
          <w:p w:rsidR="00635AB0" w:rsidRPr="00635AB0" w:rsidRDefault="00635AB0" w:rsidP="007B1F57">
            <w:pPr>
              <w:keepNext/>
              <w:cnfStyle w:val="000000010000" w:firstRow="0" w:lastRow="0" w:firstColumn="0" w:lastColumn="0" w:oddVBand="0" w:evenVBand="0" w:oddHBand="0" w:evenHBand="1" w:firstRowFirstColumn="0" w:firstRowLastColumn="0" w:lastRowFirstColumn="0" w:lastRowLastColumn="0"/>
            </w:pPr>
            <w:r w:rsidRPr="00635AB0">
              <w:t>0.2</w:t>
            </w:r>
          </w:p>
        </w:tc>
        <w:tc>
          <w:tcPr>
            <w:tcW w:w="934" w:type="dxa"/>
          </w:tcPr>
          <w:p w:rsidR="00635AB0" w:rsidRPr="00635AB0" w:rsidRDefault="00635AB0" w:rsidP="007B1F57">
            <w:pPr>
              <w:keepNext/>
              <w:cnfStyle w:val="000000010000" w:firstRow="0" w:lastRow="0" w:firstColumn="0" w:lastColumn="0" w:oddVBand="0" w:evenVBand="0" w:oddHBand="0" w:evenHBand="1" w:firstRowFirstColumn="0" w:firstRowLastColumn="0" w:lastRowFirstColumn="0" w:lastRowLastColumn="0"/>
            </w:pPr>
            <w:r w:rsidRPr="00635AB0">
              <w:t>1.0</w:t>
            </w:r>
          </w:p>
        </w:tc>
      </w:tr>
      <w:tr w:rsidR="00635AB0" w:rsidRPr="00635AB0" w:rsidTr="00851E22">
        <w:trPr>
          <w:trHeight w:val="467"/>
        </w:trPr>
        <w:tc>
          <w:tcPr>
            <w:cnfStyle w:val="001000000000" w:firstRow="0" w:lastRow="0" w:firstColumn="1" w:lastColumn="0" w:oddVBand="0" w:evenVBand="0" w:oddHBand="0" w:evenHBand="0" w:firstRowFirstColumn="0" w:firstRowLastColumn="0" w:lastRowFirstColumn="0" w:lastRowLastColumn="0"/>
            <w:tcW w:w="3085" w:type="dxa"/>
          </w:tcPr>
          <w:p w:rsidR="00635AB0" w:rsidRPr="00635AB0" w:rsidRDefault="00635AB0" w:rsidP="007B1F57">
            <w:pPr>
              <w:keepNext/>
              <w:rPr>
                <w:rStyle w:val="Strong"/>
              </w:rPr>
            </w:pPr>
            <w:r w:rsidRPr="00635AB0">
              <w:rPr>
                <w:rStyle w:val="Strong"/>
              </w:rPr>
              <w:t>Net corporate income tax allowance</w:t>
            </w:r>
          </w:p>
        </w:tc>
        <w:tc>
          <w:tcPr>
            <w:tcW w:w="933"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0.3</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0.3</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0.3</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0.3</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pPr>
            <w:r w:rsidRPr="00635AB0">
              <w:t>0.3</w:t>
            </w:r>
          </w:p>
        </w:tc>
        <w:tc>
          <w:tcPr>
            <w:tcW w:w="934" w:type="dxa"/>
          </w:tcPr>
          <w:p w:rsidR="00635AB0" w:rsidRPr="00635AB0" w:rsidRDefault="00635AB0" w:rsidP="007B1F57">
            <w:pPr>
              <w:keepNext/>
              <w:cnfStyle w:val="000000000000" w:firstRow="0" w:lastRow="0" w:firstColumn="0" w:lastColumn="0" w:oddVBand="0" w:evenVBand="0" w:oddHBand="0" w:evenHBand="0" w:firstRowFirstColumn="0" w:firstRowLastColumn="0" w:lastRowFirstColumn="0" w:lastRowLastColumn="0"/>
              <w:rPr>
                <w:rStyle w:val="Strong"/>
              </w:rPr>
            </w:pPr>
            <w:r w:rsidRPr="00635AB0">
              <w:rPr>
                <w:rStyle w:val="Strong"/>
              </w:rPr>
              <w:t>1.5</w:t>
            </w:r>
          </w:p>
        </w:tc>
      </w:tr>
    </w:tbl>
    <w:p w:rsidR="000F0FA4" w:rsidRDefault="000F0FA4" w:rsidP="007B1F57">
      <w:pPr>
        <w:pStyle w:val="AERtablesource"/>
        <w:keepNext/>
      </w:pPr>
      <w:r w:rsidRPr="00FD50DB">
        <w:t xml:space="preserve">Source: </w:t>
      </w:r>
      <w:r w:rsidRPr="00FD50DB">
        <w:tab/>
        <w:t>AER analysis.</w:t>
      </w:r>
    </w:p>
    <w:p w:rsidR="000F0FA4" w:rsidRDefault="000F0FA4" w:rsidP="000F0FA4">
      <w:pPr>
        <w:pStyle w:val="Heading2"/>
      </w:pPr>
      <w:bookmarkStart w:id="16" w:name="_Toc432605357"/>
      <w:bookmarkStart w:id="17" w:name="_Toc436043514"/>
      <w:bookmarkStart w:id="18" w:name="_Toc451530206"/>
      <w:r>
        <w:t xml:space="preserve">APTNT’s </w:t>
      </w:r>
      <w:r w:rsidR="00391175">
        <w:t xml:space="preserve">revised </w:t>
      </w:r>
      <w:r>
        <w:t>proposal</w:t>
      </w:r>
      <w:bookmarkEnd w:id="16"/>
      <w:bookmarkEnd w:id="17"/>
      <w:bookmarkEnd w:id="18"/>
    </w:p>
    <w:p w:rsidR="00632849" w:rsidRDefault="00632849" w:rsidP="000F0FA4">
      <w:bookmarkStart w:id="19" w:name="_Ref308172283"/>
      <w:r>
        <w:t>APTNT's revised proposal</w:t>
      </w:r>
      <w:r w:rsidR="008D5C97">
        <w:t xml:space="preserve"> forecast a cost of corporate income tax of $</w:t>
      </w:r>
      <w:r w:rsidR="002E67F6">
        <w:t xml:space="preserve">3.3 </w:t>
      </w:r>
      <w:r w:rsidR="008D5C97">
        <w:t>million ($nominal)</w:t>
      </w:r>
      <w:r w:rsidR="003134CD">
        <w:t xml:space="preserve"> for the 2016–21 access arrangement period</w:t>
      </w:r>
      <w:r w:rsidR="008D5C97">
        <w:t>. APTNT's methodology for determining its corporate income tax is unchanged from its initial proposal.</w:t>
      </w:r>
    </w:p>
    <w:p w:rsidR="008D5C97" w:rsidRDefault="008D5C97" w:rsidP="000F0FA4">
      <w:r>
        <w:t xml:space="preserve">APTNT adopted the methodology accepted in our draft decision to determine the revised proposed TAB at 1 July 2016. The TAB was updated for </w:t>
      </w:r>
      <w:r w:rsidR="002C5708">
        <w:t>APTNT's 2015</w:t>
      </w:r>
      <w:r>
        <w:t>–16 revised estimate of capex.</w:t>
      </w:r>
    </w:p>
    <w:p w:rsidR="00632849" w:rsidRDefault="009439F7" w:rsidP="000F0FA4">
      <w:r>
        <w:t xml:space="preserve">APTNT's revised proposed TAB roll forward over the 2011–16 access arrangement </w:t>
      </w:r>
      <w:proofErr w:type="gramStart"/>
      <w:r>
        <w:t>period</w:t>
      </w:r>
      <w:proofErr w:type="gramEnd"/>
      <w:r>
        <w:t xml:space="preserve"> is set out in</w:t>
      </w:r>
      <w:r w:rsidR="00D225C5">
        <w:t xml:space="preserve"> </w:t>
      </w:r>
      <w:r w:rsidR="00D225C5">
        <w:fldChar w:fldCharType="begin"/>
      </w:r>
      <w:r w:rsidR="00D225C5">
        <w:instrText xml:space="preserve"> REF _Ref442773236 \h </w:instrText>
      </w:r>
      <w:r w:rsidR="00D225C5">
        <w:fldChar w:fldCharType="separate"/>
      </w:r>
      <w:r w:rsidR="00363AB1" w:rsidRPr="00C51656">
        <w:t xml:space="preserve">Table </w:t>
      </w:r>
      <w:r w:rsidR="00363AB1">
        <w:rPr>
          <w:noProof/>
        </w:rPr>
        <w:t>8</w:t>
      </w:r>
      <w:r w:rsidR="00363AB1" w:rsidRPr="00C51656">
        <w:t>.</w:t>
      </w:r>
      <w:r w:rsidR="00363AB1">
        <w:rPr>
          <w:noProof/>
        </w:rPr>
        <w:t>2</w:t>
      </w:r>
      <w:r w:rsidR="00D225C5">
        <w:fldChar w:fldCharType="end"/>
      </w:r>
      <w:r>
        <w:t>.</w:t>
      </w:r>
    </w:p>
    <w:p w:rsidR="00D225C5" w:rsidRPr="00C51656" w:rsidRDefault="00D225C5" w:rsidP="00D225C5">
      <w:pPr>
        <w:pStyle w:val="Caption"/>
      </w:pPr>
      <w:bookmarkStart w:id="20" w:name="_Ref442773236"/>
      <w:bookmarkStart w:id="21" w:name="_Ref398279252"/>
      <w:bookmarkStart w:id="22" w:name="_Ref398907457"/>
      <w:proofErr w:type="gramStart"/>
      <w:r w:rsidRPr="00C51656">
        <w:t xml:space="preserve">Table </w:t>
      </w:r>
      <w:r w:rsidR="006437C6">
        <w:fldChar w:fldCharType="begin"/>
      </w:r>
      <w:r w:rsidR="006437C6">
        <w:instrText xml:space="preserve"> STYLEREF 1 \s </w:instrText>
      </w:r>
      <w:r w:rsidR="006437C6">
        <w:fldChar w:fldCharType="separate"/>
      </w:r>
      <w:r w:rsidR="00363AB1">
        <w:rPr>
          <w:noProof/>
        </w:rPr>
        <w:t>8</w:t>
      </w:r>
      <w:r w:rsidR="006437C6">
        <w:rPr>
          <w:noProof/>
        </w:rPr>
        <w:fldChar w:fldCharType="end"/>
      </w:r>
      <w:r w:rsidRPr="00C51656">
        <w:t>.</w:t>
      </w:r>
      <w:proofErr w:type="gramEnd"/>
      <w:r w:rsidR="006437C6">
        <w:fldChar w:fldCharType="begin"/>
      </w:r>
      <w:r w:rsidR="006437C6">
        <w:instrText xml:space="preserve"> SEQ Table \* ARABIC \s 1 </w:instrText>
      </w:r>
      <w:r w:rsidR="006437C6">
        <w:fldChar w:fldCharType="separate"/>
      </w:r>
      <w:r w:rsidR="00363AB1">
        <w:rPr>
          <w:noProof/>
        </w:rPr>
        <w:t>2</w:t>
      </w:r>
      <w:r w:rsidR="006437C6">
        <w:rPr>
          <w:noProof/>
        </w:rPr>
        <w:fldChar w:fldCharType="end"/>
      </w:r>
      <w:bookmarkEnd w:id="20"/>
      <w:r w:rsidRPr="00C51656">
        <w:tab/>
        <w:t xml:space="preserve">APTNT’s </w:t>
      </w:r>
      <w:r>
        <w:t xml:space="preserve">revised </w:t>
      </w:r>
      <w:r w:rsidRPr="00C51656">
        <w:t>proposed tax asset base roll forward over the current 2011–16 access arrangement period ($million, nominal)</w:t>
      </w:r>
    </w:p>
    <w:tbl>
      <w:tblPr>
        <w:tblStyle w:val="AERtable-numbers"/>
        <w:tblW w:w="8715" w:type="dxa"/>
        <w:tblLook w:val="04A0" w:firstRow="1" w:lastRow="0" w:firstColumn="1" w:lastColumn="0" w:noHBand="0" w:noVBand="1"/>
      </w:tblPr>
      <w:tblGrid>
        <w:gridCol w:w="2793"/>
        <w:gridCol w:w="1184"/>
        <w:gridCol w:w="1184"/>
        <w:gridCol w:w="1185"/>
        <w:gridCol w:w="1184"/>
        <w:gridCol w:w="1185"/>
      </w:tblGrid>
      <w:tr w:rsidR="00D225C5" w:rsidRPr="00077B2C" w:rsidTr="009B6CCE">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D225C5" w:rsidRPr="000F0FA4" w:rsidRDefault="00D225C5" w:rsidP="00035F6D"/>
        </w:tc>
        <w:tc>
          <w:tcPr>
            <w:tcW w:w="1184" w:type="dxa"/>
            <w:hideMark/>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2011–12</w:t>
            </w:r>
          </w:p>
        </w:tc>
        <w:tc>
          <w:tcPr>
            <w:tcW w:w="1184" w:type="dxa"/>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2012–13</w:t>
            </w:r>
          </w:p>
        </w:tc>
        <w:tc>
          <w:tcPr>
            <w:tcW w:w="1185" w:type="dxa"/>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2013–14</w:t>
            </w:r>
          </w:p>
        </w:tc>
        <w:tc>
          <w:tcPr>
            <w:tcW w:w="1184" w:type="dxa"/>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2014–15</w:t>
            </w:r>
          </w:p>
        </w:tc>
        <w:tc>
          <w:tcPr>
            <w:tcW w:w="1185" w:type="dxa"/>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2015–16</w:t>
            </w:r>
          </w:p>
        </w:tc>
      </w:tr>
      <w:tr w:rsidR="00D225C5" w:rsidRPr="00077B2C" w:rsidTr="009B6CCE">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D225C5" w:rsidRPr="000F0FA4" w:rsidRDefault="00D225C5" w:rsidP="00035F6D">
            <w:r w:rsidRPr="000F0FA4">
              <w:t>Opening tax asset base</w:t>
            </w:r>
          </w:p>
        </w:tc>
        <w:tc>
          <w:tcPr>
            <w:tcW w:w="1184"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9.3</w:t>
            </w:r>
          </w:p>
        </w:tc>
        <w:tc>
          <w:tcPr>
            <w:tcW w:w="1184"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11.8</w:t>
            </w:r>
          </w:p>
        </w:tc>
        <w:tc>
          <w:tcPr>
            <w:tcW w:w="1185"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26.0</w:t>
            </w:r>
          </w:p>
        </w:tc>
        <w:tc>
          <w:tcPr>
            <w:tcW w:w="1184"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27.9</w:t>
            </w:r>
          </w:p>
        </w:tc>
        <w:tc>
          <w:tcPr>
            <w:tcW w:w="1185"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30.0</w:t>
            </w:r>
          </w:p>
        </w:tc>
      </w:tr>
      <w:tr w:rsidR="00D225C5" w:rsidRPr="00077B2C" w:rsidTr="009B6CC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D225C5" w:rsidRPr="000F0FA4" w:rsidRDefault="00D225C5" w:rsidP="00035F6D">
            <w:r w:rsidRPr="000F0FA4">
              <w:t>Capex</w:t>
            </w:r>
          </w:p>
        </w:tc>
        <w:tc>
          <w:tcPr>
            <w:tcW w:w="1184" w:type="dxa"/>
          </w:tcPr>
          <w:p w:rsidR="00D225C5" w:rsidRPr="000F0FA4" w:rsidRDefault="00D225C5" w:rsidP="00035F6D">
            <w:pPr>
              <w:cnfStyle w:val="000000010000" w:firstRow="0" w:lastRow="0" w:firstColumn="0" w:lastColumn="0" w:oddVBand="0" w:evenVBand="0" w:oddHBand="0" w:evenHBand="1" w:firstRowFirstColumn="0" w:firstRowLastColumn="0" w:lastRowFirstColumn="0" w:lastRowLastColumn="0"/>
            </w:pPr>
            <w:r w:rsidRPr="000F0FA4">
              <w:t>4.1</w:t>
            </w:r>
          </w:p>
        </w:tc>
        <w:tc>
          <w:tcPr>
            <w:tcW w:w="1184" w:type="dxa"/>
          </w:tcPr>
          <w:p w:rsidR="00D225C5" w:rsidRPr="000F0FA4" w:rsidRDefault="00D225C5" w:rsidP="00035F6D">
            <w:pPr>
              <w:cnfStyle w:val="000000010000" w:firstRow="0" w:lastRow="0" w:firstColumn="0" w:lastColumn="0" w:oddVBand="0" w:evenVBand="0" w:oddHBand="0" w:evenHBand="1" w:firstRowFirstColumn="0" w:firstRowLastColumn="0" w:lastRowFirstColumn="0" w:lastRowLastColumn="0"/>
            </w:pPr>
            <w:r w:rsidRPr="000F0FA4">
              <w:t>15.8</w:t>
            </w:r>
          </w:p>
        </w:tc>
        <w:tc>
          <w:tcPr>
            <w:tcW w:w="1185" w:type="dxa"/>
          </w:tcPr>
          <w:p w:rsidR="00D225C5" w:rsidRPr="000F0FA4" w:rsidRDefault="00D225C5" w:rsidP="00035F6D">
            <w:pPr>
              <w:cnfStyle w:val="000000010000" w:firstRow="0" w:lastRow="0" w:firstColumn="0" w:lastColumn="0" w:oddVBand="0" w:evenVBand="0" w:oddHBand="0" w:evenHBand="1" w:firstRowFirstColumn="0" w:firstRowLastColumn="0" w:lastRowFirstColumn="0" w:lastRowLastColumn="0"/>
            </w:pPr>
            <w:r w:rsidRPr="000F0FA4">
              <w:t>3.8</w:t>
            </w:r>
          </w:p>
        </w:tc>
        <w:tc>
          <w:tcPr>
            <w:tcW w:w="1184" w:type="dxa"/>
          </w:tcPr>
          <w:p w:rsidR="00D225C5" w:rsidRPr="000F0FA4" w:rsidRDefault="00D225C5" w:rsidP="00035F6D">
            <w:pPr>
              <w:cnfStyle w:val="000000010000" w:firstRow="0" w:lastRow="0" w:firstColumn="0" w:lastColumn="0" w:oddVBand="0" w:evenVBand="0" w:oddHBand="0" w:evenHBand="1" w:firstRowFirstColumn="0" w:firstRowLastColumn="0" w:lastRowFirstColumn="0" w:lastRowLastColumn="0"/>
            </w:pPr>
            <w:r w:rsidRPr="000F0FA4">
              <w:t>4.0</w:t>
            </w:r>
          </w:p>
        </w:tc>
        <w:tc>
          <w:tcPr>
            <w:tcW w:w="1185"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rsidRPr="000F0FA4">
              <w:t>14.</w:t>
            </w:r>
            <w:r w:rsidRPr="00D225C5">
              <w:t>8</w:t>
            </w:r>
          </w:p>
        </w:tc>
      </w:tr>
      <w:tr w:rsidR="00D225C5" w:rsidRPr="00077B2C" w:rsidTr="009B6CCE">
        <w:trPr>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D225C5" w:rsidRPr="000F0FA4" w:rsidRDefault="00D225C5" w:rsidP="00035F6D">
            <w:r w:rsidRPr="000F0FA4">
              <w:t>Tax depreciation</w:t>
            </w:r>
          </w:p>
        </w:tc>
        <w:tc>
          <w:tcPr>
            <w:tcW w:w="1184" w:type="dxa"/>
          </w:tcPr>
          <w:p w:rsidR="00D225C5" w:rsidRPr="000F0FA4" w:rsidRDefault="00D225C5" w:rsidP="00035F6D">
            <w:pPr>
              <w:cnfStyle w:val="000000000000" w:firstRow="0" w:lastRow="0" w:firstColumn="0" w:lastColumn="0" w:oddVBand="0" w:evenVBand="0" w:oddHBand="0" w:evenHBand="0" w:firstRowFirstColumn="0" w:firstRowLastColumn="0" w:lastRowFirstColumn="0" w:lastRowLastColumn="0"/>
            </w:pPr>
            <w:r w:rsidRPr="000F0FA4">
              <w:t>–1.6</w:t>
            </w:r>
          </w:p>
        </w:tc>
        <w:tc>
          <w:tcPr>
            <w:tcW w:w="1184" w:type="dxa"/>
          </w:tcPr>
          <w:p w:rsidR="00D225C5" w:rsidRPr="000F0FA4" w:rsidRDefault="00D225C5" w:rsidP="00035F6D">
            <w:pPr>
              <w:cnfStyle w:val="000000000000" w:firstRow="0" w:lastRow="0" w:firstColumn="0" w:lastColumn="0" w:oddVBand="0" w:evenVBand="0" w:oddHBand="0" w:evenHBand="0" w:firstRowFirstColumn="0" w:firstRowLastColumn="0" w:lastRowFirstColumn="0" w:lastRowLastColumn="0"/>
            </w:pPr>
            <w:r w:rsidRPr="000F0FA4">
              <w:t>–1.5</w:t>
            </w:r>
          </w:p>
        </w:tc>
        <w:tc>
          <w:tcPr>
            <w:tcW w:w="1185" w:type="dxa"/>
          </w:tcPr>
          <w:p w:rsidR="00D225C5" w:rsidRPr="000F0FA4" w:rsidRDefault="00D225C5" w:rsidP="00035F6D">
            <w:pPr>
              <w:cnfStyle w:val="000000000000" w:firstRow="0" w:lastRow="0" w:firstColumn="0" w:lastColumn="0" w:oddVBand="0" w:evenVBand="0" w:oddHBand="0" w:evenHBand="0" w:firstRowFirstColumn="0" w:firstRowLastColumn="0" w:lastRowFirstColumn="0" w:lastRowLastColumn="0"/>
            </w:pPr>
            <w:r w:rsidRPr="000F0FA4">
              <w:t>–1.9</w:t>
            </w:r>
          </w:p>
        </w:tc>
        <w:tc>
          <w:tcPr>
            <w:tcW w:w="1184" w:type="dxa"/>
          </w:tcPr>
          <w:p w:rsidR="00D225C5" w:rsidRPr="000F0FA4" w:rsidRDefault="00D225C5" w:rsidP="00035F6D">
            <w:pPr>
              <w:cnfStyle w:val="000000000000" w:firstRow="0" w:lastRow="0" w:firstColumn="0" w:lastColumn="0" w:oddVBand="0" w:evenVBand="0" w:oddHBand="0" w:evenHBand="0" w:firstRowFirstColumn="0" w:firstRowLastColumn="0" w:lastRowFirstColumn="0" w:lastRowLastColumn="0"/>
            </w:pPr>
            <w:r w:rsidRPr="000F0FA4">
              <w:t>–2.0</w:t>
            </w:r>
          </w:p>
        </w:tc>
        <w:tc>
          <w:tcPr>
            <w:tcW w:w="1185" w:type="dxa"/>
          </w:tcPr>
          <w:p w:rsidR="00D225C5" w:rsidRPr="000F0FA4" w:rsidRDefault="00D225C5" w:rsidP="00035F6D">
            <w:pPr>
              <w:cnfStyle w:val="000000000000" w:firstRow="0" w:lastRow="0" w:firstColumn="0" w:lastColumn="0" w:oddVBand="0" w:evenVBand="0" w:oddHBand="0" w:evenHBand="0" w:firstRowFirstColumn="0" w:firstRowLastColumn="0" w:lastRowFirstColumn="0" w:lastRowLastColumn="0"/>
            </w:pPr>
            <w:r w:rsidRPr="000F0FA4">
              <w:t>–2.3</w:t>
            </w:r>
          </w:p>
        </w:tc>
      </w:tr>
      <w:tr w:rsidR="00D225C5" w:rsidRPr="00077B2C" w:rsidTr="009B6CCE">
        <w:trPr>
          <w:cnfStyle w:val="000000010000" w:firstRow="0" w:lastRow="0" w:firstColumn="0" w:lastColumn="0" w:oddVBand="0" w:evenVBand="0" w:oddHBand="0" w:evenHBand="1"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93" w:type="dxa"/>
            <w:hideMark/>
          </w:tcPr>
          <w:p w:rsidR="00D225C5" w:rsidRPr="000F0FA4" w:rsidRDefault="00D225C5" w:rsidP="00035F6D">
            <w:r w:rsidRPr="000F0FA4">
              <w:t>Closing tax asset base</w:t>
            </w:r>
          </w:p>
        </w:tc>
        <w:tc>
          <w:tcPr>
            <w:tcW w:w="1184"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t>11.8</w:t>
            </w:r>
          </w:p>
        </w:tc>
        <w:tc>
          <w:tcPr>
            <w:tcW w:w="1184"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t>26.0</w:t>
            </w:r>
          </w:p>
        </w:tc>
        <w:tc>
          <w:tcPr>
            <w:tcW w:w="1185"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rsidRPr="000F0FA4">
              <w:t>2</w:t>
            </w:r>
            <w:r w:rsidRPr="00D225C5">
              <w:t>7.9</w:t>
            </w:r>
          </w:p>
        </w:tc>
        <w:tc>
          <w:tcPr>
            <w:tcW w:w="1184"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t>30.0</w:t>
            </w:r>
          </w:p>
        </w:tc>
        <w:tc>
          <w:tcPr>
            <w:tcW w:w="1185"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t>42.5</w:t>
            </w:r>
          </w:p>
        </w:tc>
      </w:tr>
    </w:tbl>
    <w:p w:rsidR="00D225C5" w:rsidRDefault="00D225C5" w:rsidP="00D225C5">
      <w:pPr>
        <w:pStyle w:val="AERtablesource"/>
      </w:pPr>
      <w:r w:rsidRPr="00D225C5">
        <w:rPr>
          <w:rFonts w:eastAsia="Calibri"/>
        </w:rPr>
        <w:t xml:space="preserve">Source: </w:t>
      </w:r>
      <w:r w:rsidRPr="00D225C5">
        <w:rPr>
          <w:rFonts w:eastAsia="Calibri"/>
        </w:rPr>
        <w:tab/>
      </w:r>
      <w:proofErr w:type="gramStart"/>
      <w:r>
        <w:t>APTNT</w:t>
      </w:r>
      <w:r w:rsidRPr="000F2AA1">
        <w:t>,</w:t>
      </w:r>
      <w:proofErr w:type="gramEnd"/>
      <w:r>
        <w:t xml:space="preserve"> </w:t>
      </w:r>
      <w:r w:rsidRPr="007A0706">
        <w:rPr>
          <w:rStyle w:val="AERtextitalic"/>
        </w:rPr>
        <w:t>Revised proposed RFM</w:t>
      </w:r>
      <w:r w:rsidRPr="000F2AA1">
        <w:t xml:space="preserve">, </w:t>
      </w:r>
      <w:r>
        <w:t>January 2016.</w:t>
      </w:r>
    </w:p>
    <w:bookmarkEnd w:id="21"/>
    <w:bookmarkEnd w:id="22"/>
    <w:p w:rsidR="000A1409" w:rsidRDefault="00282190" w:rsidP="000A1409">
      <w:r>
        <w:t>Applying</w:t>
      </w:r>
      <w:r w:rsidR="000A1409">
        <w:t xml:space="preserve"> the same approach accepted in the draft decision, </w:t>
      </w:r>
      <w:r w:rsidR="00BF70DE">
        <w:t>APTNT</w:t>
      </w:r>
      <w:r w:rsidR="000A1409">
        <w:t xml:space="preserve">'s revised proposal calculated the corporate income tax over the 2016–21 access arrangement </w:t>
      </w:r>
      <w:proofErr w:type="gramStart"/>
      <w:r w:rsidR="000A1409">
        <w:t>pe</w:t>
      </w:r>
      <w:r w:rsidR="001A600C">
        <w:t>riod</w:t>
      </w:r>
      <w:proofErr w:type="gramEnd"/>
      <w:r w:rsidR="001A600C">
        <w:t xml:space="preserve"> using the following inputs:</w:t>
      </w:r>
    </w:p>
    <w:p w:rsidR="000A1409" w:rsidRDefault="000A1409" w:rsidP="000A1409">
      <w:pPr>
        <w:pStyle w:val="AERbulletlistfirststyle"/>
      </w:pPr>
      <w:r>
        <w:t xml:space="preserve">Revised </w:t>
      </w:r>
      <w:r w:rsidR="00282190">
        <w:t xml:space="preserve">opening </w:t>
      </w:r>
      <w:r>
        <w:t>TAB at 1 July 2016 of $</w:t>
      </w:r>
      <w:r w:rsidR="00BF70DE">
        <w:t xml:space="preserve">42.5 </w:t>
      </w:r>
      <w:r>
        <w:t>million ($nominal) reflecting updates for 2015–16 estimated capex</w:t>
      </w:r>
      <w:r w:rsidR="001A600C">
        <w:t>.</w:t>
      </w:r>
    </w:p>
    <w:p w:rsidR="000A1409" w:rsidRDefault="001A600C" w:rsidP="000A1409">
      <w:pPr>
        <w:pStyle w:val="AERbulletlistfirststyle"/>
      </w:pPr>
      <w:r>
        <w:t>A</w:t>
      </w:r>
      <w:r w:rsidR="007A0706">
        <w:t>n expected statutory income tax rate of 30 per cent per year</w:t>
      </w:r>
      <w:r>
        <w:t>.</w:t>
      </w:r>
    </w:p>
    <w:p w:rsidR="007A0706" w:rsidRDefault="007A0706" w:rsidP="000A1409">
      <w:pPr>
        <w:pStyle w:val="AERbulletlistfirststyle"/>
      </w:pPr>
      <w:r>
        <w:t>A value for the assumed utilisation of imputation credits (gamma) of 0.25 which is consistent with its initial proposal</w:t>
      </w:r>
      <w:r w:rsidR="001A600C">
        <w:t>.</w:t>
      </w:r>
    </w:p>
    <w:p w:rsidR="007A0706" w:rsidRDefault="007A0706" w:rsidP="000A1409">
      <w:pPr>
        <w:pStyle w:val="AERbulletlistfirststyle"/>
      </w:pPr>
      <w:r>
        <w:t>The standard tax asset lives as approved in the 2011–16 access arrangement period</w:t>
      </w:r>
      <w:r w:rsidR="00282190">
        <w:t>.</w:t>
      </w:r>
    </w:p>
    <w:p w:rsidR="007A0706" w:rsidRDefault="007A0706" w:rsidP="000A1409">
      <w:pPr>
        <w:pStyle w:val="AERbulletlistfirststyle"/>
      </w:pPr>
      <w:r>
        <w:t xml:space="preserve">Revised remaining tax asset lives which are calculated using a weighted average remaining life approach as contained in its revised proposed RFM. </w:t>
      </w:r>
    </w:p>
    <w:p w:rsidR="000A1409" w:rsidRDefault="000A1409" w:rsidP="000A1409">
      <w:pPr>
        <w:pStyle w:val="AERbulletlistfirststyle"/>
      </w:pPr>
      <w:r>
        <w:t>Revised forecast capex</w:t>
      </w:r>
      <w:r w:rsidR="001A600C">
        <w:t>.</w:t>
      </w:r>
    </w:p>
    <w:p w:rsidR="000A1409" w:rsidRDefault="000A1409" w:rsidP="000A1409">
      <w:pPr>
        <w:pStyle w:val="AERbulletlistfirststyle"/>
      </w:pPr>
      <w:r>
        <w:t>Revised forecast opex</w:t>
      </w:r>
      <w:r w:rsidR="001A600C">
        <w:t>.</w:t>
      </w:r>
    </w:p>
    <w:p w:rsidR="00C22232" w:rsidRDefault="00C22232" w:rsidP="001E061F">
      <w:r w:rsidRPr="00C22232">
        <w:rPr>
          <w:rStyle w:val="AERbody"/>
        </w:rPr>
        <w:t>For the 2016–21 access arrangement period, APTNT's revised proposal forecast a total corporate income tax cost of $3.3</w:t>
      </w:r>
      <w:r>
        <w:rPr>
          <w:rStyle w:val="AERbody"/>
        </w:rPr>
        <w:t xml:space="preserve"> million ($nominal) as set out in </w:t>
      </w:r>
      <w:r w:rsidR="00137E99">
        <w:rPr>
          <w:rStyle w:val="AERbody"/>
        </w:rPr>
        <w:fldChar w:fldCharType="begin"/>
      </w:r>
      <w:r w:rsidR="00137E99">
        <w:rPr>
          <w:rStyle w:val="AERbody"/>
        </w:rPr>
        <w:instrText xml:space="preserve"> REF _Ref445461351 \h </w:instrText>
      </w:r>
      <w:r w:rsidR="00137E99">
        <w:rPr>
          <w:rStyle w:val="AERbody"/>
        </w:rPr>
      </w:r>
      <w:r w:rsidR="00137E99">
        <w:rPr>
          <w:rStyle w:val="AERbody"/>
        </w:rPr>
        <w:fldChar w:fldCharType="separate"/>
      </w:r>
      <w:r w:rsidR="00363AB1" w:rsidRPr="00C51656">
        <w:t xml:space="preserve">Table </w:t>
      </w:r>
      <w:r w:rsidR="00363AB1">
        <w:rPr>
          <w:noProof/>
        </w:rPr>
        <w:t>8</w:t>
      </w:r>
      <w:r w:rsidR="00363AB1" w:rsidRPr="00C51656">
        <w:t>.</w:t>
      </w:r>
      <w:r w:rsidR="00363AB1">
        <w:rPr>
          <w:noProof/>
        </w:rPr>
        <w:t>3</w:t>
      </w:r>
      <w:r w:rsidR="00137E99">
        <w:rPr>
          <w:rStyle w:val="AERbody"/>
        </w:rPr>
        <w:fldChar w:fldCharType="end"/>
      </w:r>
      <w:r w:rsidR="001E061F">
        <w:rPr>
          <w:rStyle w:val="AERbody"/>
        </w:rPr>
        <w:t>.</w:t>
      </w:r>
    </w:p>
    <w:p w:rsidR="00D225C5" w:rsidRPr="00C51656" w:rsidRDefault="00D225C5" w:rsidP="00D225C5">
      <w:pPr>
        <w:pStyle w:val="Caption"/>
      </w:pPr>
      <w:bookmarkStart w:id="23" w:name="_Ref445461351"/>
      <w:bookmarkStart w:id="24" w:name="_Ref398551924"/>
      <w:proofErr w:type="gramStart"/>
      <w:r w:rsidRPr="00C51656">
        <w:t xml:space="preserve">Table </w:t>
      </w:r>
      <w:r w:rsidR="006437C6">
        <w:fldChar w:fldCharType="begin"/>
      </w:r>
      <w:r w:rsidR="006437C6">
        <w:instrText xml:space="preserve"> STYLEREF 1 \s </w:instrText>
      </w:r>
      <w:r w:rsidR="006437C6">
        <w:fldChar w:fldCharType="separate"/>
      </w:r>
      <w:r w:rsidR="00363AB1">
        <w:rPr>
          <w:noProof/>
        </w:rPr>
        <w:t>8</w:t>
      </w:r>
      <w:r w:rsidR="006437C6">
        <w:rPr>
          <w:noProof/>
        </w:rPr>
        <w:fldChar w:fldCharType="end"/>
      </w:r>
      <w:r w:rsidRPr="00C51656">
        <w:t>.</w:t>
      </w:r>
      <w:proofErr w:type="gramEnd"/>
      <w:r w:rsidR="006437C6">
        <w:fldChar w:fldCharType="begin"/>
      </w:r>
      <w:r w:rsidR="006437C6">
        <w:instrText xml:space="preserve"> SEQ Table \* ARABIC \s 1 </w:instrText>
      </w:r>
      <w:r w:rsidR="006437C6">
        <w:fldChar w:fldCharType="separate"/>
      </w:r>
      <w:r w:rsidR="00363AB1">
        <w:rPr>
          <w:noProof/>
        </w:rPr>
        <w:t>3</w:t>
      </w:r>
      <w:r w:rsidR="006437C6">
        <w:rPr>
          <w:noProof/>
        </w:rPr>
        <w:fldChar w:fldCharType="end"/>
      </w:r>
      <w:bookmarkEnd w:id="23"/>
      <w:r w:rsidRPr="00C51656">
        <w:tab/>
        <w:t>APTNT's</w:t>
      </w:r>
      <w:r>
        <w:t xml:space="preserve"> revised</w:t>
      </w:r>
      <w:r w:rsidRPr="00C51656">
        <w:t xml:space="preserve"> proposed corporate income tax allowance for the 2016–21 access arrangement period ($million, nominal)</w:t>
      </w:r>
    </w:p>
    <w:tbl>
      <w:tblPr>
        <w:tblStyle w:val="AERtable-numbers"/>
        <w:tblW w:w="8712" w:type="dxa"/>
        <w:tblLayout w:type="fixed"/>
        <w:tblLook w:val="04A0" w:firstRow="1" w:lastRow="0" w:firstColumn="1" w:lastColumn="0" w:noHBand="0" w:noVBand="1"/>
      </w:tblPr>
      <w:tblGrid>
        <w:gridCol w:w="3085"/>
        <w:gridCol w:w="937"/>
        <w:gridCol w:w="938"/>
        <w:gridCol w:w="938"/>
        <w:gridCol w:w="938"/>
        <w:gridCol w:w="938"/>
        <w:gridCol w:w="938"/>
      </w:tblGrid>
      <w:tr w:rsidR="00D225C5" w:rsidRPr="00077B2C" w:rsidTr="00A95F5F">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085" w:type="dxa"/>
            <w:hideMark/>
          </w:tcPr>
          <w:p w:rsidR="00D225C5" w:rsidRPr="000F0FA4" w:rsidRDefault="00D225C5" w:rsidP="00035F6D">
            <w:r w:rsidRPr="000F0FA4">
              <w:t xml:space="preserve"> </w:t>
            </w:r>
          </w:p>
        </w:tc>
        <w:tc>
          <w:tcPr>
            <w:tcW w:w="937" w:type="dxa"/>
            <w:hideMark/>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2016–17</w:t>
            </w:r>
          </w:p>
        </w:tc>
        <w:tc>
          <w:tcPr>
            <w:tcW w:w="938" w:type="dxa"/>
            <w:hideMark/>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2017–18</w:t>
            </w:r>
          </w:p>
        </w:tc>
        <w:tc>
          <w:tcPr>
            <w:tcW w:w="938" w:type="dxa"/>
            <w:hideMark/>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2018–19</w:t>
            </w:r>
          </w:p>
        </w:tc>
        <w:tc>
          <w:tcPr>
            <w:tcW w:w="938" w:type="dxa"/>
            <w:hideMark/>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2019–20</w:t>
            </w:r>
          </w:p>
        </w:tc>
        <w:tc>
          <w:tcPr>
            <w:tcW w:w="938" w:type="dxa"/>
            <w:hideMark/>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2020–21</w:t>
            </w:r>
          </w:p>
        </w:tc>
        <w:tc>
          <w:tcPr>
            <w:tcW w:w="938" w:type="dxa"/>
          </w:tcPr>
          <w:p w:rsidR="00D225C5" w:rsidRPr="000F0FA4" w:rsidRDefault="00D225C5" w:rsidP="00035F6D">
            <w:pPr>
              <w:cnfStyle w:val="100000000000" w:firstRow="1" w:lastRow="0" w:firstColumn="0" w:lastColumn="0" w:oddVBand="0" w:evenVBand="0" w:oddHBand="0" w:evenHBand="0" w:firstRowFirstColumn="0" w:firstRowLastColumn="0" w:lastRowFirstColumn="0" w:lastRowLastColumn="0"/>
            </w:pPr>
            <w:r w:rsidRPr="000F0FA4">
              <w:t>Total</w:t>
            </w:r>
          </w:p>
        </w:tc>
      </w:tr>
      <w:tr w:rsidR="00D225C5" w:rsidRPr="00077B2C" w:rsidTr="00A95F5F">
        <w:trPr>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D225C5" w:rsidRPr="000F0FA4" w:rsidRDefault="00D225C5" w:rsidP="00035F6D">
            <w:r w:rsidRPr="000F0FA4">
              <w:t>Tax payable</w:t>
            </w:r>
          </w:p>
        </w:tc>
        <w:tc>
          <w:tcPr>
            <w:tcW w:w="937"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0.9</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0.8</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0.9</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0.9</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pPr>
            <w:r>
              <w:t>0.9</w:t>
            </w:r>
          </w:p>
        </w:tc>
        <w:tc>
          <w:tcPr>
            <w:tcW w:w="938" w:type="dxa"/>
          </w:tcPr>
          <w:p w:rsidR="00D225C5" w:rsidRPr="000F0FA4" w:rsidRDefault="00692089" w:rsidP="00035F6D">
            <w:pPr>
              <w:cnfStyle w:val="000000000000" w:firstRow="0" w:lastRow="0" w:firstColumn="0" w:lastColumn="0" w:oddVBand="0" w:evenVBand="0" w:oddHBand="0" w:evenHBand="0" w:firstRowFirstColumn="0" w:firstRowLastColumn="0" w:lastRowFirstColumn="0" w:lastRowLastColumn="0"/>
            </w:pPr>
            <w:r>
              <w:t>4.5</w:t>
            </w:r>
          </w:p>
        </w:tc>
      </w:tr>
      <w:tr w:rsidR="00D225C5" w:rsidRPr="00077B2C" w:rsidTr="00A95F5F">
        <w:trPr>
          <w:cnfStyle w:val="000000010000" w:firstRow="0" w:lastRow="0" w:firstColumn="0" w:lastColumn="0" w:oddVBand="0" w:evenVBand="0" w:oddHBand="0" w:evenHBand="1"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085" w:type="dxa"/>
            <w:hideMark/>
          </w:tcPr>
          <w:p w:rsidR="00D225C5" w:rsidRPr="00D225C5" w:rsidRDefault="00D225C5" w:rsidP="00035F6D">
            <w:r w:rsidRPr="000F0FA4">
              <w:rPr>
                <w:rStyle w:val="AERtextitalic"/>
              </w:rPr>
              <w:t>Less</w:t>
            </w:r>
            <w:r w:rsidRPr="00D225C5">
              <w:t>: Value of imputation credits</w:t>
            </w:r>
          </w:p>
        </w:tc>
        <w:tc>
          <w:tcPr>
            <w:tcW w:w="937"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t>0.2</w:t>
            </w:r>
          </w:p>
        </w:tc>
        <w:tc>
          <w:tcPr>
            <w:tcW w:w="938"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t>0.2</w:t>
            </w:r>
          </w:p>
        </w:tc>
        <w:tc>
          <w:tcPr>
            <w:tcW w:w="938"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rsidRPr="000F0FA4">
              <w:t>0.</w:t>
            </w:r>
            <w:r w:rsidRPr="00D225C5">
              <w:t>2</w:t>
            </w:r>
          </w:p>
        </w:tc>
        <w:tc>
          <w:tcPr>
            <w:tcW w:w="938"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rsidRPr="000F0FA4">
              <w:t>0.</w:t>
            </w:r>
            <w:r w:rsidRPr="00D225C5">
              <w:t>2</w:t>
            </w:r>
          </w:p>
        </w:tc>
        <w:tc>
          <w:tcPr>
            <w:tcW w:w="938" w:type="dxa"/>
          </w:tcPr>
          <w:p w:rsidR="00D225C5" w:rsidRPr="00D225C5" w:rsidRDefault="00D225C5" w:rsidP="00035F6D">
            <w:pPr>
              <w:cnfStyle w:val="000000010000" w:firstRow="0" w:lastRow="0" w:firstColumn="0" w:lastColumn="0" w:oddVBand="0" w:evenVBand="0" w:oddHBand="0" w:evenHBand="1" w:firstRowFirstColumn="0" w:firstRowLastColumn="0" w:lastRowFirstColumn="0" w:lastRowLastColumn="0"/>
            </w:pPr>
            <w:r w:rsidRPr="000F0FA4">
              <w:t>0.</w:t>
            </w:r>
            <w:r w:rsidRPr="00D225C5">
              <w:t>2</w:t>
            </w:r>
          </w:p>
        </w:tc>
        <w:tc>
          <w:tcPr>
            <w:tcW w:w="938" w:type="dxa"/>
          </w:tcPr>
          <w:p w:rsidR="00D225C5" w:rsidRPr="000F0FA4" w:rsidRDefault="00692089" w:rsidP="00035F6D">
            <w:pPr>
              <w:cnfStyle w:val="000000010000" w:firstRow="0" w:lastRow="0" w:firstColumn="0" w:lastColumn="0" w:oddVBand="0" w:evenVBand="0" w:oddHBand="0" w:evenHBand="1" w:firstRowFirstColumn="0" w:firstRowLastColumn="0" w:lastRowFirstColumn="0" w:lastRowLastColumn="0"/>
            </w:pPr>
            <w:r>
              <w:t>1.1</w:t>
            </w:r>
          </w:p>
        </w:tc>
      </w:tr>
      <w:tr w:rsidR="00D225C5" w:rsidRPr="00077B2C" w:rsidTr="00A95F5F">
        <w:trPr>
          <w:trHeight w:val="558"/>
        </w:trPr>
        <w:tc>
          <w:tcPr>
            <w:cnfStyle w:val="001000000000" w:firstRow="0" w:lastRow="0" w:firstColumn="1" w:lastColumn="0" w:oddVBand="0" w:evenVBand="0" w:oddHBand="0" w:evenHBand="0" w:firstRowFirstColumn="0" w:firstRowLastColumn="0" w:lastRowFirstColumn="0" w:lastRowLastColumn="0"/>
            <w:tcW w:w="3085" w:type="dxa"/>
            <w:hideMark/>
          </w:tcPr>
          <w:p w:rsidR="00D225C5" w:rsidRPr="000F0FA4" w:rsidRDefault="00D225C5" w:rsidP="00035F6D">
            <w:pPr>
              <w:rPr>
                <w:rStyle w:val="Strong"/>
              </w:rPr>
            </w:pPr>
            <w:r w:rsidRPr="000F0FA4">
              <w:rPr>
                <w:rStyle w:val="Strong"/>
              </w:rPr>
              <w:t>Net corporate income tax allowance</w:t>
            </w:r>
          </w:p>
        </w:tc>
        <w:tc>
          <w:tcPr>
            <w:tcW w:w="937"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0.7</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0.6</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0.7</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0.7</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0.7</w:t>
            </w:r>
          </w:p>
        </w:tc>
        <w:tc>
          <w:tcPr>
            <w:tcW w:w="938" w:type="dxa"/>
          </w:tcPr>
          <w:p w:rsidR="00D225C5" w:rsidRPr="00D225C5" w:rsidRDefault="00D225C5" w:rsidP="00035F6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3.3</w:t>
            </w:r>
          </w:p>
        </w:tc>
      </w:tr>
    </w:tbl>
    <w:p w:rsidR="00D225C5" w:rsidRDefault="00D225C5" w:rsidP="00D225C5">
      <w:pPr>
        <w:pStyle w:val="AERtablesource"/>
      </w:pPr>
      <w:r w:rsidRPr="00D225C5">
        <w:rPr>
          <w:rFonts w:eastAsia="Calibri"/>
        </w:rPr>
        <w:t xml:space="preserve">Source: </w:t>
      </w:r>
      <w:r w:rsidRPr="00D225C5">
        <w:rPr>
          <w:rFonts w:eastAsia="Calibri"/>
        </w:rPr>
        <w:tab/>
      </w:r>
      <w:proofErr w:type="gramStart"/>
      <w:r>
        <w:t>APTNT</w:t>
      </w:r>
      <w:r w:rsidRPr="00FD50DB">
        <w:t>,</w:t>
      </w:r>
      <w:proofErr w:type="gramEnd"/>
      <w:r w:rsidRPr="00FD50DB">
        <w:t xml:space="preserve"> </w:t>
      </w:r>
      <w:r w:rsidRPr="00404CCD">
        <w:rPr>
          <w:rStyle w:val="AERtextitalic"/>
        </w:rPr>
        <w:t>Revised proposed</w:t>
      </w:r>
      <w:r>
        <w:t xml:space="preserve"> </w:t>
      </w:r>
      <w:r>
        <w:rPr>
          <w:rStyle w:val="AERtextitalic"/>
        </w:rPr>
        <w:t>PTRM</w:t>
      </w:r>
      <w:r w:rsidRPr="00FD50DB">
        <w:t xml:space="preserve">, </w:t>
      </w:r>
      <w:r>
        <w:t xml:space="preserve">January 2016. </w:t>
      </w:r>
    </w:p>
    <w:p w:rsidR="00D225C5" w:rsidRDefault="00D225C5" w:rsidP="00D225C5">
      <w:pPr>
        <w:pStyle w:val="AERtablesource"/>
      </w:pPr>
      <w:r>
        <w:t xml:space="preserve">Note: </w:t>
      </w:r>
      <w:r>
        <w:tab/>
        <w:t>Numbers may not add due to rounding.</w:t>
      </w:r>
    </w:p>
    <w:p w:rsidR="000F0FA4" w:rsidRDefault="000F0FA4" w:rsidP="000F0FA4">
      <w:pPr>
        <w:pStyle w:val="Heading2"/>
      </w:pPr>
      <w:bookmarkStart w:id="25" w:name="_Toc432605358"/>
      <w:bookmarkStart w:id="26" w:name="_Toc436043515"/>
      <w:bookmarkStart w:id="27" w:name="_Toc451530207"/>
      <w:bookmarkEnd w:id="24"/>
      <w:bookmarkEnd w:id="19"/>
      <w:r w:rsidRPr="0074565D">
        <w:t>AER’s assessment approach</w:t>
      </w:r>
      <w:bookmarkEnd w:id="25"/>
      <w:bookmarkEnd w:id="26"/>
      <w:bookmarkEnd w:id="27"/>
    </w:p>
    <w:p w:rsidR="001E061F" w:rsidRPr="001E061F" w:rsidRDefault="001E061F" w:rsidP="001E061F">
      <w:r>
        <w:t>We have not changed our assessment approach for the corporate income tax from our draft decision. Section 8.3 of our draft decision details that approach</w:t>
      </w:r>
      <w:r w:rsidR="001A600C">
        <w:t>.</w:t>
      </w:r>
      <w:r>
        <w:rPr>
          <w:rStyle w:val="FootnoteReference"/>
        </w:rPr>
        <w:footnoteReference w:id="4"/>
      </w:r>
    </w:p>
    <w:p w:rsidR="000F0FA4" w:rsidRDefault="000F0FA4" w:rsidP="000F0FA4">
      <w:pPr>
        <w:pStyle w:val="Heading2"/>
      </w:pPr>
      <w:bookmarkStart w:id="28" w:name="_Toc432605360"/>
      <w:bookmarkStart w:id="29" w:name="_Toc436043517"/>
      <w:bookmarkStart w:id="30" w:name="_Toc451530208"/>
      <w:r w:rsidRPr="0074565D">
        <w:t xml:space="preserve">Reasons for </w:t>
      </w:r>
      <w:r>
        <w:t>final</w:t>
      </w:r>
      <w:r w:rsidRPr="0074565D">
        <w:t xml:space="preserve"> decision</w:t>
      </w:r>
      <w:bookmarkEnd w:id="28"/>
      <w:bookmarkEnd w:id="29"/>
      <w:bookmarkEnd w:id="30"/>
      <w:r w:rsidRPr="0074565D">
        <w:t xml:space="preserve"> </w:t>
      </w:r>
    </w:p>
    <w:p w:rsidR="000F0FA4" w:rsidRPr="00407443" w:rsidRDefault="000F0FA4" w:rsidP="000F0FA4">
      <w:r w:rsidRPr="00407443">
        <w:t xml:space="preserve">Our </w:t>
      </w:r>
      <w:r w:rsidR="00C9777D">
        <w:rPr>
          <w:rStyle w:val="AERbody"/>
        </w:rPr>
        <w:t>final</w:t>
      </w:r>
      <w:r w:rsidRPr="002616BC">
        <w:rPr>
          <w:rStyle w:val="AERbody"/>
        </w:rPr>
        <w:t xml:space="preserve"> decision on </w:t>
      </w:r>
      <w:r>
        <w:rPr>
          <w:rStyle w:val="AERbody"/>
        </w:rPr>
        <w:t>APTNT</w:t>
      </w:r>
      <w:r w:rsidRPr="002616BC">
        <w:rPr>
          <w:rStyle w:val="AERbody"/>
        </w:rPr>
        <w:t>’s corporate income tax allowance is $</w:t>
      </w:r>
      <w:r w:rsidR="00635AB0">
        <w:rPr>
          <w:rStyle w:val="AERbody"/>
        </w:rPr>
        <w:t>1.5</w:t>
      </w:r>
      <w:r w:rsidR="007D3F60" w:rsidRPr="002616BC">
        <w:rPr>
          <w:rStyle w:val="AERbody"/>
        </w:rPr>
        <w:t xml:space="preserve"> </w:t>
      </w:r>
      <w:r w:rsidRPr="002616BC">
        <w:rPr>
          <w:rStyle w:val="AERbody"/>
        </w:rPr>
        <w:t>million ($nominal), which is a reduction of $</w:t>
      </w:r>
      <w:r w:rsidR="00635AB0">
        <w:rPr>
          <w:rStyle w:val="AERbody"/>
        </w:rPr>
        <w:t>1.8</w:t>
      </w:r>
      <w:r w:rsidRPr="002616BC">
        <w:rPr>
          <w:rStyle w:val="AERbody"/>
        </w:rPr>
        <w:t xml:space="preserve"> million or</w:t>
      </w:r>
      <w:r w:rsidR="008325B2">
        <w:rPr>
          <w:rStyle w:val="AERbody"/>
        </w:rPr>
        <w:t xml:space="preserve"> </w:t>
      </w:r>
      <w:r w:rsidR="00635AB0">
        <w:rPr>
          <w:rStyle w:val="AERbody"/>
        </w:rPr>
        <w:t>53.8</w:t>
      </w:r>
      <w:r w:rsidR="008325B2">
        <w:rPr>
          <w:rStyle w:val="AERbody"/>
        </w:rPr>
        <w:t xml:space="preserve"> </w:t>
      </w:r>
      <w:r w:rsidRPr="002616BC">
        <w:rPr>
          <w:rStyle w:val="AERbody"/>
        </w:rPr>
        <w:t>per cent</w:t>
      </w:r>
      <w:r w:rsidRPr="00407443">
        <w:t xml:space="preserve"> of </w:t>
      </w:r>
      <w:r>
        <w:t>APTNT’</w:t>
      </w:r>
      <w:r w:rsidRPr="00407443">
        <w:t xml:space="preserve">s </w:t>
      </w:r>
      <w:r w:rsidR="0020349A">
        <w:t xml:space="preserve">revised </w:t>
      </w:r>
      <w:r w:rsidRPr="00407443">
        <w:t>proposal.</w:t>
      </w:r>
    </w:p>
    <w:p w:rsidR="0064579E" w:rsidRDefault="00831774" w:rsidP="000F0FA4">
      <w:r>
        <w:t>Consistent with our draft decision, w</w:t>
      </w:r>
      <w:r w:rsidR="000F0FA4" w:rsidRPr="00407443">
        <w:t xml:space="preserve">e accept </w:t>
      </w:r>
      <w:r w:rsidR="000F0FA4">
        <w:t>APTNT</w:t>
      </w:r>
      <w:r w:rsidR="000F0FA4" w:rsidRPr="00407443">
        <w:t xml:space="preserve">’s proposed </w:t>
      </w:r>
      <w:r w:rsidR="000F0FA4">
        <w:t>approach</w:t>
      </w:r>
      <w:r w:rsidR="000F0FA4" w:rsidRPr="00407443">
        <w:t xml:space="preserve"> for calculating the</w:t>
      </w:r>
      <w:r w:rsidR="000F0FA4">
        <w:t xml:space="preserve"> corporate income tax allowance.</w:t>
      </w:r>
      <w:r w:rsidR="0064579E">
        <w:t xml:space="preserve"> In accepting the approach</w:t>
      </w:r>
      <w:r w:rsidR="002764F6">
        <w:t>,</w:t>
      </w:r>
      <w:r w:rsidR="0064579E">
        <w:t xml:space="preserve"> we have updated several inputs </w:t>
      </w:r>
      <w:r w:rsidR="00282190">
        <w:t>to AP</w:t>
      </w:r>
      <w:r w:rsidR="0064579E">
        <w:t>TNT</w:t>
      </w:r>
      <w:r w:rsidR="00282190">
        <w:t>'s revised proposed PTRM</w:t>
      </w:r>
      <w:r w:rsidR="0064579E">
        <w:t xml:space="preserve"> for calculating the cost of corporate income tax for the 2016–21 access arrangement </w:t>
      </w:r>
      <w:proofErr w:type="gramStart"/>
      <w:r w:rsidR="0064579E">
        <w:t>period</w:t>
      </w:r>
      <w:proofErr w:type="gramEnd"/>
      <w:r w:rsidR="0064579E">
        <w:t>. These relate to:</w:t>
      </w:r>
    </w:p>
    <w:p w:rsidR="00831774" w:rsidRDefault="0064579E" w:rsidP="0064579E">
      <w:pPr>
        <w:pStyle w:val="AERbulletlistfirststyle"/>
      </w:pPr>
      <w:r>
        <w:t>Changing the value of gamma to 0.4 from 0.25 (attachment 4)</w:t>
      </w:r>
      <w:r w:rsidR="00282190">
        <w:t>.</w:t>
      </w:r>
    </w:p>
    <w:p w:rsidR="0064579E" w:rsidRDefault="0064579E" w:rsidP="0064579E">
      <w:pPr>
        <w:pStyle w:val="AERbulletlistfirststyle"/>
      </w:pPr>
      <w:r>
        <w:t>Changes to other building block components including the rate of return on capital (attachment 3)</w:t>
      </w:r>
      <w:r w:rsidR="003E2294">
        <w:t xml:space="preserve"> and</w:t>
      </w:r>
      <w:r>
        <w:t xml:space="preserve"> forecast capex (attachment 6) that impact total revenues and therefore also impact the forecast corporate income tax allowance.</w:t>
      </w:r>
      <w:r w:rsidR="00093164">
        <w:rPr>
          <w:rStyle w:val="FootnoteReference"/>
        </w:rPr>
        <w:footnoteReference w:id="5"/>
      </w:r>
    </w:p>
    <w:p w:rsidR="000F0FA4" w:rsidRPr="000F0FA4" w:rsidRDefault="000F0FA4" w:rsidP="000F0FA4">
      <w:pPr>
        <w:pStyle w:val="Heading3"/>
      </w:pPr>
      <w:bookmarkStart w:id="31" w:name="_Toc403463358"/>
      <w:bookmarkStart w:id="32" w:name="_Toc404182766"/>
      <w:bookmarkStart w:id="33" w:name="_Ref430792434"/>
      <w:bookmarkStart w:id="34" w:name="_Ref430866274"/>
      <w:bookmarkStart w:id="35" w:name="_Toc432605361"/>
      <w:bookmarkStart w:id="36" w:name="_Ref435434424"/>
      <w:bookmarkStart w:id="37" w:name="_Toc436043518"/>
      <w:bookmarkStart w:id="38" w:name="_Ref442777716"/>
      <w:bookmarkStart w:id="39" w:name="_Toc451530209"/>
      <w:r w:rsidRPr="00CA51E3">
        <w:t>Opening tax asset base as at 1 July 2016</w:t>
      </w:r>
      <w:bookmarkEnd w:id="31"/>
      <w:bookmarkEnd w:id="32"/>
      <w:bookmarkEnd w:id="33"/>
      <w:bookmarkEnd w:id="34"/>
      <w:bookmarkEnd w:id="35"/>
      <w:bookmarkEnd w:id="36"/>
      <w:bookmarkEnd w:id="37"/>
      <w:bookmarkEnd w:id="38"/>
      <w:bookmarkEnd w:id="39"/>
    </w:p>
    <w:p w:rsidR="00AB54A2" w:rsidRDefault="00031781" w:rsidP="00AB54A2">
      <w:pPr>
        <w:rPr>
          <w:rStyle w:val="AERbody"/>
        </w:rPr>
      </w:pPr>
      <w:r>
        <w:rPr>
          <w:rStyle w:val="AERbody"/>
        </w:rPr>
        <w:t>Consistent with the draft decision, w</w:t>
      </w:r>
      <w:r w:rsidR="00AB54A2">
        <w:rPr>
          <w:rStyle w:val="AERbody"/>
        </w:rPr>
        <w:t>e accept APTNT’s proposed method to roll forward the TAB. However, we do not approve the revised proposed opening TAB of $42.5</w:t>
      </w:r>
      <w:r w:rsidR="0030069F">
        <w:rPr>
          <w:rStyle w:val="AERbody"/>
        </w:rPr>
        <w:t> </w:t>
      </w:r>
      <w:r w:rsidR="00AB54A2">
        <w:rPr>
          <w:rStyle w:val="AERbody"/>
        </w:rPr>
        <w:t>million ($nominal) as at 1 July 2016. We instead determined an opening TAB of $</w:t>
      </w:r>
      <w:r w:rsidR="007D3F60">
        <w:rPr>
          <w:rStyle w:val="AERbody"/>
        </w:rPr>
        <w:t>40.2</w:t>
      </w:r>
      <w:r w:rsidR="0030069F">
        <w:rPr>
          <w:rStyle w:val="AERbody"/>
        </w:rPr>
        <w:t> </w:t>
      </w:r>
      <w:r w:rsidR="00AB54A2">
        <w:rPr>
          <w:rStyle w:val="AERbody"/>
        </w:rPr>
        <w:t>million ($nominal). This amendment is due to input change</w:t>
      </w:r>
      <w:r w:rsidR="00953CCC">
        <w:rPr>
          <w:rStyle w:val="AERbody"/>
        </w:rPr>
        <w:t>s</w:t>
      </w:r>
      <w:r w:rsidR="00AB54A2">
        <w:rPr>
          <w:rStyle w:val="AERbody"/>
        </w:rPr>
        <w:t xml:space="preserve"> we made to APTNT’s revised estimate of capex for 2015–16.</w:t>
      </w:r>
    </w:p>
    <w:p w:rsidR="00104177" w:rsidRDefault="00104177" w:rsidP="000F0FA4">
      <w:r>
        <w:t xml:space="preserve">In our draft decision, </w:t>
      </w:r>
      <w:r w:rsidR="00404CCD">
        <w:t>we accepted APTNT's proposed method to establish the opening TAB at 1 July 2016 because APTNT's approach is consistent with the AER's RFM for electricity service providers and the approach prev</w:t>
      </w:r>
      <w:r w:rsidR="0034100C">
        <w:t>i</w:t>
      </w:r>
      <w:r w:rsidR="00404CCD">
        <w:t>ously approved in other gas access arrangement decisions. However</w:t>
      </w:r>
      <w:r w:rsidR="004D4612">
        <w:t>,</w:t>
      </w:r>
      <w:r w:rsidR="00404CCD">
        <w:t xml:space="preserve"> we amended</w:t>
      </w:r>
      <w:r w:rsidR="0034100C">
        <w:t xml:space="preserve"> </w:t>
      </w:r>
      <w:r>
        <w:t xml:space="preserve">APTNTs </w:t>
      </w:r>
      <w:r w:rsidR="00404CCD">
        <w:t>proposed opening TAB for adjustments we made to</w:t>
      </w:r>
      <w:r w:rsidR="0034100C">
        <w:t xml:space="preserve"> </w:t>
      </w:r>
      <w:r w:rsidR="00404CCD">
        <w:t xml:space="preserve">conforming </w:t>
      </w:r>
      <w:r>
        <w:t>capex</w:t>
      </w:r>
      <w:r w:rsidR="00404CCD">
        <w:t xml:space="preserve"> for 2015–16 and the remaining tax asset lives</w:t>
      </w:r>
      <w:r>
        <w:t xml:space="preserve">. We noted that the capex inputs for 2015–16 </w:t>
      </w:r>
      <w:r w:rsidR="00AB54A2">
        <w:t>may</w:t>
      </w:r>
      <w:r>
        <w:t xml:space="preserve"> be updated in the revised proposal </w:t>
      </w:r>
      <w:r w:rsidR="00AB54A2">
        <w:t>based on more up to date information</w:t>
      </w:r>
      <w:r>
        <w:t>.</w:t>
      </w:r>
      <w:r w:rsidR="00F5523B">
        <w:t xml:space="preserve"> </w:t>
      </w:r>
    </w:p>
    <w:p w:rsidR="0034100C" w:rsidRDefault="0034100C" w:rsidP="000F0FA4">
      <w:r>
        <w:t xml:space="preserve">APTNT's revised proposal adopted our draft decision adjustments to roll forward the </w:t>
      </w:r>
      <w:r w:rsidR="001A452D">
        <w:t xml:space="preserve">opening </w:t>
      </w:r>
      <w:r>
        <w:t>TAB</w:t>
      </w:r>
      <w:r w:rsidR="001A452D">
        <w:t xml:space="preserve"> from 1 July 2011 to 30 June 2016</w:t>
      </w:r>
      <w:r>
        <w:t>. It also updated the values for the estimate of 2015–16 conforming capex.</w:t>
      </w:r>
      <w:r w:rsidR="00031781">
        <w:rPr>
          <w:rStyle w:val="FootnoteReference"/>
        </w:rPr>
        <w:footnoteReference w:id="6"/>
      </w:r>
    </w:p>
    <w:p w:rsidR="000F0FA4" w:rsidRDefault="004B0066" w:rsidP="000F0FA4">
      <w:r>
        <w:t xml:space="preserve">In our </w:t>
      </w:r>
      <w:r w:rsidR="0034100C">
        <w:t xml:space="preserve">final </w:t>
      </w:r>
      <w:r>
        <w:t xml:space="preserve">decision </w:t>
      </w:r>
      <w:r w:rsidR="0034100C">
        <w:t xml:space="preserve">we </w:t>
      </w:r>
      <w:r w:rsidR="000F0FA4">
        <w:t xml:space="preserve">have updated the 2015–16 estimate of </w:t>
      </w:r>
      <w:r w:rsidR="0034100C">
        <w:t xml:space="preserve">conforming </w:t>
      </w:r>
      <w:r w:rsidR="000F0FA4">
        <w:t xml:space="preserve">capex in the RFM to reflect our </w:t>
      </w:r>
      <w:r w:rsidR="001A452D">
        <w:t xml:space="preserve">final </w:t>
      </w:r>
      <w:r w:rsidR="000F0FA4">
        <w:t>decision on conforming capex in 2015–16.</w:t>
      </w:r>
      <w:r w:rsidR="000F0FA4" w:rsidRPr="002616BC">
        <w:t xml:space="preserve"> Our detailed assessment of</w:t>
      </w:r>
      <w:r w:rsidR="001A452D">
        <w:t xml:space="preserve"> </w:t>
      </w:r>
      <w:r w:rsidR="000F0FA4" w:rsidRPr="002616BC">
        <w:t xml:space="preserve">conforming capex is set out in </w:t>
      </w:r>
      <w:r w:rsidR="000F0FA4" w:rsidRPr="00286FBC">
        <w:t>attachment 6</w:t>
      </w:r>
      <w:r w:rsidR="000F0FA4" w:rsidRPr="002616BC">
        <w:t>.</w:t>
      </w:r>
    </w:p>
    <w:p w:rsidR="000F0FA4" w:rsidRPr="00896D81" w:rsidRDefault="000F0FA4" w:rsidP="000F0FA4">
      <w:r>
        <w:fldChar w:fldCharType="begin"/>
      </w:r>
      <w:r>
        <w:instrText xml:space="preserve"> REF _Ref398907505 \h  \* MERGEFORMAT </w:instrText>
      </w:r>
      <w:r>
        <w:fldChar w:fldCharType="separate"/>
      </w:r>
      <w:r w:rsidR="00363AB1" w:rsidRPr="00896D81">
        <w:t xml:space="preserve">Table </w:t>
      </w:r>
      <w:r w:rsidR="00363AB1">
        <w:t>8</w:t>
      </w:r>
      <w:r w:rsidR="00363AB1" w:rsidRPr="000F0FA4">
        <w:t>.</w:t>
      </w:r>
      <w:r w:rsidR="00363AB1">
        <w:t>4</w:t>
      </w:r>
      <w:r>
        <w:fldChar w:fldCharType="end"/>
      </w:r>
      <w:r>
        <w:t xml:space="preserve"> </w:t>
      </w:r>
      <w:r w:rsidRPr="00896D81">
        <w:t xml:space="preserve">sets out our </w:t>
      </w:r>
      <w:r w:rsidR="007C309F">
        <w:t>final</w:t>
      </w:r>
      <w:r w:rsidRPr="00896D81">
        <w:t xml:space="preserve"> decision on the roll forward of </w:t>
      </w:r>
      <w:r>
        <w:t>APTNT’</w:t>
      </w:r>
      <w:r w:rsidRPr="00896D81">
        <w:t xml:space="preserve">s </w:t>
      </w:r>
      <w:r>
        <w:t xml:space="preserve">TAB </w:t>
      </w:r>
      <w:r w:rsidRPr="00896D81">
        <w:t xml:space="preserve">values. </w:t>
      </w:r>
    </w:p>
    <w:p w:rsidR="000F0FA4" w:rsidRPr="000F0FA4" w:rsidRDefault="000F0FA4" w:rsidP="000F0FA4">
      <w:pPr>
        <w:pStyle w:val="Caption"/>
      </w:pPr>
      <w:bookmarkStart w:id="40" w:name="_Ref398907505"/>
      <w:proofErr w:type="gramStart"/>
      <w:r w:rsidRPr="00896D81">
        <w:t xml:space="preserve">Table </w:t>
      </w:r>
      <w:r w:rsidR="006437C6">
        <w:fldChar w:fldCharType="begin"/>
      </w:r>
      <w:r w:rsidR="006437C6">
        <w:instrText xml:space="preserve"> STYLEREF 1 \s </w:instrText>
      </w:r>
      <w:r w:rsidR="006437C6">
        <w:fldChar w:fldCharType="separate"/>
      </w:r>
      <w:r w:rsidR="00363AB1">
        <w:rPr>
          <w:noProof/>
        </w:rPr>
        <w:t>8</w:t>
      </w:r>
      <w:r w:rsidR="006437C6">
        <w:rPr>
          <w:noProof/>
        </w:rPr>
        <w:fldChar w:fldCharType="end"/>
      </w:r>
      <w:r w:rsidRPr="000F0FA4">
        <w:t>.</w:t>
      </w:r>
      <w:proofErr w:type="gramEnd"/>
      <w:r w:rsidR="006437C6">
        <w:fldChar w:fldCharType="begin"/>
      </w:r>
      <w:r w:rsidR="006437C6">
        <w:instrText xml:space="preserve"> SEQ Table \* ARABIC \s 1 </w:instrText>
      </w:r>
      <w:r w:rsidR="006437C6">
        <w:fldChar w:fldCharType="separate"/>
      </w:r>
      <w:r w:rsidR="00363AB1">
        <w:rPr>
          <w:noProof/>
        </w:rPr>
        <w:t>4</w:t>
      </w:r>
      <w:r w:rsidR="006437C6">
        <w:rPr>
          <w:noProof/>
        </w:rPr>
        <w:fldChar w:fldCharType="end"/>
      </w:r>
      <w:bookmarkEnd w:id="40"/>
      <w:r w:rsidRPr="000F0FA4">
        <w:tab/>
        <w:t xml:space="preserve">AER’s </w:t>
      </w:r>
      <w:r w:rsidR="007C309F">
        <w:t>final</w:t>
      </w:r>
      <w:r w:rsidRPr="000F0FA4">
        <w:t xml:space="preserve"> decision on APTNT's tax asset base roll forward for the 2011–16 access arrangement period ($million, nominal)</w:t>
      </w:r>
    </w:p>
    <w:tbl>
      <w:tblPr>
        <w:tblStyle w:val="AERtable-numbers"/>
        <w:tblW w:w="8722" w:type="dxa"/>
        <w:tblLook w:val="04A0" w:firstRow="1" w:lastRow="0" w:firstColumn="1" w:lastColumn="0" w:noHBand="0" w:noVBand="1"/>
      </w:tblPr>
      <w:tblGrid>
        <w:gridCol w:w="2438"/>
        <w:gridCol w:w="1256"/>
        <w:gridCol w:w="1257"/>
        <w:gridCol w:w="1257"/>
        <w:gridCol w:w="1257"/>
        <w:gridCol w:w="1257"/>
      </w:tblGrid>
      <w:tr w:rsidR="000F0FA4" w:rsidRPr="0035646D" w:rsidTr="0063145F">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438" w:type="dxa"/>
            <w:hideMark/>
          </w:tcPr>
          <w:p w:rsidR="000F0FA4" w:rsidRPr="000F0FA4" w:rsidRDefault="000F0FA4" w:rsidP="00035F6D"/>
        </w:tc>
        <w:tc>
          <w:tcPr>
            <w:tcW w:w="1256" w:type="dxa"/>
            <w:hideMark/>
          </w:tcPr>
          <w:p w:rsidR="000F0FA4" w:rsidRPr="000F0FA4" w:rsidRDefault="000F0FA4" w:rsidP="00035F6D">
            <w:pPr>
              <w:cnfStyle w:val="100000000000" w:firstRow="1" w:lastRow="0" w:firstColumn="0" w:lastColumn="0" w:oddVBand="0" w:evenVBand="0" w:oddHBand="0" w:evenHBand="0" w:firstRowFirstColumn="0" w:firstRowLastColumn="0" w:lastRowFirstColumn="0" w:lastRowLastColumn="0"/>
            </w:pPr>
            <w:r w:rsidRPr="000F0FA4">
              <w:t>2011–12</w:t>
            </w:r>
          </w:p>
        </w:tc>
        <w:tc>
          <w:tcPr>
            <w:tcW w:w="1257" w:type="dxa"/>
            <w:hideMark/>
          </w:tcPr>
          <w:p w:rsidR="000F0FA4" w:rsidRPr="000F0FA4" w:rsidRDefault="000F0FA4" w:rsidP="00035F6D">
            <w:pPr>
              <w:cnfStyle w:val="100000000000" w:firstRow="1" w:lastRow="0" w:firstColumn="0" w:lastColumn="0" w:oddVBand="0" w:evenVBand="0" w:oddHBand="0" w:evenHBand="0" w:firstRowFirstColumn="0" w:firstRowLastColumn="0" w:lastRowFirstColumn="0" w:lastRowLastColumn="0"/>
            </w:pPr>
            <w:r w:rsidRPr="000F0FA4">
              <w:t>2012–13</w:t>
            </w:r>
          </w:p>
        </w:tc>
        <w:tc>
          <w:tcPr>
            <w:tcW w:w="1257" w:type="dxa"/>
            <w:hideMark/>
          </w:tcPr>
          <w:p w:rsidR="000F0FA4" w:rsidRPr="000F0FA4" w:rsidRDefault="000F0FA4" w:rsidP="00035F6D">
            <w:pPr>
              <w:cnfStyle w:val="100000000000" w:firstRow="1" w:lastRow="0" w:firstColumn="0" w:lastColumn="0" w:oddVBand="0" w:evenVBand="0" w:oddHBand="0" w:evenHBand="0" w:firstRowFirstColumn="0" w:firstRowLastColumn="0" w:lastRowFirstColumn="0" w:lastRowLastColumn="0"/>
            </w:pPr>
            <w:r w:rsidRPr="000F0FA4">
              <w:t>2013–14</w:t>
            </w:r>
          </w:p>
        </w:tc>
        <w:tc>
          <w:tcPr>
            <w:tcW w:w="1257" w:type="dxa"/>
            <w:hideMark/>
          </w:tcPr>
          <w:p w:rsidR="000F0FA4" w:rsidRPr="000F0FA4" w:rsidRDefault="000F0FA4" w:rsidP="00035F6D">
            <w:pPr>
              <w:cnfStyle w:val="100000000000" w:firstRow="1" w:lastRow="0" w:firstColumn="0" w:lastColumn="0" w:oddVBand="0" w:evenVBand="0" w:oddHBand="0" w:evenHBand="0" w:firstRowFirstColumn="0" w:firstRowLastColumn="0" w:lastRowFirstColumn="0" w:lastRowLastColumn="0"/>
            </w:pPr>
            <w:r w:rsidRPr="000F0FA4">
              <w:t>2014–15</w:t>
            </w:r>
          </w:p>
        </w:tc>
        <w:tc>
          <w:tcPr>
            <w:tcW w:w="1257" w:type="dxa"/>
            <w:hideMark/>
          </w:tcPr>
          <w:p w:rsidR="000F0FA4" w:rsidRPr="000F0FA4" w:rsidRDefault="000F0FA4" w:rsidP="00035F6D">
            <w:pPr>
              <w:cnfStyle w:val="100000000000" w:firstRow="1" w:lastRow="0" w:firstColumn="0" w:lastColumn="0" w:oddVBand="0" w:evenVBand="0" w:oddHBand="0" w:evenHBand="0" w:firstRowFirstColumn="0" w:firstRowLastColumn="0" w:lastRowFirstColumn="0" w:lastRowLastColumn="0"/>
            </w:pPr>
            <w:r w:rsidRPr="000F0FA4">
              <w:t>2015–16</w:t>
            </w:r>
          </w:p>
        </w:tc>
      </w:tr>
      <w:tr w:rsidR="000F0FA4" w:rsidRPr="0035646D" w:rsidTr="0063145F">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F0FA4" w:rsidRPr="000F0FA4" w:rsidRDefault="000F0FA4" w:rsidP="00035F6D">
            <w:r w:rsidRPr="000F0FA4">
              <w:t>Opening tax asset base</w:t>
            </w:r>
          </w:p>
        </w:tc>
        <w:tc>
          <w:tcPr>
            <w:tcW w:w="1256"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9.3</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11.8</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26.0</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27.9</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30.0</w:t>
            </w:r>
          </w:p>
        </w:tc>
      </w:tr>
      <w:tr w:rsidR="000F0FA4" w:rsidRPr="0035646D" w:rsidTr="0063145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F0FA4" w:rsidRPr="000F0FA4" w:rsidRDefault="000F0FA4" w:rsidP="00035F6D">
            <w:r w:rsidRPr="000F0FA4">
              <w:t>Capex</w:t>
            </w:r>
          </w:p>
        </w:tc>
        <w:tc>
          <w:tcPr>
            <w:tcW w:w="1256"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4.1</w:t>
            </w:r>
          </w:p>
        </w:tc>
        <w:tc>
          <w:tcPr>
            <w:tcW w:w="1257"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15.8</w:t>
            </w:r>
          </w:p>
        </w:tc>
        <w:tc>
          <w:tcPr>
            <w:tcW w:w="1257"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3.8</w:t>
            </w:r>
          </w:p>
        </w:tc>
        <w:tc>
          <w:tcPr>
            <w:tcW w:w="1257"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4.0</w:t>
            </w:r>
          </w:p>
        </w:tc>
        <w:tc>
          <w:tcPr>
            <w:tcW w:w="1257" w:type="dxa"/>
          </w:tcPr>
          <w:p w:rsidR="000F0FA4" w:rsidRPr="000F0FA4" w:rsidRDefault="008B0488" w:rsidP="008B0488">
            <w:pPr>
              <w:cnfStyle w:val="000000010000" w:firstRow="0" w:lastRow="0" w:firstColumn="0" w:lastColumn="0" w:oddVBand="0" w:evenVBand="0" w:oddHBand="0" w:evenHBand="1" w:firstRowFirstColumn="0" w:firstRowLastColumn="0" w:lastRowFirstColumn="0" w:lastRowLastColumn="0"/>
            </w:pPr>
            <w:r>
              <w:t>12.6</w:t>
            </w:r>
          </w:p>
        </w:tc>
      </w:tr>
      <w:tr w:rsidR="000F0FA4" w:rsidRPr="0035646D" w:rsidTr="0063145F">
        <w:trPr>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F0FA4" w:rsidRPr="000F0FA4" w:rsidRDefault="000F0FA4" w:rsidP="00035F6D">
            <w:r w:rsidRPr="000F0FA4">
              <w:t>Tax depreciation</w:t>
            </w:r>
          </w:p>
        </w:tc>
        <w:tc>
          <w:tcPr>
            <w:tcW w:w="1256"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–1.6</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–1.5</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–1.9</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–2.0</w:t>
            </w:r>
          </w:p>
        </w:tc>
        <w:tc>
          <w:tcPr>
            <w:tcW w:w="1257" w:type="dxa"/>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–2.3</w:t>
            </w:r>
          </w:p>
        </w:tc>
      </w:tr>
      <w:tr w:rsidR="000F0FA4" w:rsidRPr="0035646D" w:rsidTr="0063145F">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438" w:type="dxa"/>
            <w:hideMark/>
          </w:tcPr>
          <w:p w:rsidR="000F0FA4" w:rsidRPr="000F0FA4" w:rsidRDefault="000F0FA4" w:rsidP="00035F6D">
            <w:r w:rsidRPr="000F0FA4">
              <w:t>Closing tax asset base</w:t>
            </w:r>
          </w:p>
        </w:tc>
        <w:tc>
          <w:tcPr>
            <w:tcW w:w="1256"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11.8</w:t>
            </w:r>
          </w:p>
        </w:tc>
        <w:tc>
          <w:tcPr>
            <w:tcW w:w="1257"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26.0</w:t>
            </w:r>
          </w:p>
        </w:tc>
        <w:tc>
          <w:tcPr>
            <w:tcW w:w="1257"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27.9</w:t>
            </w:r>
          </w:p>
        </w:tc>
        <w:tc>
          <w:tcPr>
            <w:tcW w:w="1257" w:type="dxa"/>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30.0</w:t>
            </w:r>
          </w:p>
        </w:tc>
        <w:tc>
          <w:tcPr>
            <w:tcW w:w="1257" w:type="dxa"/>
          </w:tcPr>
          <w:p w:rsidR="000F0FA4" w:rsidRPr="000F0FA4" w:rsidRDefault="008B0488" w:rsidP="008B0488">
            <w:pPr>
              <w:cnfStyle w:val="000000010000" w:firstRow="0" w:lastRow="0" w:firstColumn="0" w:lastColumn="0" w:oddVBand="0" w:evenVBand="0" w:oddHBand="0" w:evenHBand="1" w:firstRowFirstColumn="0" w:firstRowLastColumn="0" w:lastRowFirstColumn="0" w:lastRowLastColumn="0"/>
            </w:pPr>
            <w:r>
              <w:t>40.2</w:t>
            </w:r>
          </w:p>
        </w:tc>
      </w:tr>
    </w:tbl>
    <w:p w:rsidR="000F0FA4" w:rsidRPr="00896D81" w:rsidRDefault="000F0FA4" w:rsidP="000F0FA4">
      <w:pPr>
        <w:pStyle w:val="AERtablesource"/>
      </w:pPr>
      <w:r w:rsidRPr="00896D81">
        <w:t xml:space="preserve">Source: </w:t>
      </w:r>
      <w:r w:rsidRPr="00896D81">
        <w:tab/>
      </w:r>
      <w:r>
        <w:t>AER analysis</w:t>
      </w:r>
      <w:r w:rsidRPr="00896D81">
        <w:t>.</w:t>
      </w:r>
    </w:p>
    <w:p w:rsidR="000F0FA4" w:rsidRPr="005365BE" w:rsidRDefault="004D4612" w:rsidP="001C2BA5">
      <w:pPr>
        <w:pStyle w:val="Heading3"/>
      </w:pPr>
      <w:r>
        <w:t xml:space="preserve"> </w:t>
      </w:r>
      <w:bookmarkStart w:id="41" w:name="_Toc451530210"/>
      <w:r w:rsidR="000F0FA4">
        <w:t>Standard tax asset lives</w:t>
      </w:r>
      <w:bookmarkEnd w:id="41"/>
    </w:p>
    <w:p w:rsidR="000F0FA4" w:rsidRDefault="00781AA6" w:rsidP="000F0FA4">
      <w:r>
        <w:t>Consistent with our draft decision, w</w:t>
      </w:r>
      <w:r w:rsidR="000F0FA4">
        <w:t>e</w:t>
      </w:r>
      <w:r w:rsidR="000F0FA4" w:rsidRPr="00AB1F30">
        <w:t xml:space="preserve"> approv</w:t>
      </w:r>
      <w:r w:rsidR="000F0FA4">
        <w:t>e</w:t>
      </w:r>
      <w:r w:rsidR="000F0FA4" w:rsidRPr="00AB1F30">
        <w:t xml:space="preserve"> </w:t>
      </w:r>
      <w:r w:rsidR="000F0FA4">
        <w:t>APTNT’s</w:t>
      </w:r>
      <w:r w:rsidR="000F0FA4" w:rsidRPr="00AB1F30">
        <w:t xml:space="preserve"> propos</w:t>
      </w:r>
      <w:r w:rsidR="000F0FA4">
        <w:t xml:space="preserve">ed standard tax asset lives assigned to each of its asset classes for </w:t>
      </w:r>
      <w:r w:rsidR="000F0FA4" w:rsidRPr="00AB1F30">
        <w:t xml:space="preserve">the </w:t>
      </w:r>
      <w:r w:rsidR="000F0FA4" w:rsidRPr="00B077E0">
        <w:rPr>
          <w:rStyle w:val="AERbody"/>
        </w:rPr>
        <w:t>201</w:t>
      </w:r>
      <w:r w:rsidR="000F0FA4">
        <w:rPr>
          <w:rStyle w:val="AERbody"/>
        </w:rPr>
        <w:t>6</w:t>
      </w:r>
      <w:r w:rsidR="000F0FA4" w:rsidRPr="00B077E0">
        <w:rPr>
          <w:rStyle w:val="AERbody"/>
        </w:rPr>
        <w:t>–</w:t>
      </w:r>
      <w:r w:rsidR="000F0FA4">
        <w:rPr>
          <w:rStyle w:val="AERbody"/>
        </w:rPr>
        <w:t xml:space="preserve">21 </w:t>
      </w:r>
      <w:r w:rsidR="000F0FA4" w:rsidRPr="00AB1F30">
        <w:t xml:space="preserve">access arrangement period. This is because they are consistent with </w:t>
      </w:r>
      <w:r w:rsidR="000F0FA4">
        <w:t xml:space="preserve">the statutory cap on the effective life of gas transmission assets under the </w:t>
      </w:r>
      <w:r w:rsidR="000F0FA4" w:rsidRPr="006555A7">
        <w:rPr>
          <w:rStyle w:val="AERtextitalic"/>
        </w:rPr>
        <w:t xml:space="preserve">Income Tax Assessment Act </w:t>
      </w:r>
      <w:r w:rsidR="000F0FA4" w:rsidRPr="003124D9">
        <w:rPr>
          <w:rStyle w:val="AERtextitalic"/>
        </w:rPr>
        <w:t>(ITAA)</w:t>
      </w:r>
      <w:r w:rsidR="000F0FA4" w:rsidRPr="006555A7">
        <w:rPr>
          <w:rStyle w:val="AERtextitalic"/>
        </w:rPr>
        <w:t xml:space="preserve"> </w:t>
      </w:r>
      <w:r w:rsidR="000F0FA4" w:rsidRPr="006555A7">
        <w:t>1997</w:t>
      </w:r>
      <w:r w:rsidR="000F0FA4">
        <w:t xml:space="preserve">, and with the standard tax asset lives </w:t>
      </w:r>
      <w:r w:rsidR="000F0FA4" w:rsidRPr="006555A7">
        <w:t xml:space="preserve">prescribed </w:t>
      </w:r>
      <w:r w:rsidR="000F0FA4">
        <w:t>in the Tax Ruling 2015</w:t>
      </w:r>
      <w:r w:rsidR="000F0FA4" w:rsidRPr="006555A7">
        <w:t>/2</w:t>
      </w:r>
      <w:r w:rsidR="000F0FA4">
        <w:t>.</w:t>
      </w:r>
      <w:r w:rsidR="000F0FA4" w:rsidRPr="0019550D">
        <w:rPr>
          <w:rStyle w:val="FootnoteReference"/>
        </w:rPr>
        <w:footnoteReference w:id="7"/>
      </w:r>
      <w:r w:rsidR="000F0FA4">
        <w:t xml:space="preserve"> The proposed standard tax asset lives are also consistent with </w:t>
      </w:r>
      <w:r w:rsidR="000F0FA4" w:rsidRPr="00F40DA8">
        <w:t xml:space="preserve">the approved standard tax asset lives in the </w:t>
      </w:r>
      <w:r w:rsidR="000F0FA4" w:rsidRPr="00B077E0">
        <w:t>20</w:t>
      </w:r>
      <w:r w:rsidR="000F0FA4">
        <w:t>11</w:t>
      </w:r>
      <w:r w:rsidR="000F0FA4" w:rsidRPr="00B077E0">
        <w:t>–1</w:t>
      </w:r>
      <w:r w:rsidR="000F0FA4">
        <w:t>6</w:t>
      </w:r>
      <w:r w:rsidR="000F0FA4" w:rsidRPr="00B077E0">
        <w:t xml:space="preserve"> </w:t>
      </w:r>
      <w:r w:rsidR="000F0FA4" w:rsidRPr="00F40DA8">
        <w:t>access arrangement.</w:t>
      </w:r>
      <w:r w:rsidR="000F0FA4">
        <w:rPr>
          <w:rStyle w:val="FootnoteReference"/>
        </w:rPr>
        <w:footnoteReference w:id="8"/>
      </w:r>
      <w:r w:rsidR="000F0FA4" w:rsidRPr="00F40DA8">
        <w:t xml:space="preserve"> </w:t>
      </w:r>
    </w:p>
    <w:p w:rsidR="00BE21F7" w:rsidRDefault="001A3656" w:rsidP="00BE21F7">
      <w:pPr>
        <w:spacing w:line="240" w:lineRule="auto"/>
      </w:pPr>
      <w:r>
        <w:t xml:space="preserve">In our draft decision, we decided to create a ‘Land and easement’ asset class for APTNT’s forecast land capex in the 2016–21 access arrangement </w:t>
      </w:r>
      <w:proofErr w:type="gramStart"/>
      <w:r>
        <w:t>period</w:t>
      </w:r>
      <w:proofErr w:type="gramEnd"/>
      <w:r>
        <w:t>.</w:t>
      </w:r>
      <w:r w:rsidR="00F32FD3">
        <w:rPr>
          <w:rStyle w:val="FootnoteReference"/>
        </w:rPr>
        <w:footnoteReference w:id="9"/>
      </w:r>
      <w:r>
        <w:t xml:space="preserve"> We did not apply a standard tax asset life to this new asset class for tax depreciation purposes (“n/a” is assigned for tax depreciation modelling purposes in the PTRM). This is because land and easement are non-depreciating assets, and therefore should not have a standard tax asset life for tax depreciation purposes. This approach is consistent with Australian accounting standards and ATO’s treatment for such assets.</w:t>
      </w:r>
      <w:r w:rsidRPr="008C43A1">
        <w:rPr>
          <w:rStyle w:val="FootnoteReference"/>
        </w:rPr>
        <w:footnoteReference w:id="10"/>
      </w:r>
      <w:r>
        <w:t xml:space="preserve"> APTNT's revised proposal adopted our draft decision on th</w:t>
      </w:r>
      <w:r w:rsidR="006306CA">
        <w:t>e</w:t>
      </w:r>
      <w:r>
        <w:t xml:space="preserve"> 'Land and easement' asset class.</w:t>
      </w:r>
      <w:r>
        <w:rPr>
          <w:rStyle w:val="FootnoteReference"/>
        </w:rPr>
        <w:footnoteReference w:id="11"/>
      </w:r>
      <w:bookmarkStart w:id="42" w:name="_Ref435434428"/>
    </w:p>
    <w:p w:rsidR="00BE21F7" w:rsidRDefault="00BE21F7" w:rsidP="00BE21F7">
      <w:pPr>
        <w:spacing w:line="240" w:lineRule="auto"/>
      </w:pPr>
      <w:r>
        <w:fldChar w:fldCharType="begin"/>
      </w:r>
      <w:r>
        <w:instrText xml:space="preserve"> REF _Ref445461552 \h </w:instrText>
      </w:r>
      <w:r>
        <w:fldChar w:fldCharType="separate"/>
      </w:r>
      <w:r w:rsidR="00363AB1" w:rsidRPr="00896D81">
        <w:t xml:space="preserve">Table </w:t>
      </w:r>
      <w:r w:rsidR="00363AB1">
        <w:rPr>
          <w:noProof/>
        </w:rPr>
        <w:t>8</w:t>
      </w:r>
      <w:r w:rsidR="00363AB1" w:rsidRPr="000F0FA4">
        <w:t>.</w:t>
      </w:r>
      <w:r w:rsidR="00363AB1">
        <w:rPr>
          <w:noProof/>
        </w:rPr>
        <w:t>5</w:t>
      </w:r>
      <w:r>
        <w:fldChar w:fldCharType="end"/>
      </w:r>
      <w:r>
        <w:t xml:space="preserve"> </w:t>
      </w:r>
      <w:r w:rsidRPr="00BE21F7">
        <w:t>sets out our final decision on the standard tax asset lives for APTNT.</w:t>
      </w:r>
    </w:p>
    <w:p w:rsidR="000F0FA4" w:rsidRDefault="00BE21F7" w:rsidP="00BE21F7">
      <w:pPr>
        <w:pStyle w:val="Heading3"/>
      </w:pPr>
      <w:r>
        <w:t xml:space="preserve"> </w:t>
      </w:r>
      <w:bookmarkStart w:id="43" w:name="_Toc451530211"/>
      <w:r w:rsidR="00781AA6">
        <w:t>Remaining tax ass</w:t>
      </w:r>
      <w:r w:rsidR="000F0FA4">
        <w:t>et lives as at 1 July 2016</w:t>
      </w:r>
      <w:bookmarkEnd w:id="42"/>
      <w:bookmarkEnd w:id="43"/>
    </w:p>
    <w:p w:rsidR="00F32FD3" w:rsidRPr="009752B2" w:rsidRDefault="00F32FD3" w:rsidP="00F32FD3">
      <w:r>
        <w:t>Consistent with our draft decision, w</w:t>
      </w:r>
      <w:r w:rsidRPr="009752B2">
        <w:t xml:space="preserve">e accept </w:t>
      </w:r>
      <w:r>
        <w:t>APTNT's</w:t>
      </w:r>
      <w:r w:rsidRPr="009752B2">
        <w:t xml:space="preserve"> </w:t>
      </w:r>
      <w:r>
        <w:t xml:space="preserve">proposed weighted average method to calculate </w:t>
      </w:r>
      <w:r w:rsidRPr="009752B2">
        <w:t>remaining tax asset lives at 1 July 201</w:t>
      </w:r>
      <w:r>
        <w:t>6.</w:t>
      </w:r>
      <w:r w:rsidR="00250F07">
        <w:t xml:space="preserve"> I</w:t>
      </w:r>
      <w:r w:rsidR="00250F07" w:rsidRPr="004F0BC3">
        <w:t xml:space="preserve">n accepting the weighted average method, we have updated </w:t>
      </w:r>
      <w:r w:rsidR="00250F07">
        <w:t>APTNT</w:t>
      </w:r>
      <w:r w:rsidR="00250F07" w:rsidRPr="004F0BC3">
        <w:t>’s remaining tax asset lives as at 1 July 201</w:t>
      </w:r>
      <w:r w:rsidR="00250F07">
        <w:t>6 for this final decision.</w:t>
      </w:r>
    </w:p>
    <w:p w:rsidR="00781AA6" w:rsidRDefault="00781AA6" w:rsidP="005649EF">
      <w:r>
        <w:t>In our draft decision</w:t>
      </w:r>
      <w:r w:rsidR="00F32FD3">
        <w:t>,</w:t>
      </w:r>
      <w:r>
        <w:t xml:space="preserve"> </w:t>
      </w:r>
      <w:r w:rsidR="00F32FD3" w:rsidRPr="009752B2" w:rsidDel="00E31E5A">
        <w:t xml:space="preserve">we accepted </w:t>
      </w:r>
      <w:r w:rsidR="00EC0F87">
        <w:t>APTNT</w:t>
      </w:r>
      <w:r w:rsidR="00F32FD3">
        <w:t>'</w:t>
      </w:r>
      <w:r w:rsidR="00F32FD3" w:rsidRPr="009752B2" w:rsidDel="00E31E5A">
        <w:t xml:space="preserve">s proposed </w:t>
      </w:r>
      <w:r w:rsidR="00F32FD3" w:rsidRPr="009752B2">
        <w:t>weighted average</w:t>
      </w:r>
      <w:r w:rsidR="00F32FD3" w:rsidRPr="009752B2" w:rsidDel="00E31E5A">
        <w:t xml:space="preserve"> method for calculating the re</w:t>
      </w:r>
      <w:r w:rsidR="00F32FD3" w:rsidRPr="009752B2">
        <w:t>maining tax asset lives at 1 July 201</w:t>
      </w:r>
      <w:r w:rsidR="00F32FD3">
        <w:t>6</w:t>
      </w:r>
      <w:r w:rsidR="00B0661D">
        <w:t xml:space="preserve"> which </w:t>
      </w:r>
      <w:r w:rsidR="00F32FD3">
        <w:t>is consistent with our preferred approach</w:t>
      </w:r>
      <w:r w:rsidR="00F32FD3" w:rsidDel="00E31E5A">
        <w:t xml:space="preserve">. </w:t>
      </w:r>
      <w:r w:rsidR="00F32FD3">
        <w:t>W</w:t>
      </w:r>
      <w:r>
        <w:t>e updated APTNT's remaining tax asset lives as at 1 July 2016 to reflect our amendments to the remaining tax asset lives inputs as at 1 July 2011</w:t>
      </w:r>
      <w:r w:rsidR="00E75D62">
        <w:t xml:space="preserve"> and to the</w:t>
      </w:r>
      <w:r w:rsidR="00B0661D">
        <w:t xml:space="preserve"> opening tax asset values</w:t>
      </w:r>
      <w:r>
        <w:t xml:space="preserve"> in the </w:t>
      </w:r>
      <w:r w:rsidR="004D4612">
        <w:t xml:space="preserve">proposed </w:t>
      </w:r>
      <w:r>
        <w:t>R</w:t>
      </w:r>
      <w:r w:rsidR="000101F6">
        <w:t>F</w:t>
      </w:r>
      <w:r>
        <w:t xml:space="preserve">M. APTNT adopted these </w:t>
      </w:r>
      <w:r w:rsidR="001A600C">
        <w:t>amendments</w:t>
      </w:r>
      <w:r w:rsidR="000101F6">
        <w:t xml:space="preserve"> </w:t>
      </w:r>
      <w:r>
        <w:t>in its revised proposal.</w:t>
      </w:r>
      <w:r w:rsidR="00F32FD3">
        <w:rPr>
          <w:rStyle w:val="FootnoteReference"/>
        </w:rPr>
        <w:footnoteReference w:id="12"/>
      </w:r>
    </w:p>
    <w:p w:rsidR="00F32FD3" w:rsidRDefault="00F32FD3" w:rsidP="00F32FD3">
      <w:r>
        <w:t>W</w:t>
      </w:r>
      <w:r w:rsidRPr="00574329">
        <w:t>e</w:t>
      </w:r>
      <w:r w:rsidR="000101F6">
        <w:t xml:space="preserve"> also</w:t>
      </w:r>
      <w:r w:rsidRPr="00574329">
        <w:t xml:space="preserve"> noted</w:t>
      </w:r>
      <w:r w:rsidR="000101F6">
        <w:t xml:space="preserve"> in our draft decision</w:t>
      </w:r>
      <w:r w:rsidRPr="00574329">
        <w:t xml:space="preserve"> that the remaining </w:t>
      </w:r>
      <w:r>
        <w:t xml:space="preserve">tax </w:t>
      </w:r>
      <w:r w:rsidRPr="00574329">
        <w:t xml:space="preserve">asset lives </w:t>
      </w:r>
      <w:r w:rsidR="000101F6">
        <w:t xml:space="preserve">may </w:t>
      </w:r>
      <w:r w:rsidRPr="00574329">
        <w:t xml:space="preserve">be </w:t>
      </w:r>
      <w:r>
        <w:t>recalculated</w:t>
      </w:r>
      <w:r w:rsidRPr="00574329">
        <w:t xml:space="preserve"> for the final decision because </w:t>
      </w:r>
      <w:r>
        <w:t xml:space="preserve">of updates to </w:t>
      </w:r>
      <w:r w:rsidR="00EC0F87">
        <w:t>APTNT</w:t>
      </w:r>
      <w:r>
        <w:t>'s</w:t>
      </w:r>
      <w:r w:rsidRPr="00574329">
        <w:t xml:space="preserve"> 201</w:t>
      </w:r>
      <w:r w:rsidR="000101F6">
        <w:t>5</w:t>
      </w:r>
      <w:r w:rsidRPr="00574329">
        <w:t>–1</w:t>
      </w:r>
      <w:r w:rsidR="000101F6">
        <w:t>6</w:t>
      </w:r>
      <w:r w:rsidRPr="00574329">
        <w:t xml:space="preserve"> capex</w:t>
      </w:r>
      <w:r>
        <w:t xml:space="preserve"> </w:t>
      </w:r>
      <w:r w:rsidR="000101F6">
        <w:t xml:space="preserve">estimates </w:t>
      </w:r>
      <w:r>
        <w:t>in the TAB roll forward</w:t>
      </w:r>
      <w:r w:rsidRPr="00574329">
        <w:t xml:space="preserve">. </w:t>
      </w:r>
      <w:r>
        <w:t>The 201</w:t>
      </w:r>
      <w:r w:rsidR="000101F6">
        <w:t>5</w:t>
      </w:r>
      <w:r>
        <w:t>–1</w:t>
      </w:r>
      <w:r w:rsidR="000101F6">
        <w:t>6</w:t>
      </w:r>
      <w:r>
        <w:t xml:space="preserve"> </w:t>
      </w:r>
      <w:r w:rsidRPr="009752B2">
        <w:t xml:space="preserve">capex </w:t>
      </w:r>
      <w:r>
        <w:t>values are inputs</w:t>
      </w:r>
      <w:r w:rsidRPr="009752B2">
        <w:t xml:space="preserve"> </w:t>
      </w:r>
      <w:r>
        <w:t xml:space="preserve">used to </w:t>
      </w:r>
      <w:r w:rsidRPr="009752B2">
        <w:t>calculat</w:t>
      </w:r>
      <w:r>
        <w:t xml:space="preserve">e </w:t>
      </w:r>
      <w:r w:rsidRPr="009752B2">
        <w:t xml:space="preserve">the </w:t>
      </w:r>
      <w:r>
        <w:t xml:space="preserve">weighted average </w:t>
      </w:r>
      <w:r w:rsidRPr="009752B2">
        <w:t>remaining tax asset lives</w:t>
      </w:r>
      <w:r w:rsidRPr="009752B2" w:rsidDel="00E31E5A">
        <w:t>.</w:t>
      </w:r>
      <w:r w:rsidRPr="009752B2">
        <w:rPr>
          <w:rStyle w:val="FootnoteReference"/>
        </w:rPr>
        <w:footnoteReference w:id="13"/>
      </w:r>
      <w:r>
        <w:t xml:space="preserve"> </w:t>
      </w:r>
      <w:r w:rsidR="000101F6">
        <w:t>Based on the revisions for 2015</w:t>
      </w:r>
      <w:r>
        <w:t>–1</w:t>
      </w:r>
      <w:r w:rsidR="000101F6">
        <w:t>6</w:t>
      </w:r>
      <w:r>
        <w:t xml:space="preserve"> capex</w:t>
      </w:r>
      <w:r w:rsidRPr="00E029D1">
        <w:t xml:space="preserve"> in the </w:t>
      </w:r>
      <w:r>
        <w:t xml:space="preserve">TAB </w:t>
      </w:r>
      <w:r w:rsidRPr="00E029D1">
        <w:t>roll forward as discussed in</w:t>
      </w:r>
      <w:r w:rsidR="000101F6">
        <w:t xml:space="preserve"> section</w:t>
      </w:r>
      <w:r>
        <w:t xml:space="preserve"> </w:t>
      </w:r>
      <w:r w:rsidR="000101F6">
        <w:fldChar w:fldCharType="begin"/>
      </w:r>
      <w:r w:rsidR="000101F6">
        <w:instrText xml:space="preserve"> REF _Ref442777716 \r \h </w:instrText>
      </w:r>
      <w:r w:rsidR="000101F6">
        <w:fldChar w:fldCharType="separate"/>
      </w:r>
      <w:r w:rsidR="00363AB1">
        <w:t>8.4.1</w:t>
      </w:r>
      <w:r w:rsidR="000101F6">
        <w:fldChar w:fldCharType="end"/>
      </w:r>
      <w:r>
        <w:t>,</w:t>
      </w:r>
      <w:r w:rsidRPr="006B1299">
        <w:t xml:space="preserve"> </w:t>
      </w:r>
      <w:r>
        <w:t xml:space="preserve">we have </w:t>
      </w:r>
      <w:r w:rsidRPr="00E029D1">
        <w:t xml:space="preserve">updated </w:t>
      </w:r>
      <w:r w:rsidR="000101F6">
        <w:t>APTNT</w:t>
      </w:r>
      <w:r w:rsidRPr="00E029D1">
        <w:t>'s remaining</w:t>
      </w:r>
      <w:r>
        <w:t xml:space="preserve"> tax</w:t>
      </w:r>
      <w:r w:rsidRPr="00E029D1">
        <w:t xml:space="preserve"> asset lives</w:t>
      </w:r>
      <w:r>
        <w:t xml:space="preserve"> at 1 July 201</w:t>
      </w:r>
      <w:r w:rsidR="000101F6">
        <w:t>6</w:t>
      </w:r>
      <w:r>
        <w:t xml:space="preserve"> for this final decision</w:t>
      </w:r>
      <w:r w:rsidRPr="00E029D1">
        <w:t>.</w:t>
      </w:r>
    </w:p>
    <w:p w:rsidR="007B1F57" w:rsidRPr="007B1F57" w:rsidRDefault="000F0FA4">
      <w:pPr>
        <w:spacing w:line="240" w:lineRule="auto"/>
      </w:pPr>
      <w:r>
        <w:t xml:space="preserve">Our </w:t>
      </w:r>
      <w:r w:rsidR="005649EF">
        <w:t>final</w:t>
      </w:r>
      <w:r>
        <w:t xml:space="preserve"> decision on </w:t>
      </w:r>
      <w:r w:rsidRPr="000F0FA4">
        <w:t xml:space="preserve">APTNT’s </w:t>
      </w:r>
      <w:r w:rsidR="005649EF">
        <w:t xml:space="preserve">remaining tax asset lives </w:t>
      </w:r>
      <w:r w:rsidRPr="000F0FA4">
        <w:t xml:space="preserve">for each of its asset classes for the </w:t>
      </w:r>
      <w:r w:rsidRPr="000F0FA4">
        <w:rPr>
          <w:rStyle w:val="AERbody"/>
        </w:rPr>
        <w:t xml:space="preserve">2016–21 </w:t>
      </w:r>
      <w:r w:rsidRPr="000F0FA4">
        <w:t>access arrangement period is set out in</w:t>
      </w:r>
      <w:r w:rsidR="00BE21F7">
        <w:t xml:space="preserve"> </w:t>
      </w:r>
      <w:r w:rsidR="00BE21F7">
        <w:fldChar w:fldCharType="begin"/>
      </w:r>
      <w:r w:rsidR="00BE21F7">
        <w:instrText xml:space="preserve"> REF _Ref445461552 \h </w:instrText>
      </w:r>
      <w:r w:rsidR="00BE21F7">
        <w:fldChar w:fldCharType="separate"/>
      </w:r>
      <w:r w:rsidR="00363AB1" w:rsidRPr="00896D81">
        <w:t xml:space="preserve">Table </w:t>
      </w:r>
      <w:r w:rsidR="00363AB1">
        <w:rPr>
          <w:noProof/>
        </w:rPr>
        <w:t>8</w:t>
      </w:r>
      <w:r w:rsidR="00363AB1" w:rsidRPr="000F0FA4">
        <w:t>.</w:t>
      </w:r>
      <w:r w:rsidR="00363AB1">
        <w:rPr>
          <w:noProof/>
        </w:rPr>
        <w:t>5</w:t>
      </w:r>
      <w:r w:rsidR="00BE21F7">
        <w:fldChar w:fldCharType="end"/>
      </w:r>
      <w:r w:rsidR="00BE21F7">
        <w:t xml:space="preserve">. </w:t>
      </w:r>
      <w:bookmarkStart w:id="44" w:name="_Ref432675125"/>
      <w:bookmarkStart w:id="45" w:name="_Ref445461396"/>
    </w:p>
    <w:p w:rsidR="000F0FA4" w:rsidRPr="000F0FA4" w:rsidRDefault="000F0FA4" w:rsidP="000F0FA4">
      <w:pPr>
        <w:pStyle w:val="Caption"/>
      </w:pPr>
      <w:bookmarkStart w:id="46" w:name="_Ref445461552"/>
      <w:proofErr w:type="gramStart"/>
      <w:r w:rsidRPr="00896D81">
        <w:t xml:space="preserve">Table </w:t>
      </w:r>
      <w:r w:rsidR="006437C6">
        <w:fldChar w:fldCharType="begin"/>
      </w:r>
      <w:r w:rsidR="006437C6">
        <w:instrText xml:space="preserve"> STYLEREF 1 \s </w:instrText>
      </w:r>
      <w:r w:rsidR="006437C6">
        <w:fldChar w:fldCharType="separate"/>
      </w:r>
      <w:r w:rsidR="00363AB1">
        <w:rPr>
          <w:noProof/>
        </w:rPr>
        <w:t>8</w:t>
      </w:r>
      <w:r w:rsidR="006437C6">
        <w:rPr>
          <w:noProof/>
        </w:rPr>
        <w:fldChar w:fldCharType="end"/>
      </w:r>
      <w:r w:rsidRPr="000F0FA4">
        <w:t>.</w:t>
      </w:r>
      <w:proofErr w:type="gramEnd"/>
      <w:r w:rsidR="006437C6">
        <w:fldChar w:fldCharType="begin"/>
      </w:r>
      <w:r w:rsidR="006437C6">
        <w:instrText xml:space="preserve"> SEQ Table \* ARABIC \s 1 </w:instrText>
      </w:r>
      <w:r w:rsidR="006437C6">
        <w:fldChar w:fldCharType="separate"/>
      </w:r>
      <w:r w:rsidR="00363AB1">
        <w:rPr>
          <w:noProof/>
        </w:rPr>
        <w:t>5</w:t>
      </w:r>
      <w:r w:rsidR="006437C6">
        <w:rPr>
          <w:noProof/>
        </w:rPr>
        <w:fldChar w:fldCharType="end"/>
      </w:r>
      <w:bookmarkEnd w:id="44"/>
      <w:bookmarkEnd w:id="45"/>
      <w:bookmarkEnd w:id="46"/>
      <w:r w:rsidRPr="000F0FA4">
        <w:tab/>
        <w:t xml:space="preserve">AER's </w:t>
      </w:r>
      <w:r w:rsidR="00C9777D">
        <w:t>final</w:t>
      </w:r>
      <w:r w:rsidRPr="000F0FA4">
        <w:t xml:space="preserve"> decision on APTNT’s standard tax asset lives and remaining tax asset lives as at 1 July 2016 for the 2016–21 access arrangement </w:t>
      </w:r>
      <w:proofErr w:type="gramStart"/>
      <w:r w:rsidRPr="000F0FA4">
        <w:t>period</w:t>
      </w:r>
      <w:proofErr w:type="gramEnd"/>
      <w:r w:rsidRPr="000F0FA4">
        <w:t xml:space="preserve"> (year)</w:t>
      </w:r>
    </w:p>
    <w:tbl>
      <w:tblPr>
        <w:tblStyle w:val="AERtable-numbers"/>
        <w:tblW w:w="8711" w:type="dxa"/>
        <w:tblLayout w:type="fixed"/>
        <w:tblLook w:val="04A0" w:firstRow="1" w:lastRow="0" w:firstColumn="1" w:lastColumn="0" w:noHBand="0" w:noVBand="1"/>
      </w:tblPr>
      <w:tblGrid>
        <w:gridCol w:w="2943"/>
        <w:gridCol w:w="2127"/>
        <w:gridCol w:w="3641"/>
      </w:tblGrid>
      <w:tr w:rsidR="000F0FA4" w:rsidRPr="00AB54A2" w:rsidTr="00FA4026">
        <w:trPr>
          <w:cnfStyle w:val="100000000000" w:firstRow="1" w:lastRow="0" w:firstColumn="0" w:lastColumn="0" w:oddVBand="0" w:evenVBand="0" w:oddHBand="0" w:evenHBand="0" w:firstRowFirstColumn="0" w:firstRowLastColumn="0" w:lastRowFirstColumn="0" w:lastRowLastColumn="0"/>
          <w:trHeight w:val="634"/>
          <w:tblHeader/>
        </w:trPr>
        <w:tc>
          <w:tcPr>
            <w:cnfStyle w:val="001000000000" w:firstRow="0" w:lastRow="0" w:firstColumn="1" w:lastColumn="0" w:oddVBand="0" w:evenVBand="0" w:oddHBand="0" w:evenHBand="0" w:firstRowFirstColumn="0" w:firstRowLastColumn="0" w:lastRowFirstColumn="0" w:lastRowLastColumn="0"/>
            <w:tcW w:w="2943" w:type="dxa"/>
            <w:noWrap/>
          </w:tcPr>
          <w:p w:rsidR="000F0FA4" w:rsidRPr="00AB54A2" w:rsidRDefault="000F0FA4" w:rsidP="00035F6D">
            <w:r w:rsidRPr="00AB54A2">
              <w:t>Tax asset class</w:t>
            </w:r>
          </w:p>
        </w:tc>
        <w:tc>
          <w:tcPr>
            <w:tcW w:w="2127" w:type="dxa"/>
            <w:noWrap/>
          </w:tcPr>
          <w:p w:rsidR="000F0FA4" w:rsidRPr="00AB54A2" w:rsidRDefault="000F0FA4" w:rsidP="00035F6D">
            <w:pPr>
              <w:cnfStyle w:val="100000000000" w:firstRow="1" w:lastRow="0" w:firstColumn="0" w:lastColumn="0" w:oddVBand="0" w:evenVBand="0" w:oddHBand="0" w:evenHBand="0" w:firstRowFirstColumn="0" w:firstRowLastColumn="0" w:lastRowFirstColumn="0" w:lastRowLastColumn="0"/>
            </w:pPr>
            <w:r w:rsidRPr="00AB54A2">
              <w:t>Standard tax asset life</w:t>
            </w:r>
          </w:p>
        </w:tc>
        <w:tc>
          <w:tcPr>
            <w:tcW w:w="3641" w:type="dxa"/>
            <w:noWrap/>
          </w:tcPr>
          <w:p w:rsidR="000F0FA4" w:rsidRPr="00AB54A2" w:rsidRDefault="000F0FA4" w:rsidP="00035F6D">
            <w:pPr>
              <w:cnfStyle w:val="100000000000" w:firstRow="1" w:lastRow="0" w:firstColumn="0" w:lastColumn="0" w:oddVBand="0" w:evenVBand="0" w:oddHBand="0" w:evenHBand="0" w:firstRowFirstColumn="0" w:firstRowLastColumn="0" w:lastRowFirstColumn="0" w:lastRowLastColumn="0"/>
            </w:pPr>
            <w:r w:rsidRPr="00AB54A2">
              <w:t>Remaining tax asset life as at 1 July 2016</w:t>
            </w:r>
          </w:p>
        </w:tc>
      </w:tr>
      <w:tr w:rsidR="000F0FA4" w:rsidRPr="002C4B0D" w:rsidTr="00FA402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0F0FA4" w:rsidRPr="000F0FA4" w:rsidRDefault="000F0FA4" w:rsidP="00035F6D">
            <w:r w:rsidRPr="000F0FA4">
              <w:t>Pipelines</w:t>
            </w:r>
          </w:p>
        </w:tc>
        <w:tc>
          <w:tcPr>
            <w:tcW w:w="2127" w:type="dxa"/>
            <w:noWrap/>
            <w:vAlign w:val="bottom"/>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20</w:t>
            </w:r>
          </w:p>
        </w:tc>
        <w:tc>
          <w:tcPr>
            <w:tcW w:w="3641" w:type="dxa"/>
            <w:noWrap/>
          </w:tcPr>
          <w:p w:rsidR="000F0FA4" w:rsidRPr="000F0FA4" w:rsidRDefault="000F0FA4" w:rsidP="00113509">
            <w:pPr>
              <w:cnfStyle w:val="000000000000" w:firstRow="0" w:lastRow="0" w:firstColumn="0" w:lastColumn="0" w:oddVBand="0" w:evenVBand="0" w:oddHBand="0" w:evenHBand="0" w:firstRowFirstColumn="0" w:firstRowLastColumn="0" w:lastRowFirstColumn="0" w:lastRowLastColumn="0"/>
            </w:pPr>
            <w:r w:rsidRPr="000F0FA4">
              <w:t>16.</w:t>
            </w:r>
            <w:r w:rsidR="00113509">
              <w:t>9</w:t>
            </w:r>
          </w:p>
        </w:tc>
      </w:tr>
      <w:tr w:rsidR="000F0FA4" w:rsidRPr="002C4B0D" w:rsidTr="00FA402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0F0FA4" w:rsidRPr="000F0FA4" w:rsidRDefault="000F0FA4" w:rsidP="00035F6D">
            <w:r w:rsidRPr="000F0FA4">
              <w:t>Compression</w:t>
            </w:r>
          </w:p>
        </w:tc>
        <w:tc>
          <w:tcPr>
            <w:tcW w:w="2127" w:type="dxa"/>
            <w:noWrap/>
            <w:vAlign w:val="bottom"/>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20</w:t>
            </w:r>
          </w:p>
        </w:tc>
        <w:tc>
          <w:tcPr>
            <w:tcW w:w="3641" w:type="dxa"/>
            <w:noWrap/>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n/a</w:t>
            </w:r>
          </w:p>
        </w:tc>
      </w:tr>
      <w:tr w:rsidR="000F0FA4" w:rsidRPr="002C4B0D" w:rsidTr="00FA402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0F0FA4" w:rsidRPr="000F0FA4" w:rsidRDefault="000F0FA4" w:rsidP="00035F6D">
            <w:r w:rsidRPr="000F0FA4">
              <w:t>Meter station</w:t>
            </w:r>
          </w:p>
        </w:tc>
        <w:tc>
          <w:tcPr>
            <w:tcW w:w="2127" w:type="dxa"/>
            <w:noWrap/>
            <w:vAlign w:val="bottom"/>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20</w:t>
            </w:r>
          </w:p>
        </w:tc>
        <w:tc>
          <w:tcPr>
            <w:tcW w:w="3641" w:type="dxa"/>
            <w:noWrap/>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16.7</w:t>
            </w:r>
          </w:p>
        </w:tc>
      </w:tr>
      <w:tr w:rsidR="000F0FA4" w:rsidRPr="002C4B0D" w:rsidTr="00FA4026">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0F0FA4" w:rsidRPr="000F0FA4" w:rsidRDefault="000F0FA4" w:rsidP="00035F6D">
            <w:r w:rsidRPr="000F0FA4">
              <w:t>SCADA</w:t>
            </w:r>
          </w:p>
        </w:tc>
        <w:tc>
          <w:tcPr>
            <w:tcW w:w="2127" w:type="dxa"/>
            <w:noWrap/>
            <w:vAlign w:val="bottom"/>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15</w:t>
            </w:r>
          </w:p>
        </w:tc>
        <w:tc>
          <w:tcPr>
            <w:tcW w:w="3641" w:type="dxa"/>
            <w:noWrap/>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14.9</w:t>
            </w:r>
          </w:p>
        </w:tc>
      </w:tr>
      <w:tr w:rsidR="000F0FA4" w:rsidRPr="002C4B0D" w:rsidTr="00FA402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0F0FA4" w:rsidRPr="000F0FA4" w:rsidRDefault="000F0FA4" w:rsidP="00035F6D">
            <w:r w:rsidRPr="000F0FA4">
              <w:t>O&amp;M facilities</w:t>
            </w:r>
          </w:p>
        </w:tc>
        <w:tc>
          <w:tcPr>
            <w:tcW w:w="2127" w:type="dxa"/>
            <w:noWrap/>
            <w:vAlign w:val="bottom"/>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10</w:t>
            </w:r>
          </w:p>
        </w:tc>
        <w:tc>
          <w:tcPr>
            <w:tcW w:w="3641" w:type="dxa"/>
            <w:noWrap/>
          </w:tcPr>
          <w:p w:rsidR="000F0FA4" w:rsidRPr="000F0FA4" w:rsidRDefault="000F0FA4" w:rsidP="00035F6D">
            <w:pPr>
              <w:cnfStyle w:val="000000000000" w:firstRow="0" w:lastRow="0" w:firstColumn="0" w:lastColumn="0" w:oddVBand="0" w:evenVBand="0" w:oddHBand="0" w:evenHBand="0" w:firstRowFirstColumn="0" w:firstRowLastColumn="0" w:lastRowFirstColumn="0" w:lastRowLastColumn="0"/>
            </w:pPr>
            <w:r w:rsidRPr="000F0FA4">
              <w:t>8.8</w:t>
            </w:r>
          </w:p>
        </w:tc>
      </w:tr>
      <w:tr w:rsidR="000F0FA4" w:rsidRPr="002C4B0D" w:rsidTr="00FA4026">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0F0FA4" w:rsidRPr="000F0FA4" w:rsidRDefault="000F0FA4" w:rsidP="00035F6D">
            <w:r w:rsidRPr="000F0FA4">
              <w:t>Buildings</w:t>
            </w:r>
          </w:p>
        </w:tc>
        <w:tc>
          <w:tcPr>
            <w:tcW w:w="2127" w:type="dxa"/>
            <w:noWrap/>
            <w:vAlign w:val="bottom"/>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40</w:t>
            </w:r>
          </w:p>
        </w:tc>
        <w:tc>
          <w:tcPr>
            <w:tcW w:w="3641" w:type="dxa"/>
            <w:noWrap/>
          </w:tcPr>
          <w:p w:rsidR="000F0FA4" w:rsidRPr="000F0FA4" w:rsidRDefault="000F0FA4" w:rsidP="00035F6D">
            <w:pPr>
              <w:cnfStyle w:val="000000010000" w:firstRow="0" w:lastRow="0" w:firstColumn="0" w:lastColumn="0" w:oddVBand="0" w:evenVBand="0" w:oddHBand="0" w:evenHBand="1" w:firstRowFirstColumn="0" w:firstRowLastColumn="0" w:lastRowFirstColumn="0" w:lastRowLastColumn="0"/>
            </w:pPr>
            <w:r w:rsidRPr="000F0FA4">
              <w:t>n/a</w:t>
            </w:r>
          </w:p>
        </w:tc>
      </w:tr>
      <w:tr w:rsidR="00E75D62" w:rsidRPr="002C4B0D" w:rsidTr="00FA4026">
        <w:trPr>
          <w:trHeight w:val="424"/>
        </w:trPr>
        <w:tc>
          <w:tcPr>
            <w:cnfStyle w:val="001000000000" w:firstRow="0" w:lastRow="0" w:firstColumn="1" w:lastColumn="0" w:oddVBand="0" w:evenVBand="0" w:oddHBand="0" w:evenHBand="0" w:firstRowFirstColumn="0" w:firstRowLastColumn="0" w:lastRowFirstColumn="0" w:lastRowLastColumn="0"/>
            <w:tcW w:w="2943" w:type="dxa"/>
            <w:noWrap/>
            <w:vAlign w:val="bottom"/>
          </w:tcPr>
          <w:p w:rsidR="00E75D62" w:rsidRPr="000F0FA4" w:rsidRDefault="00E75D62" w:rsidP="00035F6D">
            <w:r w:rsidRPr="000F0FA4">
              <w:t>Land and easement</w:t>
            </w:r>
          </w:p>
        </w:tc>
        <w:tc>
          <w:tcPr>
            <w:tcW w:w="2127" w:type="dxa"/>
            <w:noWrap/>
            <w:vAlign w:val="bottom"/>
          </w:tcPr>
          <w:p w:rsidR="00E75D62" w:rsidRPr="000F0FA4" w:rsidRDefault="00E75D62" w:rsidP="00035F6D">
            <w:pPr>
              <w:cnfStyle w:val="000000000000" w:firstRow="0" w:lastRow="0" w:firstColumn="0" w:lastColumn="0" w:oddVBand="0" w:evenVBand="0" w:oddHBand="0" w:evenHBand="0" w:firstRowFirstColumn="0" w:firstRowLastColumn="0" w:lastRowFirstColumn="0" w:lastRowLastColumn="0"/>
            </w:pPr>
            <w:r w:rsidRPr="000F0FA4">
              <w:t>n/a</w:t>
            </w:r>
          </w:p>
        </w:tc>
        <w:tc>
          <w:tcPr>
            <w:tcW w:w="3641" w:type="dxa"/>
            <w:noWrap/>
          </w:tcPr>
          <w:p w:rsidR="00E75D62" w:rsidRPr="000F0FA4" w:rsidRDefault="00E75D62" w:rsidP="00035F6D">
            <w:pPr>
              <w:cnfStyle w:val="000000000000" w:firstRow="0" w:lastRow="0" w:firstColumn="0" w:lastColumn="0" w:oddVBand="0" w:evenVBand="0" w:oddHBand="0" w:evenHBand="0" w:firstRowFirstColumn="0" w:firstRowLastColumn="0" w:lastRowFirstColumn="0" w:lastRowLastColumn="0"/>
            </w:pPr>
            <w:r w:rsidRPr="000F0FA4">
              <w:t>n/a</w:t>
            </w:r>
          </w:p>
        </w:tc>
      </w:tr>
    </w:tbl>
    <w:p w:rsidR="000F0FA4" w:rsidRDefault="000F0FA4" w:rsidP="000F0FA4">
      <w:pPr>
        <w:pStyle w:val="AERtablesource"/>
      </w:pPr>
      <w:r w:rsidRPr="00EA0E36">
        <w:t xml:space="preserve">Source: </w:t>
      </w:r>
      <w:r w:rsidRPr="00EA0E36">
        <w:tab/>
        <w:t>AER analysis.</w:t>
      </w:r>
    </w:p>
    <w:p w:rsidR="000F0FA4" w:rsidRDefault="000F0FA4" w:rsidP="000F0FA4">
      <w:pPr>
        <w:pStyle w:val="AERtablesource"/>
      </w:pPr>
      <w:proofErr w:type="gramStart"/>
      <w:r w:rsidRPr="00EA0E36">
        <w:t>n/a</w:t>
      </w:r>
      <w:proofErr w:type="gramEnd"/>
      <w:r w:rsidRPr="00EA0E36">
        <w:tab/>
        <w:t>Not applicable.</w:t>
      </w:r>
      <w:r>
        <w:t xml:space="preserve"> </w:t>
      </w:r>
    </w:p>
    <w:p w:rsidR="000F0FA4" w:rsidRPr="00546678" w:rsidRDefault="000F0FA4" w:rsidP="008B20A5"/>
    <w:sectPr w:rsidR="000F0FA4" w:rsidRPr="00546678"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AB0" w:rsidRPr="00290C63" w:rsidRDefault="00635AB0" w:rsidP="00290C63">
      <w:r>
        <w:separator/>
      </w:r>
    </w:p>
    <w:p w:rsidR="00635AB0" w:rsidRDefault="00635AB0"/>
  </w:endnote>
  <w:endnote w:type="continuationSeparator" w:id="0">
    <w:p w:rsidR="00635AB0" w:rsidRPr="00290C63" w:rsidRDefault="00635AB0" w:rsidP="00290C63">
      <w:r>
        <w:continuationSeparator/>
      </w:r>
    </w:p>
    <w:p w:rsidR="00635AB0" w:rsidRDefault="00635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635AB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635AB0" w:rsidRDefault="00635AB0">
    <w:pPr>
      <w:pStyle w:val="Footer"/>
    </w:pPr>
  </w:p>
  <w:p w:rsidR="00635AB0" w:rsidRDefault="00635AB0">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635AB0" w:rsidRPr="00CA52A2" w:rsidRDefault="00635AB0" w:rsidP="00CA52A2">
        <w:pPr>
          <w:pStyle w:val="Footer"/>
        </w:pPr>
        <w:r w:rsidRPr="00CA52A2">
          <w:fldChar w:fldCharType="begin"/>
        </w:r>
        <w:r>
          <w:instrText xml:space="preserve"> PAGE   \* MERGEFORMAT </w:instrText>
        </w:r>
        <w:r w:rsidRPr="00CA52A2">
          <w:fldChar w:fldCharType="separate"/>
        </w:r>
        <w:r w:rsidR="006437C6">
          <w:rPr>
            <w:noProof/>
          </w:rPr>
          <w:t>8-3</w:t>
        </w:r>
        <w:r w:rsidRPr="00CA52A2">
          <w:fldChar w:fldCharType="end"/>
        </w:r>
        <w:r w:rsidRPr="00CA52A2">
          <w:t xml:space="preserve">          Attachment </w:t>
        </w:r>
        <w:r>
          <w:t xml:space="preserve">8 </w:t>
        </w:r>
        <w:r w:rsidRPr="00CA52A2">
          <w:t xml:space="preserve">– </w:t>
        </w:r>
        <w:r>
          <w:t xml:space="preserve">Corporate income tax </w:t>
        </w:r>
        <w:r w:rsidRPr="00CA52A2">
          <w:t xml:space="preserve">| </w:t>
        </w:r>
        <w:r>
          <w:t>Final decision: Amadeus Gas Pipeline Access Arrangement 2016</w:t>
        </w:r>
        <w:r w:rsidRPr="00CA52A2">
          <w:t>–</w:t>
        </w:r>
        <w:r>
          <w:t>21</w:t>
        </w:r>
      </w:p>
    </w:sdtContent>
  </w:sdt>
  <w:p w:rsidR="00635AB0" w:rsidRDefault="00635AB0">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635A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AB0" w:rsidRPr="00290C63" w:rsidRDefault="00635AB0" w:rsidP="00290C63">
      <w:r>
        <w:separator/>
      </w:r>
    </w:p>
    <w:p w:rsidR="00635AB0" w:rsidRDefault="00635AB0"/>
  </w:footnote>
  <w:footnote w:type="continuationSeparator" w:id="0">
    <w:p w:rsidR="00635AB0" w:rsidRPr="00290C63" w:rsidRDefault="00635AB0" w:rsidP="00290C63">
      <w:r>
        <w:continuationSeparator/>
      </w:r>
    </w:p>
    <w:p w:rsidR="00635AB0" w:rsidRDefault="00635AB0"/>
  </w:footnote>
  <w:footnote w:id="1">
    <w:p w:rsidR="00635AB0" w:rsidRDefault="00635AB0" w:rsidP="000F0FA4">
      <w:pPr>
        <w:pStyle w:val="FootnoteText"/>
      </w:pPr>
      <w:r>
        <w:rPr>
          <w:rStyle w:val="FootnoteReference"/>
        </w:rPr>
        <w:footnoteRef/>
      </w:r>
      <w:r>
        <w:t xml:space="preserve"> </w:t>
      </w:r>
      <w:r>
        <w:tab/>
      </w:r>
      <w:proofErr w:type="gramStart"/>
      <w:r>
        <w:t>NGR, r. 76(c).</w:t>
      </w:r>
      <w:proofErr w:type="gramEnd"/>
    </w:p>
  </w:footnote>
  <w:footnote w:id="2">
    <w:p w:rsidR="00635AB0" w:rsidRDefault="00635AB0" w:rsidP="000F0FA4">
      <w:pPr>
        <w:pStyle w:val="FootnoteText"/>
      </w:pPr>
      <w:r>
        <w:rPr>
          <w:rStyle w:val="FootnoteReference"/>
        </w:rPr>
        <w:footnoteRef/>
      </w:r>
      <w:r>
        <w:t xml:space="preserve"> </w:t>
      </w:r>
      <w:r>
        <w:tab/>
        <w:t xml:space="preserve">APTNT, </w:t>
      </w:r>
      <w:r w:rsidRPr="0078440E">
        <w:rPr>
          <w:rStyle w:val="AERtextitalic"/>
        </w:rPr>
        <w:t>Amadeus Gas Pipeline</w:t>
      </w:r>
      <w:r>
        <w:t xml:space="preserve"> </w:t>
      </w:r>
      <w:r>
        <w:rPr>
          <w:rStyle w:val="AERtextitalic"/>
        </w:rPr>
        <w:t>Access Arrangement Information</w:t>
      </w:r>
      <w:r w:rsidRPr="00CD711F">
        <w:rPr>
          <w:rStyle w:val="AERtextitalic"/>
        </w:rPr>
        <w:t>,</w:t>
      </w:r>
      <w:r>
        <w:t xml:space="preserve"> January 2016, p.</w:t>
      </w:r>
      <w:r w:rsidR="0030069F">
        <w:t xml:space="preserve"> </w:t>
      </w:r>
      <w:r>
        <w:t>27</w:t>
      </w:r>
      <w:r w:rsidR="0030069F">
        <w:t>.</w:t>
      </w:r>
    </w:p>
  </w:footnote>
  <w:footnote w:id="3">
    <w:p w:rsidR="00635AB0" w:rsidRDefault="00635AB0">
      <w:pPr>
        <w:pStyle w:val="FootnoteText"/>
      </w:pPr>
      <w:r>
        <w:rPr>
          <w:rStyle w:val="FootnoteReference"/>
        </w:rPr>
        <w:footnoteRef/>
      </w:r>
      <w:r>
        <w:t xml:space="preserve"> </w:t>
      </w:r>
      <w:r>
        <w:tab/>
        <w:t>Changes to other building block costs affect revenues, which also impact the tax calculation.</w:t>
      </w:r>
    </w:p>
  </w:footnote>
  <w:footnote w:id="4">
    <w:p w:rsidR="00635AB0" w:rsidRDefault="00635AB0">
      <w:pPr>
        <w:pStyle w:val="FootnoteText"/>
      </w:pPr>
      <w:r>
        <w:rPr>
          <w:rStyle w:val="FootnoteReference"/>
        </w:rPr>
        <w:footnoteRef/>
      </w:r>
      <w:r>
        <w:t xml:space="preserve"> </w:t>
      </w:r>
      <w:r>
        <w:tab/>
      </w:r>
      <w:proofErr w:type="gramStart"/>
      <w:r>
        <w:t xml:space="preserve">AER, </w:t>
      </w:r>
      <w:r w:rsidRPr="00404CCD">
        <w:rPr>
          <w:rStyle w:val="AERtextitalic"/>
        </w:rPr>
        <w:t>Draft decision, attachment 8</w:t>
      </w:r>
      <w:r>
        <w:t>, November 2015, pp. 11–12.</w:t>
      </w:r>
      <w:proofErr w:type="gramEnd"/>
    </w:p>
  </w:footnote>
  <w:footnote w:id="5">
    <w:p w:rsidR="00635AB0" w:rsidRDefault="00635AB0">
      <w:pPr>
        <w:pStyle w:val="FootnoteText"/>
      </w:pPr>
      <w:r>
        <w:rPr>
          <w:rStyle w:val="FootnoteReference"/>
        </w:rPr>
        <w:footnoteRef/>
      </w:r>
      <w:r>
        <w:tab/>
      </w:r>
      <w:proofErr w:type="gramStart"/>
      <w:r>
        <w:t>NGR, r. 87A.</w:t>
      </w:r>
      <w:proofErr w:type="gramEnd"/>
    </w:p>
  </w:footnote>
  <w:footnote w:id="6">
    <w:p w:rsidR="00635AB0" w:rsidRDefault="00635AB0" w:rsidP="00031781">
      <w:pPr>
        <w:pStyle w:val="FootnoteText"/>
      </w:pPr>
      <w:r>
        <w:rPr>
          <w:rStyle w:val="FootnoteReference"/>
        </w:rPr>
        <w:footnoteRef/>
      </w:r>
      <w:r>
        <w:t xml:space="preserve"> </w:t>
      </w:r>
      <w:r>
        <w:tab/>
        <w:t xml:space="preserve">APTNT, </w:t>
      </w:r>
      <w:r w:rsidRPr="004D4612">
        <w:rPr>
          <w:rStyle w:val="AERtextitalic"/>
        </w:rPr>
        <w:t>Revised proposed RFM,</w:t>
      </w:r>
      <w:r>
        <w:t xml:space="preserve"> January 2016</w:t>
      </w:r>
      <w:r w:rsidR="0030069F">
        <w:t>.</w:t>
      </w:r>
    </w:p>
  </w:footnote>
  <w:footnote w:id="7">
    <w:p w:rsidR="00635AB0" w:rsidRDefault="00635AB0" w:rsidP="000F0FA4">
      <w:pPr>
        <w:pStyle w:val="FootnoteText"/>
      </w:pPr>
      <w:r>
        <w:rPr>
          <w:rStyle w:val="FootnoteReference"/>
        </w:rPr>
        <w:footnoteRef/>
      </w:r>
      <w:r>
        <w:t xml:space="preserve"> </w:t>
      </w:r>
      <w:r>
        <w:tab/>
      </w:r>
      <w:proofErr w:type="gramStart"/>
      <w:r w:rsidRPr="0019550D">
        <w:rPr>
          <w:rStyle w:val="AERtextitalic"/>
        </w:rPr>
        <w:t>ITAA</w:t>
      </w:r>
      <w:r w:rsidRPr="0019550D">
        <w:t xml:space="preserve"> </w:t>
      </w:r>
      <w:r w:rsidRPr="0019550D">
        <w:rPr>
          <w:rStyle w:val="AERtextitalic"/>
        </w:rPr>
        <w:t>1997</w:t>
      </w:r>
      <w:r>
        <w:t xml:space="preserve">, s. 40.102(5); Australian Taxation Office, </w:t>
      </w:r>
      <w:r w:rsidRPr="00896D81">
        <w:rPr>
          <w:rStyle w:val="AERtextitalic"/>
        </w:rPr>
        <w:t xml:space="preserve">Taxation Ruling Income tax: effective life of depreciating assets (applicable from 1 </w:t>
      </w:r>
      <w:r>
        <w:rPr>
          <w:rStyle w:val="AERtextitalic"/>
        </w:rPr>
        <w:t>August 2015</w:t>
      </w:r>
      <w:r w:rsidRPr="00896D81">
        <w:rPr>
          <w:rStyle w:val="AERtextitalic"/>
        </w:rPr>
        <w:t>)</w:t>
      </w:r>
      <w:r>
        <w:t xml:space="preserve">: </w:t>
      </w:r>
      <w:hyperlink r:id="rId1" w:history="1">
        <w:r w:rsidRPr="00821798">
          <w:rPr>
            <w:rStyle w:val="Hyperlink"/>
            <w:sz w:val="16"/>
          </w:rPr>
          <w:t>http://law.ato.gov.au/atolaw/view.htm?docid=%22TXR%2FTR20152%2FNAT%2FATO%2F00001%22</w:t>
        </w:r>
      </w:hyperlink>
      <w:r w:rsidRPr="001A6E43">
        <w:t>.</w:t>
      </w:r>
      <w:proofErr w:type="gramEnd"/>
    </w:p>
  </w:footnote>
  <w:footnote w:id="8">
    <w:p w:rsidR="00635AB0" w:rsidRDefault="00635AB0" w:rsidP="000F0FA4">
      <w:pPr>
        <w:pStyle w:val="FootnoteText"/>
      </w:pPr>
      <w:r>
        <w:rPr>
          <w:rStyle w:val="FootnoteReference"/>
        </w:rPr>
        <w:footnoteRef/>
      </w:r>
      <w:r>
        <w:t xml:space="preserve"> </w:t>
      </w:r>
      <w:r>
        <w:tab/>
      </w:r>
      <w:proofErr w:type="gramStart"/>
      <w:r>
        <w:t>AER</w:t>
      </w:r>
      <w:r w:rsidRPr="001A6E43">
        <w:t xml:space="preserve">, </w:t>
      </w:r>
      <w:r w:rsidRPr="00164A10">
        <w:rPr>
          <w:i/>
        </w:rPr>
        <w:t>Amadeus</w:t>
      </w:r>
      <w:r>
        <w:rPr>
          <w:rStyle w:val="AERtextitalic"/>
        </w:rPr>
        <w:t xml:space="preserve"> final decision PTRM</w:t>
      </w:r>
      <w:r w:rsidRPr="001A6E43">
        <w:t xml:space="preserve">, </w:t>
      </w:r>
      <w:r>
        <w:t>July 2011</w:t>
      </w:r>
      <w:r w:rsidRPr="001A6E43">
        <w:t>.</w:t>
      </w:r>
      <w:proofErr w:type="gramEnd"/>
    </w:p>
  </w:footnote>
  <w:footnote w:id="9">
    <w:p w:rsidR="00635AB0" w:rsidRDefault="00635AB0">
      <w:pPr>
        <w:pStyle w:val="FootnoteText"/>
      </w:pPr>
      <w:r>
        <w:rPr>
          <w:rStyle w:val="FootnoteReference"/>
        </w:rPr>
        <w:footnoteRef/>
      </w:r>
      <w:r>
        <w:t xml:space="preserve"> </w:t>
      </w:r>
      <w:r>
        <w:tab/>
      </w:r>
      <w:proofErr w:type="gramStart"/>
      <w:r>
        <w:t>AER,</w:t>
      </w:r>
      <w:r w:rsidRPr="00F32FD3">
        <w:rPr>
          <w:rStyle w:val="AERtextitalic"/>
        </w:rPr>
        <w:t xml:space="preserve"> </w:t>
      </w:r>
      <w:r w:rsidRPr="00CF4366">
        <w:rPr>
          <w:rStyle w:val="AERtextitalic"/>
        </w:rPr>
        <w:t>Draft decision, attachment 8</w:t>
      </w:r>
      <w:r>
        <w:t>, November 2015, p. 13.</w:t>
      </w:r>
      <w:proofErr w:type="gramEnd"/>
    </w:p>
  </w:footnote>
  <w:footnote w:id="10">
    <w:p w:rsidR="00635AB0" w:rsidRDefault="00635AB0" w:rsidP="001A3656">
      <w:pPr>
        <w:pStyle w:val="FootnoteText"/>
      </w:pPr>
      <w:r>
        <w:rPr>
          <w:rStyle w:val="FootnoteReference"/>
        </w:rPr>
        <w:footnoteRef/>
      </w:r>
      <w:r>
        <w:t xml:space="preserve"> </w:t>
      </w:r>
      <w:r>
        <w:tab/>
        <w:t xml:space="preserve">Australian accounting standard board, </w:t>
      </w:r>
      <w:proofErr w:type="gramStart"/>
      <w:r w:rsidRPr="00A5787D">
        <w:rPr>
          <w:i/>
        </w:rPr>
        <w:t>Accounting</w:t>
      </w:r>
      <w:proofErr w:type="gramEnd"/>
      <w:r w:rsidRPr="00A5787D">
        <w:rPr>
          <w:i/>
        </w:rPr>
        <w:t xml:space="preserve"> standard AASB1021: Depreciation, August 1997</w:t>
      </w:r>
      <w:r>
        <w:t xml:space="preserve">, pp. 10–11; ATO, </w:t>
      </w:r>
      <w:r w:rsidRPr="00A5787D">
        <w:rPr>
          <w:i/>
        </w:rPr>
        <w:t>Guide to depreciating assets 2011</w:t>
      </w:r>
      <w:r>
        <w:t>, 2011, p. 3.</w:t>
      </w:r>
    </w:p>
  </w:footnote>
  <w:footnote w:id="11">
    <w:p w:rsidR="00635AB0" w:rsidRDefault="00635AB0">
      <w:pPr>
        <w:pStyle w:val="FootnoteText"/>
      </w:pPr>
      <w:r>
        <w:rPr>
          <w:rStyle w:val="FootnoteReference"/>
        </w:rPr>
        <w:footnoteRef/>
      </w:r>
      <w:r>
        <w:t xml:space="preserve"> </w:t>
      </w:r>
      <w:r>
        <w:tab/>
        <w:t xml:space="preserve">APTNT, </w:t>
      </w:r>
      <w:r w:rsidRPr="00277AE5">
        <w:rPr>
          <w:rStyle w:val="AERtextitalic"/>
        </w:rPr>
        <w:t>A</w:t>
      </w:r>
      <w:r>
        <w:rPr>
          <w:rStyle w:val="AERtextitalic"/>
        </w:rPr>
        <w:t xml:space="preserve">madeus Gas Pipeline </w:t>
      </w:r>
      <w:r w:rsidRPr="00277AE5">
        <w:rPr>
          <w:rStyle w:val="AERtextitalic"/>
        </w:rPr>
        <w:t xml:space="preserve">Access Arrangement Information, </w:t>
      </w:r>
      <w:r>
        <w:t>January 2016, p. 9.</w:t>
      </w:r>
    </w:p>
  </w:footnote>
  <w:footnote w:id="12">
    <w:p w:rsidR="00635AB0" w:rsidRDefault="00635AB0">
      <w:pPr>
        <w:pStyle w:val="FootnoteText"/>
      </w:pPr>
      <w:r>
        <w:rPr>
          <w:rStyle w:val="FootnoteReference"/>
        </w:rPr>
        <w:footnoteRef/>
      </w:r>
      <w:r>
        <w:t xml:space="preserve"> </w:t>
      </w:r>
      <w:r>
        <w:tab/>
        <w:t>APTNT,</w:t>
      </w:r>
      <w:r w:rsidRPr="00E75D62">
        <w:rPr>
          <w:rStyle w:val="AERtextitalic"/>
        </w:rPr>
        <w:t xml:space="preserve"> Revised proposed RFM,</w:t>
      </w:r>
      <w:r>
        <w:t xml:space="preserve"> January 2016</w:t>
      </w:r>
    </w:p>
  </w:footnote>
  <w:footnote w:id="13">
    <w:p w:rsidR="00635AB0" w:rsidRDefault="00635AB0" w:rsidP="00F32FD3">
      <w:pPr>
        <w:pStyle w:val="FootnoteText"/>
      </w:pPr>
      <w:r>
        <w:rPr>
          <w:rStyle w:val="FootnoteReference"/>
        </w:rPr>
        <w:footnoteRef/>
      </w:r>
      <w:r>
        <w:t xml:space="preserve"> </w:t>
      </w:r>
      <w:r>
        <w:tab/>
      </w:r>
      <w:proofErr w:type="gramStart"/>
      <w:r>
        <w:t>AER,</w:t>
      </w:r>
      <w:r w:rsidRPr="00F32FD3">
        <w:rPr>
          <w:rStyle w:val="AERtextitalic"/>
        </w:rPr>
        <w:t xml:space="preserve"> </w:t>
      </w:r>
      <w:r w:rsidRPr="00CF4366">
        <w:rPr>
          <w:rStyle w:val="AERtextitalic"/>
        </w:rPr>
        <w:t>Draft decision, attachment 8</w:t>
      </w:r>
      <w:r>
        <w:t>, November 2015, p. 13.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6437C6">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635AB0">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635A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AB0" w:rsidRDefault="006437C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F7B8DD34"/>
    <w:lvl w:ilvl="0">
      <w:start w:val="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AC6DD7"/>
    <w:multiLevelType w:val="multilevel"/>
    <w:tmpl w:val="950A1C52"/>
    <w:lvl w:ilvl="0">
      <w:start w:val="1"/>
      <w:numFmt w:val="none"/>
      <w:lvlText w:val="%1"/>
      <w:lvlJc w:val="left"/>
      <w:pPr>
        <w:tabs>
          <w:tab w:val="num" w:pos="0"/>
        </w:tabs>
        <w:ind w:left="0" w:firstLine="0"/>
      </w:pPr>
      <w:rPr>
        <w:rFonts w:hint="default"/>
      </w:rPr>
    </w:lvl>
    <w:lvl w:ilvl="1">
      <w:start w:val="8"/>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7">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ZqWfMHaBrlwepsm/GLxclmyINFzYhaZrEdSRhNQF8Wg=" w:saltValue="VKK5f8vQYpzMFeeT/Xji0Q=="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68\AER15 4324  AER - Final decision Amadeus Gas Pipeline Access Arrangement - Attachment 9 - Efficiency carryover mechanism - April 2016.DOCX"/>
  </w:docVars>
  <w:rsids>
    <w:rsidRoot w:val="00961A4A"/>
    <w:rsid w:val="00004633"/>
    <w:rsid w:val="000101F6"/>
    <w:rsid w:val="00010286"/>
    <w:rsid w:val="00021202"/>
    <w:rsid w:val="00021C2B"/>
    <w:rsid w:val="0002517F"/>
    <w:rsid w:val="00026495"/>
    <w:rsid w:val="00031781"/>
    <w:rsid w:val="0003578C"/>
    <w:rsid w:val="00035F6D"/>
    <w:rsid w:val="000401AF"/>
    <w:rsid w:val="00041DDA"/>
    <w:rsid w:val="00063247"/>
    <w:rsid w:val="00063A92"/>
    <w:rsid w:val="00070F9F"/>
    <w:rsid w:val="0007137B"/>
    <w:rsid w:val="00085663"/>
    <w:rsid w:val="00085EBF"/>
    <w:rsid w:val="00085F93"/>
    <w:rsid w:val="00091B15"/>
    <w:rsid w:val="00093164"/>
    <w:rsid w:val="000A1409"/>
    <w:rsid w:val="000A1E7C"/>
    <w:rsid w:val="000A3020"/>
    <w:rsid w:val="000A6C7B"/>
    <w:rsid w:val="000B0360"/>
    <w:rsid w:val="000C2B40"/>
    <w:rsid w:val="000D01F4"/>
    <w:rsid w:val="000D06C1"/>
    <w:rsid w:val="000D122C"/>
    <w:rsid w:val="000D3016"/>
    <w:rsid w:val="000D64F2"/>
    <w:rsid w:val="000D7F32"/>
    <w:rsid w:val="000E1819"/>
    <w:rsid w:val="000E4821"/>
    <w:rsid w:val="000E6C72"/>
    <w:rsid w:val="000F0B2B"/>
    <w:rsid w:val="000F0FA4"/>
    <w:rsid w:val="000F3E72"/>
    <w:rsid w:val="000F446B"/>
    <w:rsid w:val="000F48B1"/>
    <w:rsid w:val="000F723D"/>
    <w:rsid w:val="00103A67"/>
    <w:rsid w:val="00104177"/>
    <w:rsid w:val="00113509"/>
    <w:rsid w:val="00116EB2"/>
    <w:rsid w:val="00124609"/>
    <w:rsid w:val="00126A4C"/>
    <w:rsid w:val="00137E99"/>
    <w:rsid w:val="00142AB6"/>
    <w:rsid w:val="0014573B"/>
    <w:rsid w:val="00147E70"/>
    <w:rsid w:val="001534D1"/>
    <w:rsid w:val="00156DCC"/>
    <w:rsid w:val="001573E4"/>
    <w:rsid w:val="00160756"/>
    <w:rsid w:val="00171A21"/>
    <w:rsid w:val="0017232E"/>
    <w:rsid w:val="0017273A"/>
    <w:rsid w:val="00174102"/>
    <w:rsid w:val="0017480F"/>
    <w:rsid w:val="001754EE"/>
    <w:rsid w:val="00180157"/>
    <w:rsid w:val="00182467"/>
    <w:rsid w:val="00183086"/>
    <w:rsid w:val="00185CB9"/>
    <w:rsid w:val="00186F77"/>
    <w:rsid w:val="001926A4"/>
    <w:rsid w:val="00192AD5"/>
    <w:rsid w:val="001A3656"/>
    <w:rsid w:val="001A452D"/>
    <w:rsid w:val="001A600C"/>
    <w:rsid w:val="001B2B12"/>
    <w:rsid w:val="001B3F62"/>
    <w:rsid w:val="001B45A0"/>
    <w:rsid w:val="001B45C0"/>
    <w:rsid w:val="001B6F2E"/>
    <w:rsid w:val="001B7D00"/>
    <w:rsid w:val="001C17E7"/>
    <w:rsid w:val="001C2BA5"/>
    <w:rsid w:val="001D055E"/>
    <w:rsid w:val="001E009C"/>
    <w:rsid w:val="001E061F"/>
    <w:rsid w:val="001E5FE2"/>
    <w:rsid w:val="001F05A4"/>
    <w:rsid w:val="001F492E"/>
    <w:rsid w:val="001F6DA3"/>
    <w:rsid w:val="002010BC"/>
    <w:rsid w:val="002016E7"/>
    <w:rsid w:val="00201956"/>
    <w:rsid w:val="00201F98"/>
    <w:rsid w:val="00202E03"/>
    <w:rsid w:val="0020349A"/>
    <w:rsid w:val="0020478D"/>
    <w:rsid w:val="0020492C"/>
    <w:rsid w:val="00205A33"/>
    <w:rsid w:val="0022444D"/>
    <w:rsid w:val="00224DB9"/>
    <w:rsid w:val="00227DCE"/>
    <w:rsid w:val="0023276C"/>
    <w:rsid w:val="00233775"/>
    <w:rsid w:val="00250F07"/>
    <w:rsid w:val="00251745"/>
    <w:rsid w:val="0025442C"/>
    <w:rsid w:val="00263AC0"/>
    <w:rsid w:val="00264264"/>
    <w:rsid w:val="0026772D"/>
    <w:rsid w:val="002764F6"/>
    <w:rsid w:val="00277554"/>
    <w:rsid w:val="00277AE5"/>
    <w:rsid w:val="00282190"/>
    <w:rsid w:val="00286874"/>
    <w:rsid w:val="0028791C"/>
    <w:rsid w:val="00290C63"/>
    <w:rsid w:val="00296B65"/>
    <w:rsid w:val="0029724D"/>
    <w:rsid w:val="002A6688"/>
    <w:rsid w:val="002A7DEF"/>
    <w:rsid w:val="002B1003"/>
    <w:rsid w:val="002B573C"/>
    <w:rsid w:val="002C233C"/>
    <w:rsid w:val="002C5708"/>
    <w:rsid w:val="002C5E99"/>
    <w:rsid w:val="002D72E8"/>
    <w:rsid w:val="002E0A3A"/>
    <w:rsid w:val="002E595B"/>
    <w:rsid w:val="002E67F6"/>
    <w:rsid w:val="002E7B22"/>
    <w:rsid w:val="002F7986"/>
    <w:rsid w:val="0030069F"/>
    <w:rsid w:val="00301B40"/>
    <w:rsid w:val="00301F1F"/>
    <w:rsid w:val="003029A5"/>
    <w:rsid w:val="003029EE"/>
    <w:rsid w:val="0030370B"/>
    <w:rsid w:val="00305CC8"/>
    <w:rsid w:val="00307F6D"/>
    <w:rsid w:val="003130C9"/>
    <w:rsid w:val="003134CD"/>
    <w:rsid w:val="003177A2"/>
    <w:rsid w:val="00320869"/>
    <w:rsid w:val="00326B1D"/>
    <w:rsid w:val="003271B5"/>
    <w:rsid w:val="00327A1E"/>
    <w:rsid w:val="00331264"/>
    <w:rsid w:val="003338A2"/>
    <w:rsid w:val="00334C8D"/>
    <w:rsid w:val="0033548E"/>
    <w:rsid w:val="0034100C"/>
    <w:rsid w:val="00343A18"/>
    <w:rsid w:val="00344473"/>
    <w:rsid w:val="00344D08"/>
    <w:rsid w:val="003457F9"/>
    <w:rsid w:val="00347114"/>
    <w:rsid w:val="003518B3"/>
    <w:rsid w:val="003578CD"/>
    <w:rsid w:val="00363AB1"/>
    <w:rsid w:val="003666F2"/>
    <w:rsid w:val="003717D8"/>
    <w:rsid w:val="003846F1"/>
    <w:rsid w:val="003903D4"/>
    <w:rsid w:val="00391175"/>
    <w:rsid w:val="00391BF0"/>
    <w:rsid w:val="003931A7"/>
    <w:rsid w:val="00393646"/>
    <w:rsid w:val="003B484F"/>
    <w:rsid w:val="003B703B"/>
    <w:rsid w:val="003B7FBA"/>
    <w:rsid w:val="003E2294"/>
    <w:rsid w:val="003F174D"/>
    <w:rsid w:val="003F46C7"/>
    <w:rsid w:val="003F572D"/>
    <w:rsid w:val="003F7442"/>
    <w:rsid w:val="00404CCD"/>
    <w:rsid w:val="00415F31"/>
    <w:rsid w:val="0042205D"/>
    <w:rsid w:val="00423A77"/>
    <w:rsid w:val="00436ECD"/>
    <w:rsid w:val="00440728"/>
    <w:rsid w:val="00452473"/>
    <w:rsid w:val="0045777E"/>
    <w:rsid w:val="00461B0F"/>
    <w:rsid w:val="00461C29"/>
    <w:rsid w:val="00474EC7"/>
    <w:rsid w:val="00480B4B"/>
    <w:rsid w:val="00485DC4"/>
    <w:rsid w:val="00490741"/>
    <w:rsid w:val="004A0A5E"/>
    <w:rsid w:val="004A2854"/>
    <w:rsid w:val="004A43D1"/>
    <w:rsid w:val="004A4DAF"/>
    <w:rsid w:val="004B0066"/>
    <w:rsid w:val="004B355D"/>
    <w:rsid w:val="004B4412"/>
    <w:rsid w:val="004C0C43"/>
    <w:rsid w:val="004C348C"/>
    <w:rsid w:val="004C6A30"/>
    <w:rsid w:val="004D1A96"/>
    <w:rsid w:val="004D4612"/>
    <w:rsid w:val="004D55BA"/>
    <w:rsid w:val="004E22EC"/>
    <w:rsid w:val="004E2A4C"/>
    <w:rsid w:val="004E3520"/>
    <w:rsid w:val="004F6A0E"/>
    <w:rsid w:val="00510858"/>
    <w:rsid w:val="00530128"/>
    <w:rsid w:val="00532467"/>
    <w:rsid w:val="00537FD6"/>
    <w:rsid w:val="005414E5"/>
    <w:rsid w:val="005649EF"/>
    <w:rsid w:val="00564A4D"/>
    <w:rsid w:val="0056588A"/>
    <w:rsid w:val="00567BA5"/>
    <w:rsid w:val="005715EA"/>
    <w:rsid w:val="00571B35"/>
    <w:rsid w:val="00571D57"/>
    <w:rsid w:val="005738CF"/>
    <w:rsid w:val="00577A09"/>
    <w:rsid w:val="005829C2"/>
    <w:rsid w:val="00584D8F"/>
    <w:rsid w:val="00585A4E"/>
    <w:rsid w:val="00586819"/>
    <w:rsid w:val="0059704C"/>
    <w:rsid w:val="005A404D"/>
    <w:rsid w:val="005B1E3C"/>
    <w:rsid w:val="005B3FB7"/>
    <w:rsid w:val="005B4D33"/>
    <w:rsid w:val="005B704A"/>
    <w:rsid w:val="005C0A7F"/>
    <w:rsid w:val="005C26CC"/>
    <w:rsid w:val="005C4C9C"/>
    <w:rsid w:val="005C6218"/>
    <w:rsid w:val="005D03B1"/>
    <w:rsid w:val="005D7BA2"/>
    <w:rsid w:val="005E36C2"/>
    <w:rsid w:val="005F0183"/>
    <w:rsid w:val="005F727F"/>
    <w:rsid w:val="005F73DF"/>
    <w:rsid w:val="006007DE"/>
    <w:rsid w:val="00601638"/>
    <w:rsid w:val="006023E3"/>
    <w:rsid w:val="00610EF9"/>
    <w:rsid w:val="00612F4F"/>
    <w:rsid w:val="00615C6B"/>
    <w:rsid w:val="00620DC3"/>
    <w:rsid w:val="00621DCE"/>
    <w:rsid w:val="006306CA"/>
    <w:rsid w:val="0063145F"/>
    <w:rsid w:val="00632849"/>
    <w:rsid w:val="00632D6D"/>
    <w:rsid w:val="00635AB0"/>
    <w:rsid w:val="00640812"/>
    <w:rsid w:val="00642C3E"/>
    <w:rsid w:val="006437C6"/>
    <w:rsid w:val="0064579E"/>
    <w:rsid w:val="00651234"/>
    <w:rsid w:val="00651C3A"/>
    <w:rsid w:val="00651CB2"/>
    <w:rsid w:val="00652775"/>
    <w:rsid w:val="006560CA"/>
    <w:rsid w:val="0066104A"/>
    <w:rsid w:val="00663DAD"/>
    <w:rsid w:val="00665649"/>
    <w:rsid w:val="00666E20"/>
    <w:rsid w:val="006672AA"/>
    <w:rsid w:val="00675E20"/>
    <w:rsid w:val="00676679"/>
    <w:rsid w:val="006812E7"/>
    <w:rsid w:val="00683C89"/>
    <w:rsid w:val="00684C16"/>
    <w:rsid w:val="00691D9A"/>
    <w:rsid w:val="00692089"/>
    <w:rsid w:val="006A06AD"/>
    <w:rsid w:val="006A7CB9"/>
    <w:rsid w:val="006A7D76"/>
    <w:rsid w:val="006B2395"/>
    <w:rsid w:val="006B45A4"/>
    <w:rsid w:val="006B4CF9"/>
    <w:rsid w:val="006B785B"/>
    <w:rsid w:val="006B7AC8"/>
    <w:rsid w:val="006C0DCB"/>
    <w:rsid w:val="006C1736"/>
    <w:rsid w:val="006C4798"/>
    <w:rsid w:val="006C5BFB"/>
    <w:rsid w:val="006C774D"/>
    <w:rsid w:val="006D22F2"/>
    <w:rsid w:val="006D550F"/>
    <w:rsid w:val="006D55EE"/>
    <w:rsid w:val="006E3F76"/>
    <w:rsid w:val="006F1F83"/>
    <w:rsid w:val="006F3AD1"/>
    <w:rsid w:val="006F3FC8"/>
    <w:rsid w:val="006F6183"/>
    <w:rsid w:val="006F7D7F"/>
    <w:rsid w:val="0070011E"/>
    <w:rsid w:val="00700AFB"/>
    <w:rsid w:val="00701CAB"/>
    <w:rsid w:val="00707563"/>
    <w:rsid w:val="00714D4B"/>
    <w:rsid w:val="0072348C"/>
    <w:rsid w:val="00724A37"/>
    <w:rsid w:val="007303C3"/>
    <w:rsid w:val="00741C46"/>
    <w:rsid w:val="00741E23"/>
    <w:rsid w:val="007429BE"/>
    <w:rsid w:val="00743223"/>
    <w:rsid w:val="00746E01"/>
    <w:rsid w:val="00747EEA"/>
    <w:rsid w:val="00752C8D"/>
    <w:rsid w:val="00755FDB"/>
    <w:rsid w:val="00756FF7"/>
    <w:rsid w:val="00757364"/>
    <w:rsid w:val="00757BDF"/>
    <w:rsid w:val="007609D0"/>
    <w:rsid w:val="00763618"/>
    <w:rsid w:val="00763E5D"/>
    <w:rsid w:val="00767740"/>
    <w:rsid w:val="00777EE6"/>
    <w:rsid w:val="00781AA6"/>
    <w:rsid w:val="00782EEA"/>
    <w:rsid w:val="0078440E"/>
    <w:rsid w:val="007A0706"/>
    <w:rsid w:val="007A1D6C"/>
    <w:rsid w:val="007A7002"/>
    <w:rsid w:val="007A7136"/>
    <w:rsid w:val="007A7F63"/>
    <w:rsid w:val="007B011C"/>
    <w:rsid w:val="007B186E"/>
    <w:rsid w:val="007B1F57"/>
    <w:rsid w:val="007B2C72"/>
    <w:rsid w:val="007B6C52"/>
    <w:rsid w:val="007C1C53"/>
    <w:rsid w:val="007C309F"/>
    <w:rsid w:val="007C74BB"/>
    <w:rsid w:val="007D3F60"/>
    <w:rsid w:val="007D456E"/>
    <w:rsid w:val="007E42F4"/>
    <w:rsid w:val="007E4904"/>
    <w:rsid w:val="007E4CB5"/>
    <w:rsid w:val="007F066B"/>
    <w:rsid w:val="007F213A"/>
    <w:rsid w:val="007F75C4"/>
    <w:rsid w:val="00802A6D"/>
    <w:rsid w:val="008033C4"/>
    <w:rsid w:val="008057DE"/>
    <w:rsid w:val="00806C88"/>
    <w:rsid w:val="00810070"/>
    <w:rsid w:val="0081034E"/>
    <w:rsid w:val="00812B03"/>
    <w:rsid w:val="00815CAC"/>
    <w:rsid w:val="008168E7"/>
    <w:rsid w:val="00821004"/>
    <w:rsid w:val="008221F2"/>
    <w:rsid w:val="00825985"/>
    <w:rsid w:val="008301A7"/>
    <w:rsid w:val="008301B2"/>
    <w:rsid w:val="00831774"/>
    <w:rsid w:val="008325B2"/>
    <w:rsid w:val="008337EF"/>
    <w:rsid w:val="008344F6"/>
    <w:rsid w:val="0083510F"/>
    <w:rsid w:val="008408C5"/>
    <w:rsid w:val="008414FC"/>
    <w:rsid w:val="00847887"/>
    <w:rsid w:val="00851209"/>
    <w:rsid w:val="00851E22"/>
    <w:rsid w:val="0085722A"/>
    <w:rsid w:val="00857F3E"/>
    <w:rsid w:val="00862B19"/>
    <w:rsid w:val="00864B35"/>
    <w:rsid w:val="00866D99"/>
    <w:rsid w:val="00867CF6"/>
    <w:rsid w:val="008749E0"/>
    <w:rsid w:val="00874CD0"/>
    <w:rsid w:val="00876D89"/>
    <w:rsid w:val="00882481"/>
    <w:rsid w:val="008837AC"/>
    <w:rsid w:val="008A587D"/>
    <w:rsid w:val="008B0488"/>
    <w:rsid w:val="008B20A5"/>
    <w:rsid w:val="008B35CD"/>
    <w:rsid w:val="008B5FCC"/>
    <w:rsid w:val="008B7544"/>
    <w:rsid w:val="008C1FC7"/>
    <w:rsid w:val="008C3374"/>
    <w:rsid w:val="008C39F0"/>
    <w:rsid w:val="008C5486"/>
    <w:rsid w:val="008C63DF"/>
    <w:rsid w:val="008C708B"/>
    <w:rsid w:val="008D1661"/>
    <w:rsid w:val="008D5C97"/>
    <w:rsid w:val="008D6800"/>
    <w:rsid w:val="008E7031"/>
    <w:rsid w:val="008E77DE"/>
    <w:rsid w:val="008F07A3"/>
    <w:rsid w:val="008F16B3"/>
    <w:rsid w:val="008F34DD"/>
    <w:rsid w:val="009001B6"/>
    <w:rsid w:val="00900E1B"/>
    <w:rsid w:val="00901C3C"/>
    <w:rsid w:val="009038ED"/>
    <w:rsid w:val="009233EE"/>
    <w:rsid w:val="00923CFC"/>
    <w:rsid w:val="00923FA9"/>
    <w:rsid w:val="009272AD"/>
    <w:rsid w:val="009277DC"/>
    <w:rsid w:val="00927F3B"/>
    <w:rsid w:val="009301F9"/>
    <w:rsid w:val="009439F7"/>
    <w:rsid w:val="009460AA"/>
    <w:rsid w:val="0094641C"/>
    <w:rsid w:val="00951978"/>
    <w:rsid w:val="00953CCC"/>
    <w:rsid w:val="0096107C"/>
    <w:rsid w:val="00961115"/>
    <w:rsid w:val="00961A4A"/>
    <w:rsid w:val="009661DE"/>
    <w:rsid w:val="00970938"/>
    <w:rsid w:val="00974E02"/>
    <w:rsid w:val="0098291C"/>
    <w:rsid w:val="00983C25"/>
    <w:rsid w:val="009856B7"/>
    <w:rsid w:val="00985C86"/>
    <w:rsid w:val="00996BAF"/>
    <w:rsid w:val="009972D8"/>
    <w:rsid w:val="009A4FAA"/>
    <w:rsid w:val="009A5113"/>
    <w:rsid w:val="009A539D"/>
    <w:rsid w:val="009A5FC3"/>
    <w:rsid w:val="009B5DC8"/>
    <w:rsid w:val="009B6CCE"/>
    <w:rsid w:val="009B6F84"/>
    <w:rsid w:val="009B7343"/>
    <w:rsid w:val="009B74B0"/>
    <w:rsid w:val="009C691D"/>
    <w:rsid w:val="009D2B38"/>
    <w:rsid w:val="009D3906"/>
    <w:rsid w:val="009D6B46"/>
    <w:rsid w:val="009F4940"/>
    <w:rsid w:val="009F5BA1"/>
    <w:rsid w:val="00A02A88"/>
    <w:rsid w:val="00A0562E"/>
    <w:rsid w:val="00A06085"/>
    <w:rsid w:val="00A0726D"/>
    <w:rsid w:val="00A16596"/>
    <w:rsid w:val="00A2303E"/>
    <w:rsid w:val="00A32FBB"/>
    <w:rsid w:val="00A428EE"/>
    <w:rsid w:val="00A4478A"/>
    <w:rsid w:val="00A44852"/>
    <w:rsid w:val="00A4650A"/>
    <w:rsid w:val="00A50502"/>
    <w:rsid w:val="00A57D04"/>
    <w:rsid w:val="00A60A26"/>
    <w:rsid w:val="00A61598"/>
    <w:rsid w:val="00A84A99"/>
    <w:rsid w:val="00A84F46"/>
    <w:rsid w:val="00A871F4"/>
    <w:rsid w:val="00A90AA4"/>
    <w:rsid w:val="00A923BF"/>
    <w:rsid w:val="00A95F5F"/>
    <w:rsid w:val="00AA7BC5"/>
    <w:rsid w:val="00AB47E1"/>
    <w:rsid w:val="00AB54A2"/>
    <w:rsid w:val="00AC1B2C"/>
    <w:rsid w:val="00AC3264"/>
    <w:rsid w:val="00AD3884"/>
    <w:rsid w:val="00AD7B56"/>
    <w:rsid w:val="00AE1BF1"/>
    <w:rsid w:val="00AF0DD2"/>
    <w:rsid w:val="00B0209D"/>
    <w:rsid w:val="00B02961"/>
    <w:rsid w:val="00B04908"/>
    <w:rsid w:val="00B04B4C"/>
    <w:rsid w:val="00B0661D"/>
    <w:rsid w:val="00B07CEA"/>
    <w:rsid w:val="00B13048"/>
    <w:rsid w:val="00B1716D"/>
    <w:rsid w:val="00B17A1D"/>
    <w:rsid w:val="00B207A0"/>
    <w:rsid w:val="00B30B12"/>
    <w:rsid w:val="00B31CA3"/>
    <w:rsid w:val="00B40CAA"/>
    <w:rsid w:val="00B514DD"/>
    <w:rsid w:val="00B51F3F"/>
    <w:rsid w:val="00B52996"/>
    <w:rsid w:val="00B52AF0"/>
    <w:rsid w:val="00B561BD"/>
    <w:rsid w:val="00B56E03"/>
    <w:rsid w:val="00B61EDF"/>
    <w:rsid w:val="00B74AC5"/>
    <w:rsid w:val="00B757A6"/>
    <w:rsid w:val="00B8080B"/>
    <w:rsid w:val="00B82223"/>
    <w:rsid w:val="00B87BA5"/>
    <w:rsid w:val="00B87C39"/>
    <w:rsid w:val="00B9562D"/>
    <w:rsid w:val="00BA0731"/>
    <w:rsid w:val="00BA4665"/>
    <w:rsid w:val="00BA47EE"/>
    <w:rsid w:val="00BB2FB2"/>
    <w:rsid w:val="00BB3304"/>
    <w:rsid w:val="00BB3FD7"/>
    <w:rsid w:val="00BB6848"/>
    <w:rsid w:val="00BB7528"/>
    <w:rsid w:val="00BC18DE"/>
    <w:rsid w:val="00BC2FAF"/>
    <w:rsid w:val="00BC42EF"/>
    <w:rsid w:val="00BC5CD9"/>
    <w:rsid w:val="00BD0920"/>
    <w:rsid w:val="00BD0C45"/>
    <w:rsid w:val="00BD310B"/>
    <w:rsid w:val="00BD3446"/>
    <w:rsid w:val="00BE1F1B"/>
    <w:rsid w:val="00BE21F7"/>
    <w:rsid w:val="00BE47B5"/>
    <w:rsid w:val="00BF0C8F"/>
    <w:rsid w:val="00BF0CD7"/>
    <w:rsid w:val="00BF70DE"/>
    <w:rsid w:val="00C04223"/>
    <w:rsid w:val="00C22232"/>
    <w:rsid w:val="00C25FA6"/>
    <w:rsid w:val="00C275C4"/>
    <w:rsid w:val="00C30637"/>
    <w:rsid w:val="00C36F19"/>
    <w:rsid w:val="00C42ACA"/>
    <w:rsid w:val="00C5122C"/>
    <w:rsid w:val="00C51475"/>
    <w:rsid w:val="00C538A9"/>
    <w:rsid w:val="00C53B5A"/>
    <w:rsid w:val="00C54F5A"/>
    <w:rsid w:val="00C569B4"/>
    <w:rsid w:val="00C56A01"/>
    <w:rsid w:val="00C56A3E"/>
    <w:rsid w:val="00C671EB"/>
    <w:rsid w:val="00C67A92"/>
    <w:rsid w:val="00C7497E"/>
    <w:rsid w:val="00C74D43"/>
    <w:rsid w:val="00C81568"/>
    <w:rsid w:val="00C84560"/>
    <w:rsid w:val="00C84F52"/>
    <w:rsid w:val="00C86679"/>
    <w:rsid w:val="00C9777D"/>
    <w:rsid w:val="00C97CDF"/>
    <w:rsid w:val="00CA2ABF"/>
    <w:rsid w:val="00CA2C1D"/>
    <w:rsid w:val="00CA489E"/>
    <w:rsid w:val="00CA52A2"/>
    <w:rsid w:val="00CB0279"/>
    <w:rsid w:val="00CB666B"/>
    <w:rsid w:val="00CC7F1D"/>
    <w:rsid w:val="00CD073E"/>
    <w:rsid w:val="00CD19EE"/>
    <w:rsid w:val="00CD711F"/>
    <w:rsid w:val="00CE484B"/>
    <w:rsid w:val="00CE4900"/>
    <w:rsid w:val="00CF0DEE"/>
    <w:rsid w:val="00CF2C05"/>
    <w:rsid w:val="00CF65E4"/>
    <w:rsid w:val="00CF6EDE"/>
    <w:rsid w:val="00D006AE"/>
    <w:rsid w:val="00D01CF0"/>
    <w:rsid w:val="00D01EFD"/>
    <w:rsid w:val="00D0442A"/>
    <w:rsid w:val="00D06055"/>
    <w:rsid w:val="00D066B7"/>
    <w:rsid w:val="00D17683"/>
    <w:rsid w:val="00D225C5"/>
    <w:rsid w:val="00D36FCC"/>
    <w:rsid w:val="00D37C06"/>
    <w:rsid w:val="00D41E80"/>
    <w:rsid w:val="00D45694"/>
    <w:rsid w:val="00D502CB"/>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2CF1"/>
    <w:rsid w:val="00D92D38"/>
    <w:rsid w:val="00D950F5"/>
    <w:rsid w:val="00DA0BCC"/>
    <w:rsid w:val="00DA45C4"/>
    <w:rsid w:val="00DA4752"/>
    <w:rsid w:val="00DA61F3"/>
    <w:rsid w:val="00DA6B93"/>
    <w:rsid w:val="00DA6F94"/>
    <w:rsid w:val="00DB0F93"/>
    <w:rsid w:val="00DB1A67"/>
    <w:rsid w:val="00DB5074"/>
    <w:rsid w:val="00DB5B21"/>
    <w:rsid w:val="00DB62DB"/>
    <w:rsid w:val="00DC7981"/>
    <w:rsid w:val="00DD1C15"/>
    <w:rsid w:val="00DD35B4"/>
    <w:rsid w:val="00DE1093"/>
    <w:rsid w:val="00DE4EFA"/>
    <w:rsid w:val="00DE5520"/>
    <w:rsid w:val="00DE563D"/>
    <w:rsid w:val="00DE5E2E"/>
    <w:rsid w:val="00DE772C"/>
    <w:rsid w:val="00DF1D9A"/>
    <w:rsid w:val="00DF312A"/>
    <w:rsid w:val="00DF4769"/>
    <w:rsid w:val="00E04818"/>
    <w:rsid w:val="00E06442"/>
    <w:rsid w:val="00E06BCF"/>
    <w:rsid w:val="00E1001C"/>
    <w:rsid w:val="00E23993"/>
    <w:rsid w:val="00E257D6"/>
    <w:rsid w:val="00E25B8C"/>
    <w:rsid w:val="00E3544F"/>
    <w:rsid w:val="00E35937"/>
    <w:rsid w:val="00E51D65"/>
    <w:rsid w:val="00E6200B"/>
    <w:rsid w:val="00E65C85"/>
    <w:rsid w:val="00E66199"/>
    <w:rsid w:val="00E711C7"/>
    <w:rsid w:val="00E7494F"/>
    <w:rsid w:val="00E755EC"/>
    <w:rsid w:val="00E75D62"/>
    <w:rsid w:val="00E7624D"/>
    <w:rsid w:val="00E8062D"/>
    <w:rsid w:val="00E97242"/>
    <w:rsid w:val="00EA38F3"/>
    <w:rsid w:val="00EA3D42"/>
    <w:rsid w:val="00EA6B1B"/>
    <w:rsid w:val="00EB5BC8"/>
    <w:rsid w:val="00EB606C"/>
    <w:rsid w:val="00EC04F1"/>
    <w:rsid w:val="00EC0F87"/>
    <w:rsid w:val="00EC1B2B"/>
    <w:rsid w:val="00EC32E5"/>
    <w:rsid w:val="00ED0EC2"/>
    <w:rsid w:val="00ED3474"/>
    <w:rsid w:val="00ED3941"/>
    <w:rsid w:val="00ED7323"/>
    <w:rsid w:val="00EE28F3"/>
    <w:rsid w:val="00EE50D1"/>
    <w:rsid w:val="00EE77FA"/>
    <w:rsid w:val="00EE7A83"/>
    <w:rsid w:val="00EF1B7A"/>
    <w:rsid w:val="00EF5110"/>
    <w:rsid w:val="00F0334E"/>
    <w:rsid w:val="00F07967"/>
    <w:rsid w:val="00F10411"/>
    <w:rsid w:val="00F1435B"/>
    <w:rsid w:val="00F15882"/>
    <w:rsid w:val="00F171E0"/>
    <w:rsid w:val="00F20BD3"/>
    <w:rsid w:val="00F2526A"/>
    <w:rsid w:val="00F32FD3"/>
    <w:rsid w:val="00F35081"/>
    <w:rsid w:val="00F373A5"/>
    <w:rsid w:val="00F42E08"/>
    <w:rsid w:val="00F47559"/>
    <w:rsid w:val="00F5523B"/>
    <w:rsid w:val="00F57907"/>
    <w:rsid w:val="00F61176"/>
    <w:rsid w:val="00F62A30"/>
    <w:rsid w:val="00F63854"/>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52A0"/>
    <w:rsid w:val="00FA3C7F"/>
    <w:rsid w:val="00FA4026"/>
    <w:rsid w:val="00FB1BF3"/>
    <w:rsid w:val="00FB4402"/>
    <w:rsid w:val="00FB60FE"/>
    <w:rsid w:val="00FB74E2"/>
    <w:rsid w:val="00FC71DC"/>
    <w:rsid w:val="00FD14B2"/>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325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792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law.ato.gov.au/atolaw/view.htm?docid=%22TXR%2FTR20152%2FNAT%2FATO%2F00001%22"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2F0A67-FA93-4E49-8B43-1E8C7E2F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C0586301</Template>
  <TotalTime>0</TotalTime>
  <Pages>12</Pages>
  <Words>2241</Words>
  <Characters>12779</Characters>
  <Application>Microsoft Office Word</Application>
  <DocSecurity>0</DocSecurity>
  <Lines>106</Lines>
  <Paragraphs>29</Paragraphs>
  <ScaleCrop>false</ScaleCrop>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2016-05-20T07:54:00Z</dcterms:created>
  <dcterms:modified xsi:type="dcterms:W3CDTF">2016-05-20T07:54:00Z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8575384</vt:lpwstr>
  </property>
</Properties>
</file>