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FA69F46" wp14:editId="16392EA7">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0D64F2" w:rsidP="008F07A3">
          <w:pPr>
            <w:pStyle w:val="ReportSubtitle"/>
          </w:pPr>
          <w:r>
            <w:t>Amadeus</w:t>
          </w:r>
          <w:r w:rsidR="00A06085">
            <w:t xml:space="preserve"> </w:t>
          </w:r>
          <w:r w:rsidR="0033548E">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5D03B1">
            <w:t>9</w:t>
          </w:r>
          <w:r w:rsidR="00DA4752">
            <w:t xml:space="preserve"> </w:t>
          </w:r>
          <w:r w:rsidR="00415F31">
            <w:rPr>
              <w:rFonts w:cs="Arial"/>
            </w:rPr>
            <w:t>–</w:t>
          </w:r>
          <w:r w:rsidR="00DA4752">
            <w:t xml:space="preserve"> </w:t>
          </w:r>
          <w:r w:rsidR="005D03B1">
            <w:t>Efficiency carryover mechanism</w:t>
          </w:r>
        </w:p>
        <w:p w:rsidR="000A6C7B" w:rsidRPr="00327A1E" w:rsidRDefault="00EC146F" w:rsidP="00327A1E">
          <w:pPr>
            <w:pStyle w:val="ReportDate"/>
          </w:pPr>
          <w:r>
            <w:t xml:space="preserve">May </w:t>
          </w:r>
          <w:r w:rsidR="00A2303E">
            <w:t>2016</w:t>
          </w:r>
        </w:p>
      </w:sdtContent>
    </w:sdt>
    <w:p w:rsidR="00327A1E" w:rsidRPr="00290C63" w:rsidRDefault="00327A1E" w:rsidP="00290C63">
      <w:r>
        <w:br w:type="page"/>
      </w:r>
    </w:p>
    <w:p w:rsidR="000A6C7B" w:rsidRDefault="00546641"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30254"/>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51530255"/>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1D5088"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530254" w:history="1">
            <w:r w:rsidR="001D5088" w:rsidRPr="000D652C">
              <w:rPr>
                <w:rStyle w:val="Hyperlink"/>
              </w:rPr>
              <w:t>Note</w:t>
            </w:r>
            <w:r w:rsidR="001D5088">
              <w:rPr>
                <w:webHidden/>
              </w:rPr>
              <w:tab/>
            </w:r>
            <w:r w:rsidR="001D5088">
              <w:rPr>
                <w:webHidden/>
              </w:rPr>
              <w:fldChar w:fldCharType="begin"/>
            </w:r>
            <w:r w:rsidR="001D5088">
              <w:rPr>
                <w:webHidden/>
              </w:rPr>
              <w:instrText xml:space="preserve"> PAGEREF _Toc451530254 \h </w:instrText>
            </w:r>
            <w:r w:rsidR="001D5088">
              <w:rPr>
                <w:webHidden/>
              </w:rPr>
            </w:r>
            <w:r w:rsidR="001D5088">
              <w:rPr>
                <w:webHidden/>
              </w:rPr>
              <w:fldChar w:fldCharType="separate"/>
            </w:r>
            <w:r w:rsidR="001D5088">
              <w:rPr>
                <w:webHidden/>
              </w:rPr>
              <w:t>9-2</w:t>
            </w:r>
            <w:r w:rsidR="001D5088">
              <w:rPr>
                <w:webHidden/>
              </w:rPr>
              <w:fldChar w:fldCharType="end"/>
            </w:r>
          </w:hyperlink>
        </w:p>
        <w:p w:rsidR="001D5088" w:rsidRDefault="001D5088">
          <w:pPr>
            <w:pStyle w:val="TOC1"/>
            <w:rPr>
              <w:rFonts w:asciiTheme="minorHAnsi" w:eastAsiaTheme="minorEastAsia" w:hAnsiTheme="minorHAnsi"/>
              <w:b w:val="0"/>
              <w:color w:val="auto"/>
              <w:sz w:val="22"/>
              <w:lang w:val="en-AU" w:eastAsia="en-AU"/>
            </w:rPr>
          </w:pPr>
          <w:hyperlink w:anchor="_Toc451530255" w:history="1">
            <w:r w:rsidRPr="000D652C">
              <w:rPr>
                <w:rStyle w:val="Hyperlink"/>
              </w:rPr>
              <w:t>Contents</w:t>
            </w:r>
            <w:r>
              <w:rPr>
                <w:webHidden/>
              </w:rPr>
              <w:tab/>
            </w:r>
            <w:r>
              <w:rPr>
                <w:webHidden/>
              </w:rPr>
              <w:fldChar w:fldCharType="begin"/>
            </w:r>
            <w:r>
              <w:rPr>
                <w:webHidden/>
              </w:rPr>
              <w:instrText xml:space="preserve"> PAGEREF _Toc451530255 \h </w:instrText>
            </w:r>
            <w:r>
              <w:rPr>
                <w:webHidden/>
              </w:rPr>
            </w:r>
            <w:r>
              <w:rPr>
                <w:webHidden/>
              </w:rPr>
              <w:fldChar w:fldCharType="separate"/>
            </w:r>
            <w:r>
              <w:rPr>
                <w:webHidden/>
              </w:rPr>
              <w:t>9-3</w:t>
            </w:r>
            <w:r>
              <w:rPr>
                <w:webHidden/>
              </w:rPr>
              <w:fldChar w:fldCharType="end"/>
            </w:r>
          </w:hyperlink>
        </w:p>
        <w:p w:rsidR="001D5088" w:rsidRDefault="001D5088">
          <w:pPr>
            <w:pStyle w:val="TOC1"/>
            <w:rPr>
              <w:rFonts w:asciiTheme="minorHAnsi" w:eastAsiaTheme="minorEastAsia" w:hAnsiTheme="minorHAnsi"/>
              <w:b w:val="0"/>
              <w:color w:val="auto"/>
              <w:sz w:val="22"/>
              <w:lang w:val="en-AU" w:eastAsia="en-AU"/>
            </w:rPr>
          </w:pPr>
          <w:hyperlink w:anchor="_Toc451530256" w:history="1">
            <w:r w:rsidRPr="000D652C">
              <w:rPr>
                <w:rStyle w:val="Hyperlink"/>
              </w:rPr>
              <w:t>Shortened forms</w:t>
            </w:r>
            <w:r>
              <w:rPr>
                <w:webHidden/>
              </w:rPr>
              <w:tab/>
            </w:r>
            <w:r>
              <w:rPr>
                <w:webHidden/>
              </w:rPr>
              <w:fldChar w:fldCharType="begin"/>
            </w:r>
            <w:r>
              <w:rPr>
                <w:webHidden/>
              </w:rPr>
              <w:instrText xml:space="preserve"> PAGEREF _Toc451530256 \h </w:instrText>
            </w:r>
            <w:r>
              <w:rPr>
                <w:webHidden/>
              </w:rPr>
            </w:r>
            <w:r>
              <w:rPr>
                <w:webHidden/>
              </w:rPr>
              <w:fldChar w:fldCharType="separate"/>
            </w:r>
            <w:r>
              <w:rPr>
                <w:webHidden/>
              </w:rPr>
              <w:t>9-4</w:t>
            </w:r>
            <w:r>
              <w:rPr>
                <w:webHidden/>
              </w:rPr>
              <w:fldChar w:fldCharType="end"/>
            </w:r>
          </w:hyperlink>
        </w:p>
        <w:p w:rsidR="001D5088" w:rsidRDefault="001D5088">
          <w:pPr>
            <w:pStyle w:val="TOC1"/>
            <w:rPr>
              <w:rFonts w:asciiTheme="minorHAnsi" w:eastAsiaTheme="minorEastAsia" w:hAnsiTheme="minorHAnsi"/>
              <w:b w:val="0"/>
              <w:color w:val="auto"/>
              <w:sz w:val="22"/>
              <w:lang w:val="en-AU" w:eastAsia="en-AU"/>
            </w:rPr>
          </w:pPr>
          <w:hyperlink w:anchor="_Toc451530257" w:history="1">
            <w:r w:rsidRPr="000D652C">
              <w:rPr>
                <w:rStyle w:val="Hyperlink"/>
              </w:rPr>
              <w:t>9</w:t>
            </w:r>
            <w:r>
              <w:rPr>
                <w:rFonts w:asciiTheme="minorHAnsi" w:eastAsiaTheme="minorEastAsia" w:hAnsiTheme="minorHAnsi"/>
                <w:b w:val="0"/>
                <w:color w:val="auto"/>
                <w:sz w:val="22"/>
                <w:lang w:val="en-AU" w:eastAsia="en-AU"/>
              </w:rPr>
              <w:tab/>
            </w:r>
            <w:r w:rsidRPr="000D652C">
              <w:rPr>
                <w:rStyle w:val="Hyperlink"/>
              </w:rPr>
              <w:t>Efficiency carryover mechanism</w:t>
            </w:r>
            <w:r>
              <w:rPr>
                <w:webHidden/>
              </w:rPr>
              <w:tab/>
            </w:r>
            <w:r>
              <w:rPr>
                <w:webHidden/>
              </w:rPr>
              <w:fldChar w:fldCharType="begin"/>
            </w:r>
            <w:r>
              <w:rPr>
                <w:webHidden/>
              </w:rPr>
              <w:instrText xml:space="preserve"> PAGEREF _Toc451530257 \h </w:instrText>
            </w:r>
            <w:r>
              <w:rPr>
                <w:webHidden/>
              </w:rPr>
            </w:r>
            <w:r>
              <w:rPr>
                <w:webHidden/>
              </w:rPr>
              <w:fldChar w:fldCharType="separate"/>
            </w:r>
            <w:r>
              <w:rPr>
                <w:webHidden/>
              </w:rPr>
              <w:t>9-6</w:t>
            </w:r>
            <w:r>
              <w:rPr>
                <w:webHidden/>
              </w:rPr>
              <w:fldChar w:fldCharType="end"/>
            </w:r>
          </w:hyperlink>
        </w:p>
        <w:p w:rsidR="001D5088" w:rsidRDefault="001D5088">
          <w:pPr>
            <w:pStyle w:val="TOC2"/>
            <w:rPr>
              <w:rFonts w:asciiTheme="minorHAnsi" w:eastAsiaTheme="minorEastAsia" w:hAnsiTheme="minorHAnsi"/>
              <w:b w:val="0"/>
              <w:color w:val="auto"/>
              <w:sz w:val="22"/>
              <w:lang w:eastAsia="en-AU"/>
            </w:rPr>
          </w:pPr>
          <w:hyperlink w:anchor="_Toc451530258" w:history="1">
            <w:r w:rsidRPr="000D652C">
              <w:rPr>
                <w:rStyle w:val="Hyperlink"/>
              </w:rPr>
              <w:t>9.1</w:t>
            </w:r>
            <w:r>
              <w:rPr>
                <w:rFonts w:asciiTheme="minorHAnsi" w:eastAsiaTheme="minorEastAsia" w:hAnsiTheme="minorHAnsi"/>
                <w:b w:val="0"/>
                <w:color w:val="auto"/>
                <w:sz w:val="22"/>
                <w:lang w:eastAsia="en-AU"/>
              </w:rPr>
              <w:tab/>
            </w:r>
            <w:r w:rsidRPr="000D652C">
              <w:rPr>
                <w:rStyle w:val="Hyperlink"/>
              </w:rPr>
              <w:t>Final decision</w:t>
            </w:r>
            <w:r>
              <w:rPr>
                <w:webHidden/>
              </w:rPr>
              <w:tab/>
            </w:r>
            <w:r>
              <w:rPr>
                <w:webHidden/>
              </w:rPr>
              <w:fldChar w:fldCharType="begin"/>
            </w:r>
            <w:r>
              <w:rPr>
                <w:webHidden/>
              </w:rPr>
              <w:instrText xml:space="preserve"> PAGEREF _Toc451530258 \h </w:instrText>
            </w:r>
            <w:r>
              <w:rPr>
                <w:webHidden/>
              </w:rPr>
            </w:r>
            <w:r>
              <w:rPr>
                <w:webHidden/>
              </w:rPr>
              <w:fldChar w:fldCharType="separate"/>
            </w:r>
            <w:r>
              <w:rPr>
                <w:webHidden/>
              </w:rPr>
              <w:t>9-6</w:t>
            </w:r>
            <w:r>
              <w:rPr>
                <w:webHidden/>
              </w:rPr>
              <w:fldChar w:fldCharType="end"/>
            </w:r>
          </w:hyperlink>
        </w:p>
        <w:p w:rsidR="001D5088" w:rsidRDefault="001D5088">
          <w:pPr>
            <w:pStyle w:val="TOC2"/>
            <w:rPr>
              <w:rFonts w:asciiTheme="minorHAnsi" w:eastAsiaTheme="minorEastAsia" w:hAnsiTheme="minorHAnsi"/>
              <w:b w:val="0"/>
              <w:color w:val="auto"/>
              <w:sz w:val="22"/>
              <w:lang w:eastAsia="en-AU"/>
            </w:rPr>
          </w:pPr>
          <w:hyperlink w:anchor="_Toc451530259" w:history="1">
            <w:r w:rsidRPr="000D652C">
              <w:rPr>
                <w:rStyle w:val="Hyperlink"/>
              </w:rPr>
              <w:t>9.2</w:t>
            </w:r>
            <w:r>
              <w:rPr>
                <w:rFonts w:asciiTheme="minorHAnsi" w:eastAsiaTheme="minorEastAsia" w:hAnsiTheme="minorHAnsi"/>
                <w:b w:val="0"/>
                <w:color w:val="auto"/>
                <w:sz w:val="22"/>
                <w:lang w:eastAsia="en-AU"/>
              </w:rPr>
              <w:tab/>
            </w:r>
            <w:r w:rsidRPr="000D652C">
              <w:rPr>
                <w:rStyle w:val="Hyperlink"/>
              </w:rPr>
              <w:t>APTNT’s revised proposal</w:t>
            </w:r>
            <w:r>
              <w:rPr>
                <w:webHidden/>
              </w:rPr>
              <w:tab/>
            </w:r>
            <w:r>
              <w:rPr>
                <w:webHidden/>
              </w:rPr>
              <w:fldChar w:fldCharType="begin"/>
            </w:r>
            <w:r>
              <w:rPr>
                <w:webHidden/>
              </w:rPr>
              <w:instrText xml:space="preserve"> PAGEREF _Toc451530259 \h </w:instrText>
            </w:r>
            <w:r>
              <w:rPr>
                <w:webHidden/>
              </w:rPr>
            </w:r>
            <w:r>
              <w:rPr>
                <w:webHidden/>
              </w:rPr>
              <w:fldChar w:fldCharType="separate"/>
            </w:r>
            <w:r>
              <w:rPr>
                <w:webHidden/>
              </w:rPr>
              <w:t>9-6</w:t>
            </w:r>
            <w:r>
              <w:rPr>
                <w:webHidden/>
              </w:rPr>
              <w:fldChar w:fldCharType="end"/>
            </w:r>
          </w:hyperlink>
        </w:p>
        <w:p w:rsidR="001D5088" w:rsidRDefault="001D5088">
          <w:pPr>
            <w:pStyle w:val="TOC2"/>
            <w:rPr>
              <w:rFonts w:asciiTheme="minorHAnsi" w:eastAsiaTheme="minorEastAsia" w:hAnsiTheme="minorHAnsi"/>
              <w:b w:val="0"/>
              <w:color w:val="auto"/>
              <w:sz w:val="22"/>
              <w:lang w:eastAsia="en-AU"/>
            </w:rPr>
          </w:pPr>
          <w:hyperlink w:anchor="_Toc451530260" w:history="1">
            <w:r w:rsidRPr="000D652C">
              <w:rPr>
                <w:rStyle w:val="Hyperlink"/>
              </w:rPr>
              <w:t>9.3</w:t>
            </w:r>
            <w:r>
              <w:rPr>
                <w:rFonts w:asciiTheme="minorHAnsi" w:eastAsiaTheme="minorEastAsia" w:hAnsiTheme="minorHAnsi"/>
                <w:b w:val="0"/>
                <w:color w:val="auto"/>
                <w:sz w:val="22"/>
                <w:lang w:eastAsia="en-AU"/>
              </w:rPr>
              <w:tab/>
            </w:r>
            <w:r w:rsidRPr="000D652C">
              <w:rPr>
                <w:rStyle w:val="Hyperlink"/>
              </w:rPr>
              <w:t>AER’s assessment approach</w:t>
            </w:r>
            <w:r>
              <w:rPr>
                <w:webHidden/>
              </w:rPr>
              <w:tab/>
            </w:r>
            <w:r>
              <w:rPr>
                <w:webHidden/>
              </w:rPr>
              <w:fldChar w:fldCharType="begin"/>
            </w:r>
            <w:r>
              <w:rPr>
                <w:webHidden/>
              </w:rPr>
              <w:instrText xml:space="preserve"> PAGEREF _Toc451530260 \h </w:instrText>
            </w:r>
            <w:r>
              <w:rPr>
                <w:webHidden/>
              </w:rPr>
            </w:r>
            <w:r>
              <w:rPr>
                <w:webHidden/>
              </w:rPr>
              <w:fldChar w:fldCharType="separate"/>
            </w:r>
            <w:r>
              <w:rPr>
                <w:webHidden/>
              </w:rPr>
              <w:t>9-7</w:t>
            </w:r>
            <w:r>
              <w:rPr>
                <w:webHidden/>
              </w:rPr>
              <w:fldChar w:fldCharType="end"/>
            </w:r>
          </w:hyperlink>
        </w:p>
        <w:p w:rsidR="001D5088" w:rsidRDefault="001D5088">
          <w:pPr>
            <w:pStyle w:val="TOC2"/>
            <w:rPr>
              <w:rFonts w:asciiTheme="minorHAnsi" w:eastAsiaTheme="minorEastAsia" w:hAnsiTheme="minorHAnsi"/>
              <w:b w:val="0"/>
              <w:color w:val="auto"/>
              <w:sz w:val="22"/>
              <w:lang w:eastAsia="en-AU"/>
            </w:rPr>
          </w:pPr>
          <w:hyperlink w:anchor="_Toc451530261" w:history="1">
            <w:r w:rsidRPr="000D652C">
              <w:rPr>
                <w:rStyle w:val="Hyperlink"/>
              </w:rPr>
              <w:t>9.4</w:t>
            </w:r>
            <w:r>
              <w:rPr>
                <w:rFonts w:asciiTheme="minorHAnsi" w:eastAsiaTheme="minorEastAsia" w:hAnsiTheme="minorHAnsi"/>
                <w:b w:val="0"/>
                <w:color w:val="auto"/>
                <w:sz w:val="22"/>
                <w:lang w:eastAsia="en-AU"/>
              </w:rPr>
              <w:tab/>
            </w:r>
            <w:r w:rsidRPr="000D652C">
              <w:rPr>
                <w:rStyle w:val="Hyperlink"/>
              </w:rPr>
              <w:t>Reasons for final decision</w:t>
            </w:r>
            <w:r>
              <w:rPr>
                <w:webHidden/>
              </w:rPr>
              <w:tab/>
            </w:r>
            <w:r>
              <w:rPr>
                <w:webHidden/>
              </w:rPr>
              <w:fldChar w:fldCharType="begin"/>
            </w:r>
            <w:r>
              <w:rPr>
                <w:webHidden/>
              </w:rPr>
              <w:instrText xml:space="preserve"> PAGEREF _Toc451530261 \h </w:instrText>
            </w:r>
            <w:r>
              <w:rPr>
                <w:webHidden/>
              </w:rPr>
            </w:r>
            <w:r>
              <w:rPr>
                <w:webHidden/>
              </w:rPr>
              <w:fldChar w:fldCharType="separate"/>
            </w:r>
            <w:r>
              <w:rPr>
                <w:webHidden/>
              </w:rPr>
              <w:t>9-7</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530256"/>
      <w:r>
        <w:lastRenderedPageBreak/>
        <w:t>Shortened forms</w:t>
      </w:r>
      <w:bookmarkEnd w:id="8"/>
      <w:bookmarkEnd w:id="9"/>
    </w:p>
    <w:tbl>
      <w:tblPr>
        <w:tblStyle w:val="AERtable-numbers"/>
        <w:tblW w:w="0" w:type="auto"/>
        <w:tblLook w:val="04A0" w:firstRow="1" w:lastRow="0" w:firstColumn="1" w:lastColumn="0" w:noHBand="0" w:noVBand="1"/>
      </w:tblPr>
      <w:tblGrid>
        <w:gridCol w:w="2376"/>
        <w:gridCol w:w="1276"/>
        <w:gridCol w:w="5041"/>
      </w:tblGrid>
      <w:tr w:rsidR="00E7494F" w:rsidTr="008112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gridSpan w:val="2"/>
          </w:tcPr>
          <w:p w:rsidR="00E7494F" w:rsidRDefault="00E7494F" w:rsidP="00E7494F">
            <w:pPr>
              <w:numPr>
                <w:ilvl w:val="0"/>
                <w:numId w:val="24"/>
              </w:numPr>
            </w:pPr>
            <w:r>
              <w:t>Shortened form</w:t>
            </w:r>
          </w:p>
        </w:tc>
        <w:tc>
          <w:tcPr>
            <w:tcW w:w="5041" w:type="dxa"/>
          </w:tcPr>
          <w:p w:rsidR="00E7494F" w:rsidRDefault="00E7494F" w:rsidP="00E7494F">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AA</w:t>
            </w:r>
          </w:p>
        </w:tc>
        <w:tc>
          <w:tcPr>
            <w:tcW w:w="6317" w:type="dxa"/>
            <w:gridSpan w:val="2"/>
          </w:tcPr>
          <w:p w:rsidR="003C69D1" w:rsidRPr="003C69D1" w:rsidRDefault="003C69D1" w:rsidP="003C69D1">
            <w:pPr>
              <w:cnfStyle w:val="000000000000" w:firstRow="0" w:lastRow="0" w:firstColumn="0" w:lastColumn="0" w:oddVBand="0" w:evenVBand="0" w:oddHBand="0" w:evenHBand="0" w:firstRowFirstColumn="0" w:firstRowLastColumn="0" w:lastRowFirstColumn="0" w:lastRowLastColumn="0"/>
            </w:pPr>
            <w:r w:rsidRPr="00F13601">
              <w:t>Access Arrangement</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AAI</w:t>
            </w:r>
          </w:p>
        </w:tc>
        <w:tc>
          <w:tcPr>
            <w:tcW w:w="6317" w:type="dxa"/>
            <w:gridSpan w:val="2"/>
          </w:tcPr>
          <w:p w:rsidR="003C69D1" w:rsidRPr="003C69D1" w:rsidRDefault="003C69D1" w:rsidP="003C69D1">
            <w:pPr>
              <w:cnfStyle w:val="000000010000" w:firstRow="0" w:lastRow="0" w:firstColumn="0" w:lastColumn="0" w:oddVBand="0" w:evenVBand="0" w:oddHBand="0" w:evenHBand="1" w:firstRowFirstColumn="0" w:firstRowLastColumn="0" w:lastRowFirstColumn="0" w:lastRowLastColumn="0"/>
            </w:pPr>
            <w:r w:rsidRPr="00F13601">
              <w:t>Access Arrangement Information</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035E7">
              <w:t>APTNT</w:t>
            </w:r>
          </w:p>
        </w:tc>
        <w:tc>
          <w:tcPr>
            <w:tcW w:w="6317" w:type="dxa"/>
            <w:gridSpan w:val="2"/>
          </w:tcPr>
          <w:p w:rsidR="003C69D1" w:rsidRPr="00F13601" w:rsidRDefault="003C69D1" w:rsidP="003C69D1">
            <w:pPr>
              <w:numPr>
                <w:ilvl w:val="0"/>
                <w:numId w:val="24"/>
              </w:numPr>
              <w:cnfStyle w:val="000000000000" w:firstRow="0" w:lastRow="0" w:firstColumn="0" w:lastColumn="0" w:oddVBand="0" w:evenVBand="0" w:oddHBand="0" w:evenHBand="0" w:firstRowFirstColumn="0" w:firstRowLastColumn="0" w:lastRowFirstColumn="0" w:lastRowLastColumn="0"/>
            </w:pPr>
            <w:r w:rsidRPr="00F035E7">
              <w:t>APT Pipelines (NT) Pty Limited (APTNT)</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AER</w:t>
            </w:r>
          </w:p>
        </w:tc>
        <w:tc>
          <w:tcPr>
            <w:tcW w:w="6317" w:type="dxa"/>
            <w:gridSpan w:val="2"/>
          </w:tcPr>
          <w:p w:rsidR="003C69D1" w:rsidRPr="00F13601" w:rsidRDefault="003C69D1" w:rsidP="003C69D1">
            <w:pPr>
              <w:numPr>
                <w:ilvl w:val="0"/>
                <w:numId w:val="24"/>
              </w:numPr>
              <w:cnfStyle w:val="000000010000" w:firstRow="0" w:lastRow="0" w:firstColumn="0" w:lastColumn="0" w:oddVBand="0" w:evenVBand="0" w:oddHBand="0" w:evenHBand="1" w:firstRowFirstColumn="0" w:firstRowLastColumn="0" w:lastRowFirstColumn="0" w:lastRowLastColumn="0"/>
            </w:pPr>
            <w:r w:rsidRPr="00F13601">
              <w:t>Australian Energy Regulator</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t>AGP</w:t>
            </w:r>
          </w:p>
        </w:tc>
        <w:tc>
          <w:tcPr>
            <w:tcW w:w="6317" w:type="dxa"/>
            <w:gridSpan w:val="2"/>
          </w:tcPr>
          <w:p w:rsidR="003C69D1" w:rsidRPr="003C69D1" w:rsidRDefault="003C69D1" w:rsidP="003C69D1">
            <w:pPr>
              <w:cnfStyle w:val="000000000000" w:firstRow="0" w:lastRow="0" w:firstColumn="0" w:lastColumn="0" w:oddVBand="0" w:evenVBand="0" w:oddHBand="0" w:evenHBand="0" w:firstRowFirstColumn="0" w:firstRowLastColumn="0" w:lastRowFirstColumn="0" w:lastRowLastColumn="0"/>
            </w:pPr>
            <w:r>
              <w:t>Amadeus Gas Pipeline</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ATO</w:t>
            </w:r>
          </w:p>
        </w:tc>
        <w:tc>
          <w:tcPr>
            <w:tcW w:w="6317" w:type="dxa"/>
            <w:gridSpan w:val="2"/>
          </w:tcPr>
          <w:p w:rsidR="003C69D1" w:rsidRPr="003C69D1" w:rsidRDefault="003C69D1" w:rsidP="003C69D1">
            <w:pPr>
              <w:cnfStyle w:val="000000010000" w:firstRow="0" w:lastRow="0" w:firstColumn="0" w:lastColumn="0" w:oddVBand="0" w:evenVBand="0" w:oddHBand="0" w:evenHBand="1" w:firstRowFirstColumn="0" w:firstRowLastColumn="0" w:lastRowFirstColumn="0" w:lastRowLastColumn="0"/>
            </w:pPr>
            <w:r w:rsidRPr="00F13601">
              <w:t>Australian Tax Office</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capex</w:t>
            </w:r>
          </w:p>
        </w:tc>
        <w:tc>
          <w:tcPr>
            <w:tcW w:w="6317" w:type="dxa"/>
            <w:gridSpan w:val="2"/>
          </w:tcPr>
          <w:p w:rsidR="003C69D1" w:rsidRPr="00F13601" w:rsidRDefault="003C69D1" w:rsidP="003C69D1">
            <w:pPr>
              <w:numPr>
                <w:ilvl w:val="0"/>
                <w:numId w:val="24"/>
              </w:numPr>
              <w:cnfStyle w:val="000000000000" w:firstRow="0" w:lastRow="0" w:firstColumn="0" w:lastColumn="0" w:oddVBand="0" w:evenVBand="0" w:oddHBand="0" w:evenHBand="0" w:firstRowFirstColumn="0" w:firstRowLastColumn="0" w:lastRowFirstColumn="0" w:lastRowLastColumn="0"/>
            </w:pPr>
            <w:r w:rsidRPr="00F13601">
              <w:t>capital expenditure</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CAPM</w:t>
            </w:r>
          </w:p>
        </w:tc>
        <w:tc>
          <w:tcPr>
            <w:tcW w:w="6317" w:type="dxa"/>
            <w:gridSpan w:val="2"/>
          </w:tcPr>
          <w:p w:rsidR="003C69D1" w:rsidRPr="00F13601" w:rsidRDefault="003C69D1" w:rsidP="003C69D1">
            <w:pPr>
              <w:numPr>
                <w:ilvl w:val="0"/>
                <w:numId w:val="24"/>
              </w:numPr>
              <w:cnfStyle w:val="000000010000" w:firstRow="0" w:lastRow="0" w:firstColumn="0" w:lastColumn="0" w:oddVBand="0" w:evenVBand="0" w:oddHBand="0" w:evenHBand="1" w:firstRowFirstColumn="0" w:firstRowLastColumn="0" w:lastRowFirstColumn="0" w:lastRowLastColumn="0"/>
            </w:pPr>
            <w:r w:rsidRPr="00F13601">
              <w:t>capital asset pricing model</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CPI</w:t>
            </w:r>
          </w:p>
        </w:tc>
        <w:tc>
          <w:tcPr>
            <w:tcW w:w="6317" w:type="dxa"/>
            <w:gridSpan w:val="2"/>
          </w:tcPr>
          <w:p w:rsidR="003C69D1" w:rsidRPr="00F13601" w:rsidRDefault="003C69D1" w:rsidP="003C69D1">
            <w:pPr>
              <w:numPr>
                <w:ilvl w:val="0"/>
                <w:numId w:val="24"/>
              </w:numPr>
              <w:cnfStyle w:val="000000000000" w:firstRow="0" w:lastRow="0" w:firstColumn="0" w:lastColumn="0" w:oddVBand="0" w:evenVBand="0" w:oddHBand="0" w:evenHBand="0" w:firstRowFirstColumn="0" w:firstRowLastColumn="0" w:lastRowFirstColumn="0" w:lastRowLastColumn="0"/>
            </w:pPr>
            <w:r w:rsidRPr="00F13601">
              <w:t>consumer price index</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DRP</w:t>
            </w:r>
          </w:p>
        </w:tc>
        <w:tc>
          <w:tcPr>
            <w:tcW w:w="6317" w:type="dxa"/>
            <w:gridSpan w:val="2"/>
          </w:tcPr>
          <w:p w:rsidR="003C69D1" w:rsidRPr="00F13601" w:rsidRDefault="003C69D1" w:rsidP="003C69D1">
            <w:pPr>
              <w:numPr>
                <w:ilvl w:val="0"/>
                <w:numId w:val="24"/>
              </w:numPr>
              <w:cnfStyle w:val="000000010000" w:firstRow="0" w:lastRow="0" w:firstColumn="0" w:lastColumn="0" w:oddVBand="0" w:evenVBand="0" w:oddHBand="0" w:evenHBand="1" w:firstRowFirstColumn="0" w:firstRowLastColumn="0" w:lastRowFirstColumn="0" w:lastRowLastColumn="0"/>
            </w:pPr>
            <w:r w:rsidRPr="00F13601">
              <w:t>debt risk premium</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B2363F" w:rsidRDefault="003C69D1" w:rsidP="003C69D1">
            <w:pPr>
              <w:numPr>
                <w:ilvl w:val="0"/>
                <w:numId w:val="24"/>
              </w:numPr>
            </w:pPr>
            <w:r>
              <w:t>ECM</w:t>
            </w:r>
          </w:p>
        </w:tc>
        <w:tc>
          <w:tcPr>
            <w:tcW w:w="6317" w:type="dxa"/>
            <w:gridSpan w:val="2"/>
          </w:tcPr>
          <w:p w:rsidR="003C69D1" w:rsidRPr="003C69D1" w:rsidRDefault="003C69D1" w:rsidP="003C69D1">
            <w:pPr>
              <w:cnfStyle w:val="000000000000" w:firstRow="0" w:lastRow="0" w:firstColumn="0" w:lastColumn="0" w:oddVBand="0" w:evenVBand="0" w:oddHBand="0" w:evenHBand="0" w:firstRowFirstColumn="0" w:firstRowLastColumn="0" w:lastRowFirstColumn="0" w:lastRowLastColumn="0"/>
            </w:pPr>
            <w:r>
              <w:t>Efficiency carryover mechanism</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ERP</w:t>
            </w:r>
          </w:p>
        </w:tc>
        <w:tc>
          <w:tcPr>
            <w:tcW w:w="6317" w:type="dxa"/>
            <w:gridSpan w:val="2"/>
          </w:tcPr>
          <w:p w:rsidR="003C69D1" w:rsidRPr="00F13601" w:rsidRDefault="003C69D1" w:rsidP="003C69D1">
            <w:pPr>
              <w:numPr>
                <w:ilvl w:val="0"/>
                <w:numId w:val="24"/>
              </w:numPr>
              <w:cnfStyle w:val="000000010000" w:firstRow="0" w:lastRow="0" w:firstColumn="0" w:lastColumn="0" w:oddVBand="0" w:evenVBand="0" w:oddHBand="0" w:evenHBand="1" w:firstRowFirstColumn="0" w:firstRowLastColumn="0" w:lastRowFirstColumn="0" w:lastRowLastColumn="0"/>
            </w:pPr>
            <w:r w:rsidRPr="00F13601">
              <w:t>equity risk premium</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Expenditure Guideline</w:t>
            </w:r>
          </w:p>
        </w:tc>
        <w:tc>
          <w:tcPr>
            <w:tcW w:w="6317" w:type="dxa"/>
            <w:gridSpan w:val="2"/>
          </w:tcPr>
          <w:p w:rsidR="003C69D1" w:rsidRPr="003C69D1" w:rsidRDefault="003C69D1" w:rsidP="003C69D1">
            <w:pPr>
              <w:cnfStyle w:val="000000000000" w:firstRow="0" w:lastRow="0" w:firstColumn="0" w:lastColumn="0" w:oddVBand="0" w:evenVBand="0" w:oddHBand="0" w:evenHBand="0" w:firstRowFirstColumn="0" w:firstRowLastColumn="0" w:lastRowFirstColumn="0" w:lastRowLastColumn="0"/>
            </w:pPr>
            <w:r w:rsidRPr="00F13601">
              <w:t>Expenditure Forecast Assessment Guideline</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gamma</w:t>
            </w:r>
          </w:p>
        </w:tc>
        <w:tc>
          <w:tcPr>
            <w:tcW w:w="6317" w:type="dxa"/>
            <w:gridSpan w:val="2"/>
          </w:tcPr>
          <w:p w:rsidR="003C69D1" w:rsidRPr="003C69D1" w:rsidRDefault="003C69D1" w:rsidP="003C69D1">
            <w:pPr>
              <w:cnfStyle w:val="000000010000" w:firstRow="0" w:lastRow="0" w:firstColumn="0" w:lastColumn="0" w:oddVBand="0" w:evenVBand="0" w:oddHBand="0" w:evenHBand="1" w:firstRowFirstColumn="0" w:firstRowLastColumn="0" w:lastRowFirstColumn="0" w:lastRowLastColumn="0"/>
            </w:pPr>
            <w:r>
              <w:t>v</w:t>
            </w:r>
            <w:r w:rsidRPr="003C69D1">
              <w:t>alue of imputation credits</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GTA</w:t>
            </w:r>
          </w:p>
        </w:tc>
        <w:tc>
          <w:tcPr>
            <w:tcW w:w="6317" w:type="dxa"/>
            <w:gridSpan w:val="2"/>
          </w:tcPr>
          <w:p w:rsidR="003C69D1" w:rsidRPr="003C69D1" w:rsidRDefault="003C69D1" w:rsidP="003C69D1">
            <w:pPr>
              <w:cnfStyle w:val="000000000000" w:firstRow="0" w:lastRow="0" w:firstColumn="0" w:lastColumn="0" w:oddVBand="0" w:evenVBand="0" w:oddHBand="0" w:evenHBand="0" w:firstRowFirstColumn="0" w:firstRowLastColumn="0" w:lastRowFirstColumn="0" w:lastRowLastColumn="0"/>
            </w:pPr>
            <w:r>
              <w:t>G</w:t>
            </w:r>
            <w:r w:rsidRPr="003C69D1">
              <w:t>as Transport Services Agreement</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MRP</w:t>
            </w:r>
          </w:p>
        </w:tc>
        <w:tc>
          <w:tcPr>
            <w:tcW w:w="6317" w:type="dxa"/>
            <w:gridSpan w:val="2"/>
          </w:tcPr>
          <w:p w:rsidR="003C69D1" w:rsidRPr="00F13601" w:rsidRDefault="003C69D1" w:rsidP="003C69D1">
            <w:pPr>
              <w:numPr>
                <w:ilvl w:val="0"/>
                <w:numId w:val="24"/>
              </w:numPr>
              <w:cnfStyle w:val="000000010000" w:firstRow="0" w:lastRow="0" w:firstColumn="0" w:lastColumn="0" w:oddVBand="0" w:evenVBand="0" w:oddHBand="0" w:evenHBand="1" w:firstRowFirstColumn="0" w:firstRowLastColumn="0" w:lastRowFirstColumn="0" w:lastRowLastColumn="0"/>
            </w:pPr>
            <w:r w:rsidRPr="00F13601">
              <w:t>market risk premium</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N</w:t>
            </w:r>
            <w:r>
              <w:t>GP</w:t>
            </w:r>
          </w:p>
        </w:tc>
        <w:tc>
          <w:tcPr>
            <w:tcW w:w="6317" w:type="dxa"/>
            <w:gridSpan w:val="2"/>
          </w:tcPr>
          <w:p w:rsidR="003C69D1" w:rsidRPr="00F13601" w:rsidRDefault="003C69D1" w:rsidP="003C69D1">
            <w:pPr>
              <w:numPr>
                <w:ilvl w:val="0"/>
                <w:numId w:val="24"/>
              </w:numPr>
              <w:cnfStyle w:val="000000000000" w:firstRow="0" w:lastRow="0" w:firstColumn="0" w:lastColumn="0" w:oddVBand="0" w:evenVBand="0" w:oddHBand="0" w:evenHBand="0" w:firstRowFirstColumn="0" w:firstRowLastColumn="0" w:lastRowFirstColumn="0" w:lastRowLastColumn="0"/>
            </w:pPr>
            <w:r>
              <w:t>Northern Gas Pipeline (formerly North East Gas Interconnector/NEGI)</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NGL</w:t>
            </w:r>
          </w:p>
        </w:tc>
        <w:tc>
          <w:tcPr>
            <w:tcW w:w="6317" w:type="dxa"/>
            <w:gridSpan w:val="2"/>
          </w:tcPr>
          <w:p w:rsidR="003C69D1" w:rsidRPr="00F13601" w:rsidRDefault="003C69D1" w:rsidP="003C69D1">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L</w:t>
            </w:r>
            <w:r w:rsidRPr="00F13601">
              <w:t>aw</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NGO</w:t>
            </w:r>
          </w:p>
        </w:tc>
        <w:tc>
          <w:tcPr>
            <w:tcW w:w="6317" w:type="dxa"/>
            <w:gridSpan w:val="2"/>
          </w:tcPr>
          <w:p w:rsidR="003C69D1" w:rsidRPr="00F13601" w:rsidRDefault="003C69D1" w:rsidP="003C69D1">
            <w:pPr>
              <w:numPr>
                <w:ilvl w:val="0"/>
                <w:numId w:val="24"/>
              </w:numPr>
              <w:cnfStyle w:val="000000000000" w:firstRow="0" w:lastRow="0" w:firstColumn="0" w:lastColumn="0" w:oddVBand="0" w:evenVBand="0" w:oddHBand="0" w:evenHBand="0" w:firstRowFirstColumn="0" w:firstRowLastColumn="0" w:lastRowFirstColumn="0" w:lastRowLastColumn="0"/>
            </w:pPr>
            <w:r>
              <w:t>N</w:t>
            </w:r>
            <w:r w:rsidRPr="00F13601">
              <w:t xml:space="preserve">ational </w:t>
            </w:r>
            <w:r>
              <w:t>G</w:t>
            </w:r>
            <w:r w:rsidRPr="00F13601">
              <w:t xml:space="preserve">as </w:t>
            </w:r>
            <w:r>
              <w:t>O</w:t>
            </w:r>
            <w:r w:rsidRPr="00F13601">
              <w:t>bjective</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NGR</w:t>
            </w:r>
          </w:p>
        </w:tc>
        <w:tc>
          <w:tcPr>
            <w:tcW w:w="6317" w:type="dxa"/>
            <w:gridSpan w:val="2"/>
          </w:tcPr>
          <w:p w:rsidR="003C69D1" w:rsidRPr="00F13601" w:rsidRDefault="003C69D1" w:rsidP="003C69D1">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R</w:t>
            </w:r>
            <w:r w:rsidRPr="00F13601">
              <w:t>ules</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NPV</w:t>
            </w:r>
          </w:p>
        </w:tc>
        <w:tc>
          <w:tcPr>
            <w:tcW w:w="6317" w:type="dxa"/>
            <w:gridSpan w:val="2"/>
          </w:tcPr>
          <w:p w:rsidR="003C69D1" w:rsidRPr="003C69D1" w:rsidRDefault="003C69D1" w:rsidP="003C69D1">
            <w:pPr>
              <w:cnfStyle w:val="000000000000" w:firstRow="0" w:lastRow="0" w:firstColumn="0" w:lastColumn="0" w:oddVBand="0" w:evenVBand="0" w:oddHBand="0" w:evenHBand="0" w:firstRowFirstColumn="0" w:firstRowLastColumn="0" w:lastRowFirstColumn="0" w:lastRowLastColumn="0"/>
            </w:pPr>
            <w:r w:rsidRPr="00F13601">
              <w:t>net present value</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opex</w:t>
            </w:r>
          </w:p>
        </w:tc>
        <w:tc>
          <w:tcPr>
            <w:tcW w:w="6317" w:type="dxa"/>
            <w:gridSpan w:val="2"/>
          </w:tcPr>
          <w:p w:rsidR="003C69D1" w:rsidRPr="00F13601" w:rsidRDefault="003C69D1" w:rsidP="003C69D1">
            <w:pPr>
              <w:numPr>
                <w:ilvl w:val="0"/>
                <w:numId w:val="24"/>
              </w:numPr>
              <w:cnfStyle w:val="000000010000" w:firstRow="0" w:lastRow="0" w:firstColumn="0" w:lastColumn="0" w:oddVBand="0" w:evenVBand="0" w:oddHBand="0" w:evenHBand="1" w:firstRowFirstColumn="0" w:firstRowLastColumn="0" w:lastRowFirstColumn="0" w:lastRowLastColumn="0"/>
            </w:pPr>
            <w:r w:rsidRPr="00F13601">
              <w:t>operating expenditure</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PTRM</w:t>
            </w:r>
          </w:p>
        </w:tc>
        <w:tc>
          <w:tcPr>
            <w:tcW w:w="6317" w:type="dxa"/>
            <w:gridSpan w:val="2"/>
          </w:tcPr>
          <w:p w:rsidR="003C69D1" w:rsidRPr="00F13601" w:rsidRDefault="003C69D1" w:rsidP="003C69D1">
            <w:pPr>
              <w:numPr>
                <w:ilvl w:val="0"/>
                <w:numId w:val="24"/>
              </w:numPr>
              <w:cnfStyle w:val="000000000000" w:firstRow="0" w:lastRow="0" w:firstColumn="0" w:lastColumn="0" w:oddVBand="0" w:evenVBand="0" w:oddHBand="0" w:evenHBand="0" w:firstRowFirstColumn="0" w:firstRowLastColumn="0" w:lastRowFirstColumn="0" w:lastRowLastColumn="0"/>
            </w:pPr>
            <w:r w:rsidRPr="00F13601">
              <w:t>post-tax revenue model</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RBA</w:t>
            </w:r>
          </w:p>
        </w:tc>
        <w:tc>
          <w:tcPr>
            <w:tcW w:w="6317" w:type="dxa"/>
            <w:gridSpan w:val="2"/>
          </w:tcPr>
          <w:p w:rsidR="003C69D1" w:rsidRPr="00F13601" w:rsidRDefault="003C69D1" w:rsidP="003C69D1">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Reserve Bank of Australia</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RFM</w:t>
            </w:r>
          </w:p>
        </w:tc>
        <w:tc>
          <w:tcPr>
            <w:tcW w:w="6317" w:type="dxa"/>
            <w:gridSpan w:val="2"/>
          </w:tcPr>
          <w:p w:rsidR="003C69D1" w:rsidRPr="00F13601" w:rsidRDefault="003C69D1" w:rsidP="003C69D1">
            <w:pPr>
              <w:numPr>
                <w:ilvl w:val="0"/>
                <w:numId w:val="24"/>
              </w:numPr>
              <w:cnfStyle w:val="000000000000" w:firstRow="0" w:lastRow="0" w:firstColumn="0" w:lastColumn="0" w:oddVBand="0" w:evenVBand="0" w:oddHBand="0" w:evenHBand="0" w:firstRowFirstColumn="0" w:firstRowLastColumn="0" w:lastRowFirstColumn="0" w:lastRowLastColumn="0"/>
            </w:pPr>
            <w:r w:rsidRPr="00F13601">
              <w:t>roll forward model</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RIN</w:t>
            </w:r>
          </w:p>
        </w:tc>
        <w:tc>
          <w:tcPr>
            <w:tcW w:w="6317" w:type="dxa"/>
            <w:gridSpan w:val="2"/>
          </w:tcPr>
          <w:p w:rsidR="003C69D1" w:rsidRPr="00F13601" w:rsidRDefault="003C69D1" w:rsidP="003C69D1">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regulatory information notice</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RPP</w:t>
            </w:r>
          </w:p>
        </w:tc>
        <w:tc>
          <w:tcPr>
            <w:tcW w:w="6317" w:type="dxa"/>
            <w:gridSpan w:val="2"/>
          </w:tcPr>
          <w:p w:rsidR="003C69D1" w:rsidRPr="00F13601" w:rsidRDefault="003C69D1" w:rsidP="003C69D1">
            <w:pPr>
              <w:numPr>
                <w:ilvl w:val="0"/>
                <w:numId w:val="24"/>
              </w:numPr>
              <w:cnfStyle w:val="000000000000" w:firstRow="0" w:lastRow="0" w:firstColumn="0" w:lastColumn="0" w:oddVBand="0" w:evenVBand="0" w:oddHBand="0" w:evenHBand="0" w:firstRowFirstColumn="0" w:firstRowLastColumn="0" w:lastRowFirstColumn="0" w:lastRowLastColumn="0"/>
            </w:pPr>
            <w:r w:rsidRPr="00F13601">
              <w:t>revenue and pricing principles</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SLCAPM</w:t>
            </w:r>
          </w:p>
        </w:tc>
        <w:tc>
          <w:tcPr>
            <w:tcW w:w="6317" w:type="dxa"/>
            <w:gridSpan w:val="2"/>
          </w:tcPr>
          <w:p w:rsidR="003C69D1" w:rsidRPr="00F13601" w:rsidRDefault="003C69D1" w:rsidP="003C69D1">
            <w:pPr>
              <w:numPr>
                <w:ilvl w:val="0"/>
                <w:numId w:val="24"/>
              </w:numPr>
              <w:cnfStyle w:val="000000010000" w:firstRow="0" w:lastRow="0" w:firstColumn="0" w:lastColumn="0" w:oddVBand="0" w:evenVBand="0" w:oddHBand="0" w:evenHBand="1" w:firstRowFirstColumn="0" w:firstRowLastColumn="0" w:lastRowFirstColumn="0" w:lastRowLastColumn="0"/>
            </w:pPr>
            <w:r w:rsidRPr="00F13601">
              <w:t>Sharpe-</w:t>
            </w:r>
            <w:proofErr w:type="spellStart"/>
            <w:r w:rsidRPr="00F13601">
              <w:t>Lintner</w:t>
            </w:r>
            <w:proofErr w:type="spellEnd"/>
            <w:r w:rsidRPr="00F13601">
              <w:t xml:space="preserve"> capital asset pricing model</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TAB</w:t>
            </w:r>
          </w:p>
        </w:tc>
        <w:tc>
          <w:tcPr>
            <w:tcW w:w="6317" w:type="dxa"/>
            <w:gridSpan w:val="2"/>
          </w:tcPr>
          <w:p w:rsidR="003C69D1" w:rsidRPr="003C69D1" w:rsidRDefault="003C69D1" w:rsidP="003C69D1">
            <w:pPr>
              <w:cnfStyle w:val="000000000000" w:firstRow="0" w:lastRow="0" w:firstColumn="0" w:lastColumn="0" w:oddVBand="0" w:evenVBand="0" w:oddHBand="0" w:evenHBand="0" w:firstRowFirstColumn="0" w:firstRowLastColumn="0" w:lastRowFirstColumn="0" w:lastRowLastColumn="0"/>
            </w:pPr>
            <w:r>
              <w:t>t</w:t>
            </w:r>
            <w:r w:rsidRPr="003C69D1">
              <w:t>ax asset base</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UAFG</w:t>
            </w:r>
          </w:p>
        </w:tc>
        <w:tc>
          <w:tcPr>
            <w:tcW w:w="6317" w:type="dxa"/>
            <w:gridSpan w:val="2"/>
          </w:tcPr>
          <w:p w:rsidR="003C69D1" w:rsidRPr="003C69D1" w:rsidRDefault="003C69D1" w:rsidP="003C69D1">
            <w:pPr>
              <w:cnfStyle w:val="000000010000" w:firstRow="0" w:lastRow="0" w:firstColumn="0" w:lastColumn="0" w:oddVBand="0" w:evenVBand="0" w:oddHBand="0" w:evenHBand="1" w:firstRowFirstColumn="0" w:firstRowLastColumn="0" w:lastRowFirstColumn="0" w:lastRowLastColumn="0"/>
            </w:pPr>
            <w:r>
              <w:t>u</w:t>
            </w:r>
            <w:r w:rsidRPr="003C69D1">
              <w:t>naccounted for gas</w:t>
            </w:r>
          </w:p>
        </w:tc>
      </w:tr>
      <w:tr w:rsidR="003C69D1"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lastRenderedPageBreak/>
              <w:t>WACC</w:t>
            </w:r>
          </w:p>
        </w:tc>
        <w:tc>
          <w:tcPr>
            <w:tcW w:w="6317" w:type="dxa"/>
            <w:gridSpan w:val="2"/>
          </w:tcPr>
          <w:p w:rsidR="003C69D1" w:rsidRPr="00F13601" w:rsidRDefault="003C69D1" w:rsidP="003C69D1">
            <w:pPr>
              <w:numPr>
                <w:ilvl w:val="0"/>
                <w:numId w:val="24"/>
              </w:numPr>
              <w:cnfStyle w:val="000000000000" w:firstRow="0" w:lastRow="0" w:firstColumn="0" w:lastColumn="0" w:oddVBand="0" w:evenVBand="0" w:oddHBand="0" w:evenHBand="0" w:firstRowFirstColumn="0" w:firstRowLastColumn="0" w:lastRowFirstColumn="0" w:lastRowLastColumn="0"/>
            </w:pPr>
            <w:r w:rsidRPr="00F13601">
              <w:t>weighted average cost of capital</w:t>
            </w:r>
          </w:p>
        </w:tc>
      </w:tr>
      <w:tr w:rsidR="003C69D1"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C69D1" w:rsidRPr="00F13601" w:rsidRDefault="003C69D1" w:rsidP="003C69D1">
            <w:pPr>
              <w:numPr>
                <w:ilvl w:val="0"/>
                <w:numId w:val="24"/>
              </w:numPr>
            </w:pPr>
            <w:r w:rsidRPr="00F13601">
              <w:t>WPI</w:t>
            </w:r>
          </w:p>
        </w:tc>
        <w:tc>
          <w:tcPr>
            <w:tcW w:w="6317" w:type="dxa"/>
            <w:gridSpan w:val="2"/>
          </w:tcPr>
          <w:p w:rsidR="003C69D1" w:rsidRPr="003C69D1" w:rsidRDefault="003C69D1" w:rsidP="003C69D1">
            <w:pPr>
              <w:cnfStyle w:val="000000010000" w:firstRow="0" w:lastRow="0" w:firstColumn="0" w:lastColumn="0" w:oddVBand="0" w:evenVBand="0" w:oddHBand="0" w:evenHBand="1" w:firstRowFirstColumn="0" w:firstRowLastColumn="0" w:lastRowFirstColumn="0" w:lastRowLastColumn="0"/>
            </w:pPr>
            <w:r w:rsidRPr="00F13601">
              <w:t>Wage Price Index</w:t>
            </w:r>
          </w:p>
        </w:tc>
      </w:tr>
    </w:tbl>
    <w:p w:rsidR="00DE563D" w:rsidRDefault="005D03B1" w:rsidP="005D03B1">
      <w:pPr>
        <w:pStyle w:val="Heading1"/>
      </w:pPr>
      <w:bookmarkStart w:id="10" w:name="_Toc451530257"/>
      <w:r>
        <w:lastRenderedPageBreak/>
        <w:t>Efficiency carryover mechanism</w:t>
      </w:r>
      <w:bookmarkEnd w:id="10"/>
    </w:p>
    <w:p w:rsidR="00803FCD" w:rsidRPr="00803FCD" w:rsidRDefault="00803FCD" w:rsidP="00803FCD">
      <w:r w:rsidRPr="00803FCD">
        <w:t xml:space="preserve">An efficiency carryover mechanism </w:t>
      </w:r>
      <w:r w:rsidR="00375477">
        <w:t xml:space="preserve">(ECM) </w:t>
      </w:r>
      <w:r w:rsidRPr="00803FCD">
        <w:t xml:space="preserve">provides an additional incentive for service providers to pursue efficiency improvements in operating expenditure (opex). </w:t>
      </w:r>
    </w:p>
    <w:p w:rsidR="00B816B9" w:rsidRDefault="00803FCD" w:rsidP="00803FCD">
      <w:r w:rsidRPr="00803FCD">
        <w:t>To encourage a service provider to become more efficient during the access arrangement period</w:t>
      </w:r>
      <w:r w:rsidR="00E3127B">
        <w:t>,</w:t>
      </w:r>
      <w:r w:rsidRPr="00803FCD">
        <w:t xml:space="preserve"> it is allowed to keep any difference between its approved forecast and its actual opex during an access arrangement period. This is supplemented by the </w:t>
      </w:r>
      <w:r w:rsidR="00375477">
        <w:t>ECM,</w:t>
      </w:r>
      <w:r w:rsidRPr="00803FCD">
        <w:t xml:space="preserve"> which allows the service provider to retain efficiency savings and efficiency losses for a longer period of time. </w:t>
      </w:r>
    </w:p>
    <w:p w:rsidR="00803FCD" w:rsidRPr="00803FCD" w:rsidRDefault="00B816B9" w:rsidP="00803FCD">
      <w:r>
        <w:t>Together,</w:t>
      </w:r>
      <w:r w:rsidR="00803FCD" w:rsidRPr="00803FCD">
        <w:t xml:space="preserve"> these rewards and penalties work to provide a continuous incentive for a service provider to pursue efficiency gains over the access arrangement period. The </w:t>
      </w:r>
      <w:r w:rsidR="00375477">
        <w:t>ECM</w:t>
      </w:r>
      <w:r w:rsidR="00803FCD" w:rsidRPr="00803FCD">
        <w:t xml:space="preserve"> also discourages a service provider from incurring opex in the expected base year in order to receive a higher opex allowance in the following access arrangement period.  </w:t>
      </w:r>
    </w:p>
    <w:p w:rsidR="00803FCD" w:rsidRPr="00803FCD" w:rsidRDefault="00375477" w:rsidP="00803FCD">
      <w:r>
        <w:t>APTNT's current access arrangement (for 2011–16) does not include an ECM.</w:t>
      </w:r>
      <w:r w:rsidR="00803FCD" w:rsidRPr="00803FCD">
        <w:t xml:space="preserve"> APTNT did not propose to apply an </w:t>
      </w:r>
      <w:r>
        <w:t>ECM</w:t>
      </w:r>
      <w:r w:rsidR="00803FCD" w:rsidRPr="00803FCD">
        <w:t xml:space="preserve"> to its opex in the 2016–21 access arrangement </w:t>
      </w:r>
      <w:proofErr w:type="gramStart"/>
      <w:r w:rsidR="00803FCD" w:rsidRPr="00803FCD">
        <w:t>period</w:t>
      </w:r>
      <w:proofErr w:type="gramEnd"/>
      <w:r w:rsidR="00803FCD" w:rsidRPr="00803FCD">
        <w:t>.</w:t>
      </w:r>
    </w:p>
    <w:p w:rsidR="00A2303E" w:rsidRDefault="00A2303E" w:rsidP="00A2303E">
      <w:pPr>
        <w:pStyle w:val="Heading2"/>
      </w:pPr>
      <w:bookmarkStart w:id="11" w:name="_Toc408404320"/>
      <w:bookmarkStart w:id="12" w:name="_Toc419366913"/>
      <w:bookmarkStart w:id="13" w:name="_Toc451530258"/>
      <w:r>
        <w:t>Final</w:t>
      </w:r>
      <w:r w:rsidRPr="0074565D">
        <w:t xml:space="preserve"> decision</w:t>
      </w:r>
      <w:bookmarkEnd w:id="11"/>
      <w:bookmarkEnd w:id="12"/>
      <w:bookmarkEnd w:id="13"/>
    </w:p>
    <w:p w:rsidR="00803FCD" w:rsidRDefault="00253185" w:rsidP="00803FCD">
      <w:r w:rsidRPr="00253185">
        <w:t xml:space="preserve">Our </w:t>
      </w:r>
      <w:r>
        <w:t>final</w:t>
      </w:r>
      <w:r w:rsidRPr="00253185">
        <w:t xml:space="preserve"> decision is to apply an </w:t>
      </w:r>
      <w:r w:rsidR="00375477">
        <w:t>ECM</w:t>
      </w:r>
      <w:r w:rsidRPr="00253185">
        <w:t xml:space="preserve"> to APTNT in the 2016–21 access arrangement </w:t>
      </w:r>
      <w:proofErr w:type="gramStart"/>
      <w:r w:rsidRPr="00253185">
        <w:t>period</w:t>
      </w:r>
      <w:proofErr w:type="gramEnd"/>
      <w:r w:rsidRPr="00253185">
        <w:t>.</w:t>
      </w:r>
      <w:r w:rsidR="00B816B9" w:rsidRPr="00B816B9">
        <w:t xml:space="preserve"> </w:t>
      </w:r>
      <w:r w:rsidR="00375477">
        <w:t xml:space="preserve">The </w:t>
      </w:r>
      <w:r w:rsidR="00F85C87">
        <w:t xml:space="preserve">ECM </w:t>
      </w:r>
      <w:r w:rsidR="00375477">
        <w:t xml:space="preserve">we approve </w:t>
      </w:r>
      <w:r w:rsidR="00B816B9" w:rsidRPr="00B816B9">
        <w:t>is the same mechanism in our draft decision</w:t>
      </w:r>
      <w:r w:rsidR="00375477">
        <w:t>,</w:t>
      </w:r>
      <w:r w:rsidR="00B816B9" w:rsidRPr="00B816B9">
        <w:t xml:space="preserve"> and is consistent with version two of the Efficiency Benefit Sharing Scheme (EBSS) which we published for electricity distributors in November 2013. </w:t>
      </w:r>
    </w:p>
    <w:p w:rsidR="00FC2DB6" w:rsidRPr="00803FCD" w:rsidRDefault="00375477" w:rsidP="00F72420">
      <w:r>
        <w:t xml:space="preserve">We have revised the access arrangement having regard to our reasons for </w:t>
      </w:r>
      <w:r w:rsidR="00F72420">
        <w:t xml:space="preserve">refusing to approve APTNT's revised proposal and </w:t>
      </w:r>
      <w:r>
        <w:t>the further matters in rule 64(2</w:t>
      </w:r>
      <w:r w:rsidR="00A5522A">
        <w:t>) of the</w:t>
      </w:r>
      <w:r w:rsidR="00A5522A" w:rsidRPr="00A5522A">
        <w:t xml:space="preserve"> </w:t>
      </w:r>
      <w:r w:rsidR="00A5522A">
        <w:t>NGR</w:t>
      </w:r>
      <w:r>
        <w:t xml:space="preserve">. Our revisions are reflected in </w:t>
      </w:r>
      <w:r w:rsidR="00F72420">
        <w:t xml:space="preserve">sections 1.4 and 8 of </w:t>
      </w:r>
      <w:r>
        <w:t xml:space="preserve">the Approved Access Arrangement for the Amadeus Gas Pipeline for 2016–21, which gives effect to </w:t>
      </w:r>
      <w:r w:rsidR="00F72420">
        <w:t>this</w:t>
      </w:r>
      <w:r>
        <w:t xml:space="preserve"> decision.</w:t>
      </w:r>
    </w:p>
    <w:p w:rsidR="00A2303E" w:rsidRDefault="00A2303E" w:rsidP="00A2303E">
      <w:pPr>
        <w:pStyle w:val="Heading2"/>
      </w:pPr>
      <w:bookmarkStart w:id="14" w:name="_Toc419366914"/>
      <w:bookmarkStart w:id="15" w:name="_Toc451530259"/>
      <w:r>
        <w:t xml:space="preserve">APTNT’s </w:t>
      </w:r>
      <w:r w:rsidR="00546641">
        <w:t xml:space="preserve">revised </w:t>
      </w:r>
      <w:r>
        <w:t>proposal</w:t>
      </w:r>
      <w:bookmarkEnd w:id="14"/>
      <w:bookmarkEnd w:id="15"/>
    </w:p>
    <w:p w:rsidR="00803FCD" w:rsidRDefault="005D578E" w:rsidP="00803FCD">
      <w:r>
        <w:t xml:space="preserve">APTNT did not include an </w:t>
      </w:r>
      <w:r w:rsidR="00375477">
        <w:t>ECM</w:t>
      </w:r>
      <w:r>
        <w:t xml:space="preserve"> (</w:t>
      </w:r>
      <w:r w:rsidR="00B862D9">
        <w:t xml:space="preserve">which it </w:t>
      </w:r>
      <w:r>
        <w:t>refer</w:t>
      </w:r>
      <w:r w:rsidR="00B862D9">
        <w:t xml:space="preserve">s </w:t>
      </w:r>
      <w:r>
        <w:t>to as an EBSS) in its revised access arrangement proposal. APTNT reiterated its argument that its existing commercial arrangements provide it with adequate incentives, and the application of the efficiency carryover mechanism introduces a regulatory burden without offsetting benefits. APTNT stated:</w:t>
      </w:r>
      <w:r w:rsidR="00C6768D">
        <w:rPr>
          <w:rStyle w:val="FootnoteReference"/>
        </w:rPr>
        <w:footnoteReference w:id="1"/>
      </w:r>
    </w:p>
    <w:p w:rsidR="005D578E" w:rsidRDefault="005D578E" w:rsidP="00C6768D">
      <w:pPr>
        <w:pStyle w:val="AERquote"/>
      </w:pPr>
      <w:r>
        <w:t>[</w:t>
      </w:r>
      <w:proofErr w:type="gramStart"/>
      <w:r>
        <w:t>it</w:t>
      </w:r>
      <w:proofErr w:type="gramEnd"/>
      <w:r>
        <w:t xml:space="preserve">] already faces strong incentives to: </w:t>
      </w:r>
    </w:p>
    <w:p w:rsidR="005D578E" w:rsidRDefault="00253185" w:rsidP="00C6768D">
      <w:pPr>
        <w:pStyle w:val="AERquote"/>
      </w:pPr>
      <w:r>
        <w:lastRenderedPageBreak/>
        <w:t xml:space="preserve">- </w:t>
      </w:r>
      <w:r w:rsidR="005D578E">
        <w:t>improve its ongoing efficiency;</w:t>
      </w:r>
    </w:p>
    <w:p w:rsidR="005D578E" w:rsidRDefault="00253185" w:rsidP="00C6768D">
      <w:pPr>
        <w:pStyle w:val="AERquote"/>
      </w:pPr>
      <w:r>
        <w:t xml:space="preserve">- </w:t>
      </w:r>
      <w:r w:rsidR="005D578E">
        <w:t>defer or avoid capital expenditure;</w:t>
      </w:r>
    </w:p>
    <w:p w:rsidR="005D578E" w:rsidRDefault="00253185" w:rsidP="00C6768D">
      <w:pPr>
        <w:pStyle w:val="AERquote"/>
      </w:pPr>
      <w:r>
        <w:t xml:space="preserve">- </w:t>
      </w:r>
      <w:r w:rsidR="005D578E">
        <w:t>increase the utilisation of the pipeline.</w:t>
      </w:r>
    </w:p>
    <w:p w:rsidR="00C6768D" w:rsidRDefault="005D578E" w:rsidP="00803FCD">
      <w:r>
        <w:t>It also reiterated that</w:t>
      </w:r>
      <w:r w:rsidR="00C6768D">
        <w:t>:</w:t>
      </w:r>
      <w:r w:rsidR="00C6768D">
        <w:rPr>
          <w:rStyle w:val="FootnoteReference"/>
        </w:rPr>
        <w:footnoteReference w:id="2"/>
      </w:r>
    </w:p>
    <w:p w:rsidR="005D578E" w:rsidRDefault="00C6768D" w:rsidP="00C6768D">
      <w:pPr>
        <w:pStyle w:val="AERquote"/>
      </w:pPr>
      <w:r>
        <w:t xml:space="preserve">… </w:t>
      </w:r>
      <w:proofErr w:type="gramStart"/>
      <w:r>
        <w:t>its</w:t>
      </w:r>
      <w:proofErr w:type="gramEnd"/>
      <w:r>
        <w:t xml:space="preserve"> revenue</w:t>
      </w:r>
      <w:r w:rsidR="005D578E">
        <w:t xml:space="preserve"> under the long term contract</w:t>
      </w:r>
      <w:r>
        <w:t xml:space="preserve"> is not linked to regulatory outcomes. The EBSS would not provide a cash incentive to the business to improve its efficiency … Similarly, an EBSS would also not share any efficiency gains with shippers.</w:t>
      </w:r>
    </w:p>
    <w:p w:rsidR="007F3457" w:rsidRDefault="00C6768D" w:rsidP="00803FCD">
      <w:r>
        <w:t xml:space="preserve">APTNT </w:t>
      </w:r>
      <w:r w:rsidR="00375477">
        <w:t xml:space="preserve">submitted that </w:t>
      </w:r>
      <w:r>
        <w:t xml:space="preserve">the inclusion of the </w:t>
      </w:r>
      <w:r w:rsidR="00375477">
        <w:t>ECM</w:t>
      </w:r>
      <w:r>
        <w:t xml:space="preserve"> appear</w:t>
      </w:r>
      <w:r w:rsidR="00253185">
        <w:t>ed</w:t>
      </w:r>
      <w:r>
        <w:t xml:space="preserve"> to reflect AER policy, and </w:t>
      </w:r>
      <w:r w:rsidR="00253185">
        <w:t>did</w:t>
      </w:r>
      <w:r>
        <w:t xml:space="preserve"> not </w:t>
      </w:r>
      <w:r w:rsidR="00375477">
        <w:t xml:space="preserve">appear </w:t>
      </w:r>
      <w:r w:rsidR="009D6D2D">
        <w:t xml:space="preserve">to </w:t>
      </w:r>
      <w:r>
        <w:t>take into account existing incentive mechanisms.</w:t>
      </w:r>
      <w:r w:rsidR="0037751A">
        <w:rPr>
          <w:rStyle w:val="FootnoteReference"/>
        </w:rPr>
        <w:footnoteReference w:id="3"/>
      </w:r>
      <w:r>
        <w:t xml:space="preserve"> </w:t>
      </w:r>
    </w:p>
    <w:p w:rsidR="00C6768D" w:rsidRDefault="004471FD" w:rsidP="00803FCD">
      <w:r>
        <w:t>APTNT requested that should the AER impose an ECM, that we</w:t>
      </w:r>
      <w:r w:rsidR="007C4FF0">
        <w:t xml:space="preserve"> </w:t>
      </w:r>
      <w:r w:rsidR="00C03909">
        <w:t>address the impact of the trigger event occurring</w:t>
      </w:r>
      <w:r w:rsidR="001C0E10">
        <w:t xml:space="preserve"> on the ECM</w:t>
      </w:r>
      <w:r w:rsidR="00C03909">
        <w:t xml:space="preserve">. </w:t>
      </w:r>
      <w:r w:rsidR="007C4FF0">
        <w:t>APTNT stated the ECM set out in our draft decision did not adequately deal with the circumstance of a constrained (less than 5 years) access arrangement period</w:t>
      </w:r>
      <w:r w:rsidR="00A1618B">
        <w:t>.</w:t>
      </w:r>
      <w:r w:rsidR="007C4FF0">
        <w:rPr>
          <w:rStyle w:val="FootnoteReference"/>
        </w:rPr>
        <w:footnoteReference w:id="4"/>
      </w:r>
      <w:r w:rsidR="007F3457">
        <w:t xml:space="preserve"> </w:t>
      </w:r>
      <w:r w:rsidR="00375477">
        <w:t xml:space="preserve">This trigger is discussed in Attachment 12 to this final decision. </w:t>
      </w:r>
    </w:p>
    <w:p w:rsidR="00A2303E" w:rsidRDefault="00A2303E" w:rsidP="00A2303E">
      <w:pPr>
        <w:pStyle w:val="Heading2"/>
      </w:pPr>
      <w:bookmarkStart w:id="16" w:name="_Toc408404322"/>
      <w:bookmarkStart w:id="17" w:name="_Toc419366915"/>
      <w:bookmarkStart w:id="18" w:name="_Toc451530260"/>
      <w:r w:rsidRPr="0074565D">
        <w:t>AER’s assessment approach</w:t>
      </w:r>
      <w:bookmarkEnd w:id="16"/>
      <w:bookmarkEnd w:id="17"/>
      <w:bookmarkEnd w:id="18"/>
    </w:p>
    <w:p w:rsidR="0048330E" w:rsidRDefault="0048330E" w:rsidP="009F6752">
      <w:r w:rsidRPr="0048330E">
        <w:t>Our assessment approach is the same as in the draft decision.</w:t>
      </w:r>
      <w:r>
        <w:rPr>
          <w:rStyle w:val="FootnoteReference"/>
        </w:rPr>
        <w:footnoteReference w:id="5"/>
      </w:r>
      <w:r w:rsidRPr="0048330E">
        <w:t xml:space="preserve"> In the draft decision we also discuss the interrelationships between the </w:t>
      </w:r>
      <w:r w:rsidR="004E14E7">
        <w:t>ECM</w:t>
      </w:r>
      <w:r w:rsidRPr="0048330E">
        <w:t>, our forecasting approach and other incentive schemes.</w:t>
      </w:r>
    </w:p>
    <w:p w:rsidR="00A2303E" w:rsidRDefault="00A2303E" w:rsidP="00A2303E">
      <w:pPr>
        <w:pStyle w:val="Heading2"/>
      </w:pPr>
      <w:bookmarkStart w:id="19" w:name="_Toc408404324"/>
      <w:bookmarkStart w:id="20" w:name="_Toc419366917"/>
      <w:bookmarkStart w:id="21" w:name="_Toc451530261"/>
      <w:r w:rsidRPr="0074565D">
        <w:t xml:space="preserve">Reasons for </w:t>
      </w:r>
      <w:r>
        <w:t>final</w:t>
      </w:r>
      <w:r w:rsidRPr="0074565D">
        <w:t xml:space="preserve"> decision</w:t>
      </w:r>
      <w:bookmarkEnd w:id="19"/>
      <w:bookmarkEnd w:id="20"/>
      <w:bookmarkEnd w:id="21"/>
      <w:r w:rsidRPr="0074565D">
        <w:t xml:space="preserve"> </w:t>
      </w:r>
    </w:p>
    <w:p w:rsidR="00253185" w:rsidRDefault="00253185" w:rsidP="00803FCD">
      <w:r w:rsidRPr="00253185">
        <w:t xml:space="preserve">Our decision is to apply an </w:t>
      </w:r>
      <w:r w:rsidR="004E14E7">
        <w:t>ECM</w:t>
      </w:r>
      <w:r w:rsidRPr="00253185">
        <w:t xml:space="preserve"> to APTNT for the 2016</w:t>
      </w:r>
      <w:r w:rsidR="00BB2278">
        <w:t>–</w:t>
      </w:r>
      <w:r w:rsidRPr="00253185">
        <w:t xml:space="preserve">21 access arrangement </w:t>
      </w:r>
      <w:proofErr w:type="gramStart"/>
      <w:r w:rsidRPr="00253185">
        <w:t>period</w:t>
      </w:r>
      <w:proofErr w:type="gramEnd"/>
      <w:r w:rsidRPr="00253185">
        <w:t>.</w:t>
      </w:r>
      <w:r w:rsidR="00194EB5">
        <w:rPr>
          <w:rStyle w:val="FootnoteReference"/>
        </w:rPr>
        <w:footnoteReference w:id="6"/>
      </w:r>
      <w:r w:rsidR="00194EB5">
        <w:t xml:space="preserve"> </w:t>
      </w:r>
    </w:p>
    <w:p w:rsidR="00FC2DB6" w:rsidRDefault="00FC2DB6" w:rsidP="00803FCD">
      <w:r>
        <w:t xml:space="preserve">Table 7.1 in Attachment 7 sets out our final decision on </w:t>
      </w:r>
      <w:r w:rsidR="00375477">
        <w:t xml:space="preserve">the forecast </w:t>
      </w:r>
      <w:r>
        <w:t xml:space="preserve">opex against which we will calculate efficiency gains (or losses) </w:t>
      </w:r>
      <w:r w:rsidR="00375477">
        <w:t xml:space="preserve">under the ECM </w:t>
      </w:r>
      <w:r>
        <w:t xml:space="preserve">in the </w:t>
      </w:r>
      <w:r w:rsidRPr="00253185">
        <w:t xml:space="preserve">2016–21 access arrangement </w:t>
      </w:r>
      <w:proofErr w:type="gramStart"/>
      <w:r w:rsidRPr="00253185">
        <w:t>period</w:t>
      </w:r>
      <w:proofErr w:type="gramEnd"/>
      <w:r>
        <w:t>.</w:t>
      </w:r>
    </w:p>
    <w:p w:rsidR="008643D7" w:rsidRDefault="008643D7" w:rsidP="00803FCD"/>
    <w:p w:rsidR="00D84D91" w:rsidRDefault="00D84D91" w:rsidP="00D84D91">
      <w:pPr>
        <w:pStyle w:val="HeadingBoldItalic"/>
      </w:pPr>
      <w:r>
        <w:t>Commercial arrangements</w:t>
      </w:r>
    </w:p>
    <w:p w:rsidR="002C0D3D" w:rsidRDefault="00317BB6" w:rsidP="00437833">
      <w:r>
        <w:t xml:space="preserve">APTNT </w:t>
      </w:r>
      <w:r w:rsidR="00F12AF3">
        <w:t>did not agree with</w:t>
      </w:r>
      <w:r>
        <w:t xml:space="preserve"> the AER's draft decision to apply an </w:t>
      </w:r>
      <w:r w:rsidR="00421834">
        <w:t xml:space="preserve">opex </w:t>
      </w:r>
      <w:r>
        <w:t xml:space="preserve">efficiency </w:t>
      </w:r>
      <w:r w:rsidR="00421834">
        <w:t xml:space="preserve">carryover </w:t>
      </w:r>
      <w:r>
        <w:t xml:space="preserve">mechanism </w:t>
      </w:r>
      <w:r w:rsidR="00555E91">
        <w:t xml:space="preserve">to it </w:t>
      </w:r>
      <w:r>
        <w:t>on the grounds that the existing long term contract already impose</w:t>
      </w:r>
      <w:r w:rsidR="00721E6B">
        <w:t>d</w:t>
      </w:r>
      <w:r>
        <w:t xml:space="preserve"> incentives on it to improve its ongoing efficiency. </w:t>
      </w:r>
    </w:p>
    <w:p w:rsidR="0016134A" w:rsidRDefault="00F85C87" w:rsidP="0016134A">
      <w:r>
        <w:t xml:space="preserve">While </w:t>
      </w:r>
      <w:r w:rsidR="0016134A">
        <w:t>APTNT submitted its existing long term contract already imposes incentives upon it to improve its ongoing efficiency</w:t>
      </w:r>
      <w:r>
        <w:t xml:space="preserve">, it </w:t>
      </w:r>
      <w:r w:rsidR="0016134A">
        <w:t xml:space="preserve">has not provided any evidence to support its assertion. </w:t>
      </w:r>
      <w:r w:rsidR="008643D7">
        <w:t>Further, w</w:t>
      </w:r>
      <w:r w:rsidR="0016134A">
        <w:t>hile APTNT has reduced its opex over the current access arrangement period</w:t>
      </w:r>
      <w:r>
        <w:t>,</w:t>
      </w:r>
      <w:r w:rsidR="0016134A">
        <w:t xml:space="preserve"> we have no ability to judge whether </w:t>
      </w:r>
      <w:r w:rsidR="00AD247A">
        <w:t xml:space="preserve">commercial arrangements will incentivise </w:t>
      </w:r>
      <w:r w:rsidR="0016134A">
        <w:t xml:space="preserve">APTNT to continue to make efficiency gains over future access arrangement periods. </w:t>
      </w:r>
    </w:p>
    <w:p w:rsidR="00422AEC" w:rsidRDefault="00E36D9F" w:rsidP="00A6238E">
      <w:r>
        <w:t xml:space="preserve">We </w:t>
      </w:r>
      <w:r w:rsidR="00B717F9">
        <w:t>have</w:t>
      </w:r>
      <w:r w:rsidR="00541F08">
        <w:t xml:space="preserve"> </w:t>
      </w:r>
      <w:r>
        <w:t xml:space="preserve">established APTNT's opex for the </w:t>
      </w:r>
      <w:r w:rsidR="008643D7">
        <w:t xml:space="preserve">next </w:t>
      </w:r>
      <w:r>
        <w:t>access arrangement period using our top</w:t>
      </w:r>
      <w:r w:rsidR="00853F33">
        <w:t>-</w:t>
      </w:r>
      <w:r>
        <w:t xml:space="preserve">down revealed cost methodology. </w:t>
      </w:r>
      <w:r w:rsidR="00FC2DB6">
        <w:t xml:space="preserve">The ECM is intrinsically linked to </w:t>
      </w:r>
      <w:r w:rsidR="00541F08">
        <w:t>this</w:t>
      </w:r>
      <w:r>
        <w:t xml:space="preserve"> methodology. This is because the ECM </w:t>
      </w:r>
      <w:r w:rsidR="00541F08">
        <w:t>provides us with greater confidence that</w:t>
      </w:r>
      <w:r>
        <w:t xml:space="preserve"> the base year is efficient and can be used to forecast opex for a future access arrangement period. </w:t>
      </w:r>
      <w:r w:rsidR="00B0324B">
        <w:t xml:space="preserve">It also provides </w:t>
      </w:r>
      <w:r w:rsidR="00930D5D">
        <w:t>confidence that a service provider has a continuous incentive to make efficiency gains.</w:t>
      </w:r>
      <w:r w:rsidR="00C55EF2">
        <w:rPr>
          <w:rStyle w:val="FootnoteReference"/>
        </w:rPr>
        <w:footnoteReference w:id="7"/>
      </w:r>
      <w:r w:rsidR="00930D5D">
        <w:t xml:space="preserve"> </w:t>
      </w:r>
      <w:r w:rsidR="00BB0147">
        <w:t xml:space="preserve">For these reasons we </w:t>
      </w:r>
      <w:r w:rsidR="00421834">
        <w:t xml:space="preserve">consider it </w:t>
      </w:r>
      <w:r w:rsidR="00CA2EF0">
        <w:t xml:space="preserve">is </w:t>
      </w:r>
      <w:r w:rsidR="00421834">
        <w:t xml:space="preserve">necessary to apply an ECM to APTNT in the </w:t>
      </w:r>
      <w:r w:rsidR="00853F33" w:rsidRPr="00253185">
        <w:t>2016</w:t>
      </w:r>
      <w:r w:rsidR="00853F33">
        <w:t>–</w:t>
      </w:r>
      <w:r w:rsidR="00853F33" w:rsidRPr="00253185">
        <w:t xml:space="preserve">21 </w:t>
      </w:r>
      <w:proofErr w:type="gramStart"/>
      <w:r w:rsidR="00853F33">
        <w:t>period</w:t>
      </w:r>
      <w:proofErr w:type="gramEnd"/>
      <w:r w:rsidR="00421834">
        <w:t xml:space="preserve">. </w:t>
      </w:r>
      <w:r w:rsidR="00422AEC">
        <w:t xml:space="preserve"> </w:t>
      </w:r>
    </w:p>
    <w:p w:rsidR="00D84D91" w:rsidRDefault="00D84D91" w:rsidP="009B24A7">
      <w:pPr>
        <w:pStyle w:val="HeadingBoldItalic"/>
      </w:pPr>
      <w:r>
        <w:t>Regulatory burden</w:t>
      </w:r>
    </w:p>
    <w:p w:rsidR="00422AEC" w:rsidRDefault="00E71390" w:rsidP="00803FCD">
      <w:r>
        <w:t xml:space="preserve">APTNT argued there were no benefits associated with the imposition of an </w:t>
      </w:r>
      <w:r w:rsidR="009B24A7">
        <w:t>ECM</w:t>
      </w:r>
      <w:r>
        <w:t>.</w:t>
      </w:r>
      <w:r w:rsidR="00B862D9">
        <w:rPr>
          <w:rStyle w:val="FootnoteReference"/>
        </w:rPr>
        <w:footnoteReference w:id="8"/>
      </w:r>
      <w:r>
        <w:t xml:space="preserve"> However</w:t>
      </w:r>
      <w:r w:rsidR="002C0D3D">
        <w:t xml:space="preserve"> </w:t>
      </w:r>
      <w:r>
        <w:t xml:space="preserve">we consider that benefits will accrue </w:t>
      </w:r>
      <w:r w:rsidR="00C859AF">
        <w:t xml:space="preserve">from the application of an </w:t>
      </w:r>
      <w:r w:rsidR="009B24A7">
        <w:t>ECM</w:t>
      </w:r>
      <w:r w:rsidR="00C859AF">
        <w:t xml:space="preserve"> </w:t>
      </w:r>
      <w:r>
        <w:t>in the long term</w:t>
      </w:r>
      <w:r w:rsidR="002B010F">
        <w:t xml:space="preserve">. </w:t>
      </w:r>
    </w:p>
    <w:p w:rsidR="00A01C25" w:rsidRDefault="002B010F" w:rsidP="00803FCD">
      <w:r>
        <w:t xml:space="preserve">In </w:t>
      </w:r>
      <w:r w:rsidR="0048330E">
        <w:t>a</w:t>
      </w:r>
      <w:r>
        <w:t xml:space="preserve"> regulatory framework </w:t>
      </w:r>
      <w:r w:rsidR="00C859AF">
        <w:t>that includes</w:t>
      </w:r>
      <w:r>
        <w:t xml:space="preserve"> an </w:t>
      </w:r>
      <w:r w:rsidR="009B24A7">
        <w:t>ECM</w:t>
      </w:r>
      <w:r>
        <w:t xml:space="preserve">, cost shifting to inflate base year opex is penalised through </w:t>
      </w:r>
      <w:r w:rsidR="00C859AF">
        <w:t xml:space="preserve">negative </w:t>
      </w:r>
      <w:r>
        <w:t>carryover amounts. In such an environment</w:t>
      </w:r>
      <w:r w:rsidR="00422AEC">
        <w:t>,</w:t>
      </w:r>
      <w:r>
        <w:t xml:space="preserve"> the </w:t>
      </w:r>
      <w:r w:rsidR="00C859AF">
        <w:t>efficiency</w:t>
      </w:r>
      <w:r>
        <w:t xml:space="preserve"> of base year opex </w:t>
      </w:r>
      <w:r w:rsidR="00C859AF">
        <w:t>to be used for forecasting opex in</w:t>
      </w:r>
      <w:r w:rsidR="0048330E">
        <w:t xml:space="preserve"> future periods is a less intrusive top-down process, reducing regulatory burden in future years. </w:t>
      </w:r>
    </w:p>
    <w:p w:rsidR="00A01C25" w:rsidRDefault="00F85C87" w:rsidP="00803FCD">
      <w:r>
        <w:t>Further, t</w:t>
      </w:r>
      <w:r w:rsidR="00422AEC">
        <w:t xml:space="preserve">he presence of an ECM increases transparency. It provides </w:t>
      </w:r>
      <w:r w:rsidR="00AD247A">
        <w:t xml:space="preserve">AGP </w:t>
      </w:r>
      <w:r w:rsidR="00A1618B">
        <w:t>users</w:t>
      </w:r>
      <w:r w:rsidR="00422AEC">
        <w:t xml:space="preserve"> and future </w:t>
      </w:r>
      <w:r w:rsidR="00A1618B">
        <w:t xml:space="preserve">users with information which should assist the negotiation of future contracts </w:t>
      </w:r>
      <w:r w:rsidR="00AD247A">
        <w:t>with APTNT</w:t>
      </w:r>
      <w:r w:rsidR="00A1618B">
        <w:t>.</w:t>
      </w:r>
    </w:p>
    <w:p w:rsidR="008643D7" w:rsidRDefault="00D84D91" w:rsidP="004471FD">
      <w:r>
        <w:t xml:space="preserve">We are </w:t>
      </w:r>
      <w:r w:rsidR="008643D7">
        <w:t xml:space="preserve">also </w:t>
      </w:r>
      <w:r>
        <w:t xml:space="preserve">confident that the </w:t>
      </w:r>
      <w:r w:rsidR="00F12AF3">
        <w:t xml:space="preserve">costs likely to be incurred </w:t>
      </w:r>
      <w:r>
        <w:t xml:space="preserve">due to the application of an </w:t>
      </w:r>
      <w:r w:rsidR="009B24A7">
        <w:t>ECM</w:t>
      </w:r>
      <w:r>
        <w:t xml:space="preserve"> </w:t>
      </w:r>
      <w:r w:rsidR="00F12AF3">
        <w:t>will be</w:t>
      </w:r>
      <w:r>
        <w:t xml:space="preserve"> negligible. </w:t>
      </w:r>
      <w:r w:rsidR="00B862D9">
        <w:t xml:space="preserve">This is because the information </w:t>
      </w:r>
      <w:r w:rsidR="009B24A7">
        <w:t xml:space="preserve">used </w:t>
      </w:r>
      <w:r w:rsidR="00B862D9">
        <w:t xml:space="preserve">to calculate efficiency carryover amounts is already </w:t>
      </w:r>
      <w:r w:rsidR="00E36D9F">
        <w:t xml:space="preserve">captured by </w:t>
      </w:r>
      <w:r w:rsidR="00B862D9">
        <w:t xml:space="preserve">APTNT. We </w:t>
      </w:r>
      <w:r w:rsidR="00E36D9F">
        <w:t xml:space="preserve">also </w:t>
      </w:r>
      <w:r w:rsidR="00B862D9">
        <w:t xml:space="preserve">note that </w:t>
      </w:r>
      <w:r w:rsidR="00E71390">
        <w:t xml:space="preserve">APTNT has not provided any </w:t>
      </w:r>
      <w:r w:rsidR="00F12AF3">
        <w:t>information</w:t>
      </w:r>
      <w:r w:rsidR="00E71390">
        <w:t xml:space="preserve"> on the expected costs arising from the imposition of an </w:t>
      </w:r>
      <w:r w:rsidR="009B24A7">
        <w:t>ECM</w:t>
      </w:r>
      <w:r w:rsidR="00E71390">
        <w:t xml:space="preserve">. </w:t>
      </w:r>
    </w:p>
    <w:p w:rsidR="00BD2031" w:rsidRDefault="009B24A7" w:rsidP="004471FD">
      <w:r>
        <w:t>A</w:t>
      </w:r>
      <w:r w:rsidR="00D84D91">
        <w:t>n</w:t>
      </w:r>
      <w:r w:rsidR="00E71390">
        <w:t>y</w:t>
      </w:r>
      <w:r w:rsidR="00D84D91">
        <w:t xml:space="preserve"> </w:t>
      </w:r>
      <w:r w:rsidR="00AD247A">
        <w:t xml:space="preserve">marginal </w:t>
      </w:r>
      <w:r w:rsidR="00D84D91">
        <w:t>increase in the regulatory</w:t>
      </w:r>
      <w:r w:rsidR="00E71390">
        <w:t xml:space="preserve"> burden facing APTNT</w:t>
      </w:r>
      <w:r w:rsidR="00D84D91">
        <w:t xml:space="preserve"> is likely to be offset by the </w:t>
      </w:r>
      <w:r>
        <w:t>savings arising from the use of a</w:t>
      </w:r>
      <w:r w:rsidR="00D84D91">
        <w:t xml:space="preserve"> non-intrusive top-down assessment of opex</w:t>
      </w:r>
      <w:r w:rsidR="00E71390">
        <w:t xml:space="preserve"> </w:t>
      </w:r>
      <w:r>
        <w:t xml:space="preserve">by us and APTNT </w:t>
      </w:r>
      <w:r w:rsidR="00E71390">
        <w:t>in future regulatory periods</w:t>
      </w:r>
      <w:r w:rsidR="00D84D91">
        <w:t>.</w:t>
      </w:r>
    </w:p>
    <w:p w:rsidR="00253185" w:rsidRDefault="009B24A7" w:rsidP="00E71390">
      <w:pPr>
        <w:pStyle w:val="HeadingBoldItalic"/>
      </w:pPr>
      <w:bookmarkStart w:id="22" w:name="_Toc445111707"/>
      <w:r>
        <w:t>Early review trigger</w:t>
      </w:r>
      <w:bookmarkEnd w:id="22"/>
    </w:p>
    <w:p w:rsidR="00903053" w:rsidRDefault="00903053" w:rsidP="00803FCD">
      <w:r w:rsidRPr="00903053">
        <w:t>The N</w:t>
      </w:r>
      <w:r w:rsidR="009B24A7">
        <w:t xml:space="preserve">orthern </w:t>
      </w:r>
      <w:r w:rsidRPr="00903053">
        <w:t>T</w:t>
      </w:r>
      <w:r w:rsidR="009B24A7">
        <w:t>erritory</w:t>
      </w:r>
      <w:r w:rsidRPr="00903053">
        <w:t xml:space="preserve"> Government has commenced a process to enable gas from the Northern Territory to reach south eastern gas markets. </w:t>
      </w:r>
      <w:r>
        <w:t>The new pipeline, Northern Gas Pipeline (NGP, formerly NEGI), is expected to be completed in 2018.</w:t>
      </w:r>
      <w:r>
        <w:rPr>
          <w:rStyle w:val="FootnoteReference"/>
        </w:rPr>
        <w:footnoteReference w:id="9"/>
      </w:r>
      <w:r>
        <w:t xml:space="preserve"> </w:t>
      </w:r>
      <w:r w:rsidRPr="00903053">
        <w:t xml:space="preserve">The interconnection of the AGP with south-eastern gas markets </w:t>
      </w:r>
      <w:r w:rsidR="009B24A7">
        <w:t xml:space="preserve">via the NGP </w:t>
      </w:r>
      <w:r w:rsidRPr="00903053">
        <w:t xml:space="preserve">has potential to impact on </w:t>
      </w:r>
      <w:r w:rsidR="009B24A7">
        <w:t xml:space="preserve">APTNT's </w:t>
      </w:r>
      <w:r w:rsidRPr="00903053">
        <w:t xml:space="preserve">opex </w:t>
      </w:r>
      <w:r w:rsidR="00E36D9F">
        <w:t xml:space="preserve">requirements </w:t>
      </w:r>
      <w:r w:rsidRPr="00903053">
        <w:t xml:space="preserve">due to increased demand for gas through the </w:t>
      </w:r>
      <w:r w:rsidR="00E36D9F">
        <w:t>AGP</w:t>
      </w:r>
      <w:r w:rsidRPr="00903053">
        <w:t>.</w:t>
      </w:r>
    </w:p>
    <w:p w:rsidR="00903053" w:rsidRDefault="00903053" w:rsidP="00803FCD">
      <w:r>
        <w:t xml:space="preserve">In our draft decision, to recognise the uncertainty around the timing and potential impact of </w:t>
      </w:r>
      <w:r w:rsidR="009B24A7">
        <w:t xml:space="preserve">the NGP </w:t>
      </w:r>
      <w:r>
        <w:t xml:space="preserve">on the AGP, we incorporated a trigger event to allow the access arrangement to be reviewed prior to the end of the </w:t>
      </w:r>
      <w:r w:rsidR="00E36D9F">
        <w:t xml:space="preserve">2016–21 </w:t>
      </w:r>
      <w:r>
        <w:t>access arrangement period</w:t>
      </w:r>
      <w:r w:rsidR="009B24A7">
        <w:t xml:space="preserve"> should this become necessary</w:t>
      </w:r>
      <w:r>
        <w:t>.</w:t>
      </w:r>
      <w:r w:rsidR="001534FA">
        <w:rPr>
          <w:rStyle w:val="FootnoteReference"/>
        </w:rPr>
        <w:footnoteReference w:id="10"/>
      </w:r>
      <w:r>
        <w:t xml:space="preserve"> </w:t>
      </w:r>
      <w:r w:rsidR="00A01C25">
        <w:t>APTNT</w:t>
      </w:r>
      <w:r>
        <w:t xml:space="preserve">, while not supporting the application of the </w:t>
      </w:r>
      <w:r w:rsidR="009B24A7">
        <w:t>ECM</w:t>
      </w:r>
      <w:r>
        <w:t xml:space="preserve">, </w:t>
      </w:r>
      <w:r w:rsidR="009B24A7">
        <w:t>submitted that</w:t>
      </w:r>
      <w:r w:rsidR="00A01C25">
        <w:t xml:space="preserve"> the </w:t>
      </w:r>
      <w:r w:rsidR="009B24A7">
        <w:t>ECM</w:t>
      </w:r>
      <w:r w:rsidR="00A01C25">
        <w:t xml:space="preserve"> </w:t>
      </w:r>
      <w:r w:rsidR="009B24A7">
        <w:t>set out in our draft decision</w:t>
      </w:r>
      <w:r w:rsidR="00A01C25">
        <w:t xml:space="preserve"> did not adequately address the impact of</w:t>
      </w:r>
      <w:r>
        <w:t xml:space="preserve"> the</w:t>
      </w:r>
      <w:r w:rsidR="00A01C25">
        <w:t xml:space="preserve"> trigger event occurring. </w:t>
      </w:r>
    </w:p>
    <w:p w:rsidR="001534FA" w:rsidRDefault="004C4C6A" w:rsidP="00803FCD">
      <w:r>
        <w:t>S</w:t>
      </w:r>
      <w:r w:rsidRPr="00CE0A29">
        <w:t xml:space="preserve">hould it become clear that the implications of the </w:t>
      </w:r>
      <w:r>
        <w:t>NGP</w:t>
      </w:r>
      <w:r w:rsidRPr="00CE0A29">
        <w:t xml:space="preserve"> for this access arrangement are </w:t>
      </w:r>
      <w:proofErr w:type="gramStart"/>
      <w:r w:rsidRPr="00CE0A29">
        <w:t>substantial</w:t>
      </w:r>
      <w:r>
        <w:t>,</w:t>
      </w:r>
      <w:proofErr w:type="gramEnd"/>
      <w:r>
        <w:t xml:space="preserve"> </w:t>
      </w:r>
      <w:r w:rsidR="009B24A7">
        <w:t xml:space="preserve">the trigger event may be employed to require an early review of APTNT's </w:t>
      </w:r>
      <w:r w:rsidR="001534FA">
        <w:t>access arrangement</w:t>
      </w:r>
      <w:r w:rsidR="009B24A7">
        <w:t>.</w:t>
      </w:r>
      <w:r w:rsidR="001534FA">
        <w:t xml:space="preserve"> </w:t>
      </w:r>
      <w:r w:rsidR="009B24A7">
        <w:t xml:space="preserve">If an early review does occur, one possible result is an </w:t>
      </w:r>
      <w:r w:rsidR="001534FA">
        <w:t xml:space="preserve">access arrangement period that is less than the five years approved in this final decision. APTNT may also incur opex associated with interconnection to the NGP. </w:t>
      </w:r>
      <w:r w:rsidR="00317D25">
        <w:t>B</w:t>
      </w:r>
      <w:r w:rsidR="001534FA">
        <w:t xml:space="preserve">oth of these factors potentially impact on the operation of the </w:t>
      </w:r>
      <w:r w:rsidR="009B24A7">
        <w:t>ECM</w:t>
      </w:r>
      <w:r w:rsidR="00317D25">
        <w:t xml:space="preserve">. </w:t>
      </w:r>
    </w:p>
    <w:p w:rsidR="001534FA" w:rsidRDefault="00903053" w:rsidP="00803FCD">
      <w:r>
        <w:t xml:space="preserve">The </w:t>
      </w:r>
      <w:r w:rsidR="009B24A7">
        <w:t>ECM</w:t>
      </w:r>
      <w:r w:rsidR="008C68EF">
        <w:t xml:space="preserve"> approved in this final decision</w:t>
      </w:r>
      <w:r>
        <w:t xml:space="preserve"> explicitly excludes </w:t>
      </w:r>
      <w:r w:rsidR="001534FA">
        <w:t>opex not forecast using the single</w:t>
      </w:r>
      <w:r w:rsidR="00656B1B">
        <w:t>-</w:t>
      </w:r>
      <w:r w:rsidR="001534FA">
        <w:t xml:space="preserve">year revealed cost method. Therefore, any opex associated with the new pipeline interconnection </w:t>
      </w:r>
      <w:r w:rsidR="00E36D9F">
        <w:t>would be</w:t>
      </w:r>
      <w:r w:rsidR="001534FA">
        <w:t xml:space="preserve"> excluded from the operation of the</w:t>
      </w:r>
      <w:r w:rsidR="008643D7">
        <w:t xml:space="preserve"> ECM</w:t>
      </w:r>
      <w:r w:rsidR="001534FA">
        <w:t>.</w:t>
      </w:r>
    </w:p>
    <w:p w:rsidR="00E505F7" w:rsidRDefault="001534FA" w:rsidP="00803FCD">
      <w:r>
        <w:t xml:space="preserve">The </w:t>
      </w:r>
      <w:r w:rsidR="008C68EF">
        <w:t>ECM</w:t>
      </w:r>
      <w:r w:rsidR="00454A2A">
        <w:t xml:space="preserve"> </w:t>
      </w:r>
      <w:r w:rsidR="00317D25">
        <w:t xml:space="preserve">already provides flexibility </w:t>
      </w:r>
      <w:r w:rsidR="00A01C25">
        <w:t xml:space="preserve">for </w:t>
      </w:r>
      <w:r w:rsidR="00454A2A">
        <w:t xml:space="preserve">the </w:t>
      </w:r>
      <w:r w:rsidR="00A01C25">
        <w:t xml:space="preserve">equations </w:t>
      </w:r>
      <w:r w:rsidR="00454A2A">
        <w:t xml:space="preserve">used to determine carryover amounts to be amended to take into account changes in the length of the </w:t>
      </w:r>
      <w:r w:rsidR="008C68EF">
        <w:t>access arrangement</w:t>
      </w:r>
      <w:r w:rsidR="00454A2A">
        <w:t xml:space="preserve"> period</w:t>
      </w:r>
      <w:r w:rsidR="00E505F7">
        <w:t xml:space="preserve">, where </w:t>
      </w:r>
      <w:r w:rsidR="008C68EF">
        <w:t xml:space="preserve">this </w:t>
      </w:r>
      <w:r w:rsidR="00E505F7">
        <w:t>differ</w:t>
      </w:r>
      <w:r w:rsidR="008C68EF">
        <w:t>s</w:t>
      </w:r>
      <w:r w:rsidR="00E505F7">
        <w:t xml:space="preserve"> from that expected at the time of our decision</w:t>
      </w:r>
      <w:r w:rsidR="00454A2A">
        <w:t>.</w:t>
      </w:r>
      <w:r w:rsidR="00454A2A">
        <w:rPr>
          <w:rStyle w:val="FootnoteReference"/>
        </w:rPr>
        <w:footnoteReference w:id="11"/>
      </w:r>
      <w:r w:rsidR="00386371">
        <w:t xml:space="preserve"> </w:t>
      </w:r>
      <w:r w:rsidR="00317D25">
        <w:t>As a result, w</w:t>
      </w:r>
      <w:r w:rsidR="003C2449">
        <w:t xml:space="preserve">e </w:t>
      </w:r>
      <w:r w:rsidR="00317D25">
        <w:t xml:space="preserve">do not </w:t>
      </w:r>
      <w:r w:rsidR="003C2449">
        <w:t>consider</w:t>
      </w:r>
      <w:r w:rsidR="00386371">
        <w:t xml:space="preserve"> there is </w:t>
      </w:r>
      <w:r w:rsidR="00317D25">
        <w:t xml:space="preserve">any </w:t>
      </w:r>
      <w:r w:rsidR="00386371">
        <w:t xml:space="preserve">need to amend the </w:t>
      </w:r>
      <w:r w:rsidR="008C68EF">
        <w:t>ECM</w:t>
      </w:r>
      <w:r w:rsidR="00386371">
        <w:t xml:space="preserve"> to </w:t>
      </w:r>
      <w:r w:rsidR="00317D25">
        <w:t xml:space="preserve">specifically address </w:t>
      </w:r>
      <w:r w:rsidR="00386371">
        <w:t xml:space="preserve">potential changes to the </w:t>
      </w:r>
      <w:r w:rsidR="00E505F7">
        <w:t xml:space="preserve">length of the </w:t>
      </w:r>
      <w:r w:rsidR="00386371">
        <w:t>access arrangement period</w:t>
      </w:r>
      <w:r w:rsidR="000048BE">
        <w:t xml:space="preserve"> that may result from the trigger event</w:t>
      </w:r>
      <w:r w:rsidR="00386371">
        <w:t>.</w:t>
      </w:r>
      <w:r>
        <w:t xml:space="preserve"> </w:t>
      </w:r>
    </w:p>
    <w:p w:rsidR="00847609" w:rsidRPr="00847609" w:rsidRDefault="008C68EF" w:rsidP="00847609">
      <w:r>
        <w:t>For these reasons we remain satisfied that the ECM set out in our draft decision</w:t>
      </w:r>
      <w:r w:rsidR="00F85C87">
        <w:t xml:space="preserve"> </w:t>
      </w:r>
      <w:r>
        <w:t>is compatible with the trigger for early review.</w:t>
      </w:r>
    </w:p>
    <w:sectPr w:rsidR="00847609" w:rsidRPr="00847609"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46" w:rsidRPr="00290C63" w:rsidRDefault="00393646" w:rsidP="00290C63">
      <w:r>
        <w:separator/>
      </w:r>
    </w:p>
    <w:p w:rsidR="00393646" w:rsidRDefault="00393646"/>
  </w:endnote>
  <w:endnote w:type="continuationSeparator" w:id="0">
    <w:p w:rsidR="00393646" w:rsidRPr="00290C63" w:rsidRDefault="00393646" w:rsidP="00290C63">
      <w:r>
        <w:continuationSeparator/>
      </w:r>
    </w:p>
    <w:p w:rsidR="00393646" w:rsidRDefault="00393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39364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93646" w:rsidRDefault="00393646">
    <w:pPr>
      <w:pStyle w:val="Footer"/>
    </w:pPr>
  </w:p>
  <w:p w:rsidR="00393646" w:rsidRDefault="00393646">
    <w:pPr>
      <w:pStyle w:val="Footer"/>
    </w:pPr>
    <w:r>
      <w:fldChar w:fldCharType="begin"/>
    </w:r>
    <w:r>
      <w:instrText xml:space="preserve"> DOCPROPERTY DocumentID \* MERGEFORMAT </w:instrText>
    </w:r>
    <w:r>
      <w:fldChar w:fldCharType="separate"/>
    </w:r>
    <w:r w:rsidR="00E40A58">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93646" w:rsidRPr="00CA52A2" w:rsidRDefault="00393646" w:rsidP="00CA52A2">
        <w:pPr>
          <w:pStyle w:val="Footer"/>
        </w:pPr>
        <w:r w:rsidRPr="00CA52A2">
          <w:fldChar w:fldCharType="begin"/>
        </w:r>
        <w:r>
          <w:instrText xml:space="preserve"> PAGE   \* MERGEFORMAT </w:instrText>
        </w:r>
        <w:r w:rsidRPr="00CA52A2">
          <w:fldChar w:fldCharType="separate"/>
        </w:r>
        <w:r w:rsidR="00A4594F">
          <w:rPr>
            <w:noProof/>
          </w:rPr>
          <w:t>9-5</w:t>
        </w:r>
        <w:r w:rsidRPr="00CA52A2">
          <w:fldChar w:fldCharType="end"/>
        </w:r>
        <w:r w:rsidRPr="00CA52A2">
          <w:t xml:space="preserve">          Attachment </w:t>
        </w:r>
        <w:r w:rsidR="005D03B1">
          <w:t>9</w:t>
        </w:r>
        <w:r>
          <w:t xml:space="preserve"> </w:t>
        </w:r>
        <w:r w:rsidRPr="00CA52A2">
          <w:t xml:space="preserve">– </w:t>
        </w:r>
        <w:r w:rsidR="005D03B1">
          <w:t>Efficiency carryover mechanism</w:t>
        </w:r>
        <w:r w:rsidR="009D2B38" w:rsidRPr="00CA52A2">
          <w:t xml:space="preserve"> </w:t>
        </w:r>
        <w:r w:rsidRPr="00CA52A2">
          <w:t xml:space="preserve">| </w:t>
        </w:r>
        <w:r w:rsidR="00D41E80">
          <w:t>Final</w:t>
        </w:r>
        <w:r>
          <w:t xml:space="preserve"> decision: Amadeus Gas Pipeline Access Arrangement 2016</w:t>
        </w:r>
        <w:r w:rsidRPr="00CA52A2">
          <w:t>–</w:t>
        </w:r>
        <w:r>
          <w:t>21</w:t>
        </w:r>
      </w:p>
    </w:sdtContent>
  </w:sdt>
  <w:p w:rsidR="00393646" w:rsidRDefault="00393646">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46" w:rsidRPr="00290C63" w:rsidRDefault="00393646" w:rsidP="00290C63">
      <w:r>
        <w:separator/>
      </w:r>
    </w:p>
    <w:p w:rsidR="00393646" w:rsidRDefault="00393646"/>
  </w:footnote>
  <w:footnote w:type="continuationSeparator" w:id="0">
    <w:p w:rsidR="00393646" w:rsidRPr="00290C63" w:rsidRDefault="00393646" w:rsidP="00290C63">
      <w:r>
        <w:continuationSeparator/>
      </w:r>
    </w:p>
    <w:p w:rsidR="00393646" w:rsidRDefault="00393646"/>
  </w:footnote>
  <w:footnote w:id="1">
    <w:p w:rsidR="00C6768D" w:rsidRDefault="00C6768D">
      <w:pPr>
        <w:pStyle w:val="FootnoteText"/>
      </w:pPr>
      <w:r>
        <w:rPr>
          <w:rStyle w:val="FootnoteReference"/>
        </w:rPr>
        <w:footnoteRef/>
      </w:r>
      <w:r>
        <w:t xml:space="preserve"> </w:t>
      </w:r>
      <w:r>
        <w:tab/>
      </w:r>
      <w:r w:rsidRPr="00C6768D">
        <w:t xml:space="preserve">APTNT, </w:t>
      </w:r>
      <w:r w:rsidRPr="00C6768D">
        <w:rPr>
          <w:rStyle w:val="AERtextitalic"/>
        </w:rPr>
        <w:t>Amadeus Gas Pipeline Access Arrangement Revised Proposal, Response to Draft Decision</w:t>
      </w:r>
      <w:r>
        <w:t xml:space="preserve">, </w:t>
      </w:r>
      <w:r w:rsidRPr="00C6768D">
        <w:t xml:space="preserve">Submission, </w:t>
      </w:r>
      <w:r>
        <w:t>January 2016</w:t>
      </w:r>
      <w:r w:rsidRPr="00C6768D">
        <w:t>, p. 1</w:t>
      </w:r>
      <w:r>
        <w:t>01.</w:t>
      </w:r>
    </w:p>
  </w:footnote>
  <w:footnote w:id="2">
    <w:p w:rsidR="00C6768D" w:rsidRDefault="00C6768D">
      <w:pPr>
        <w:pStyle w:val="FootnoteText"/>
      </w:pPr>
      <w:r>
        <w:rPr>
          <w:rStyle w:val="FootnoteReference"/>
        </w:rPr>
        <w:footnoteRef/>
      </w:r>
      <w:r>
        <w:t xml:space="preserve"> </w:t>
      </w:r>
      <w:r>
        <w:tab/>
      </w:r>
      <w:r w:rsidRPr="00C6768D">
        <w:t xml:space="preserve">APTNT, </w:t>
      </w:r>
      <w:r w:rsidRPr="00C6768D">
        <w:rPr>
          <w:rStyle w:val="AERtextitalic"/>
        </w:rPr>
        <w:t>Amadeus Gas Pipeline Access Arrangement Revised Proposal, Response to Draft Decision</w:t>
      </w:r>
      <w:r>
        <w:t xml:space="preserve">, </w:t>
      </w:r>
      <w:r w:rsidRPr="00C6768D">
        <w:t xml:space="preserve">Submission, </w:t>
      </w:r>
      <w:r>
        <w:t>January 2016</w:t>
      </w:r>
      <w:r w:rsidRPr="00C6768D">
        <w:t>, p. 1</w:t>
      </w:r>
      <w:r>
        <w:t>01.</w:t>
      </w:r>
    </w:p>
  </w:footnote>
  <w:footnote w:id="3">
    <w:p w:rsidR="0037751A" w:rsidRDefault="0037751A">
      <w:pPr>
        <w:pStyle w:val="FootnoteText"/>
      </w:pPr>
      <w:r>
        <w:rPr>
          <w:rStyle w:val="FootnoteReference"/>
        </w:rPr>
        <w:footnoteRef/>
      </w:r>
      <w:r>
        <w:t xml:space="preserve"> </w:t>
      </w:r>
      <w:r>
        <w:tab/>
      </w:r>
      <w:r w:rsidRPr="00C6768D">
        <w:t xml:space="preserve">APTNT, </w:t>
      </w:r>
      <w:r w:rsidRPr="00C6768D">
        <w:rPr>
          <w:rStyle w:val="AERtextitalic"/>
        </w:rPr>
        <w:t>Amadeus Gas Pipeline Access Arrangement Revised Proposal, Response to Draft Decision</w:t>
      </w:r>
      <w:r>
        <w:t xml:space="preserve">, </w:t>
      </w:r>
      <w:r w:rsidRPr="00C6768D">
        <w:t xml:space="preserve">Submission, </w:t>
      </w:r>
      <w:r>
        <w:t>January 2016</w:t>
      </w:r>
      <w:r w:rsidRPr="00C6768D">
        <w:t>, p. 1</w:t>
      </w:r>
      <w:r>
        <w:t>02.</w:t>
      </w:r>
    </w:p>
  </w:footnote>
  <w:footnote w:id="4">
    <w:p w:rsidR="007C4FF0" w:rsidRDefault="007C4FF0" w:rsidP="007C4FF0">
      <w:pPr>
        <w:pStyle w:val="FootnoteText"/>
      </w:pPr>
      <w:r>
        <w:rPr>
          <w:rStyle w:val="FootnoteReference"/>
        </w:rPr>
        <w:footnoteRef/>
      </w:r>
      <w:r>
        <w:t xml:space="preserve"> </w:t>
      </w:r>
      <w:r>
        <w:tab/>
      </w:r>
      <w:r w:rsidRPr="00C6768D">
        <w:t xml:space="preserve">APTNT, </w:t>
      </w:r>
      <w:r w:rsidRPr="00C6768D">
        <w:rPr>
          <w:rStyle w:val="AERtextitalic"/>
        </w:rPr>
        <w:t>Amadeus Gas Pipeline Access Arrangement Revised Proposal, Response to Draft Decision</w:t>
      </w:r>
      <w:r>
        <w:t xml:space="preserve">, </w:t>
      </w:r>
      <w:r w:rsidRPr="00C6768D">
        <w:t xml:space="preserve">Submission, </w:t>
      </w:r>
      <w:r>
        <w:t>January 2016</w:t>
      </w:r>
      <w:r w:rsidRPr="00C6768D">
        <w:t>, p. 1</w:t>
      </w:r>
      <w:r>
        <w:t>02.</w:t>
      </w:r>
    </w:p>
  </w:footnote>
  <w:footnote w:id="5">
    <w:p w:rsidR="0048330E" w:rsidRDefault="0048330E">
      <w:pPr>
        <w:pStyle w:val="FootnoteText"/>
      </w:pPr>
      <w:r>
        <w:rPr>
          <w:rStyle w:val="FootnoteReference"/>
        </w:rPr>
        <w:footnoteRef/>
      </w:r>
      <w:r>
        <w:t xml:space="preserve"> </w:t>
      </w:r>
      <w:r>
        <w:tab/>
      </w:r>
      <w:r w:rsidRPr="0048330E">
        <w:t xml:space="preserve">AER, </w:t>
      </w:r>
      <w:r w:rsidRPr="0048330E">
        <w:rPr>
          <w:rStyle w:val="AERtextitalic"/>
        </w:rPr>
        <w:t>Draft decision, Amadeus Gas Pipeline Access Arrangement 2016</w:t>
      </w:r>
      <w:r w:rsidR="00204B9A">
        <w:rPr>
          <w:rStyle w:val="AERtextitalic"/>
        </w:rPr>
        <w:t>–</w:t>
      </w:r>
      <w:r w:rsidRPr="0048330E">
        <w:rPr>
          <w:rStyle w:val="AERtextitalic"/>
        </w:rPr>
        <w:t>21</w:t>
      </w:r>
      <w:r w:rsidRPr="0048330E">
        <w:t xml:space="preserve"> </w:t>
      </w:r>
      <w:r w:rsidRPr="0011058A">
        <w:rPr>
          <w:i/>
        </w:rPr>
        <w:t>- Attachment 9 - Efficiency carryover mechanism</w:t>
      </w:r>
      <w:r w:rsidRPr="0048330E">
        <w:t xml:space="preserve">, </w:t>
      </w:r>
      <w:r w:rsidR="00C62BC8">
        <w:t xml:space="preserve">November 2015, </w:t>
      </w:r>
      <w:r w:rsidRPr="0048330E">
        <w:t>p</w:t>
      </w:r>
      <w:r>
        <w:t xml:space="preserve">. </w:t>
      </w:r>
      <w:r w:rsidRPr="0048330E">
        <w:t>9-</w:t>
      </w:r>
      <w:r>
        <w:t>7</w:t>
      </w:r>
      <w:r w:rsidRPr="0048330E">
        <w:t>.</w:t>
      </w:r>
    </w:p>
  </w:footnote>
  <w:footnote w:id="6">
    <w:p w:rsidR="00194EB5" w:rsidRDefault="00194EB5">
      <w:pPr>
        <w:pStyle w:val="FootnoteText"/>
      </w:pPr>
      <w:r>
        <w:rPr>
          <w:rStyle w:val="FootnoteReference"/>
        </w:rPr>
        <w:footnoteRef/>
      </w:r>
      <w:r>
        <w:t xml:space="preserve"> </w:t>
      </w:r>
      <w:r>
        <w:tab/>
      </w:r>
      <w:r w:rsidRPr="00194EB5">
        <w:t xml:space="preserve">The efficiency carryover mechanism we </w:t>
      </w:r>
      <w:r w:rsidR="00404C9C">
        <w:t>have applied in this decision</w:t>
      </w:r>
      <w:r w:rsidRPr="00194EB5">
        <w:t xml:space="preserve"> is identical to the Efficiency Benefit Sharing Scheme we apply to electricity network service providers</w:t>
      </w:r>
      <w:r w:rsidR="00404C9C">
        <w:t xml:space="preserve"> under the NER</w:t>
      </w:r>
      <w:r w:rsidRPr="00194EB5">
        <w:t xml:space="preserve">. For further information explaining the reasons why we apply such a scheme, see: AER, </w:t>
      </w:r>
      <w:r w:rsidRPr="00194EB5">
        <w:rPr>
          <w:rStyle w:val="AERtextitalic"/>
        </w:rPr>
        <w:t>Efficiency benefit sharing scheme - explanatory statement</w:t>
      </w:r>
      <w:r w:rsidRPr="00194EB5">
        <w:t>, November 2013.</w:t>
      </w:r>
    </w:p>
  </w:footnote>
  <w:footnote w:id="7">
    <w:p w:rsidR="00C55EF2" w:rsidRDefault="00C55EF2">
      <w:pPr>
        <w:pStyle w:val="FootnoteText"/>
      </w:pPr>
      <w:r>
        <w:rPr>
          <w:rStyle w:val="FootnoteReference"/>
        </w:rPr>
        <w:footnoteRef/>
      </w:r>
      <w:r>
        <w:t xml:space="preserve"> </w:t>
      </w:r>
      <w:r>
        <w:tab/>
        <w:t>Further information is available in section 9.3.1 of our draft decision.</w:t>
      </w:r>
    </w:p>
  </w:footnote>
  <w:footnote w:id="8">
    <w:p w:rsidR="00B862D9" w:rsidRDefault="00B862D9" w:rsidP="00B862D9">
      <w:pPr>
        <w:pStyle w:val="FootnoteText"/>
      </w:pPr>
      <w:r>
        <w:rPr>
          <w:rStyle w:val="FootnoteReference"/>
        </w:rPr>
        <w:footnoteRef/>
      </w:r>
      <w:r>
        <w:t xml:space="preserve"> </w:t>
      </w:r>
      <w:r>
        <w:tab/>
      </w:r>
      <w:r w:rsidRPr="00C6768D">
        <w:t xml:space="preserve">APTNT, </w:t>
      </w:r>
      <w:r w:rsidRPr="00C6768D">
        <w:rPr>
          <w:rStyle w:val="AERtextitalic"/>
        </w:rPr>
        <w:t>Amadeus Gas Pipeline Access Arrangement Revised Proposal, Response to Draft Decision</w:t>
      </w:r>
      <w:r>
        <w:t xml:space="preserve">, </w:t>
      </w:r>
      <w:r w:rsidRPr="00C6768D">
        <w:t xml:space="preserve">Submission, </w:t>
      </w:r>
      <w:r>
        <w:t>January 2016</w:t>
      </w:r>
      <w:r w:rsidRPr="00C6768D">
        <w:t>, p. 1</w:t>
      </w:r>
      <w:r>
        <w:t>01.</w:t>
      </w:r>
    </w:p>
  </w:footnote>
  <w:footnote w:id="9">
    <w:p w:rsidR="00903053" w:rsidRDefault="00903053">
      <w:pPr>
        <w:pStyle w:val="FootnoteText"/>
      </w:pPr>
      <w:r>
        <w:rPr>
          <w:rStyle w:val="FootnoteReference"/>
        </w:rPr>
        <w:footnoteRef/>
      </w:r>
      <w:r>
        <w:t xml:space="preserve"> </w:t>
      </w:r>
      <w:r>
        <w:tab/>
      </w:r>
      <w:r w:rsidR="0083184E">
        <w:t xml:space="preserve">ICN Gateway, Northern Gas Pipeline (NGP, previously (NEGI), </w:t>
      </w:r>
      <w:hyperlink r:id="rId1" w:history="1">
        <w:r w:rsidRPr="00016F88">
          <w:rPr>
            <w:rStyle w:val="Hyperlink"/>
            <w:sz w:val="16"/>
          </w:rPr>
          <w:t>http://gateway.icn.org.au/project/3680/north-east-gas-interconnector-negi-pipeline</w:t>
        </w:r>
      </w:hyperlink>
      <w:r>
        <w:t xml:space="preserve">, </w:t>
      </w:r>
      <w:r w:rsidR="00F3191A">
        <w:t>(</w:t>
      </w:r>
      <w:r>
        <w:t>accessed 16 February 2016</w:t>
      </w:r>
      <w:r w:rsidR="00F3191A">
        <w:t>)</w:t>
      </w:r>
      <w:r>
        <w:t>.</w:t>
      </w:r>
    </w:p>
  </w:footnote>
  <w:footnote w:id="10">
    <w:p w:rsidR="001534FA" w:rsidRDefault="001534FA">
      <w:pPr>
        <w:pStyle w:val="FootnoteText"/>
      </w:pPr>
      <w:r>
        <w:rPr>
          <w:rStyle w:val="FootnoteReference"/>
        </w:rPr>
        <w:footnoteRef/>
      </w:r>
      <w:r>
        <w:t xml:space="preserve"> </w:t>
      </w:r>
      <w:r>
        <w:tab/>
        <w:t xml:space="preserve">The NEGI trigger event has been retained in our final </w:t>
      </w:r>
      <w:proofErr w:type="gramStart"/>
      <w:r>
        <w:t>decision,</w:t>
      </w:r>
      <w:proofErr w:type="gramEnd"/>
      <w:r>
        <w:t xml:space="preserve"> see AER, </w:t>
      </w:r>
      <w:r w:rsidRPr="001534FA">
        <w:rPr>
          <w:rStyle w:val="AERtextitalic"/>
        </w:rPr>
        <w:t>Amadeus Gas Pipeline Final Decision 2016</w:t>
      </w:r>
      <w:r w:rsidR="00204B9A">
        <w:rPr>
          <w:rStyle w:val="AERtextitalic"/>
        </w:rPr>
        <w:t>–</w:t>
      </w:r>
      <w:r w:rsidRPr="001534FA">
        <w:rPr>
          <w:rStyle w:val="AERtextitalic"/>
        </w:rPr>
        <w:t>21</w:t>
      </w:r>
      <w:r>
        <w:t xml:space="preserve">, </w:t>
      </w:r>
      <w:r w:rsidRPr="0011058A">
        <w:rPr>
          <w:i/>
        </w:rPr>
        <w:t>Attachment 12 - Non tariff components</w:t>
      </w:r>
      <w:r w:rsidR="007B5CF2">
        <w:t>, May 2016</w:t>
      </w:r>
      <w:r>
        <w:t>.</w:t>
      </w:r>
    </w:p>
  </w:footnote>
  <w:footnote w:id="11">
    <w:p w:rsidR="00454A2A" w:rsidRDefault="00454A2A">
      <w:pPr>
        <w:pStyle w:val="FootnoteText"/>
      </w:pPr>
      <w:r>
        <w:rPr>
          <w:rStyle w:val="FootnoteReference"/>
        </w:rPr>
        <w:footnoteRef/>
      </w:r>
      <w:r>
        <w:t xml:space="preserve"> </w:t>
      </w:r>
      <w:r>
        <w:tab/>
        <w:t xml:space="preserve">See for example, </w:t>
      </w:r>
      <w:r w:rsidRPr="00454A2A">
        <w:t>AER</w:t>
      </w:r>
      <w:r w:rsidR="00740002">
        <w:t>,</w:t>
      </w:r>
      <w:r w:rsidRPr="00454A2A">
        <w:t xml:space="preserve"> </w:t>
      </w:r>
      <w:r w:rsidRPr="0011058A">
        <w:rPr>
          <w:i/>
        </w:rPr>
        <w:t>Draft decision ActewAGL Distribution Access Arrangement 2016 21 - Attachment 9 - Efficiency carryover mechanism</w:t>
      </w:r>
      <w:r w:rsidRPr="00454A2A">
        <w:t>, November 2015</w:t>
      </w:r>
      <w:r w:rsidR="000B2FC0">
        <w:t>, section 9.4.1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A4594F">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9364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A4594F">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CDE01C4"/>
    <w:multiLevelType w:val="hybridMultilevel"/>
    <w:tmpl w:val="D84C6F9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0DA82A58"/>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1380" w:hanging="360"/>
      </w:p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7">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6"/>
  </w:num>
  <w:num w:numId="24">
    <w:abstractNumId w:val="22"/>
  </w:num>
  <w:num w:numId="25">
    <w:abstractNumId w:val="24"/>
  </w:num>
  <w:num w:numId="26">
    <w:abstractNumId w:val="17"/>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num>
  <w:num w:numId="30">
    <w:abstractNumId w:val="26"/>
    <w:lvlOverride w:ilvl="0">
      <w:startOverride w:val="1"/>
    </w:lvlOverride>
  </w:num>
  <w:num w:numId="31">
    <w:abstractNumId w:val="26"/>
    <w:lvlOverride w:ilvl="0">
      <w:startOverride w:val="1"/>
    </w:lvlOverride>
  </w:num>
  <w:num w:numId="32">
    <w:abstractNumId w:val="26"/>
    <w:lvlOverride w:ilvl="0">
      <w:startOverride w:val="1"/>
    </w:lvlOverride>
  </w:num>
  <w:num w:numId="33">
    <w:abstractNumId w:val="26"/>
    <w:lvlOverride w:ilvl="0">
      <w:startOverride w:val="1"/>
    </w:lvlOverride>
  </w:num>
  <w:num w:numId="3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g1/m+0+gR2gTvz9ty0QRQTD6JtkozllwJ8hsdrOw2fw=" w:saltValue="PJDClJDJDozT1jQM3AQJo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544\AER15 4323  AER - Final decision Amadeus Gas Pipeline Access Arrangement - Attachment 10 - Reference tariff setting - April 2016.DOCX"/>
  </w:docVars>
  <w:rsids>
    <w:rsidRoot w:val="00961A4A"/>
    <w:rsid w:val="00004633"/>
    <w:rsid w:val="000048BE"/>
    <w:rsid w:val="00010286"/>
    <w:rsid w:val="00021202"/>
    <w:rsid w:val="00021C2B"/>
    <w:rsid w:val="0002517F"/>
    <w:rsid w:val="00026495"/>
    <w:rsid w:val="0003578C"/>
    <w:rsid w:val="000401AF"/>
    <w:rsid w:val="00041DDA"/>
    <w:rsid w:val="00043A5A"/>
    <w:rsid w:val="00063247"/>
    <w:rsid w:val="00063A92"/>
    <w:rsid w:val="00070F9F"/>
    <w:rsid w:val="0007137B"/>
    <w:rsid w:val="00085663"/>
    <w:rsid w:val="00085EBF"/>
    <w:rsid w:val="00085F93"/>
    <w:rsid w:val="00091B15"/>
    <w:rsid w:val="000A1E7C"/>
    <w:rsid w:val="000A3020"/>
    <w:rsid w:val="000A6C7B"/>
    <w:rsid w:val="000B0360"/>
    <w:rsid w:val="000B2FC0"/>
    <w:rsid w:val="000C2B40"/>
    <w:rsid w:val="000D01F4"/>
    <w:rsid w:val="000D06C1"/>
    <w:rsid w:val="000D122C"/>
    <w:rsid w:val="000D3016"/>
    <w:rsid w:val="000D64F2"/>
    <w:rsid w:val="000D7F32"/>
    <w:rsid w:val="000E1819"/>
    <w:rsid w:val="000E4821"/>
    <w:rsid w:val="000E6C72"/>
    <w:rsid w:val="000F0B2B"/>
    <w:rsid w:val="000F3E72"/>
    <w:rsid w:val="000F48B1"/>
    <w:rsid w:val="000F723D"/>
    <w:rsid w:val="00103A67"/>
    <w:rsid w:val="00103E0D"/>
    <w:rsid w:val="0011058A"/>
    <w:rsid w:val="00116EB2"/>
    <w:rsid w:val="00124609"/>
    <w:rsid w:val="00126A4C"/>
    <w:rsid w:val="00142AB6"/>
    <w:rsid w:val="0014573B"/>
    <w:rsid w:val="00147E70"/>
    <w:rsid w:val="001534FA"/>
    <w:rsid w:val="00156DCC"/>
    <w:rsid w:val="001573E4"/>
    <w:rsid w:val="00160756"/>
    <w:rsid w:val="0016134A"/>
    <w:rsid w:val="0017232E"/>
    <w:rsid w:val="00174102"/>
    <w:rsid w:val="0017480F"/>
    <w:rsid w:val="001754EE"/>
    <w:rsid w:val="00180157"/>
    <w:rsid w:val="00182467"/>
    <w:rsid w:val="00185CB9"/>
    <w:rsid w:val="00186F77"/>
    <w:rsid w:val="0019089F"/>
    <w:rsid w:val="00191231"/>
    <w:rsid w:val="001926A4"/>
    <w:rsid w:val="00192AD5"/>
    <w:rsid w:val="00194EB5"/>
    <w:rsid w:val="001A4152"/>
    <w:rsid w:val="001B3F62"/>
    <w:rsid w:val="001B45A0"/>
    <w:rsid w:val="001B45C0"/>
    <w:rsid w:val="001B6F2E"/>
    <w:rsid w:val="001B7D00"/>
    <w:rsid w:val="001C0E10"/>
    <w:rsid w:val="001C17E7"/>
    <w:rsid w:val="001D055E"/>
    <w:rsid w:val="001D5088"/>
    <w:rsid w:val="001E009C"/>
    <w:rsid w:val="001E5FE2"/>
    <w:rsid w:val="001F05A4"/>
    <w:rsid w:val="001F492E"/>
    <w:rsid w:val="001F6DA3"/>
    <w:rsid w:val="002010BC"/>
    <w:rsid w:val="002016E7"/>
    <w:rsid w:val="00201F98"/>
    <w:rsid w:val="00202E03"/>
    <w:rsid w:val="0020478D"/>
    <w:rsid w:val="0020492C"/>
    <w:rsid w:val="00204B9A"/>
    <w:rsid w:val="00205A33"/>
    <w:rsid w:val="0022444D"/>
    <w:rsid w:val="00224DB9"/>
    <w:rsid w:val="00227DCE"/>
    <w:rsid w:val="0023276C"/>
    <w:rsid w:val="00233775"/>
    <w:rsid w:val="00251745"/>
    <w:rsid w:val="00253185"/>
    <w:rsid w:val="00263AC0"/>
    <w:rsid w:val="00264264"/>
    <w:rsid w:val="0026772D"/>
    <w:rsid w:val="00277554"/>
    <w:rsid w:val="00286874"/>
    <w:rsid w:val="00290C63"/>
    <w:rsid w:val="00296B65"/>
    <w:rsid w:val="0029724D"/>
    <w:rsid w:val="002A6688"/>
    <w:rsid w:val="002A7DEF"/>
    <w:rsid w:val="002B010F"/>
    <w:rsid w:val="002B1003"/>
    <w:rsid w:val="002B573C"/>
    <w:rsid w:val="002B770D"/>
    <w:rsid w:val="002C0D3D"/>
    <w:rsid w:val="002C233C"/>
    <w:rsid w:val="002D72E8"/>
    <w:rsid w:val="002E7B22"/>
    <w:rsid w:val="002F7986"/>
    <w:rsid w:val="00301B40"/>
    <w:rsid w:val="00301F1F"/>
    <w:rsid w:val="003029A5"/>
    <w:rsid w:val="003029EE"/>
    <w:rsid w:val="0030370B"/>
    <w:rsid w:val="00305CC8"/>
    <w:rsid w:val="00307F6D"/>
    <w:rsid w:val="003130C9"/>
    <w:rsid w:val="003177A2"/>
    <w:rsid w:val="00317BB6"/>
    <w:rsid w:val="00317D25"/>
    <w:rsid w:val="00320869"/>
    <w:rsid w:val="003249CC"/>
    <w:rsid w:val="00326B1D"/>
    <w:rsid w:val="003271B5"/>
    <w:rsid w:val="00327A1E"/>
    <w:rsid w:val="00331264"/>
    <w:rsid w:val="003338A2"/>
    <w:rsid w:val="00334C8D"/>
    <w:rsid w:val="0033548E"/>
    <w:rsid w:val="00343A18"/>
    <w:rsid w:val="00344473"/>
    <w:rsid w:val="00344D08"/>
    <w:rsid w:val="003457F9"/>
    <w:rsid w:val="00347114"/>
    <w:rsid w:val="003518B3"/>
    <w:rsid w:val="00356851"/>
    <w:rsid w:val="003578CD"/>
    <w:rsid w:val="003666F2"/>
    <w:rsid w:val="003717D8"/>
    <w:rsid w:val="00375477"/>
    <w:rsid w:val="0037751A"/>
    <w:rsid w:val="00381611"/>
    <w:rsid w:val="003846F1"/>
    <w:rsid w:val="00386371"/>
    <w:rsid w:val="003903D4"/>
    <w:rsid w:val="00391BF0"/>
    <w:rsid w:val="003931A7"/>
    <w:rsid w:val="00393646"/>
    <w:rsid w:val="003B484F"/>
    <w:rsid w:val="003B7FBA"/>
    <w:rsid w:val="003C017E"/>
    <w:rsid w:val="003C2449"/>
    <w:rsid w:val="003C69D1"/>
    <w:rsid w:val="003D2819"/>
    <w:rsid w:val="003F174D"/>
    <w:rsid w:val="003F572D"/>
    <w:rsid w:val="003F730B"/>
    <w:rsid w:val="003F7442"/>
    <w:rsid w:val="00404C9C"/>
    <w:rsid w:val="00415F31"/>
    <w:rsid w:val="00421834"/>
    <w:rsid w:val="0042205D"/>
    <w:rsid w:val="00422AEC"/>
    <w:rsid w:val="00423A77"/>
    <w:rsid w:val="00434278"/>
    <w:rsid w:val="00436ECD"/>
    <w:rsid w:val="00437833"/>
    <w:rsid w:val="004471FD"/>
    <w:rsid w:val="00452473"/>
    <w:rsid w:val="00454A2A"/>
    <w:rsid w:val="0045777E"/>
    <w:rsid w:val="00461B0F"/>
    <w:rsid w:val="00461C29"/>
    <w:rsid w:val="00474EC7"/>
    <w:rsid w:val="00480B4B"/>
    <w:rsid w:val="0048330E"/>
    <w:rsid w:val="00485DC4"/>
    <w:rsid w:val="00494BF6"/>
    <w:rsid w:val="004A0A5E"/>
    <w:rsid w:val="004A43D1"/>
    <w:rsid w:val="004B355D"/>
    <w:rsid w:val="004B4412"/>
    <w:rsid w:val="004C0C43"/>
    <w:rsid w:val="004C348C"/>
    <w:rsid w:val="004C4C6A"/>
    <w:rsid w:val="004C6A30"/>
    <w:rsid w:val="004D1A96"/>
    <w:rsid w:val="004D55BA"/>
    <w:rsid w:val="004E14E7"/>
    <w:rsid w:val="004E22EC"/>
    <w:rsid w:val="004E2A4C"/>
    <w:rsid w:val="004F6A0E"/>
    <w:rsid w:val="00510E3B"/>
    <w:rsid w:val="00530128"/>
    <w:rsid w:val="00532467"/>
    <w:rsid w:val="00537FD6"/>
    <w:rsid w:val="00541F08"/>
    <w:rsid w:val="00546641"/>
    <w:rsid w:val="00555E91"/>
    <w:rsid w:val="00562317"/>
    <w:rsid w:val="00564A4D"/>
    <w:rsid w:val="0056588A"/>
    <w:rsid w:val="00567BA5"/>
    <w:rsid w:val="00571B35"/>
    <w:rsid w:val="00571D57"/>
    <w:rsid w:val="00577A09"/>
    <w:rsid w:val="005829C2"/>
    <w:rsid w:val="00584D8F"/>
    <w:rsid w:val="00585A4E"/>
    <w:rsid w:val="00586819"/>
    <w:rsid w:val="0059704C"/>
    <w:rsid w:val="005A404D"/>
    <w:rsid w:val="005A7E06"/>
    <w:rsid w:val="005B1E3C"/>
    <w:rsid w:val="005B3FB7"/>
    <w:rsid w:val="005B4D33"/>
    <w:rsid w:val="005B704A"/>
    <w:rsid w:val="005C0A7F"/>
    <w:rsid w:val="005C26CC"/>
    <w:rsid w:val="005C4C9C"/>
    <w:rsid w:val="005C6218"/>
    <w:rsid w:val="005D03B1"/>
    <w:rsid w:val="005D578E"/>
    <w:rsid w:val="005D7BA2"/>
    <w:rsid w:val="005E36C2"/>
    <w:rsid w:val="005F0183"/>
    <w:rsid w:val="005F2650"/>
    <w:rsid w:val="005F727F"/>
    <w:rsid w:val="006007DE"/>
    <w:rsid w:val="00601638"/>
    <w:rsid w:val="00610EF9"/>
    <w:rsid w:val="00612F4F"/>
    <w:rsid w:val="00615C6B"/>
    <w:rsid w:val="00617789"/>
    <w:rsid w:val="00620DC3"/>
    <w:rsid w:val="00621DCE"/>
    <w:rsid w:val="006243CD"/>
    <w:rsid w:val="00632D6D"/>
    <w:rsid w:val="00640812"/>
    <w:rsid w:val="00642C3E"/>
    <w:rsid w:val="00651C3A"/>
    <w:rsid w:val="00651CB2"/>
    <w:rsid w:val="006560CA"/>
    <w:rsid w:val="00656B1B"/>
    <w:rsid w:val="00657E2D"/>
    <w:rsid w:val="0066104A"/>
    <w:rsid w:val="00663DAD"/>
    <w:rsid w:val="00665649"/>
    <w:rsid w:val="00666E20"/>
    <w:rsid w:val="006672AA"/>
    <w:rsid w:val="00675E20"/>
    <w:rsid w:val="00676679"/>
    <w:rsid w:val="006812E7"/>
    <w:rsid w:val="00683C89"/>
    <w:rsid w:val="00684C16"/>
    <w:rsid w:val="00691D9A"/>
    <w:rsid w:val="006A7CB9"/>
    <w:rsid w:val="006A7D76"/>
    <w:rsid w:val="006B2395"/>
    <w:rsid w:val="006B45A4"/>
    <w:rsid w:val="006B4CF9"/>
    <w:rsid w:val="006B785B"/>
    <w:rsid w:val="006B7AC8"/>
    <w:rsid w:val="006C1736"/>
    <w:rsid w:val="006C4798"/>
    <w:rsid w:val="006C774D"/>
    <w:rsid w:val="006D22F2"/>
    <w:rsid w:val="006D550F"/>
    <w:rsid w:val="006E1BDD"/>
    <w:rsid w:val="006E3F76"/>
    <w:rsid w:val="006F1F83"/>
    <w:rsid w:val="006F3AD1"/>
    <w:rsid w:val="006F3FC8"/>
    <w:rsid w:val="006F6183"/>
    <w:rsid w:val="0070011E"/>
    <w:rsid w:val="00701CAB"/>
    <w:rsid w:val="00707563"/>
    <w:rsid w:val="00721E6B"/>
    <w:rsid w:val="0072348C"/>
    <w:rsid w:val="00724A37"/>
    <w:rsid w:val="007303C3"/>
    <w:rsid w:val="00740002"/>
    <w:rsid w:val="00741C46"/>
    <w:rsid w:val="00741E23"/>
    <w:rsid w:val="007429BE"/>
    <w:rsid w:val="00743223"/>
    <w:rsid w:val="00746E01"/>
    <w:rsid w:val="00747EEA"/>
    <w:rsid w:val="00752C8D"/>
    <w:rsid w:val="00757364"/>
    <w:rsid w:val="00757BDF"/>
    <w:rsid w:val="007609D0"/>
    <w:rsid w:val="00763618"/>
    <w:rsid w:val="00763E5D"/>
    <w:rsid w:val="00767740"/>
    <w:rsid w:val="00777EE6"/>
    <w:rsid w:val="00782EEA"/>
    <w:rsid w:val="007A4A96"/>
    <w:rsid w:val="007A7002"/>
    <w:rsid w:val="007A7136"/>
    <w:rsid w:val="007A7F63"/>
    <w:rsid w:val="007B011C"/>
    <w:rsid w:val="007B186E"/>
    <w:rsid w:val="007B2C72"/>
    <w:rsid w:val="007B5CF2"/>
    <w:rsid w:val="007B6C52"/>
    <w:rsid w:val="007C1C53"/>
    <w:rsid w:val="007C3214"/>
    <w:rsid w:val="007C4FF0"/>
    <w:rsid w:val="007C74BB"/>
    <w:rsid w:val="007D456E"/>
    <w:rsid w:val="007D4C5D"/>
    <w:rsid w:val="007E42F4"/>
    <w:rsid w:val="007E4904"/>
    <w:rsid w:val="007E4CB5"/>
    <w:rsid w:val="007F066B"/>
    <w:rsid w:val="007F213A"/>
    <w:rsid w:val="007F3457"/>
    <w:rsid w:val="007F75C4"/>
    <w:rsid w:val="008033C4"/>
    <w:rsid w:val="00803FCD"/>
    <w:rsid w:val="008057DE"/>
    <w:rsid w:val="00806C88"/>
    <w:rsid w:val="00810070"/>
    <w:rsid w:val="0081034E"/>
    <w:rsid w:val="00812B03"/>
    <w:rsid w:val="00815CAC"/>
    <w:rsid w:val="008168E7"/>
    <w:rsid w:val="00821004"/>
    <w:rsid w:val="008221F2"/>
    <w:rsid w:val="00825985"/>
    <w:rsid w:val="008301A7"/>
    <w:rsid w:val="008301B2"/>
    <w:rsid w:val="0083184E"/>
    <w:rsid w:val="008344F6"/>
    <w:rsid w:val="0083510F"/>
    <w:rsid w:val="008408C5"/>
    <w:rsid w:val="008414FC"/>
    <w:rsid w:val="00847609"/>
    <w:rsid w:val="00847887"/>
    <w:rsid w:val="00851209"/>
    <w:rsid w:val="00853F33"/>
    <w:rsid w:val="00854221"/>
    <w:rsid w:val="0085722A"/>
    <w:rsid w:val="00862B19"/>
    <w:rsid w:val="008643D7"/>
    <w:rsid w:val="00864B35"/>
    <w:rsid w:val="00866D99"/>
    <w:rsid w:val="00867CF6"/>
    <w:rsid w:val="008749E0"/>
    <w:rsid w:val="00874CD0"/>
    <w:rsid w:val="008769AC"/>
    <w:rsid w:val="00882481"/>
    <w:rsid w:val="008837AC"/>
    <w:rsid w:val="008A587D"/>
    <w:rsid w:val="008B35CD"/>
    <w:rsid w:val="008B5FCC"/>
    <w:rsid w:val="008B7544"/>
    <w:rsid w:val="008C3374"/>
    <w:rsid w:val="008C39F0"/>
    <w:rsid w:val="008C5486"/>
    <w:rsid w:val="008C63DF"/>
    <w:rsid w:val="008C68EF"/>
    <w:rsid w:val="008C708B"/>
    <w:rsid w:val="008D1661"/>
    <w:rsid w:val="008D6800"/>
    <w:rsid w:val="008E1FB6"/>
    <w:rsid w:val="008E7031"/>
    <w:rsid w:val="008E77DE"/>
    <w:rsid w:val="008F07A3"/>
    <w:rsid w:val="008F16B3"/>
    <w:rsid w:val="008F34DD"/>
    <w:rsid w:val="009001B6"/>
    <w:rsid w:val="00900E1B"/>
    <w:rsid w:val="00901C3C"/>
    <w:rsid w:val="00903053"/>
    <w:rsid w:val="009038ED"/>
    <w:rsid w:val="00914F86"/>
    <w:rsid w:val="009233EE"/>
    <w:rsid w:val="00923CFC"/>
    <w:rsid w:val="00923FA9"/>
    <w:rsid w:val="009272AD"/>
    <w:rsid w:val="009277DC"/>
    <w:rsid w:val="00930D5D"/>
    <w:rsid w:val="009460AA"/>
    <w:rsid w:val="0094641C"/>
    <w:rsid w:val="00951978"/>
    <w:rsid w:val="00951BE5"/>
    <w:rsid w:val="00961115"/>
    <w:rsid w:val="00961A4A"/>
    <w:rsid w:val="009661DE"/>
    <w:rsid w:val="00983C25"/>
    <w:rsid w:val="009856B7"/>
    <w:rsid w:val="00985C86"/>
    <w:rsid w:val="00996BAF"/>
    <w:rsid w:val="009972D8"/>
    <w:rsid w:val="009A4FAA"/>
    <w:rsid w:val="009A5113"/>
    <w:rsid w:val="009A539D"/>
    <w:rsid w:val="009A5FC3"/>
    <w:rsid w:val="009B24A7"/>
    <w:rsid w:val="009B5DC8"/>
    <w:rsid w:val="009B6F84"/>
    <w:rsid w:val="009B7343"/>
    <w:rsid w:val="009B74B0"/>
    <w:rsid w:val="009C5049"/>
    <w:rsid w:val="009C691D"/>
    <w:rsid w:val="009D2B38"/>
    <w:rsid w:val="009D3906"/>
    <w:rsid w:val="009D6B46"/>
    <w:rsid w:val="009D6D2D"/>
    <w:rsid w:val="009F4940"/>
    <w:rsid w:val="009F5BA1"/>
    <w:rsid w:val="009F6752"/>
    <w:rsid w:val="009F677F"/>
    <w:rsid w:val="00A01C25"/>
    <w:rsid w:val="00A02A88"/>
    <w:rsid w:val="00A0562E"/>
    <w:rsid w:val="00A06085"/>
    <w:rsid w:val="00A0726D"/>
    <w:rsid w:val="00A1618B"/>
    <w:rsid w:val="00A16596"/>
    <w:rsid w:val="00A2303E"/>
    <w:rsid w:val="00A2643B"/>
    <w:rsid w:val="00A32FBB"/>
    <w:rsid w:val="00A428EE"/>
    <w:rsid w:val="00A4478A"/>
    <w:rsid w:val="00A44852"/>
    <w:rsid w:val="00A4558F"/>
    <w:rsid w:val="00A4594F"/>
    <w:rsid w:val="00A4650A"/>
    <w:rsid w:val="00A50502"/>
    <w:rsid w:val="00A5522A"/>
    <w:rsid w:val="00A57D04"/>
    <w:rsid w:val="00A60A26"/>
    <w:rsid w:val="00A61598"/>
    <w:rsid w:val="00A6238E"/>
    <w:rsid w:val="00A7512F"/>
    <w:rsid w:val="00A84A99"/>
    <w:rsid w:val="00A84F46"/>
    <w:rsid w:val="00A871F4"/>
    <w:rsid w:val="00A90AA4"/>
    <w:rsid w:val="00A923BF"/>
    <w:rsid w:val="00AB47E1"/>
    <w:rsid w:val="00AC1B2C"/>
    <w:rsid w:val="00AC3264"/>
    <w:rsid w:val="00AD247A"/>
    <w:rsid w:val="00AD3884"/>
    <w:rsid w:val="00AD5CEF"/>
    <w:rsid w:val="00AD7B56"/>
    <w:rsid w:val="00AE1BF1"/>
    <w:rsid w:val="00AE639E"/>
    <w:rsid w:val="00AF0DD2"/>
    <w:rsid w:val="00B0209D"/>
    <w:rsid w:val="00B02961"/>
    <w:rsid w:val="00B0324B"/>
    <w:rsid w:val="00B04908"/>
    <w:rsid w:val="00B04B4C"/>
    <w:rsid w:val="00B07CEA"/>
    <w:rsid w:val="00B13048"/>
    <w:rsid w:val="00B1716D"/>
    <w:rsid w:val="00B17A1D"/>
    <w:rsid w:val="00B207A0"/>
    <w:rsid w:val="00B40CAA"/>
    <w:rsid w:val="00B514DD"/>
    <w:rsid w:val="00B51F3F"/>
    <w:rsid w:val="00B52AF0"/>
    <w:rsid w:val="00B561BD"/>
    <w:rsid w:val="00B56E03"/>
    <w:rsid w:val="00B61EDF"/>
    <w:rsid w:val="00B71072"/>
    <w:rsid w:val="00B717F9"/>
    <w:rsid w:val="00B74AC5"/>
    <w:rsid w:val="00B757A6"/>
    <w:rsid w:val="00B8080B"/>
    <w:rsid w:val="00B816B9"/>
    <w:rsid w:val="00B82223"/>
    <w:rsid w:val="00B862D9"/>
    <w:rsid w:val="00B87BA5"/>
    <w:rsid w:val="00B87C39"/>
    <w:rsid w:val="00B9562D"/>
    <w:rsid w:val="00BA0731"/>
    <w:rsid w:val="00BA4665"/>
    <w:rsid w:val="00BA47EE"/>
    <w:rsid w:val="00BA796F"/>
    <w:rsid w:val="00BB0147"/>
    <w:rsid w:val="00BB2278"/>
    <w:rsid w:val="00BB2FB2"/>
    <w:rsid w:val="00BB3304"/>
    <w:rsid w:val="00BB3FD7"/>
    <w:rsid w:val="00BB6848"/>
    <w:rsid w:val="00BB7528"/>
    <w:rsid w:val="00BC18DE"/>
    <w:rsid w:val="00BC2FAF"/>
    <w:rsid w:val="00BC42EF"/>
    <w:rsid w:val="00BD0920"/>
    <w:rsid w:val="00BD0C45"/>
    <w:rsid w:val="00BD2031"/>
    <w:rsid w:val="00BD310B"/>
    <w:rsid w:val="00BD3446"/>
    <w:rsid w:val="00BE1F1B"/>
    <w:rsid w:val="00BE47B5"/>
    <w:rsid w:val="00BF0C8F"/>
    <w:rsid w:val="00BF0CD7"/>
    <w:rsid w:val="00C03909"/>
    <w:rsid w:val="00C04223"/>
    <w:rsid w:val="00C25FA6"/>
    <w:rsid w:val="00C275C4"/>
    <w:rsid w:val="00C30637"/>
    <w:rsid w:val="00C36F19"/>
    <w:rsid w:val="00C42ACA"/>
    <w:rsid w:val="00C50011"/>
    <w:rsid w:val="00C5122C"/>
    <w:rsid w:val="00C538A9"/>
    <w:rsid w:val="00C53B5A"/>
    <w:rsid w:val="00C54F5A"/>
    <w:rsid w:val="00C55EF2"/>
    <w:rsid w:val="00C569B4"/>
    <w:rsid w:val="00C56A01"/>
    <w:rsid w:val="00C56A3E"/>
    <w:rsid w:val="00C62BC8"/>
    <w:rsid w:val="00C66D56"/>
    <w:rsid w:val="00C6768D"/>
    <w:rsid w:val="00C67A92"/>
    <w:rsid w:val="00C7497E"/>
    <w:rsid w:val="00C74D43"/>
    <w:rsid w:val="00C81568"/>
    <w:rsid w:val="00C84560"/>
    <w:rsid w:val="00C84F52"/>
    <w:rsid w:val="00C859AF"/>
    <w:rsid w:val="00C86679"/>
    <w:rsid w:val="00C935BA"/>
    <w:rsid w:val="00C97CDF"/>
    <w:rsid w:val="00CA2ABF"/>
    <w:rsid w:val="00CA2C1D"/>
    <w:rsid w:val="00CA2EF0"/>
    <w:rsid w:val="00CA489E"/>
    <w:rsid w:val="00CA52A2"/>
    <w:rsid w:val="00CB0279"/>
    <w:rsid w:val="00CB666B"/>
    <w:rsid w:val="00CC1898"/>
    <w:rsid w:val="00CC7F1D"/>
    <w:rsid w:val="00CD19EE"/>
    <w:rsid w:val="00CE484B"/>
    <w:rsid w:val="00CE4900"/>
    <w:rsid w:val="00CE67CF"/>
    <w:rsid w:val="00CE79CF"/>
    <w:rsid w:val="00CF0DEE"/>
    <w:rsid w:val="00CF2C05"/>
    <w:rsid w:val="00CF6EDE"/>
    <w:rsid w:val="00D006AE"/>
    <w:rsid w:val="00D01CF0"/>
    <w:rsid w:val="00D01EFD"/>
    <w:rsid w:val="00D0442A"/>
    <w:rsid w:val="00D06055"/>
    <w:rsid w:val="00D066B7"/>
    <w:rsid w:val="00D17683"/>
    <w:rsid w:val="00D179D2"/>
    <w:rsid w:val="00D2275E"/>
    <w:rsid w:val="00D350E1"/>
    <w:rsid w:val="00D36FCC"/>
    <w:rsid w:val="00D41E80"/>
    <w:rsid w:val="00D45694"/>
    <w:rsid w:val="00D5452D"/>
    <w:rsid w:val="00D608F6"/>
    <w:rsid w:val="00D60EFF"/>
    <w:rsid w:val="00D61388"/>
    <w:rsid w:val="00D61A54"/>
    <w:rsid w:val="00D64275"/>
    <w:rsid w:val="00D64DEA"/>
    <w:rsid w:val="00D7168E"/>
    <w:rsid w:val="00D71E57"/>
    <w:rsid w:val="00D74838"/>
    <w:rsid w:val="00D75AA2"/>
    <w:rsid w:val="00D7645E"/>
    <w:rsid w:val="00D80893"/>
    <w:rsid w:val="00D84854"/>
    <w:rsid w:val="00D848B4"/>
    <w:rsid w:val="00D84D91"/>
    <w:rsid w:val="00D92CF1"/>
    <w:rsid w:val="00D92D38"/>
    <w:rsid w:val="00D950F5"/>
    <w:rsid w:val="00DA0BCC"/>
    <w:rsid w:val="00DA4752"/>
    <w:rsid w:val="00DA61F3"/>
    <w:rsid w:val="00DA6B93"/>
    <w:rsid w:val="00DA6F94"/>
    <w:rsid w:val="00DA7A0A"/>
    <w:rsid w:val="00DB0F93"/>
    <w:rsid w:val="00DB1A67"/>
    <w:rsid w:val="00DB5074"/>
    <w:rsid w:val="00DB5B21"/>
    <w:rsid w:val="00DC7981"/>
    <w:rsid w:val="00DD1C15"/>
    <w:rsid w:val="00DE1093"/>
    <w:rsid w:val="00DE4EFA"/>
    <w:rsid w:val="00DE5520"/>
    <w:rsid w:val="00DE563D"/>
    <w:rsid w:val="00DE5E2E"/>
    <w:rsid w:val="00DE772C"/>
    <w:rsid w:val="00DF1D9A"/>
    <w:rsid w:val="00DF2457"/>
    <w:rsid w:val="00DF312A"/>
    <w:rsid w:val="00DF62A2"/>
    <w:rsid w:val="00E04818"/>
    <w:rsid w:val="00E06442"/>
    <w:rsid w:val="00E06BCF"/>
    <w:rsid w:val="00E1001C"/>
    <w:rsid w:val="00E20E8F"/>
    <w:rsid w:val="00E23993"/>
    <w:rsid w:val="00E257D6"/>
    <w:rsid w:val="00E25B8C"/>
    <w:rsid w:val="00E3127B"/>
    <w:rsid w:val="00E34380"/>
    <w:rsid w:val="00E3544F"/>
    <w:rsid w:val="00E36D9F"/>
    <w:rsid w:val="00E40A58"/>
    <w:rsid w:val="00E505F7"/>
    <w:rsid w:val="00E51D65"/>
    <w:rsid w:val="00E6200B"/>
    <w:rsid w:val="00E65C85"/>
    <w:rsid w:val="00E66199"/>
    <w:rsid w:val="00E711C7"/>
    <w:rsid w:val="00E71390"/>
    <w:rsid w:val="00E7411D"/>
    <w:rsid w:val="00E7494F"/>
    <w:rsid w:val="00E74A6D"/>
    <w:rsid w:val="00E755EC"/>
    <w:rsid w:val="00E7624D"/>
    <w:rsid w:val="00E8265B"/>
    <w:rsid w:val="00E91849"/>
    <w:rsid w:val="00E97242"/>
    <w:rsid w:val="00EA38F3"/>
    <w:rsid w:val="00EA3D42"/>
    <w:rsid w:val="00EA6B1B"/>
    <w:rsid w:val="00EB5BC8"/>
    <w:rsid w:val="00EB606C"/>
    <w:rsid w:val="00EC04F1"/>
    <w:rsid w:val="00EC146F"/>
    <w:rsid w:val="00EC1B2B"/>
    <w:rsid w:val="00EC32E5"/>
    <w:rsid w:val="00ED0EC2"/>
    <w:rsid w:val="00ED3474"/>
    <w:rsid w:val="00ED4E5C"/>
    <w:rsid w:val="00ED6FB4"/>
    <w:rsid w:val="00ED7323"/>
    <w:rsid w:val="00EE28F3"/>
    <w:rsid w:val="00EE50D1"/>
    <w:rsid w:val="00EE77FA"/>
    <w:rsid w:val="00EE7A83"/>
    <w:rsid w:val="00EF1B7A"/>
    <w:rsid w:val="00EF5110"/>
    <w:rsid w:val="00F0088C"/>
    <w:rsid w:val="00F0334E"/>
    <w:rsid w:val="00F05169"/>
    <w:rsid w:val="00F07967"/>
    <w:rsid w:val="00F10411"/>
    <w:rsid w:val="00F12AF3"/>
    <w:rsid w:val="00F15882"/>
    <w:rsid w:val="00F171E0"/>
    <w:rsid w:val="00F20BD3"/>
    <w:rsid w:val="00F2526A"/>
    <w:rsid w:val="00F3191A"/>
    <w:rsid w:val="00F35081"/>
    <w:rsid w:val="00F373A5"/>
    <w:rsid w:val="00F42E08"/>
    <w:rsid w:val="00F452F0"/>
    <w:rsid w:val="00F47559"/>
    <w:rsid w:val="00F57907"/>
    <w:rsid w:val="00F61176"/>
    <w:rsid w:val="00F62A30"/>
    <w:rsid w:val="00F64C7B"/>
    <w:rsid w:val="00F65B25"/>
    <w:rsid w:val="00F676DD"/>
    <w:rsid w:val="00F71667"/>
    <w:rsid w:val="00F72420"/>
    <w:rsid w:val="00F73895"/>
    <w:rsid w:val="00F75A26"/>
    <w:rsid w:val="00F76706"/>
    <w:rsid w:val="00F768C8"/>
    <w:rsid w:val="00F81B8D"/>
    <w:rsid w:val="00F83D4C"/>
    <w:rsid w:val="00F83FAD"/>
    <w:rsid w:val="00F85C87"/>
    <w:rsid w:val="00F8653A"/>
    <w:rsid w:val="00F91F55"/>
    <w:rsid w:val="00F92349"/>
    <w:rsid w:val="00F93B21"/>
    <w:rsid w:val="00F952A0"/>
    <w:rsid w:val="00FA3C7F"/>
    <w:rsid w:val="00FA4D8C"/>
    <w:rsid w:val="00FB0615"/>
    <w:rsid w:val="00FB1BDB"/>
    <w:rsid w:val="00FB1BF3"/>
    <w:rsid w:val="00FB4402"/>
    <w:rsid w:val="00FB60FE"/>
    <w:rsid w:val="00FB74E2"/>
    <w:rsid w:val="00FC2DB6"/>
    <w:rsid w:val="00FC71DC"/>
    <w:rsid w:val="00FD2ED2"/>
    <w:rsid w:val="00FD5614"/>
    <w:rsid w:val="00FD5E78"/>
    <w:rsid w:val="00FE0BE1"/>
    <w:rsid w:val="00FE1DE9"/>
    <w:rsid w:val="00FE36AF"/>
    <w:rsid w:val="00FE39C2"/>
    <w:rsid w:val="00FE3C32"/>
    <w:rsid w:val="00FE64AE"/>
    <w:rsid w:val="00FF6D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3018">
      <w:bodyDiv w:val="1"/>
      <w:marLeft w:val="0"/>
      <w:marRight w:val="0"/>
      <w:marTop w:val="0"/>
      <w:marBottom w:val="0"/>
      <w:divBdr>
        <w:top w:val="none" w:sz="0" w:space="0" w:color="auto"/>
        <w:left w:val="none" w:sz="0" w:space="0" w:color="auto"/>
        <w:bottom w:val="none" w:sz="0" w:space="0" w:color="auto"/>
        <w:right w:val="none" w:sz="0" w:space="0" w:color="auto"/>
      </w:divBdr>
    </w:div>
    <w:div w:id="482700718">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837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gateway.icn.org.au/project/3680/north-east-gas-interconnector-negi-pipeline"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8AA44-274E-402D-84C6-4676D9FF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63D22DB6</Template>
  <TotalTime>0</TotalTime>
  <Pages>10</Pages>
  <Words>1809</Words>
  <Characters>10312</Characters>
  <Application>Microsoft Office Word</Application>
  <DocSecurity>0</DocSecurity>
  <Lines>85</Lines>
  <Paragraphs>24</Paragraphs>
  <ScaleCrop>false</ScaleCrop>
  <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2016-05-20T07:55:00Z</dcterms:created>
  <dcterms:modified xsi:type="dcterms:W3CDTF">2016-05-20T07:55:00Z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8575378</vt:lpwstr>
  </property>
</Properties>
</file>