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C53F31E" wp14:editId="7BA2A85A">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A217876" wp14:editId="611712C5">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96D92">
            <w:t>1</w:t>
          </w:r>
          <w:r w:rsidR="000474DF">
            <w:t xml:space="preserve"> </w:t>
          </w:r>
          <w:r w:rsidR="00185BA5">
            <w:t>–</w:t>
          </w:r>
          <w:r w:rsidR="000474DF">
            <w:t xml:space="preserve"> </w:t>
          </w:r>
          <w:r w:rsidR="00896D92">
            <w:t>Service target performance incentive scheme</w:t>
          </w:r>
        </w:p>
        <w:p w:rsidR="000A6C7B" w:rsidRPr="00327A1E" w:rsidRDefault="00C21E23"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29086"/>
      <w:r>
        <w:lastRenderedPageBreak/>
        <w:t>Note</w:t>
      </w:r>
      <w:bookmarkEnd w:id="2"/>
      <w:bookmarkEnd w:id="3"/>
      <w:bookmarkEnd w:id="4"/>
    </w:p>
    <w:p w:rsidR="00761454" w:rsidRDefault="00761454" w:rsidP="00761454">
      <w:pPr>
        <w:numPr>
          <w:ilvl w:val="0"/>
          <w:numId w:val="24"/>
        </w:numPr>
      </w:pPr>
      <w:r>
        <w:t xml:space="preserve">This </w:t>
      </w:r>
      <w:r w:rsidR="00411F5D">
        <w:t>attachment forms</w:t>
      </w:r>
      <w:r>
        <w:t xml:space="preserve">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29087"/>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0121A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29086" w:history="1">
            <w:r w:rsidR="000121A2" w:rsidRPr="00233D80">
              <w:rPr>
                <w:rStyle w:val="Hyperlink"/>
              </w:rPr>
              <w:t>Note</w:t>
            </w:r>
            <w:r w:rsidR="000121A2">
              <w:rPr>
                <w:webHidden/>
              </w:rPr>
              <w:tab/>
            </w:r>
            <w:r w:rsidR="000121A2">
              <w:rPr>
                <w:webHidden/>
              </w:rPr>
              <w:fldChar w:fldCharType="begin"/>
            </w:r>
            <w:r w:rsidR="000121A2">
              <w:rPr>
                <w:webHidden/>
              </w:rPr>
              <w:instrText xml:space="preserve"> PAGEREF _Toc451529086 \h </w:instrText>
            </w:r>
            <w:r w:rsidR="000121A2">
              <w:rPr>
                <w:webHidden/>
              </w:rPr>
            </w:r>
            <w:r w:rsidR="000121A2">
              <w:rPr>
                <w:webHidden/>
              </w:rPr>
              <w:fldChar w:fldCharType="separate"/>
            </w:r>
            <w:r w:rsidR="000121A2">
              <w:rPr>
                <w:webHidden/>
              </w:rPr>
              <w:t>11-2</w:t>
            </w:r>
            <w:r w:rsidR="000121A2">
              <w:rPr>
                <w:webHidden/>
              </w:rPr>
              <w:fldChar w:fldCharType="end"/>
            </w:r>
          </w:hyperlink>
        </w:p>
        <w:p w:rsidR="000121A2" w:rsidRDefault="000121A2">
          <w:pPr>
            <w:pStyle w:val="TOC1"/>
            <w:rPr>
              <w:rFonts w:asciiTheme="minorHAnsi" w:eastAsiaTheme="minorEastAsia" w:hAnsiTheme="minorHAnsi"/>
              <w:b w:val="0"/>
              <w:color w:val="auto"/>
              <w:sz w:val="22"/>
              <w:lang w:val="en-AU" w:eastAsia="en-AU"/>
            </w:rPr>
          </w:pPr>
          <w:hyperlink w:anchor="_Toc451529087" w:history="1">
            <w:r w:rsidRPr="00233D80">
              <w:rPr>
                <w:rStyle w:val="Hyperlink"/>
              </w:rPr>
              <w:t>Contents</w:t>
            </w:r>
            <w:r>
              <w:rPr>
                <w:webHidden/>
              </w:rPr>
              <w:tab/>
            </w:r>
            <w:r>
              <w:rPr>
                <w:webHidden/>
              </w:rPr>
              <w:fldChar w:fldCharType="begin"/>
            </w:r>
            <w:r>
              <w:rPr>
                <w:webHidden/>
              </w:rPr>
              <w:instrText xml:space="preserve"> PAGEREF _Toc451529087 \h </w:instrText>
            </w:r>
            <w:r>
              <w:rPr>
                <w:webHidden/>
              </w:rPr>
            </w:r>
            <w:r>
              <w:rPr>
                <w:webHidden/>
              </w:rPr>
              <w:fldChar w:fldCharType="separate"/>
            </w:r>
            <w:r>
              <w:rPr>
                <w:webHidden/>
              </w:rPr>
              <w:t>11-3</w:t>
            </w:r>
            <w:r>
              <w:rPr>
                <w:webHidden/>
              </w:rPr>
              <w:fldChar w:fldCharType="end"/>
            </w:r>
          </w:hyperlink>
        </w:p>
        <w:p w:rsidR="000121A2" w:rsidRDefault="000121A2">
          <w:pPr>
            <w:pStyle w:val="TOC1"/>
            <w:rPr>
              <w:rFonts w:asciiTheme="minorHAnsi" w:eastAsiaTheme="minorEastAsia" w:hAnsiTheme="minorHAnsi"/>
              <w:b w:val="0"/>
              <w:color w:val="auto"/>
              <w:sz w:val="22"/>
              <w:lang w:val="en-AU" w:eastAsia="en-AU"/>
            </w:rPr>
          </w:pPr>
          <w:hyperlink w:anchor="_Toc451529088" w:history="1">
            <w:r w:rsidRPr="00233D80">
              <w:rPr>
                <w:rStyle w:val="Hyperlink"/>
              </w:rPr>
              <w:t>Shortened forms</w:t>
            </w:r>
            <w:r>
              <w:rPr>
                <w:webHidden/>
              </w:rPr>
              <w:tab/>
            </w:r>
            <w:r>
              <w:rPr>
                <w:webHidden/>
              </w:rPr>
              <w:fldChar w:fldCharType="begin"/>
            </w:r>
            <w:r>
              <w:rPr>
                <w:webHidden/>
              </w:rPr>
              <w:instrText xml:space="preserve"> PAGEREF _Toc451529088 \h </w:instrText>
            </w:r>
            <w:r>
              <w:rPr>
                <w:webHidden/>
              </w:rPr>
            </w:r>
            <w:r>
              <w:rPr>
                <w:webHidden/>
              </w:rPr>
              <w:fldChar w:fldCharType="separate"/>
            </w:r>
            <w:r>
              <w:rPr>
                <w:webHidden/>
              </w:rPr>
              <w:t>11-5</w:t>
            </w:r>
            <w:r>
              <w:rPr>
                <w:webHidden/>
              </w:rPr>
              <w:fldChar w:fldCharType="end"/>
            </w:r>
          </w:hyperlink>
        </w:p>
        <w:p w:rsidR="000121A2" w:rsidRDefault="000121A2">
          <w:pPr>
            <w:pStyle w:val="TOC1"/>
            <w:rPr>
              <w:rFonts w:asciiTheme="minorHAnsi" w:eastAsiaTheme="minorEastAsia" w:hAnsiTheme="minorHAnsi"/>
              <w:b w:val="0"/>
              <w:color w:val="auto"/>
              <w:sz w:val="22"/>
              <w:lang w:val="en-AU" w:eastAsia="en-AU"/>
            </w:rPr>
          </w:pPr>
          <w:hyperlink w:anchor="_Toc451529089" w:history="1">
            <w:r w:rsidRPr="00233D80">
              <w:rPr>
                <w:rStyle w:val="Hyperlink"/>
              </w:rPr>
              <w:t>11</w:t>
            </w:r>
            <w:r>
              <w:rPr>
                <w:rFonts w:asciiTheme="minorHAnsi" w:eastAsiaTheme="minorEastAsia" w:hAnsiTheme="minorHAnsi"/>
                <w:b w:val="0"/>
                <w:color w:val="auto"/>
                <w:sz w:val="22"/>
                <w:lang w:val="en-AU" w:eastAsia="en-AU"/>
              </w:rPr>
              <w:tab/>
            </w:r>
            <w:r w:rsidRPr="00233D80">
              <w:rPr>
                <w:rStyle w:val="Hyperlink"/>
              </w:rPr>
              <w:t>Service target performance incentive scheme</w:t>
            </w:r>
            <w:r>
              <w:rPr>
                <w:webHidden/>
              </w:rPr>
              <w:tab/>
            </w:r>
            <w:r>
              <w:rPr>
                <w:webHidden/>
              </w:rPr>
              <w:fldChar w:fldCharType="begin"/>
            </w:r>
            <w:r>
              <w:rPr>
                <w:webHidden/>
              </w:rPr>
              <w:instrText xml:space="preserve"> PAGEREF _Toc451529089 \h </w:instrText>
            </w:r>
            <w:r>
              <w:rPr>
                <w:webHidden/>
              </w:rPr>
            </w:r>
            <w:r>
              <w:rPr>
                <w:webHidden/>
              </w:rPr>
              <w:fldChar w:fldCharType="separate"/>
            </w:r>
            <w:r>
              <w:rPr>
                <w:webHidden/>
              </w:rPr>
              <w:t>11-7</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090" w:history="1">
            <w:r w:rsidRPr="00233D80">
              <w:rPr>
                <w:rStyle w:val="Hyperlink"/>
              </w:rPr>
              <w:t>11.1</w:t>
            </w:r>
            <w:r>
              <w:rPr>
                <w:rFonts w:asciiTheme="minorHAnsi" w:eastAsiaTheme="minorEastAsia" w:hAnsiTheme="minorHAnsi"/>
                <w:b w:val="0"/>
                <w:color w:val="auto"/>
                <w:sz w:val="22"/>
                <w:lang w:eastAsia="en-AU"/>
              </w:rPr>
              <w:tab/>
            </w:r>
            <w:r w:rsidRPr="00233D80">
              <w:rPr>
                <w:rStyle w:val="Hyperlink"/>
              </w:rPr>
              <w:t>Final decision</w:t>
            </w:r>
            <w:r>
              <w:rPr>
                <w:webHidden/>
              </w:rPr>
              <w:tab/>
            </w:r>
            <w:r>
              <w:rPr>
                <w:webHidden/>
              </w:rPr>
              <w:fldChar w:fldCharType="begin"/>
            </w:r>
            <w:r>
              <w:rPr>
                <w:webHidden/>
              </w:rPr>
              <w:instrText xml:space="preserve"> PAGEREF _Toc451529090 \h </w:instrText>
            </w:r>
            <w:r>
              <w:rPr>
                <w:webHidden/>
              </w:rPr>
            </w:r>
            <w:r>
              <w:rPr>
                <w:webHidden/>
              </w:rPr>
              <w:fldChar w:fldCharType="separate"/>
            </w:r>
            <w:r>
              <w:rPr>
                <w:webHidden/>
              </w:rPr>
              <w:t>11-7</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091" w:history="1">
            <w:r w:rsidRPr="00233D80">
              <w:rPr>
                <w:rStyle w:val="Hyperlink"/>
              </w:rPr>
              <w:t>11.2</w:t>
            </w:r>
            <w:r>
              <w:rPr>
                <w:rFonts w:asciiTheme="minorHAnsi" w:eastAsiaTheme="minorEastAsia" w:hAnsiTheme="minorHAnsi"/>
                <w:b w:val="0"/>
                <w:color w:val="auto"/>
                <w:sz w:val="22"/>
                <w:lang w:eastAsia="en-AU"/>
              </w:rPr>
              <w:tab/>
            </w:r>
            <w:r w:rsidRPr="00233D80">
              <w:rPr>
                <w:rStyle w:val="Hyperlink"/>
              </w:rPr>
              <w:t>Our preliminary decision</w:t>
            </w:r>
            <w:r>
              <w:rPr>
                <w:webHidden/>
              </w:rPr>
              <w:tab/>
            </w:r>
            <w:r>
              <w:rPr>
                <w:webHidden/>
              </w:rPr>
              <w:fldChar w:fldCharType="begin"/>
            </w:r>
            <w:r>
              <w:rPr>
                <w:webHidden/>
              </w:rPr>
              <w:instrText xml:space="preserve"> PAGEREF _Toc451529091 \h </w:instrText>
            </w:r>
            <w:r>
              <w:rPr>
                <w:webHidden/>
              </w:rPr>
            </w:r>
            <w:r>
              <w:rPr>
                <w:webHidden/>
              </w:rPr>
              <w:fldChar w:fldCharType="separate"/>
            </w:r>
            <w:r>
              <w:rPr>
                <w:webHidden/>
              </w:rPr>
              <w:t>11-9</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092" w:history="1">
            <w:r w:rsidRPr="00233D80">
              <w:rPr>
                <w:rStyle w:val="Hyperlink"/>
              </w:rPr>
              <w:t>11.3</w:t>
            </w:r>
            <w:r>
              <w:rPr>
                <w:rFonts w:asciiTheme="minorHAnsi" w:eastAsiaTheme="minorEastAsia" w:hAnsiTheme="minorHAnsi"/>
                <w:b w:val="0"/>
                <w:color w:val="auto"/>
                <w:sz w:val="22"/>
                <w:lang w:eastAsia="en-AU"/>
              </w:rPr>
              <w:tab/>
            </w:r>
            <w:r w:rsidRPr="00233D80">
              <w:rPr>
                <w:rStyle w:val="Hyperlink"/>
              </w:rPr>
              <w:t>AusNet Services' revised proposal</w:t>
            </w:r>
            <w:r>
              <w:rPr>
                <w:webHidden/>
              </w:rPr>
              <w:tab/>
            </w:r>
            <w:r>
              <w:rPr>
                <w:webHidden/>
              </w:rPr>
              <w:fldChar w:fldCharType="begin"/>
            </w:r>
            <w:r>
              <w:rPr>
                <w:webHidden/>
              </w:rPr>
              <w:instrText xml:space="preserve"> PAGEREF _Toc451529092 \h </w:instrText>
            </w:r>
            <w:r>
              <w:rPr>
                <w:webHidden/>
              </w:rPr>
            </w:r>
            <w:r>
              <w:rPr>
                <w:webHidden/>
              </w:rPr>
              <w:fldChar w:fldCharType="separate"/>
            </w:r>
            <w:r>
              <w:rPr>
                <w:webHidden/>
              </w:rPr>
              <w:t>11-10</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093" w:history="1">
            <w:r w:rsidRPr="00233D80">
              <w:rPr>
                <w:rStyle w:val="Hyperlink"/>
              </w:rPr>
              <w:t>11.4</w:t>
            </w:r>
            <w:r>
              <w:rPr>
                <w:rFonts w:asciiTheme="minorHAnsi" w:eastAsiaTheme="minorEastAsia" w:hAnsiTheme="minorHAnsi"/>
                <w:b w:val="0"/>
                <w:color w:val="auto"/>
                <w:sz w:val="22"/>
                <w:lang w:eastAsia="en-AU"/>
              </w:rPr>
              <w:tab/>
            </w:r>
            <w:r w:rsidRPr="00233D80">
              <w:rPr>
                <w:rStyle w:val="Hyperlink"/>
              </w:rPr>
              <w:t>AER’s assessment approach</w:t>
            </w:r>
            <w:r>
              <w:rPr>
                <w:webHidden/>
              </w:rPr>
              <w:tab/>
            </w:r>
            <w:r>
              <w:rPr>
                <w:webHidden/>
              </w:rPr>
              <w:fldChar w:fldCharType="begin"/>
            </w:r>
            <w:r>
              <w:rPr>
                <w:webHidden/>
              </w:rPr>
              <w:instrText xml:space="preserve"> PAGEREF _Toc451529093 \h </w:instrText>
            </w:r>
            <w:r>
              <w:rPr>
                <w:webHidden/>
              </w:rPr>
            </w:r>
            <w:r>
              <w:rPr>
                <w:webHidden/>
              </w:rPr>
              <w:fldChar w:fldCharType="separate"/>
            </w:r>
            <w:r>
              <w:rPr>
                <w:webHidden/>
              </w:rPr>
              <w:t>11-10</w:t>
            </w:r>
            <w:r>
              <w:rPr>
                <w:webHidden/>
              </w:rPr>
              <w:fldChar w:fldCharType="end"/>
            </w:r>
          </w:hyperlink>
        </w:p>
        <w:p w:rsidR="000121A2" w:rsidRDefault="000121A2">
          <w:pPr>
            <w:pStyle w:val="TOC3"/>
            <w:rPr>
              <w:rFonts w:asciiTheme="minorHAnsi" w:eastAsiaTheme="minorEastAsia" w:hAnsiTheme="minorHAnsi"/>
              <w:lang w:eastAsia="en-AU"/>
            </w:rPr>
          </w:pPr>
          <w:hyperlink w:anchor="_Toc451529094" w:history="1">
            <w:r w:rsidRPr="00233D80">
              <w:rPr>
                <w:rStyle w:val="Hyperlink"/>
              </w:rPr>
              <w:t>11.4.1</w:t>
            </w:r>
            <w:r>
              <w:rPr>
                <w:rFonts w:asciiTheme="minorHAnsi" w:eastAsiaTheme="minorEastAsia" w:hAnsiTheme="minorHAnsi"/>
                <w:lang w:eastAsia="en-AU"/>
              </w:rPr>
              <w:tab/>
            </w:r>
            <w:r w:rsidRPr="00233D80">
              <w:rPr>
                <w:rStyle w:val="Hyperlink"/>
              </w:rPr>
              <w:t>Interrelationships</w:t>
            </w:r>
            <w:r>
              <w:rPr>
                <w:webHidden/>
              </w:rPr>
              <w:tab/>
            </w:r>
            <w:r>
              <w:rPr>
                <w:webHidden/>
              </w:rPr>
              <w:fldChar w:fldCharType="begin"/>
            </w:r>
            <w:r>
              <w:rPr>
                <w:webHidden/>
              </w:rPr>
              <w:instrText xml:space="preserve"> PAGEREF _Toc451529094 \h </w:instrText>
            </w:r>
            <w:r>
              <w:rPr>
                <w:webHidden/>
              </w:rPr>
            </w:r>
            <w:r>
              <w:rPr>
                <w:webHidden/>
              </w:rPr>
              <w:fldChar w:fldCharType="separate"/>
            </w:r>
            <w:r>
              <w:rPr>
                <w:webHidden/>
              </w:rPr>
              <w:t>11-10</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095" w:history="1">
            <w:r w:rsidRPr="00233D80">
              <w:rPr>
                <w:rStyle w:val="Hyperlink"/>
              </w:rPr>
              <w:t>11.5</w:t>
            </w:r>
            <w:r>
              <w:rPr>
                <w:rFonts w:asciiTheme="minorHAnsi" w:eastAsiaTheme="minorEastAsia" w:hAnsiTheme="minorHAnsi"/>
                <w:b w:val="0"/>
                <w:color w:val="auto"/>
                <w:sz w:val="22"/>
                <w:lang w:eastAsia="en-AU"/>
              </w:rPr>
              <w:tab/>
            </w:r>
            <w:r w:rsidRPr="00233D80">
              <w:rPr>
                <w:rStyle w:val="Hyperlink"/>
              </w:rPr>
              <w:t>Reasons for the final decision</w:t>
            </w:r>
            <w:r>
              <w:rPr>
                <w:webHidden/>
              </w:rPr>
              <w:tab/>
            </w:r>
            <w:r>
              <w:rPr>
                <w:webHidden/>
              </w:rPr>
              <w:fldChar w:fldCharType="begin"/>
            </w:r>
            <w:r>
              <w:rPr>
                <w:webHidden/>
              </w:rPr>
              <w:instrText xml:space="preserve"> PAGEREF _Toc451529095 \h </w:instrText>
            </w:r>
            <w:r>
              <w:rPr>
                <w:webHidden/>
              </w:rPr>
            </w:r>
            <w:r>
              <w:rPr>
                <w:webHidden/>
              </w:rPr>
              <w:fldChar w:fldCharType="separate"/>
            </w:r>
            <w:r>
              <w:rPr>
                <w:webHidden/>
              </w:rPr>
              <w:t>11-11</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096" w:history="1">
            <w:r w:rsidRPr="00233D80">
              <w:rPr>
                <w:rStyle w:val="Hyperlink"/>
              </w:rPr>
              <w:t>11.6</w:t>
            </w:r>
            <w:r>
              <w:rPr>
                <w:rFonts w:asciiTheme="minorHAnsi" w:eastAsiaTheme="minorEastAsia" w:hAnsiTheme="minorHAnsi"/>
                <w:b w:val="0"/>
                <w:color w:val="auto"/>
                <w:sz w:val="22"/>
                <w:lang w:eastAsia="en-AU"/>
              </w:rPr>
              <w:tab/>
            </w:r>
            <w:r w:rsidRPr="00233D80">
              <w:rPr>
                <w:rStyle w:val="Hyperlink"/>
              </w:rPr>
              <w:t>Applying the STPIS</w:t>
            </w:r>
            <w:r>
              <w:rPr>
                <w:webHidden/>
              </w:rPr>
              <w:tab/>
            </w:r>
            <w:r>
              <w:rPr>
                <w:webHidden/>
              </w:rPr>
              <w:fldChar w:fldCharType="begin"/>
            </w:r>
            <w:r>
              <w:rPr>
                <w:webHidden/>
              </w:rPr>
              <w:instrText xml:space="preserve"> PAGEREF _Toc451529096 \h </w:instrText>
            </w:r>
            <w:r>
              <w:rPr>
                <w:webHidden/>
              </w:rPr>
            </w:r>
            <w:r>
              <w:rPr>
                <w:webHidden/>
              </w:rPr>
              <w:fldChar w:fldCharType="separate"/>
            </w:r>
            <w:r>
              <w:rPr>
                <w:webHidden/>
              </w:rPr>
              <w:t>11-11</w:t>
            </w:r>
            <w:r>
              <w:rPr>
                <w:webHidden/>
              </w:rPr>
              <w:fldChar w:fldCharType="end"/>
            </w:r>
          </w:hyperlink>
        </w:p>
        <w:p w:rsidR="000121A2" w:rsidRDefault="000121A2">
          <w:pPr>
            <w:pStyle w:val="TOC3"/>
            <w:rPr>
              <w:rFonts w:asciiTheme="minorHAnsi" w:eastAsiaTheme="minorEastAsia" w:hAnsiTheme="minorHAnsi"/>
              <w:lang w:eastAsia="en-AU"/>
            </w:rPr>
          </w:pPr>
          <w:hyperlink w:anchor="_Toc451529097" w:history="1">
            <w:r w:rsidRPr="00233D80">
              <w:rPr>
                <w:rStyle w:val="Hyperlink"/>
              </w:rPr>
              <w:t>11.6.1</w:t>
            </w:r>
            <w:r>
              <w:rPr>
                <w:rFonts w:asciiTheme="minorHAnsi" w:eastAsiaTheme="minorEastAsia" w:hAnsiTheme="minorHAnsi"/>
                <w:lang w:eastAsia="en-AU"/>
              </w:rPr>
              <w:tab/>
            </w:r>
            <w:r w:rsidRPr="00233D80">
              <w:rPr>
                <w:rStyle w:val="Hyperlink"/>
              </w:rPr>
              <w:t>Revenue at risk</w:t>
            </w:r>
            <w:r>
              <w:rPr>
                <w:webHidden/>
              </w:rPr>
              <w:tab/>
            </w:r>
            <w:r>
              <w:rPr>
                <w:webHidden/>
              </w:rPr>
              <w:fldChar w:fldCharType="begin"/>
            </w:r>
            <w:r>
              <w:rPr>
                <w:webHidden/>
              </w:rPr>
              <w:instrText xml:space="preserve"> PAGEREF _Toc451529097 \h </w:instrText>
            </w:r>
            <w:r>
              <w:rPr>
                <w:webHidden/>
              </w:rPr>
            </w:r>
            <w:r>
              <w:rPr>
                <w:webHidden/>
              </w:rPr>
              <w:fldChar w:fldCharType="separate"/>
            </w:r>
            <w:r>
              <w:rPr>
                <w:webHidden/>
              </w:rPr>
              <w:t>11-11</w:t>
            </w:r>
            <w:r>
              <w:rPr>
                <w:webHidden/>
              </w:rPr>
              <w:fldChar w:fldCharType="end"/>
            </w:r>
          </w:hyperlink>
        </w:p>
        <w:p w:rsidR="000121A2" w:rsidRDefault="000121A2">
          <w:pPr>
            <w:pStyle w:val="TOC3"/>
            <w:rPr>
              <w:rFonts w:asciiTheme="minorHAnsi" w:eastAsiaTheme="minorEastAsia" w:hAnsiTheme="minorHAnsi"/>
              <w:lang w:eastAsia="en-AU"/>
            </w:rPr>
          </w:pPr>
          <w:hyperlink w:anchor="_Toc451529098" w:history="1">
            <w:r w:rsidRPr="00233D80">
              <w:rPr>
                <w:rStyle w:val="Hyperlink"/>
              </w:rPr>
              <w:t>11.6.2</w:t>
            </w:r>
            <w:r>
              <w:rPr>
                <w:rFonts w:asciiTheme="minorHAnsi" w:eastAsiaTheme="minorEastAsia" w:hAnsiTheme="minorHAnsi"/>
                <w:lang w:eastAsia="en-AU"/>
              </w:rPr>
              <w:tab/>
            </w:r>
            <w:r w:rsidRPr="00233D80">
              <w:rPr>
                <w:rStyle w:val="Hyperlink"/>
              </w:rPr>
              <w:t>Reliability of supply component</w:t>
            </w:r>
            <w:r>
              <w:rPr>
                <w:webHidden/>
              </w:rPr>
              <w:tab/>
            </w:r>
            <w:r>
              <w:rPr>
                <w:webHidden/>
              </w:rPr>
              <w:fldChar w:fldCharType="begin"/>
            </w:r>
            <w:r>
              <w:rPr>
                <w:webHidden/>
              </w:rPr>
              <w:instrText xml:space="preserve"> PAGEREF _Toc451529098 \h </w:instrText>
            </w:r>
            <w:r>
              <w:rPr>
                <w:webHidden/>
              </w:rPr>
            </w:r>
            <w:r>
              <w:rPr>
                <w:webHidden/>
              </w:rPr>
              <w:fldChar w:fldCharType="separate"/>
            </w:r>
            <w:r>
              <w:rPr>
                <w:webHidden/>
              </w:rPr>
              <w:t>11-12</w:t>
            </w:r>
            <w:r>
              <w:rPr>
                <w:webHidden/>
              </w:rPr>
              <w:fldChar w:fldCharType="end"/>
            </w:r>
          </w:hyperlink>
        </w:p>
        <w:p w:rsidR="000121A2" w:rsidRDefault="000121A2">
          <w:pPr>
            <w:pStyle w:val="TOC3"/>
            <w:rPr>
              <w:rFonts w:asciiTheme="minorHAnsi" w:eastAsiaTheme="minorEastAsia" w:hAnsiTheme="minorHAnsi"/>
              <w:lang w:eastAsia="en-AU"/>
            </w:rPr>
          </w:pPr>
          <w:hyperlink w:anchor="_Toc451529099" w:history="1">
            <w:r w:rsidRPr="00233D80">
              <w:rPr>
                <w:rStyle w:val="Hyperlink"/>
              </w:rPr>
              <w:t>11.6.3</w:t>
            </w:r>
            <w:r>
              <w:rPr>
                <w:rFonts w:asciiTheme="minorHAnsi" w:eastAsiaTheme="minorEastAsia" w:hAnsiTheme="minorHAnsi"/>
                <w:lang w:eastAsia="en-AU"/>
              </w:rPr>
              <w:tab/>
            </w:r>
            <w:r w:rsidRPr="00233D80">
              <w:rPr>
                <w:rStyle w:val="Hyperlink"/>
              </w:rPr>
              <w:t>Performance targets</w:t>
            </w:r>
            <w:r>
              <w:rPr>
                <w:webHidden/>
              </w:rPr>
              <w:tab/>
            </w:r>
            <w:r>
              <w:rPr>
                <w:webHidden/>
              </w:rPr>
              <w:fldChar w:fldCharType="begin"/>
            </w:r>
            <w:r>
              <w:rPr>
                <w:webHidden/>
              </w:rPr>
              <w:instrText xml:space="preserve"> PAGEREF _Toc451529099 \h </w:instrText>
            </w:r>
            <w:r>
              <w:rPr>
                <w:webHidden/>
              </w:rPr>
            </w:r>
            <w:r>
              <w:rPr>
                <w:webHidden/>
              </w:rPr>
              <w:fldChar w:fldCharType="separate"/>
            </w:r>
            <w:r>
              <w:rPr>
                <w:webHidden/>
              </w:rPr>
              <w:t>11-12</w:t>
            </w:r>
            <w:r>
              <w:rPr>
                <w:webHidden/>
              </w:rPr>
              <w:fldChar w:fldCharType="end"/>
            </w:r>
          </w:hyperlink>
        </w:p>
        <w:p w:rsidR="000121A2" w:rsidRDefault="000121A2">
          <w:pPr>
            <w:pStyle w:val="TOC3"/>
            <w:rPr>
              <w:rFonts w:asciiTheme="minorHAnsi" w:eastAsiaTheme="minorEastAsia" w:hAnsiTheme="minorHAnsi"/>
              <w:lang w:eastAsia="en-AU"/>
            </w:rPr>
          </w:pPr>
          <w:hyperlink w:anchor="_Toc451529100" w:history="1">
            <w:r w:rsidRPr="00233D80">
              <w:rPr>
                <w:rStyle w:val="Hyperlink"/>
              </w:rPr>
              <w:t>11.6.4</w:t>
            </w:r>
            <w:r>
              <w:rPr>
                <w:rFonts w:asciiTheme="minorHAnsi" w:eastAsiaTheme="minorEastAsia" w:hAnsiTheme="minorHAnsi"/>
                <w:lang w:eastAsia="en-AU"/>
              </w:rPr>
              <w:tab/>
            </w:r>
            <w:r w:rsidRPr="00233D80">
              <w:rPr>
                <w:rStyle w:val="Hyperlink"/>
              </w:rPr>
              <w:t>Incentive rates</w:t>
            </w:r>
            <w:r>
              <w:rPr>
                <w:webHidden/>
              </w:rPr>
              <w:tab/>
            </w:r>
            <w:r>
              <w:rPr>
                <w:webHidden/>
              </w:rPr>
              <w:fldChar w:fldCharType="begin"/>
            </w:r>
            <w:r>
              <w:rPr>
                <w:webHidden/>
              </w:rPr>
              <w:instrText xml:space="preserve"> PAGEREF _Toc451529100 \h </w:instrText>
            </w:r>
            <w:r>
              <w:rPr>
                <w:webHidden/>
              </w:rPr>
            </w:r>
            <w:r>
              <w:rPr>
                <w:webHidden/>
              </w:rPr>
              <w:fldChar w:fldCharType="separate"/>
            </w:r>
            <w:r>
              <w:rPr>
                <w:webHidden/>
              </w:rPr>
              <w:t>11-13</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101" w:history="1">
            <w:r w:rsidRPr="00233D80">
              <w:rPr>
                <w:rStyle w:val="Hyperlink"/>
              </w:rPr>
              <w:t>11.7</w:t>
            </w:r>
            <w:r>
              <w:rPr>
                <w:rFonts w:asciiTheme="minorHAnsi" w:eastAsiaTheme="minorEastAsia" w:hAnsiTheme="minorHAnsi"/>
                <w:b w:val="0"/>
                <w:color w:val="auto"/>
                <w:sz w:val="22"/>
                <w:lang w:eastAsia="en-AU"/>
              </w:rPr>
              <w:tab/>
            </w:r>
            <w:r w:rsidRPr="00233D80">
              <w:rPr>
                <w:rStyle w:val="Hyperlink"/>
              </w:rPr>
              <w:t>Reasons for not departing from our preliminary decision</w:t>
            </w:r>
            <w:r>
              <w:rPr>
                <w:webHidden/>
              </w:rPr>
              <w:tab/>
            </w:r>
            <w:r>
              <w:rPr>
                <w:webHidden/>
              </w:rPr>
              <w:fldChar w:fldCharType="begin"/>
            </w:r>
            <w:r>
              <w:rPr>
                <w:webHidden/>
              </w:rPr>
              <w:instrText xml:space="preserve"> PAGEREF _Toc451529101 \h </w:instrText>
            </w:r>
            <w:r>
              <w:rPr>
                <w:webHidden/>
              </w:rPr>
            </w:r>
            <w:r>
              <w:rPr>
                <w:webHidden/>
              </w:rPr>
              <w:fldChar w:fldCharType="separate"/>
            </w:r>
            <w:r>
              <w:rPr>
                <w:webHidden/>
              </w:rPr>
              <w:t>11-14</w:t>
            </w:r>
            <w:r>
              <w:rPr>
                <w:webHidden/>
              </w:rPr>
              <w:fldChar w:fldCharType="end"/>
            </w:r>
          </w:hyperlink>
        </w:p>
        <w:p w:rsidR="000121A2" w:rsidRDefault="000121A2">
          <w:pPr>
            <w:pStyle w:val="TOC3"/>
            <w:rPr>
              <w:rFonts w:asciiTheme="minorHAnsi" w:eastAsiaTheme="minorEastAsia" w:hAnsiTheme="minorHAnsi"/>
              <w:lang w:eastAsia="en-AU"/>
            </w:rPr>
          </w:pPr>
          <w:hyperlink w:anchor="_Toc451529102" w:history="1">
            <w:r w:rsidRPr="00233D80">
              <w:rPr>
                <w:rStyle w:val="Hyperlink"/>
              </w:rPr>
              <w:t>11.7.1</w:t>
            </w:r>
            <w:r>
              <w:rPr>
                <w:rFonts w:asciiTheme="minorHAnsi" w:eastAsiaTheme="minorEastAsia" w:hAnsiTheme="minorHAnsi"/>
                <w:lang w:eastAsia="en-AU"/>
              </w:rPr>
              <w:tab/>
            </w:r>
            <w:r w:rsidRPr="00233D80">
              <w:rPr>
                <w:rStyle w:val="Hyperlink"/>
              </w:rPr>
              <w:t>Value of customer reliability</w:t>
            </w:r>
            <w:r>
              <w:rPr>
                <w:webHidden/>
              </w:rPr>
              <w:tab/>
            </w:r>
            <w:r>
              <w:rPr>
                <w:webHidden/>
              </w:rPr>
              <w:fldChar w:fldCharType="begin"/>
            </w:r>
            <w:r>
              <w:rPr>
                <w:webHidden/>
              </w:rPr>
              <w:instrText xml:space="preserve"> PAGEREF _Toc451529102 \h </w:instrText>
            </w:r>
            <w:r>
              <w:rPr>
                <w:webHidden/>
              </w:rPr>
            </w:r>
            <w:r>
              <w:rPr>
                <w:webHidden/>
              </w:rPr>
              <w:fldChar w:fldCharType="separate"/>
            </w:r>
            <w:r>
              <w:rPr>
                <w:webHidden/>
              </w:rPr>
              <w:t>11-14</w:t>
            </w:r>
            <w:r>
              <w:rPr>
                <w:webHidden/>
              </w:rPr>
              <w:fldChar w:fldCharType="end"/>
            </w:r>
          </w:hyperlink>
        </w:p>
        <w:p w:rsidR="000121A2" w:rsidRDefault="000121A2">
          <w:pPr>
            <w:pStyle w:val="TOC3"/>
            <w:rPr>
              <w:rFonts w:asciiTheme="minorHAnsi" w:eastAsiaTheme="minorEastAsia" w:hAnsiTheme="minorHAnsi"/>
              <w:lang w:eastAsia="en-AU"/>
            </w:rPr>
          </w:pPr>
          <w:hyperlink w:anchor="_Toc451529103" w:history="1">
            <w:r w:rsidRPr="00233D80">
              <w:rPr>
                <w:rStyle w:val="Hyperlink"/>
              </w:rPr>
              <w:t>11.7.2</w:t>
            </w:r>
            <w:r>
              <w:rPr>
                <w:rFonts w:asciiTheme="minorHAnsi" w:eastAsiaTheme="minorEastAsia" w:hAnsiTheme="minorHAnsi"/>
                <w:lang w:eastAsia="en-AU"/>
              </w:rPr>
              <w:tab/>
            </w:r>
            <w:r w:rsidRPr="00233D80">
              <w:rPr>
                <w:rStyle w:val="Hyperlink"/>
              </w:rPr>
              <w:t>Relationship between VCR, reliability outcomes and performance targets</w:t>
            </w:r>
            <w:r>
              <w:rPr>
                <w:webHidden/>
              </w:rPr>
              <w:tab/>
            </w:r>
            <w:r>
              <w:rPr>
                <w:webHidden/>
              </w:rPr>
              <w:fldChar w:fldCharType="begin"/>
            </w:r>
            <w:r>
              <w:rPr>
                <w:webHidden/>
              </w:rPr>
              <w:instrText xml:space="preserve"> PAGEREF _Toc451529103 \h </w:instrText>
            </w:r>
            <w:r>
              <w:rPr>
                <w:webHidden/>
              </w:rPr>
            </w:r>
            <w:r>
              <w:rPr>
                <w:webHidden/>
              </w:rPr>
              <w:fldChar w:fldCharType="separate"/>
            </w:r>
            <w:r>
              <w:rPr>
                <w:webHidden/>
              </w:rPr>
              <w:t>11-15</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104" w:history="1">
            <w:r w:rsidRPr="00233D80">
              <w:rPr>
                <w:rStyle w:val="Hyperlink"/>
              </w:rPr>
              <w:t>11.8</w:t>
            </w:r>
            <w:r>
              <w:rPr>
                <w:rFonts w:asciiTheme="minorHAnsi" w:eastAsiaTheme="minorEastAsia" w:hAnsiTheme="minorHAnsi"/>
                <w:b w:val="0"/>
                <w:color w:val="auto"/>
                <w:sz w:val="22"/>
                <w:lang w:eastAsia="en-AU"/>
              </w:rPr>
              <w:tab/>
            </w:r>
            <w:r w:rsidRPr="00233D80">
              <w:rPr>
                <w:rStyle w:val="Hyperlink"/>
              </w:rPr>
              <w:t>Other considerations in applying the STPIS</w:t>
            </w:r>
            <w:r>
              <w:rPr>
                <w:webHidden/>
              </w:rPr>
              <w:tab/>
            </w:r>
            <w:r>
              <w:rPr>
                <w:webHidden/>
              </w:rPr>
              <w:fldChar w:fldCharType="begin"/>
            </w:r>
            <w:r>
              <w:rPr>
                <w:webHidden/>
              </w:rPr>
              <w:instrText xml:space="preserve"> PAGEREF _Toc451529104 \h </w:instrText>
            </w:r>
            <w:r>
              <w:rPr>
                <w:webHidden/>
              </w:rPr>
            </w:r>
            <w:r>
              <w:rPr>
                <w:webHidden/>
              </w:rPr>
              <w:fldChar w:fldCharType="separate"/>
            </w:r>
            <w:r>
              <w:rPr>
                <w:webHidden/>
              </w:rPr>
              <w:t>11-21</w:t>
            </w:r>
            <w:r>
              <w:rPr>
                <w:webHidden/>
              </w:rPr>
              <w:fldChar w:fldCharType="end"/>
            </w:r>
          </w:hyperlink>
        </w:p>
        <w:p w:rsidR="000121A2" w:rsidRDefault="000121A2">
          <w:pPr>
            <w:pStyle w:val="TOC3"/>
            <w:rPr>
              <w:rFonts w:asciiTheme="minorHAnsi" w:eastAsiaTheme="minorEastAsia" w:hAnsiTheme="minorHAnsi"/>
              <w:lang w:eastAsia="en-AU"/>
            </w:rPr>
          </w:pPr>
          <w:hyperlink w:anchor="_Toc451529105" w:history="1">
            <w:r w:rsidRPr="00233D80">
              <w:rPr>
                <w:rStyle w:val="Hyperlink"/>
              </w:rPr>
              <w:t>11.8.1</w:t>
            </w:r>
            <w:r>
              <w:rPr>
                <w:rFonts w:asciiTheme="minorHAnsi" w:eastAsiaTheme="minorEastAsia" w:hAnsiTheme="minorHAnsi"/>
                <w:lang w:eastAsia="en-AU"/>
              </w:rPr>
              <w:tab/>
            </w:r>
            <w:r w:rsidRPr="00233D80">
              <w:rPr>
                <w:rStyle w:val="Hyperlink"/>
              </w:rPr>
              <w:t>Adjusting the STPIS targets for the installation of rapid earth fault current limiters</w:t>
            </w:r>
            <w:r>
              <w:rPr>
                <w:webHidden/>
              </w:rPr>
              <w:tab/>
            </w:r>
            <w:r>
              <w:rPr>
                <w:webHidden/>
              </w:rPr>
              <w:fldChar w:fldCharType="begin"/>
            </w:r>
            <w:r>
              <w:rPr>
                <w:webHidden/>
              </w:rPr>
              <w:instrText xml:space="preserve"> PAGEREF _Toc451529105 \h </w:instrText>
            </w:r>
            <w:r>
              <w:rPr>
                <w:webHidden/>
              </w:rPr>
            </w:r>
            <w:r>
              <w:rPr>
                <w:webHidden/>
              </w:rPr>
              <w:fldChar w:fldCharType="separate"/>
            </w:r>
            <w:r>
              <w:rPr>
                <w:webHidden/>
              </w:rPr>
              <w:t>11-21</w:t>
            </w:r>
            <w:r>
              <w:rPr>
                <w:webHidden/>
              </w:rPr>
              <w:fldChar w:fldCharType="end"/>
            </w:r>
          </w:hyperlink>
        </w:p>
        <w:p w:rsidR="000121A2" w:rsidRDefault="000121A2">
          <w:pPr>
            <w:pStyle w:val="TOC3"/>
            <w:rPr>
              <w:rFonts w:asciiTheme="minorHAnsi" w:eastAsiaTheme="minorEastAsia" w:hAnsiTheme="minorHAnsi"/>
              <w:lang w:eastAsia="en-AU"/>
            </w:rPr>
          </w:pPr>
          <w:hyperlink w:anchor="_Toc451529106" w:history="1">
            <w:r w:rsidRPr="00233D80">
              <w:rPr>
                <w:rStyle w:val="Hyperlink"/>
              </w:rPr>
              <w:t>11.8.2</w:t>
            </w:r>
            <w:r>
              <w:rPr>
                <w:rFonts w:asciiTheme="minorHAnsi" w:eastAsiaTheme="minorEastAsia" w:hAnsiTheme="minorHAnsi"/>
                <w:lang w:eastAsia="en-AU"/>
              </w:rPr>
              <w:tab/>
            </w:r>
            <w:r w:rsidRPr="00233D80">
              <w:rPr>
                <w:rStyle w:val="Hyperlink"/>
              </w:rPr>
              <w:t>Adjusting the STPIS targets for the benefits of smart meters</w:t>
            </w:r>
            <w:r>
              <w:rPr>
                <w:webHidden/>
              </w:rPr>
              <w:tab/>
            </w:r>
            <w:r>
              <w:rPr>
                <w:webHidden/>
              </w:rPr>
              <w:fldChar w:fldCharType="begin"/>
            </w:r>
            <w:r>
              <w:rPr>
                <w:webHidden/>
              </w:rPr>
              <w:instrText xml:space="preserve"> PAGEREF _Toc451529106 \h </w:instrText>
            </w:r>
            <w:r>
              <w:rPr>
                <w:webHidden/>
              </w:rPr>
            </w:r>
            <w:r>
              <w:rPr>
                <w:webHidden/>
              </w:rPr>
              <w:fldChar w:fldCharType="separate"/>
            </w:r>
            <w:r>
              <w:rPr>
                <w:webHidden/>
              </w:rPr>
              <w:t>11-22</w:t>
            </w:r>
            <w:r>
              <w:rPr>
                <w:webHidden/>
              </w:rPr>
              <w:fldChar w:fldCharType="end"/>
            </w:r>
          </w:hyperlink>
        </w:p>
        <w:p w:rsidR="000121A2" w:rsidRDefault="000121A2">
          <w:pPr>
            <w:pStyle w:val="TOC3"/>
            <w:rPr>
              <w:rFonts w:asciiTheme="minorHAnsi" w:eastAsiaTheme="minorEastAsia" w:hAnsiTheme="minorHAnsi"/>
              <w:lang w:eastAsia="en-AU"/>
            </w:rPr>
          </w:pPr>
          <w:hyperlink w:anchor="_Toc451529107" w:history="1">
            <w:r w:rsidRPr="00233D80">
              <w:rPr>
                <w:rStyle w:val="Hyperlink"/>
              </w:rPr>
              <w:t>11.8.3</w:t>
            </w:r>
            <w:r>
              <w:rPr>
                <w:rFonts w:asciiTheme="minorHAnsi" w:eastAsiaTheme="minorEastAsia" w:hAnsiTheme="minorHAnsi"/>
                <w:lang w:eastAsia="en-AU"/>
              </w:rPr>
              <w:tab/>
            </w:r>
            <w:r w:rsidRPr="00233D80">
              <w:rPr>
                <w:rStyle w:val="Hyperlink"/>
              </w:rPr>
              <w:t>Adjusting the performance targets for animal proofing capex and Automatic Circuit Reclosers that affect reliability</w:t>
            </w:r>
            <w:r>
              <w:rPr>
                <w:webHidden/>
              </w:rPr>
              <w:tab/>
            </w:r>
            <w:r>
              <w:rPr>
                <w:webHidden/>
              </w:rPr>
              <w:fldChar w:fldCharType="begin"/>
            </w:r>
            <w:r>
              <w:rPr>
                <w:webHidden/>
              </w:rPr>
              <w:instrText xml:space="preserve"> PAGEREF _Toc451529107 \h </w:instrText>
            </w:r>
            <w:r>
              <w:rPr>
                <w:webHidden/>
              </w:rPr>
            </w:r>
            <w:r>
              <w:rPr>
                <w:webHidden/>
              </w:rPr>
              <w:fldChar w:fldCharType="separate"/>
            </w:r>
            <w:r>
              <w:rPr>
                <w:webHidden/>
              </w:rPr>
              <w:t>11-24</w:t>
            </w:r>
            <w:r>
              <w:rPr>
                <w:webHidden/>
              </w:rPr>
              <w:fldChar w:fldCharType="end"/>
            </w:r>
          </w:hyperlink>
        </w:p>
        <w:p w:rsidR="000121A2" w:rsidRDefault="000121A2">
          <w:pPr>
            <w:pStyle w:val="TOC3"/>
            <w:rPr>
              <w:rFonts w:asciiTheme="minorHAnsi" w:eastAsiaTheme="minorEastAsia" w:hAnsiTheme="minorHAnsi"/>
              <w:lang w:eastAsia="en-AU"/>
            </w:rPr>
          </w:pPr>
          <w:hyperlink w:anchor="_Toc451529108" w:history="1">
            <w:r w:rsidRPr="00233D80">
              <w:rPr>
                <w:rStyle w:val="Hyperlink"/>
              </w:rPr>
              <w:t>11.8.4</w:t>
            </w:r>
            <w:r>
              <w:rPr>
                <w:rFonts w:asciiTheme="minorHAnsi" w:eastAsiaTheme="minorEastAsia" w:hAnsiTheme="minorHAnsi"/>
                <w:lang w:eastAsia="en-AU"/>
              </w:rPr>
              <w:tab/>
            </w:r>
            <w:r w:rsidRPr="00233D80">
              <w:rPr>
                <w:rStyle w:val="Hyperlink"/>
              </w:rPr>
              <w:t>Amending the STPIS exclusion criterion to account for interruptions caused by REFCL devices</w:t>
            </w:r>
            <w:r>
              <w:rPr>
                <w:webHidden/>
              </w:rPr>
              <w:tab/>
            </w:r>
            <w:r>
              <w:rPr>
                <w:webHidden/>
              </w:rPr>
              <w:fldChar w:fldCharType="begin"/>
            </w:r>
            <w:r>
              <w:rPr>
                <w:webHidden/>
              </w:rPr>
              <w:instrText xml:space="preserve"> PAGEREF _Toc451529108 \h </w:instrText>
            </w:r>
            <w:r>
              <w:rPr>
                <w:webHidden/>
              </w:rPr>
            </w:r>
            <w:r>
              <w:rPr>
                <w:webHidden/>
              </w:rPr>
              <w:fldChar w:fldCharType="separate"/>
            </w:r>
            <w:r>
              <w:rPr>
                <w:webHidden/>
              </w:rPr>
              <w:t>11-25</w:t>
            </w:r>
            <w:r>
              <w:rPr>
                <w:webHidden/>
              </w:rPr>
              <w:fldChar w:fldCharType="end"/>
            </w:r>
          </w:hyperlink>
        </w:p>
        <w:p w:rsidR="000121A2" w:rsidRDefault="000121A2">
          <w:pPr>
            <w:pStyle w:val="TOC3"/>
            <w:rPr>
              <w:rFonts w:asciiTheme="minorHAnsi" w:eastAsiaTheme="minorEastAsia" w:hAnsiTheme="minorHAnsi"/>
              <w:lang w:eastAsia="en-AU"/>
            </w:rPr>
          </w:pPr>
          <w:hyperlink w:anchor="_Toc451529109" w:history="1">
            <w:r w:rsidRPr="00233D80">
              <w:rPr>
                <w:rStyle w:val="Hyperlink"/>
              </w:rPr>
              <w:t>11.8.5</w:t>
            </w:r>
            <w:r>
              <w:rPr>
                <w:rFonts w:asciiTheme="minorHAnsi" w:eastAsiaTheme="minorEastAsia" w:hAnsiTheme="minorHAnsi"/>
                <w:lang w:eastAsia="en-AU"/>
              </w:rPr>
              <w:tab/>
            </w:r>
            <w:r w:rsidRPr="00233D80">
              <w:rPr>
                <w:rStyle w:val="Hyperlink"/>
              </w:rPr>
              <w:t>Consumer challenge panel submission</w:t>
            </w:r>
            <w:r>
              <w:rPr>
                <w:webHidden/>
              </w:rPr>
              <w:tab/>
            </w:r>
            <w:r>
              <w:rPr>
                <w:webHidden/>
              </w:rPr>
              <w:fldChar w:fldCharType="begin"/>
            </w:r>
            <w:r>
              <w:rPr>
                <w:webHidden/>
              </w:rPr>
              <w:instrText xml:space="preserve"> PAGEREF _Toc451529109 \h </w:instrText>
            </w:r>
            <w:r>
              <w:rPr>
                <w:webHidden/>
              </w:rPr>
            </w:r>
            <w:r>
              <w:rPr>
                <w:webHidden/>
              </w:rPr>
              <w:fldChar w:fldCharType="separate"/>
            </w:r>
            <w:r>
              <w:rPr>
                <w:webHidden/>
              </w:rPr>
              <w:t>11-27</w:t>
            </w:r>
            <w:r>
              <w:rPr>
                <w:webHidden/>
              </w:rPr>
              <w:fldChar w:fldCharType="end"/>
            </w:r>
          </w:hyperlink>
        </w:p>
        <w:p w:rsidR="000121A2" w:rsidRDefault="000121A2">
          <w:pPr>
            <w:pStyle w:val="TOC3"/>
            <w:rPr>
              <w:rFonts w:asciiTheme="minorHAnsi" w:eastAsiaTheme="minorEastAsia" w:hAnsiTheme="minorHAnsi"/>
              <w:lang w:eastAsia="en-AU"/>
            </w:rPr>
          </w:pPr>
          <w:hyperlink w:anchor="_Toc451529110" w:history="1">
            <w:r w:rsidRPr="00233D80">
              <w:rPr>
                <w:rStyle w:val="Hyperlink"/>
              </w:rPr>
              <w:t>11.8.6</w:t>
            </w:r>
            <w:r>
              <w:rPr>
                <w:rFonts w:asciiTheme="minorHAnsi" w:eastAsiaTheme="minorEastAsia" w:hAnsiTheme="minorHAnsi"/>
                <w:lang w:eastAsia="en-AU"/>
              </w:rPr>
              <w:tab/>
            </w:r>
            <w:r w:rsidRPr="00233D80">
              <w:rPr>
                <w:rStyle w:val="Hyperlink"/>
              </w:rPr>
              <w:t>Value for customer reliability for the purpose of calculating the incentive rates</w:t>
            </w:r>
            <w:r>
              <w:rPr>
                <w:webHidden/>
              </w:rPr>
              <w:tab/>
            </w:r>
            <w:r>
              <w:rPr>
                <w:webHidden/>
              </w:rPr>
              <w:fldChar w:fldCharType="begin"/>
            </w:r>
            <w:r>
              <w:rPr>
                <w:webHidden/>
              </w:rPr>
              <w:instrText xml:space="preserve"> PAGEREF _Toc451529110 \h </w:instrText>
            </w:r>
            <w:r>
              <w:rPr>
                <w:webHidden/>
              </w:rPr>
            </w:r>
            <w:r>
              <w:rPr>
                <w:webHidden/>
              </w:rPr>
              <w:fldChar w:fldCharType="separate"/>
            </w:r>
            <w:r>
              <w:rPr>
                <w:webHidden/>
              </w:rPr>
              <w:t>11-27</w:t>
            </w:r>
            <w:r>
              <w:rPr>
                <w:webHidden/>
              </w:rPr>
              <w:fldChar w:fldCharType="end"/>
            </w:r>
          </w:hyperlink>
        </w:p>
        <w:p w:rsidR="000121A2" w:rsidRDefault="000121A2">
          <w:pPr>
            <w:pStyle w:val="TOC2"/>
            <w:tabs>
              <w:tab w:val="left" w:pos="1276"/>
            </w:tabs>
            <w:rPr>
              <w:rFonts w:asciiTheme="minorHAnsi" w:eastAsiaTheme="minorEastAsia" w:hAnsiTheme="minorHAnsi"/>
              <w:b w:val="0"/>
              <w:color w:val="auto"/>
              <w:sz w:val="22"/>
              <w:lang w:eastAsia="en-AU"/>
            </w:rPr>
          </w:pPr>
          <w:hyperlink w:anchor="_Toc451529111" w:history="1">
            <w:r w:rsidRPr="00233D80">
              <w:rPr>
                <w:rStyle w:val="Hyperlink"/>
              </w:rPr>
              <w:t>11.9</w:t>
            </w:r>
            <w:r>
              <w:rPr>
                <w:rFonts w:asciiTheme="minorHAnsi" w:eastAsiaTheme="minorEastAsia" w:hAnsiTheme="minorHAnsi"/>
                <w:b w:val="0"/>
                <w:color w:val="auto"/>
                <w:sz w:val="22"/>
                <w:lang w:eastAsia="en-AU"/>
              </w:rPr>
              <w:tab/>
            </w:r>
            <w:r w:rsidRPr="00233D80">
              <w:rPr>
                <w:rStyle w:val="Hyperlink"/>
              </w:rPr>
              <w:t>Transitional arrangements for the STPIS</w:t>
            </w:r>
            <w:r>
              <w:rPr>
                <w:webHidden/>
              </w:rPr>
              <w:tab/>
            </w:r>
            <w:r>
              <w:rPr>
                <w:webHidden/>
              </w:rPr>
              <w:fldChar w:fldCharType="begin"/>
            </w:r>
            <w:r>
              <w:rPr>
                <w:webHidden/>
              </w:rPr>
              <w:instrText xml:space="preserve"> PAGEREF _Toc451529111 \h </w:instrText>
            </w:r>
            <w:r>
              <w:rPr>
                <w:webHidden/>
              </w:rPr>
            </w:r>
            <w:r>
              <w:rPr>
                <w:webHidden/>
              </w:rPr>
              <w:fldChar w:fldCharType="separate"/>
            </w:r>
            <w:r>
              <w:rPr>
                <w:webHidden/>
              </w:rPr>
              <w:t>11-28</w:t>
            </w:r>
            <w:r>
              <w:rPr>
                <w:webHidden/>
              </w:rPr>
              <w:fldChar w:fldCharType="end"/>
            </w:r>
          </w:hyperlink>
        </w:p>
        <w:p w:rsidR="000121A2" w:rsidRDefault="000121A2">
          <w:pPr>
            <w:pStyle w:val="TOC3"/>
            <w:rPr>
              <w:rFonts w:asciiTheme="minorHAnsi" w:eastAsiaTheme="minorEastAsia" w:hAnsiTheme="minorHAnsi"/>
              <w:lang w:eastAsia="en-AU"/>
            </w:rPr>
          </w:pPr>
          <w:hyperlink w:anchor="_Toc451529112" w:history="1">
            <w:r w:rsidRPr="00233D80">
              <w:rPr>
                <w:rStyle w:val="Hyperlink"/>
              </w:rPr>
              <w:t>11.9.1</w:t>
            </w:r>
            <w:r>
              <w:rPr>
                <w:rFonts w:asciiTheme="minorHAnsi" w:eastAsiaTheme="minorEastAsia" w:hAnsiTheme="minorHAnsi"/>
                <w:lang w:eastAsia="en-AU"/>
              </w:rPr>
              <w:tab/>
            </w:r>
            <w:r w:rsidRPr="00233D80">
              <w:rPr>
                <w:rStyle w:val="Hyperlink"/>
              </w:rPr>
              <w:t>Adjusting the S-factor between regulatory control periods</w:t>
            </w:r>
            <w:r>
              <w:rPr>
                <w:webHidden/>
              </w:rPr>
              <w:tab/>
            </w:r>
            <w:r>
              <w:rPr>
                <w:webHidden/>
              </w:rPr>
              <w:fldChar w:fldCharType="begin"/>
            </w:r>
            <w:r>
              <w:rPr>
                <w:webHidden/>
              </w:rPr>
              <w:instrText xml:space="preserve"> PAGEREF _Toc451529112 \h </w:instrText>
            </w:r>
            <w:r>
              <w:rPr>
                <w:webHidden/>
              </w:rPr>
            </w:r>
            <w:r>
              <w:rPr>
                <w:webHidden/>
              </w:rPr>
              <w:fldChar w:fldCharType="separate"/>
            </w:r>
            <w:r>
              <w:rPr>
                <w:webHidden/>
              </w:rPr>
              <w:t>11-28</w:t>
            </w:r>
            <w:r>
              <w:rPr>
                <w:webHidden/>
              </w:rPr>
              <w:fldChar w:fldCharType="end"/>
            </w:r>
          </w:hyperlink>
        </w:p>
        <w:p w:rsidR="000121A2" w:rsidRDefault="000121A2">
          <w:pPr>
            <w:pStyle w:val="TOC3"/>
            <w:rPr>
              <w:rFonts w:asciiTheme="minorHAnsi" w:eastAsiaTheme="minorEastAsia" w:hAnsiTheme="minorHAnsi"/>
              <w:lang w:eastAsia="en-AU"/>
            </w:rPr>
          </w:pPr>
          <w:hyperlink w:anchor="_Toc451529113" w:history="1">
            <w:r w:rsidRPr="00233D80">
              <w:rPr>
                <w:rStyle w:val="Hyperlink"/>
              </w:rPr>
              <w:t>11.9.2</w:t>
            </w:r>
            <w:r>
              <w:rPr>
                <w:rFonts w:asciiTheme="minorHAnsi" w:eastAsiaTheme="minorEastAsia" w:hAnsiTheme="minorHAnsi"/>
                <w:lang w:eastAsia="en-AU"/>
              </w:rPr>
              <w:tab/>
            </w:r>
            <w:r w:rsidRPr="00233D80">
              <w:rPr>
                <w:rStyle w:val="Hyperlink"/>
              </w:rPr>
              <w:t>Accounting for revenue increments decrements between regulatory periods</w:t>
            </w:r>
            <w:r>
              <w:rPr>
                <w:webHidden/>
              </w:rPr>
              <w:tab/>
            </w:r>
            <w:r>
              <w:rPr>
                <w:webHidden/>
              </w:rPr>
              <w:fldChar w:fldCharType="begin"/>
            </w:r>
            <w:r>
              <w:rPr>
                <w:webHidden/>
              </w:rPr>
              <w:instrText xml:space="preserve"> PAGEREF _Toc451529113 \h </w:instrText>
            </w:r>
            <w:r>
              <w:rPr>
                <w:webHidden/>
              </w:rPr>
            </w:r>
            <w:r>
              <w:rPr>
                <w:webHidden/>
              </w:rPr>
              <w:fldChar w:fldCharType="separate"/>
            </w:r>
            <w:r>
              <w:rPr>
                <w:webHidden/>
              </w:rPr>
              <w:t>11-29</w:t>
            </w:r>
            <w:r>
              <w:rPr>
                <w:webHidden/>
              </w:rPr>
              <w:fldChar w:fldCharType="end"/>
            </w:r>
          </w:hyperlink>
        </w:p>
        <w:p w:rsidR="000121A2" w:rsidRDefault="000121A2">
          <w:pPr>
            <w:pStyle w:val="TOC3"/>
            <w:rPr>
              <w:rFonts w:asciiTheme="minorHAnsi" w:eastAsiaTheme="minorEastAsia" w:hAnsiTheme="minorHAnsi"/>
              <w:lang w:eastAsia="en-AU"/>
            </w:rPr>
          </w:pPr>
          <w:hyperlink w:anchor="_Toc451529114" w:history="1">
            <w:r w:rsidRPr="00233D80">
              <w:rPr>
                <w:rStyle w:val="Hyperlink"/>
              </w:rPr>
              <w:t>11.9.3</w:t>
            </w:r>
            <w:r>
              <w:rPr>
                <w:rFonts w:asciiTheme="minorHAnsi" w:eastAsiaTheme="minorEastAsia" w:hAnsiTheme="minorHAnsi"/>
                <w:lang w:eastAsia="en-AU"/>
              </w:rPr>
              <w:tab/>
            </w:r>
            <w:r w:rsidRPr="00233D80">
              <w:rPr>
                <w:rStyle w:val="Hyperlink"/>
              </w:rPr>
              <w:t>Closing out of the ESCV’s service performance scheme</w:t>
            </w:r>
            <w:r>
              <w:rPr>
                <w:webHidden/>
              </w:rPr>
              <w:tab/>
            </w:r>
            <w:r>
              <w:rPr>
                <w:webHidden/>
              </w:rPr>
              <w:fldChar w:fldCharType="begin"/>
            </w:r>
            <w:r>
              <w:rPr>
                <w:webHidden/>
              </w:rPr>
              <w:instrText xml:space="preserve"> PAGEREF _Toc451529114 \h </w:instrText>
            </w:r>
            <w:r>
              <w:rPr>
                <w:webHidden/>
              </w:rPr>
            </w:r>
            <w:r>
              <w:rPr>
                <w:webHidden/>
              </w:rPr>
              <w:fldChar w:fldCharType="separate"/>
            </w:r>
            <w:r>
              <w:rPr>
                <w:webHidden/>
              </w:rPr>
              <w:t>11-29</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2908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B16708" w:rsidRDefault="00B16708" w:rsidP="00B16708">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28779189"/>
      <w:bookmarkStart w:id="72" w:name="_Toc433551653"/>
      <w:bookmarkStart w:id="73" w:name="_Toc451529089"/>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Service target performance incentive scheme</w:t>
      </w:r>
      <w:bookmarkEnd w:id="71"/>
      <w:bookmarkEnd w:id="72"/>
      <w:bookmarkEnd w:id="73"/>
    </w:p>
    <w:p w:rsidR="00B16708" w:rsidRDefault="00B16708" w:rsidP="00B16708">
      <w:bookmarkStart w:id="74" w:name="_Toc403144136"/>
      <w:r>
        <w:t xml:space="preserve">Under clause 6.3.2 of the National Electricity Rules our regulatory determination must </w:t>
      </w:r>
      <w:r w:rsidRPr="00277932">
        <w:t xml:space="preserve">specify how any applicable </w:t>
      </w:r>
      <w:r>
        <w:t>service target performance incentive</w:t>
      </w:r>
      <w:r w:rsidR="00A0482A">
        <w:t xml:space="preserve"> scheme</w:t>
      </w:r>
      <w:r>
        <w:t xml:space="preserve"> (</w:t>
      </w:r>
      <w:r w:rsidRPr="00277932">
        <w:t>STPIS</w:t>
      </w:r>
      <w:r>
        <w:t>)</w:t>
      </w:r>
      <w:r w:rsidRPr="00277932">
        <w:t xml:space="preserve"> is to apply in the next regulatory control period.</w:t>
      </w:r>
      <w:r>
        <w:t xml:space="preserve"> </w:t>
      </w:r>
    </w:p>
    <w:p w:rsidR="00B16708" w:rsidRDefault="00B16708" w:rsidP="00B16708">
      <w:r>
        <w:t xml:space="preserve">This attachment sets out how we will apply the STPIS to AusNet Services for the </w:t>
      </w:r>
      <w:r>
        <w:br/>
        <w:t>2016–20 regulatory control period.</w:t>
      </w:r>
    </w:p>
    <w:p w:rsidR="00B16708" w:rsidRDefault="00B16708" w:rsidP="00B16708">
      <w:pPr>
        <w:pStyle w:val="HeadingBoldBlue"/>
      </w:pPr>
      <w:bookmarkStart w:id="75" w:name="_Toc433040419"/>
      <w:bookmarkStart w:id="76" w:name="_Toc433551654"/>
      <w:r>
        <w:t>AER’s service target performance incentive scheme</w:t>
      </w:r>
      <w:bookmarkEnd w:id="75"/>
      <w:bookmarkEnd w:id="76"/>
    </w:p>
    <w:p w:rsidR="002B37A1" w:rsidRDefault="00B16708" w:rsidP="00B16708">
      <w:r>
        <w:t>We published</w:t>
      </w:r>
      <w:r w:rsidRPr="00E73EFA">
        <w:t xml:space="preserve"> </w:t>
      </w:r>
      <w:r>
        <w:t xml:space="preserve">the current version of our national </w:t>
      </w:r>
      <w:r w:rsidRPr="00E73EFA">
        <w:t xml:space="preserve">STPIS </w:t>
      </w:r>
      <w:r>
        <w:t>in November 2009.</w:t>
      </w:r>
      <w:bookmarkEnd w:id="74"/>
      <w:r w:rsidR="002B37A1">
        <w:rPr>
          <w:rStyle w:val="FootnoteReference"/>
        </w:rPr>
        <w:footnoteReference w:id="2"/>
      </w:r>
      <w:r w:rsidR="002B37A1">
        <w:t xml:space="preserve"> The </w:t>
      </w:r>
      <w:r w:rsidR="002B37A1" w:rsidRPr="00401F71">
        <w:t xml:space="preserve">STPIS is intended to balance incentives to reduce expenditure with the need to maintain or improve service quality. It achieves this by providing financial incentives to </w:t>
      </w:r>
      <w:r w:rsidR="002B37A1">
        <w:t>distributors</w:t>
      </w:r>
      <w:r w:rsidR="002B37A1" w:rsidRPr="00401F71">
        <w:t xml:space="preserve"> to maintain and improve service performance where customers are willing to pay for these improvements.</w:t>
      </w:r>
      <w:r w:rsidR="002B37A1">
        <w:t xml:space="preserve"> </w:t>
      </w:r>
    </w:p>
    <w:p w:rsidR="002B37A1" w:rsidRPr="00B34302" w:rsidRDefault="002B37A1" w:rsidP="00B16708">
      <w:pPr>
        <w:pStyle w:val="Heading2"/>
      </w:pPr>
      <w:bookmarkStart w:id="77" w:name="_Toc417479823"/>
      <w:bookmarkStart w:id="78" w:name="_Ref428433564"/>
      <w:bookmarkStart w:id="79" w:name="_Ref428433570"/>
      <w:bookmarkStart w:id="80" w:name="_Toc428779190"/>
      <w:bookmarkStart w:id="81" w:name="_Toc433551655"/>
      <w:bookmarkStart w:id="82" w:name="_Toc451529090"/>
      <w:r>
        <w:t>Final</w:t>
      </w:r>
      <w:r w:rsidRPr="00B34302">
        <w:t xml:space="preserve"> decision</w:t>
      </w:r>
      <w:bookmarkEnd w:id="77"/>
      <w:bookmarkEnd w:id="78"/>
      <w:bookmarkEnd w:id="79"/>
      <w:bookmarkEnd w:id="80"/>
      <w:bookmarkEnd w:id="81"/>
      <w:bookmarkEnd w:id="82"/>
    </w:p>
    <w:p w:rsidR="002B37A1" w:rsidRDefault="002B37A1" w:rsidP="00B16708">
      <w:r>
        <w:t xml:space="preserve">Our final decision is to </w:t>
      </w:r>
      <w:r w:rsidRPr="0035295E">
        <w:t xml:space="preserve">apply the STPIS to </w:t>
      </w:r>
      <w:r>
        <w:t>AusNet Services for the 2016–20 regulatory control period in the following manner:</w:t>
      </w:r>
    </w:p>
    <w:p w:rsidR="002B37A1" w:rsidRPr="00D6741A" w:rsidRDefault="002B37A1" w:rsidP="00B16708">
      <w:pPr>
        <w:pStyle w:val="AERbulletlistfirststyle"/>
        <w:rPr>
          <w:rStyle w:val="AERbody"/>
        </w:rPr>
      </w:pPr>
      <w:r w:rsidRPr="00441E9B">
        <w:rPr>
          <w:rStyle w:val="AERbody"/>
        </w:rPr>
        <w:t xml:space="preserve">set revenue at risk for </w:t>
      </w:r>
      <w:r>
        <w:rPr>
          <w:rStyle w:val="AERbody"/>
        </w:rPr>
        <w:t xml:space="preserve">AusNet Services at the </w:t>
      </w:r>
      <w:r w:rsidRPr="00441E9B">
        <w:rPr>
          <w:rStyle w:val="AERbody"/>
        </w:rPr>
        <w:t xml:space="preserve">range </w:t>
      </w:r>
      <w:r w:rsidRPr="009000AE">
        <w:rPr>
          <w:rStyle w:val="AERbody"/>
        </w:rPr>
        <w:t>±</w:t>
      </w:r>
      <w:r>
        <w:rPr>
          <w:rStyle w:val="AERbody"/>
        </w:rPr>
        <w:t xml:space="preserve"> 5.0</w:t>
      </w:r>
      <w:r w:rsidRPr="00D6741A">
        <w:rPr>
          <w:rStyle w:val="AERbody"/>
        </w:rPr>
        <w:t xml:space="preserve"> per cent</w:t>
      </w:r>
    </w:p>
    <w:p w:rsidR="002B37A1" w:rsidRPr="00D6741A" w:rsidRDefault="002B37A1" w:rsidP="00B16708">
      <w:pPr>
        <w:pStyle w:val="AERbulletlistfirststyle"/>
      </w:pPr>
      <w:r w:rsidRPr="00C16C7B">
        <w:t xml:space="preserve">segment </w:t>
      </w:r>
      <w:r>
        <w:t xml:space="preserve">AusNet Services' </w:t>
      </w:r>
      <w:r w:rsidRPr="00C16C7B">
        <w:t>network according to feeder categories urban</w:t>
      </w:r>
      <w:r>
        <w:t>,</w:t>
      </w:r>
      <w:r w:rsidRPr="00D6741A">
        <w:t xml:space="preserve">  </w:t>
      </w:r>
      <w:r>
        <w:t xml:space="preserve"> short and long rural</w:t>
      </w:r>
      <w:r w:rsidRPr="00D6741A">
        <w:t xml:space="preserve"> </w:t>
      </w:r>
    </w:p>
    <w:p w:rsidR="002B37A1" w:rsidRDefault="002B37A1" w:rsidP="00B16708">
      <w:pPr>
        <w:pStyle w:val="AERbulletlistfirststyle"/>
      </w:pPr>
      <w:r>
        <w:t xml:space="preserve">apply </w:t>
      </w:r>
      <w:r w:rsidRPr="00C16C7B">
        <w:t>reliability of supply</w:t>
      </w:r>
      <w:r>
        <w:t xml:space="preserve"> parameters of:</w:t>
      </w:r>
    </w:p>
    <w:p w:rsidR="002B37A1" w:rsidRDefault="002B37A1" w:rsidP="00B16708">
      <w:pPr>
        <w:pStyle w:val="AERbulletlistsecondstyle"/>
      </w:pPr>
      <w:r w:rsidRPr="00D6741A">
        <w:t xml:space="preserve">system average interruption duration index </w:t>
      </w:r>
      <w:r>
        <w:t>(</w:t>
      </w:r>
      <w:r w:rsidRPr="00D6741A">
        <w:t>SAIDI</w:t>
      </w:r>
      <w:r>
        <w:t>)</w:t>
      </w:r>
      <w:r w:rsidRPr="00D6741A">
        <w:t xml:space="preserve"> </w:t>
      </w:r>
    </w:p>
    <w:p w:rsidR="002B37A1" w:rsidRDefault="002B37A1" w:rsidP="00B16708">
      <w:pPr>
        <w:pStyle w:val="AERbulletlistsecondstyle"/>
      </w:pPr>
      <w:r w:rsidRPr="00D6741A">
        <w:t xml:space="preserve">system average interruption frequency index </w:t>
      </w:r>
      <w:r>
        <w:t>(</w:t>
      </w:r>
      <w:r w:rsidRPr="00D6741A">
        <w:t>SAIFI</w:t>
      </w:r>
      <w:r>
        <w:t xml:space="preserve">) </w:t>
      </w:r>
    </w:p>
    <w:p w:rsidR="002B37A1" w:rsidRDefault="002B37A1" w:rsidP="00B16708">
      <w:pPr>
        <w:pStyle w:val="AERbulletlistsecondstyle"/>
      </w:pPr>
      <w:r>
        <w:t xml:space="preserve">momentary interruption frequency index event </w:t>
      </w:r>
      <w:r w:rsidR="00863D7C">
        <w:t>(</w:t>
      </w:r>
      <w:r>
        <w:t>MAIFI</w:t>
      </w:r>
      <w:r w:rsidR="00863D7C">
        <w:t>)</w:t>
      </w:r>
    </w:p>
    <w:p w:rsidR="002B37A1" w:rsidRDefault="002B37A1" w:rsidP="00B16708">
      <w:pPr>
        <w:pStyle w:val="AERbulletlistsecondstyle"/>
        <w:rPr>
          <w:rStyle w:val="AERbody"/>
        </w:rPr>
      </w:pPr>
      <w:r w:rsidRPr="00D6741A">
        <w:rPr>
          <w:rStyle w:val="AERbody"/>
        </w:rPr>
        <w:t>customer service (telephone answering)</w:t>
      </w:r>
      <w:r>
        <w:rPr>
          <w:rStyle w:val="AERbody"/>
        </w:rPr>
        <w:t>.</w:t>
      </w:r>
    </w:p>
    <w:p w:rsidR="002B37A1" w:rsidRPr="00D6741A" w:rsidRDefault="002B37A1" w:rsidP="00B16708">
      <w:pPr>
        <w:pStyle w:val="AERbulletlistfirststyle"/>
      </w:pPr>
      <w:r w:rsidRPr="00D6741A">
        <w:t xml:space="preserve">set performance targets based on the </w:t>
      </w:r>
      <w:r>
        <w:t>AusNet Services'</w:t>
      </w:r>
      <w:r w:rsidRPr="00D6741A">
        <w:t xml:space="preserve"> average performance over the past five regulatory years </w:t>
      </w:r>
    </w:p>
    <w:p w:rsidR="002B37A1" w:rsidRPr="00D6741A" w:rsidRDefault="002B37A1" w:rsidP="00B16708">
      <w:pPr>
        <w:pStyle w:val="AERbulletlistfirststyle"/>
      </w:pPr>
      <w:r w:rsidRPr="00D6741A">
        <w:t xml:space="preserve">apply the methodology indicated in the national STPIS for excluding specific events from the calculation of annual performance targets </w:t>
      </w:r>
    </w:p>
    <w:p w:rsidR="002B37A1" w:rsidRDefault="002B37A1" w:rsidP="00B16708">
      <w:pPr>
        <w:pStyle w:val="AERbulletlistfirststyle"/>
      </w:pPr>
      <w:r w:rsidRPr="00D6741A">
        <w:t>apply the methodology and value of customer reliability (VCR) values to the calculation of incentive rates</w:t>
      </w:r>
      <w:r>
        <w:t xml:space="preserve"> using the latest VCR for Victoria</w:t>
      </w:r>
    </w:p>
    <w:p w:rsidR="002B37A1" w:rsidRDefault="002B37A1" w:rsidP="00B16708">
      <w:pPr>
        <w:pStyle w:val="AERbulletlistfirststyle"/>
      </w:pPr>
      <w:r>
        <w:t>not apply the STPIS guarantee</w:t>
      </w:r>
      <w:r w:rsidR="003576C7">
        <w:t>d</w:t>
      </w:r>
      <w:r>
        <w:t xml:space="preserve"> service level scheme (GSL) because AusNet Services must comply with the Victorian jurisdictional GSL scheme.</w:t>
      </w:r>
    </w:p>
    <w:p w:rsidR="00B32060" w:rsidRDefault="002B37A1" w:rsidP="00B16708">
      <w:r>
        <w:lastRenderedPageBreak/>
        <w:t>In making our final decision on the application of STPIS, we have taken into account our preliminary decision, framework and approach paper, AusNet Services’ regulatory proposals, our information requests to AusNet Services and submissions raised by stakeholders. Our response to the matters raised by AusNet Services and stakeholders about the application of the STPIS are also discussed in this final decision.</w:t>
      </w:r>
    </w:p>
    <w:p w:rsidR="002B37A1" w:rsidRPr="00914BCE" w:rsidRDefault="002B37A1" w:rsidP="00B16708">
      <w:r>
        <w:t xml:space="preserve">We have not departed from our preliminary decision on the application of the STPIS to apply to AusNet Services because it has not made the case in order for us to do so. Our reasoning is provided </w:t>
      </w:r>
      <w:r w:rsidR="00A0482A">
        <w:t xml:space="preserve">in sections </w:t>
      </w:r>
      <w:r w:rsidR="00A0482A">
        <w:fldChar w:fldCharType="begin"/>
      </w:r>
      <w:r w:rsidR="00A0482A">
        <w:instrText xml:space="preserve"> REF _Ref429475275 \r \h </w:instrText>
      </w:r>
      <w:r w:rsidR="00A0482A">
        <w:fldChar w:fldCharType="separate"/>
      </w:r>
      <w:r w:rsidR="00B32060">
        <w:t>11.7</w:t>
      </w:r>
      <w:r w:rsidR="00A0482A">
        <w:fldChar w:fldCharType="end"/>
      </w:r>
      <w:r w:rsidR="00A0482A">
        <w:t xml:space="preserve"> and </w:t>
      </w:r>
      <w:r w:rsidR="00A0482A">
        <w:fldChar w:fldCharType="begin"/>
      </w:r>
      <w:r w:rsidR="00A0482A">
        <w:instrText xml:space="preserve"> REF _Ref446502954 \r \h </w:instrText>
      </w:r>
      <w:r w:rsidR="00A0482A">
        <w:fldChar w:fldCharType="separate"/>
      </w:r>
      <w:r w:rsidR="00B32060">
        <w:t>11.8</w:t>
      </w:r>
      <w:r w:rsidR="00A0482A">
        <w:fldChar w:fldCharType="end"/>
      </w:r>
      <w:r>
        <w:t>.</w:t>
      </w:r>
    </w:p>
    <w:bookmarkStart w:id="83" w:name="_Toc404362391"/>
    <w:p w:rsidR="002B37A1" w:rsidRPr="007C441C" w:rsidRDefault="002B37A1" w:rsidP="00B16708">
      <w:r>
        <w:fldChar w:fldCharType="begin"/>
      </w:r>
      <w:r>
        <w:instrText xml:space="preserve"> REF _Ref417394508 \h </w:instrText>
      </w:r>
      <w:r>
        <w:fldChar w:fldCharType="separate"/>
      </w:r>
      <w:r w:rsidR="00B32060">
        <w:t xml:space="preserve">Table </w:t>
      </w:r>
      <w:r w:rsidR="00B32060">
        <w:rPr>
          <w:noProof/>
        </w:rPr>
        <w:t>11</w:t>
      </w:r>
      <w:r w:rsidR="00B32060">
        <w:t>.</w:t>
      </w:r>
      <w:r w:rsidR="00B32060">
        <w:rPr>
          <w:noProof/>
        </w:rPr>
        <w:t>1</w:t>
      </w:r>
      <w:r>
        <w:fldChar w:fldCharType="end"/>
      </w:r>
      <w:r>
        <w:t xml:space="preserve"> and </w:t>
      </w:r>
      <w:r>
        <w:fldChar w:fldCharType="begin"/>
      </w:r>
      <w:r>
        <w:instrText xml:space="preserve"> REF _Ref445800274 \h </w:instrText>
      </w:r>
      <w:r>
        <w:fldChar w:fldCharType="separate"/>
      </w:r>
      <w:r w:rsidR="00B32060">
        <w:t xml:space="preserve">Table </w:t>
      </w:r>
      <w:r w:rsidR="00B32060">
        <w:rPr>
          <w:noProof/>
        </w:rPr>
        <w:t>11</w:t>
      </w:r>
      <w:r w:rsidR="00B32060">
        <w:t>.</w:t>
      </w:r>
      <w:r w:rsidR="00B32060">
        <w:rPr>
          <w:noProof/>
        </w:rPr>
        <w:t>2</w:t>
      </w:r>
      <w:r>
        <w:fldChar w:fldCharType="end"/>
      </w:r>
      <w:r w:rsidR="005A269B">
        <w:t xml:space="preserve"> </w:t>
      </w:r>
      <w:r>
        <w:t>outline</w:t>
      </w:r>
      <w:r w:rsidRPr="000B05E8">
        <w:t xml:space="preserve"> </w:t>
      </w:r>
      <w:r>
        <w:t xml:space="preserve">our final decision on the applicable incentives rates and performance targets that will be applied to AusNet Services’ STPIS for 2016–20. </w:t>
      </w:r>
      <w:r w:rsidRPr="007C441C">
        <w:t>The</w:t>
      </w:r>
      <w:r>
        <w:t xml:space="preserve"> </w:t>
      </w:r>
      <w:r w:rsidRPr="007C441C">
        <w:t>incentive rate for the customer service component will be -</w:t>
      </w:r>
      <w:r>
        <w:t xml:space="preserve">0.040 </w:t>
      </w:r>
      <w:r w:rsidRPr="007C441C">
        <w:t>per cent per unit of the telephone answering parameter.</w:t>
      </w:r>
      <w:r w:rsidRPr="007C441C">
        <w:rPr>
          <w:rStyle w:val="FootnoteReference"/>
        </w:rPr>
        <w:footnoteReference w:id="3"/>
      </w:r>
      <w:r w:rsidRPr="007C441C">
        <w:t xml:space="preserve"> </w:t>
      </w:r>
    </w:p>
    <w:p w:rsidR="002B37A1" w:rsidRPr="00A946AA" w:rsidRDefault="002B37A1" w:rsidP="00B16708">
      <w:pPr>
        <w:pStyle w:val="Caption"/>
      </w:pPr>
      <w:bookmarkStart w:id="84" w:name="_Ref417394508"/>
      <w:r>
        <w:t xml:space="preserve">Table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Table \* ARABIC \s 1 </w:instrText>
      </w:r>
      <w:r w:rsidR="00B32060">
        <w:fldChar w:fldCharType="separate"/>
      </w:r>
      <w:r w:rsidR="00B32060">
        <w:rPr>
          <w:noProof/>
        </w:rPr>
        <w:t>1</w:t>
      </w:r>
      <w:r w:rsidR="00B32060">
        <w:fldChar w:fldCharType="end"/>
      </w:r>
      <w:bookmarkStart w:id="85" w:name="_Ref417394504"/>
      <w:bookmarkEnd w:id="84"/>
      <w:r>
        <w:tab/>
        <w:t>Final decision—STPIS i</w:t>
      </w:r>
      <w:r w:rsidRPr="00A946AA">
        <w:t>ncentive rates</w:t>
      </w:r>
      <w:r>
        <w:t xml:space="preserve"> for AusNet Services</w:t>
      </w:r>
      <w:r w:rsidRPr="00A946AA">
        <w:t xml:space="preserve"> </w:t>
      </w:r>
      <w:r>
        <w:t>for the 2016–20</w:t>
      </w:r>
      <w:bookmarkEnd w:id="85"/>
      <w:r>
        <w:t xml:space="preserve"> regulatory period</w:t>
      </w:r>
    </w:p>
    <w:tbl>
      <w:tblPr>
        <w:tblStyle w:val="AERtable-numbers"/>
        <w:tblW w:w="5000" w:type="pct"/>
        <w:tblLook w:val="04A0" w:firstRow="1" w:lastRow="0" w:firstColumn="1" w:lastColumn="0" w:noHBand="0" w:noVBand="1"/>
      </w:tblPr>
      <w:tblGrid>
        <w:gridCol w:w="1568"/>
        <w:gridCol w:w="2375"/>
        <w:gridCol w:w="2375"/>
        <w:gridCol w:w="2375"/>
      </w:tblGrid>
      <w:tr w:rsidR="002B37A1" w:rsidRPr="00A946AA" w:rsidTr="00B167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 w:type="pct"/>
            <w:hideMark/>
          </w:tcPr>
          <w:p w:rsidR="002B37A1" w:rsidRPr="00B16708" w:rsidRDefault="002B37A1" w:rsidP="00B16708">
            <w:pPr>
              <w:pStyle w:val="Tabletext-centred"/>
            </w:pPr>
            <w:r w:rsidRPr="00A946AA">
              <w:t> </w:t>
            </w:r>
          </w:p>
        </w:tc>
        <w:tc>
          <w:tcPr>
            <w:tcW w:w="1366" w:type="pct"/>
            <w:hideMark/>
          </w:tcPr>
          <w:p w:rsidR="002B37A1" w:rsidRPr="00B16708" w:rsidRDefault="002B37A1" w:rsidP="00B16708">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366" w:type="pct"/>
          </w:tcPr>
          <w:p w:rsidR="002B37A1" w:rsidRPr="00B16708" w:rsidRDefault="002B37A1" w:rsidP="00B16708">
            <w:pPr>
              <w:pStyle w:val="AERtabletextright"/>
              <w:cnfStyle w:val="100000000000" w:firstRow="1" w:lastRow="0" w:firstColumn="0" w:lastColumn="0" w:oddVBand="0" w:evenVBand="0" w:oddHBand="0" w:evenHBand="0" w:firstRowFirstColumn="0" w:firstRowLastColumn="0" w:lastRowFirstColumn="0" w:lastRowLastColumn="0"/>
            </w:pPr>
            <w:r>
              <w:t>S</w:t>
            </w:r>
            <w:r w:rsidRPr="00B16708">
              <w:t>hort rural</w:t>
            </w:r>
          </w:p>
        </w:tc>
        <w:tc>
          <w:tcPr>
            <w:tcW w:w="1366" w:type="pct"/>
          </w:tcPr>
          <w:p w:rsidR="002B37A1" w:rsidRPr="00B16708" w:rsidRDefault="002B37A1" w:rsidP="00B16708">
            <w:pPr>
              <w:pStyle w:val="AERtabletextright"/>
              <w:cnfStyle w:val="100000000000" w:firstRow="1" w:lastRow="0" w:firstColumn="0" w:lastColumn="0" w:oddVBand="0" w:evenVBand="0" w:oddHBand="0" w:evenHBand="0" w:firstRowFirstColumn="0" w:firstRowLastColumn="0" w:lastRowFirstColumn="0" w:lastRowLastColumn="0"/>
            </w:pPr>
            <w:r>
              <w:t>L</w:t>
            </w:r>
            <w:r w:rsidRPr="00B16708">
              <w:t>ong rural</w:t>
            </w:r>
          </w:p>
        </w:tc>
      </w:tr>
      <w:tr w:rsidR="00C20525" w:rsidRPr="00A946AA" w:rsidTr="00AC54D9">
        <w:trPr>
          <w:trHeight w:val="465"/>
        </w:trPr>
        <w:tc>
          <w:tcPr>
            <w:cnfStyle w:val="001000000000" w:firstRow="0" w:lastRow="0" w:firstColumn="1" w:lastColumn="0" w:oddVBand="0" w:evenVBand="0" w:oddHBand="0" w:evenHBand="0" w:firstRowFirstColumn="0" w:firstRowLastColumn="0" w:lastRowFirstColumn="0" w:lastRowLastColumn="0"/>
            <w:tcW w:w="902" w:type="pct"/>
            <w:hideMark/>
          </w:tcPr>
          <w:p w:rsidR="00C20525" w:rsidRPr="00C20525" w:rsidRDefault="00C20525" w:rsidP="00C20525">
            <w:pPr>
              <w:pStyle w:val="AERtabletextleft"/>
            </w:pPr>
            <w:r w:rsidRPr="00C20525">
              <w:t>SAIDI</w:t>
            </w:r>
          </w:p>
        </w:tc>
        <w:tc>
          <w:tcPr>
            <w:tcW w:w="1366" w:type="pct"/>
            <w:vAlign w:val="top"/>
          </w:tcPr>
          <w:p w:rsidR="00C20525" w:rsidRPr="00C20525" w:rsidRDefault="00C20525" w:rsidP="00323B45">
            <w:pPr>
              <w:cnfStyle w:val="000000000000" w:firstRow="0" w:lastRow="0" w:firstColumn="0" w:lastColumn="0" w:oddVBand="0" w:evenVBand="0" w:oddHBand="0" w:evenHBand="0" w:firstRowFirstColumn="0" w:firstRowLastColumn="0" w:lastRowFirstColumn="0" w:lastRowLastColumn="0"/>
            </w:pPr>
            <w:r w:rsidRPr="00C20525">
              <w:t>0.0207</w:t>
            </w:r>
          </w:p>
        </w:tc>
        <w:tc>
          <w:tcPr>
            <w:tcW w:w="1366" w:type="pct"/>
            <w:vAlign w:val="top"/>
          </w:tcPr>
          <w:p w:rsidR="00C20525" w:rsidRPr="00C20525" w:rsidRDefault="00C20525" w:rsidP="00323B45">
            <w:pPr>
              <w:cnfStyle w:val="000000000000" w:firstRow="0" w:lastRow="0" w:firstColumn="0" w:lastColumn="0" w:oddVBand="0" w:evenVBand="0" w:oddHBand="0" w:evenHBand="0" w:firstRowFirstColumn="0" w:firstRowLastColumn="0" w:lastRowFirstColumn="0" w:lastRowLastColumn="0"/>
            </w:pPr>
            <w:r w:rsidRPr="00C20525">
              <w:t>0.0161</w:t>
            </w:r>
          </w:p>
        </w:tc>
        <w:tc>
          <w:tcPr>
            <w:tcW w:w="1366" w:type="pct"/>
            <w:vAlign w:val="top"/>
          </w:tcPr>
          <w:p w:rsidR="00C20525" w:rsidRPr="00C20525" w:rsidRDefault="00C20525" w:rsidP="00323B45">
            <w:pPr>
              <w:cnfStyle w:val="000000000000" w:firstRow="0" w:lastRow="0" w:firstColumn="0" w:lastColumn="0" w:oddVBand="0" w:evenVBand="0" w:oddHBand="0" w:evenHBand="0" w:firstRowFirstColumn="0" w:firstRowLastColumn="0" w:lastRowFirstColumn="0" w:lastRowLastColumn="0"/>
            </w:pPr>
            <w:r w:rsidRPr="00C20525">
              <w:t>0.0074</w:t>
            </w:r>
          </w:p>
        </w:tc>
      </w:tr>
      <w:tr w:rsidR="00C20525" w:rsidRPr="00A946AA" w:rsidTr="00AC54D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2" w:type="pct"/>
          </w:tcPr>
          <w:p w:rsidR="00C20525" w:rsidRPr="00C20525" w:rsidRDefault="00C20525" w:rsidP="00C20525">
            <w:pPr>
              <w:pStyle w:val="AERtabletextleft"/>
            </w:pPr>
            <w:r w:rsidRPr="00C20525">
              <w:t>SAIFI</w:t>
            </w:r>
          </w:p>
        </w:tc>
        <w:tc>
          <w:tcPr>
            <w:tcW w:w="1366" w:type="pct"/>
            <w:vAlign w:val="top"/>
          </w:tcPr>
          <w:p w:rsidR="00C20525" w:rsidRPr="00C20525" w:rsidRDefault="00C20525" w:rsidP="00323B45">
            <w:pPr>
              <w:cnfStyle w:val="000000010000" w:firstRow="0" w:lastRow="0" w:firstColumn="0" w:lastColumn="0" w:oddVBand="0" w:evenVBand="0" w:oddHBand="0" w:evenHBand="1" w:firstRowFirstColumn="0" w:firstRowLastColumn="0" w:lastRowFirstColumn="0" w:lastRowLastColumn="0"/>
            </w:pPr>
            <w:r w:rsidRPr="00C20525">
              <w:t>1.5872</w:t>
            </w:r>
          </w:p>
        </w:tc>
        <w:tc>
          <w:tcPr>
            <w:tcW w:w="1366" w:type="pct"/>
            <w:vAlign w:val="top"/>
          </w:tcPr>
          <w:p w:rsidR="00C20525" w:rsidRPr="00C20525" w:rsidRDefault="00C20525" w:rsidP="00323B45">
            <w:pPr>
              <w:cnfStyle w:val="000000010000" w:firstRow="0" w:lastRow="0" w:firstColumn="0" w:lastColumn="0" w:oddVBand="0" w:evenVBand="0" w:oddHBand="0" w:evenHBand="1" w:firstRowFirstColumn="0" w:firstRowLastColumn="0" w:lastRowFirstColumn="0" w:lastRowLastColumn="0"/>
            </w:pPr>
            <w:r w:rsidRPr="00C20525">
              <w:t>1.4396</w:t>
            </w:r>
          </w:p>
        </w:tc>
        <w:tc>
          <w:tcPr>
            <w:tcW w:w="1366" w:type="pct"/>
            <w:vAlign w:val="top"/>
          </w:tcPr>
          <w:p w:rsidR="00C20525" w:rsidRPr="00C20525" w:rsidRDefault="00C20525" w:rsidP="00323B45">
            <w:pPr>
              <w:cnfStyle w:val="000000010000" w:firstRow="0" w:lastRow="0" w:firstColumn="0" w:lastColumn="0" w:oddVBand="0" w:evenVBand="0" w:oddHBand="0" w:evenHBand="1" w:firstRowFirstColumn="0" w:firstRowLastColumn="0" w:lastRowFirstColumn="0" w:lastRowLastColumn="0"/>
            </w:pPr>
            <w:r w:rsidRPr="00C20525">
              <w:t>0.6618</w:t>
            </w:r>
          </w:p>
        </w:tc>
      </w:tr>
      <w:tr w:rsidR="00C20525" w:rsidRPr="00A946AA" w:rsidTr="00AC54D9">
        <w:trPr>
          <w:trHeight w:val="465"/>
        </w:trPr>
        <w:tc>
          <w:tcPr>
            <w:cnfStyle w:val="001000000000" w:firstRow="0" w:lastRow="0" w:firstColumn="1" w:lastColumn="0" w:oddVBand="0" w:evenVBand="0" w:oddHBand="0" w:evenHBand="0" w:firstRowFirstColumn="0" w:firstRowLastColumn="0" w:lastRowFirstColumn="0" w:lastRowLastColumn="0"/>
            <w:tcW w:w="902" w:type="pct"/>
          </w:tcPr>
          <w:p w:rsidR="00C20525" w:rsidRPr="00C20525" w:rsidRDefault="00C20525" w:rsidP="00C20525">
            <w:pPr>
              <w:pStyle w:val="AERtabletextleft"/>
            </w:pPr>
            <w:r w:rsidRPr="00C20525">
              <w:t>MAIFI</w:t>
            </w:r>
          </w:p>
        </w:tc>
        <w:tc>
          <w:tcPr>
            <w:tcW w:w="1366" w:type="pct"/>
            <w:vAlign w:val="top"/>
          </w:tcPr>
          <w:p w:rsidR="00C20525" w:rsidRPr="00C20525" w:rsidRDefault="00C20525" w:rsidP="00323B45">
            <w:pPr>
              <w:cnfStyle w:val="000000000000" w:firstRow="0" w:lastRow="0" w:firstColumn="0" w:lastColumn="0" w:oddVBand="0" w:evenVBand="0" w:oddHBand="0" w:evenHBand="0" w:firstRowFirstColumn="0" w:firstRowLastColumn="0" w:lastRowFirstColumn="0" w:lastRowLastColumn="0"/>
            </w:pPr>
            <w:r w:rsidRPr="00C20525">
              <w:t>0.1270</w:t>
            </w:r>
          </w:p>
        </w:tc>
        <w:tc>
          <w:tcPr>
            <w:tcW w:w="1366" w:type="pct"/>
            <w:vAlign w:val="top"/>
          </w:tcPr>
          <w:p w:rsidR="00C20525" w:rsidRPr="00C20525" w:rsidRDefault="00C20525" w:rsidP="00323B45">
            <w:pPr>
              <w:cnfStyle w:val="000000000000" w:firstRow="0" w:lastRow="0" w:firstColumn="0" w:lastColumn="0" w:oddVBand="0" w:evenVBand="0" w:oddHBand="0" w:evenHBand="0" w:firstRowFirstColumn="0" w:firstRowLastColumn="0" w:lastRowFirstColumn="0" w:lastRowLastColumn="0"/>
            </w:pPr>
            <w:r w:rsidRPr="00C20525">
              <w:t>0.1152</w:t>
            </w:r>
          </w:p>
        </w:tc>
        <w:tc>
          <w:tcPr>
            <w:tcW w:w="1366" w:type="pct"/>
            <w:vAlign w:val="top"/>
          </w:tcPr>
          <w:p w:rsidR="00C20525" w:rsidRPr="00C20525" w:rsidRDefault="00C20525" w:rsidP="00323B45">
            <w:pPr>
              <w:cnfStyle w:val="000000000000" w:firstRow="0" w:lastRow="0" w:firstColumn="0" w:lastColumn="0" w:oddVBand="0" w:evenVBand="0" w:oddHBand="0" w:evenHBand="0" w:firstRowFirstColumn="0" w:firstRowLastColumn="0" w:lastRowFirstColumn="0" w:lastRowLastColumn="0"/>
            </w:pPr>
            <w:r w:rsidRPr="00C20525">
              <w:t>0.0529</w:t>
            </w:r>
          </w:p>
        </w:tc>
      </w:tr>
    </w:tbl>
    <w:p w:rsidR="002B37A1" w:rsidRPr="00B16708" w:rsidRDefault="002B37A1" w:rsidP="00B16708">
      <w:pPr>
        <w:pStyle w:val="AERtablesource"/>
      </w:pPr>
      <w:r w:rsidRPr="00B16708">
        <w:t>Source:</w:t>
      </w:r>
      <w:r w:rsidRPr="00B16708">
        <w:tab/>
      </w:r>
      <w:r w:rsidRPr="00B16708">
        <w:rPr>
          <w:rStyle w:val="FootnoteReference"/>
          <w:vertAlign w:val="baseline"/>
        </w:rPr>
        <w:t>AER Analysi</w:t>
      </w:r>
      <w:r w:rsidRPr="00B16708">
        <w:t>s.</w:t>
      </w:r>
    </w:p>
    <w:p w:rsidR="002B37A1" w:rsidRPr="00B16708" w:rsidRDefault="002B37A1" w:rsidP="00B16708">
      <w:r>
        <w:br w:type="page"/>
      </w:r>
    </w:p>
    <w:p w:rsidR="002B37A1" w:rsidRDefault="002B37A1" w:rsidP="00B16708">
      <w:pPr>
        <w:pStyle w:val="Caption"/>
      </w:pPr>
      <w:bookmarkStart w:id="86" w:name="_Ref445800274"/>
      <w:r>
        <w:lastRenderedPageBreak/>
        <w:t xml:space="preserve">Table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Table \* ARABIC \s 1 </w:instrText>
      </w:r>
      <w:r w:rsidR="00B32060">
        <w:fldChar w:fldCharType="separate"/>
      </w:r>
      <w:r w:rsidR="00B32060">
        <w:rPr>
          <w:noProof/>
        </w:rPr>
        <w:t>2</w:t>
      </w:r>
      <w:r w:rsidR="00B32060">
        <w:fldChar w:fldCharType="end"/>
      </w:r>
      <w:bookmarkEnd w:id="86"/>
      <w:r>
        <w:tab/>
        <w:t>Final</w:t>
      </w:r>
      <w:r w:rsidRPr="00BF7326">
        <w:t xml:space="preserve"> decision—STPIS reliability targets for </w:t>
      </w:r>
      <w:r>
        <w:t>AusNet Services</w:t>
      </w:r>
      <w:r w:rsidRPr="00BF7326">
        <w:t xml:space="preserve"> for the 2016–20 regulatory period</w:t>
      </w:r>
      <w:r>
        <w:t xml:space="preserve"> </w:t>
      </w:r>
    </w:p>
    <w:tbl>
      <w:tblPr>
        <w:tblStyle w:val="AERtable-numbers"/>
        <w:tblW w:w="5000" w:type="pct"/>
        <w:tblLook w:val="04A0" w:firstRow="1" w:lastRow="0" w:firstColumn="1" w:lastColumn="0" w:noHBand="0" w:noVBand="1"/>
      </w:tblPr>
      <w:tblGrid>
        <w:gridCol w:w="3446"/>
        <w:gridCol w:w="1050"/>
        <w:gridCol w:w="1050"/>
        <w:gridCol w:w="1050"/>
        <w:gridCol w:w="1050"/>
        <w:gridCol w:w="1047"/>
      </w:tblGrid>
      <w:tr w:rsidR="008803FC" w:rsidRPr="008803FC" w:rsidTr="00C20525">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982" w:type="pct"/>
            <w:noWrap/>
            <w:hideMark/>
          </w:tcPr>
          <w:p w:rsidR="008803FC" w:rsidRPr="008803FC" w:rsidRDefault="008803FC" w:rsidP="008803FC">
            <w:r w:rsidRPr="008803FC">
              <w:t>Measure</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2016</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2017</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2018</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2019</w:t>
            </w:r>
          </w:p>
        </w:tc>
        <w:tc>
          <w:tcPr>
            <w:tcW w:w="602"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2020</w:t>
            </w:r>
          </w:p>
        </w:tc>
      </w:tr>
      <w:tr w:rsidR="008803FC"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8803FC" w:rsidRPr="008803FC" w:rsidRDefault="008803FC" w:rsidP="008803FC"/>
        </w:tc>
        <w:tc>
          <w:tcPr>
            <w:tcW w:w="604" w:type="pct"/>
            <w:noWrap/>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4" w:type="pct"/>
            <w:noWrap/>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4" w:type="pct"/>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4" w:type="pct"/>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2" w:type="pct"/>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SAIDI - urban</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81.539</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81.218</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80.897</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80.577</w:t>
            </w: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80.256</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SAIDI - short rural</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188.049</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187.593</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187.138</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186.682</w:t>
            </w: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186.226</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SAIDI - long rural</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233.977</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233.356</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232.736</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232.116</w:t>
            </w: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231.496</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SAIFI - urban</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1.099</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1.093</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1.088</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1.082</w:t>
            </w: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1.077</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SAIFI - short rural</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2.291</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2.284</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2.276</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2.269</w:t>
            </w: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2.261</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SAIFI - long rural</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2.829</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2.819</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2.810</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2.801</w:t>
            </w: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2.792</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MAIFI - urban</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2.796</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2.794</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2.792</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2.790</w:t>
            </w: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2.788</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MAIFI - short rural</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5.825</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5.819</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5.814</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5.808</w:t>
            </w: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5.803</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MAIFI - long rural</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11.374</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11.368</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11.362</w:t>
            </w:r>
          </w:p>
        </w:tc>
        <w:tc>
          <w:tcPr>
            <w:tcW w:w="604"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11.356</w:t>
            </w:r>
          </w:p>
        </w:tc>
        <w:tc>
          <w:tcPr>
            <w:tcW w:w="602" w:type="pct"/>
            <w:noWrap/>
            <w:vAlign w:val="top"/>
            <w:hideMark/>
          </w:tcPr>
          <w:p w:rsidR="00C20525" w:rsidRPr="00C20525" w:rsidRDefault="00C20525" w:rsidP="00D37249">
            <w:pPr>
              <w:cnfStyle w:val="000000010000" w:firstRow="0" w:lastRow="0" w:firstColumn="0" w:lastColumn="0" w:oddVBand="0" w:evenVBand="0" w:oddHBand="0" w:evenHBand="1" w:firstRowFirstColumn="0" w:firstRowLastColumn="0" w:lastRowFirstColumn="0" w:lastRowLastColumn="0"/>
            </w:pPr>
            <w:r w:rsidRPr="00C20525">
              <w:t>11.350</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 xml:space="preserve">Telephone answering parameter </w:t>
            </w:r>
          </w:p>
          <w:p w:rsidR="00C20525" w:rsidRPr="00C20525" w:rsidRDefault="00C20525" w:rsidP="00C20525">
            <w:r w:rsidRPr="00C20525">
              <w:t>(measured as a percentage in STPIS)</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80.330</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80.330</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80.330</w:t>
            </w:r>
          </w:p>
        </w:tc>
        <w:tc>
          <w:tcPr>
            <w:tcW w:w="604"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80.330</w:t>
            </w:r>
          </w:p>
        </w:tc>
        <w:tc>
          <w:tcPr>
            <w:tcW w:w="602" w:type="pct"/>
            <w:noWrap/>
            <w:vAlign w:val="top"/>
            <w:hideMark/>
          </w:tcPr>
          <w:p w:rsidR="00C20525" w:rsidRPr="00C20525" w:rsidRDefault="00C20525" w:rsidP="00D37249">
            <w:pPr>
              <w:cnfStyle w:val="000000000000" w:firstRow="0" w:lastRow="0" w:firstColumn="0" w:lastColumn="0" w:oddVBand="0" w:evenVBand="0" w:oddHBand="0" w:evenHBand="0" w:firstRowFirstColumn="0" w:firstRowLastColumn="0" w:lastRowFirstColumn="0" w:lastRowLastColumn="0"/>
            </w:pPr>
            <w:r w:rsidRPr="00C20525">
              <w:t>80.330</w:t>
            </w:r>
          </w:p>
        </w:tc>
      </w:tr>
    </w:tbl>
    <w:p w:rsidR="002B37A1" w:rsidRDefault="002B37A1" w:rsidP="00B16708">
      <w:pPr>
        <w:pStyle w:val="AERtablesource"/>
      </w:pPr>
      <w:r>
        <w:t xml:space="preserve">Source: </w:t>
      </w:r>
      <w:r>
        <w:tab/>
        <w:t>AER analysis.</w:t>
      </w:r>
    </w:p>
    <w:p w:rsidR="002B37A1" w:rsidRDefault="002B37A1" w:rsidP="00B16708">
      <w:pPr>
        <w:pStyle w:val="Heading2"/>
      </w:pPr>
      <w:bookmarkStart w:id="87" w:name="_Toc428779191"/>
      <w:bookmarkStart w:id="88" w:name="_Toc433551656"/>
      <w:bookmarkStart w:id="89" w:name="_Toc403144137"/>
      <w:bookmarkStart w:id="90" w:name="_Toc417479827"/>
      <w:bookmarkStart w:id="91" w:name="_Ref427827994"/>
      <w:bookmarkStart w:id="92" w:name="_Toc451529091"/>
      <w:bookmarkEnd w:id="83"/>
      <w:r>
        <w:t>Our preliminary decision</w:t>
      </w:r>
      <w:bookmarkEnd w:id="92"/>
      <w:r>
        <w:t xml:space="preserve"> </w:t>
      </w:r>
      <w:bookmarkEnd w:id="87"/>
      <w:bookmarkEnd w:id="88"/>
    </w:p>
    <w:p w:rsidR="002B37A1" w:rsidRDefault="002B37A1" w:rsidP="00B16708">
      <w:r w:rsidRPr="00C75F23">
        <w:t xml:space="preserve">Our </w:t>
      </w:r>
      <w:r>
        <w:t>preliminary decision applied</w:t>
      </w:r>
      <w:r w:rsidRPr="00C75F23">
        <w:t xml:space="preserve"> </w:t>
      </w:r>
      <w:r>
        <w:t>the</w:t>
      </w:r>
      <w:r w:rsidRPr="00C75F23">
        <w:t xml:space="preserve"> national STPIS to </w:t>
      </w:r>
      <w:r>
        <w:t>AusNet Services except for the guarantee</w:t>
      </w:r>
      <w:r w:rsidR="003576C7">
        <w:t>d</w:t>
      </w:r>
      <w:r>
        <w:t xml:space="preserve"> service level component.</w:t>
      </w:r>
      <w:r>
        <w:rPr>
          <w:rStyle w:val="FootnoteReference"/>
        </w:rPr>
        <w:footnoteReference w:id="4"/>
      </w:r>
      <w:r>
        <w:t xml:space="preserve"> It also applied AEMO's latest VCR in setting the incentive rates for AusNet Services.</w:t>
      </w:r>
      <w:r>
        <w:rPr>
          <w:rStyle w:val="FootnoteReference"/>
        </w:rPr>
        <w:footnoteReference w:id="5"/>
      </w:r>
    </w:p>
    <w:p w:rsidR="002B37A1" w:rsidRDefault="002B37A1" w:rsidP="008F4B52">
      <w:r>
        <w:t>The preliminary decision considered that AusNet Services:</w:t>
      </w:r>
    </w:p>
    <w:p w:rsidR="002B37A1" w:rsidRDefault="002B37A1" w:rsidP="008F4B52">
      <w:pPr>
        <w:pStyle w:val="AERbulletlistfirststyle"/>
      </w:pPr>
      <w:r>
        <w:t xml:space="preserve">STPIS targets should not be lowered to account for </w:t>
      </w:r>
      <w:r w:rsidR="00A0482A">
        <w:t>the current</w:t>
      </w:r>
      <w:r>
        <w:t xml:space="preserve"> VCR and </w:t>
      </w:r>
    </w:p>
    <w:p w:rsidR="002B37A1" w:rsidRDefault="002B37A1" w:rsidP="008F4B52">
      <w:pPr>
        <w:pStyle w:val="AERbulletlistfirststyle"/>
      </w:pPr>
      <w:r>
        <w:t>the scheme should not be amended to include an additional exclusion criterion for the operation of r</w:t>
      </w:r>
      <w:r w:rsidR="00A92246">
        <w:t>a</w:t>
      </w:r>
      <w:r>
        <w:t>pid earth fault current limiters.</w:t>
      </w:r>
      <w:r w:rsidR="00392A3A">
        <w:rPr>
          <w:rStyle w:val="FootnoteReference"/>
        </w:rPr>
        <w:footnoteReference w:id="6"/>
      </w:r>
    </w:p>
    <w:p w:rsidR="002B37A1" w:rsidRPr="00B34302" w:rsidRDefault="002B37A1" w:rsidP="00B16708">
      <w:pPr>
        <w:pStyle w:val="Heading2"/>
      </w:pPr>
      <w:bookmarkStart w:id="93" w:name="_Toc428779192"/>
      <w:bookmarkStart w:id="94" w:name="_Toc433551657"/>
      <w:bookmarkStart w:id="95" w:name="_Toc451529092"/>
      <w:r>
        <w:lastRenderedPageBreak/>
        <w:t>AusNet Services</w:t>
      </w:r>
      <w:r w:rsidRPr="00B34302">
        <w:t xml:space="preserve">' </w:t>
      </w:r>
      <w:r>
        <w:t xml:space="preserve">revised </w:t>
      </w:r>
      <w:r w:rsidRPr="00B34302">
        <w:t>proposal</w:t>
      </w:r>
      <w:bookmarkEnd w:id="89"/>
      <w:bookmarkEnd w:id="90"/>
      <w:bookmarkEnd w:id="91"/>
      <w:bookmarkEnd w:id="93"/>
      <w:bookmarkEnd w:id="94"/>
      <w:bookmarkEnd w:id="95"/>
    </w:p>
    <w:p w:rsidR="002B37A1" w:rsidRDefault="002B37A1" w:rsidP="00B16708">
      <w:r>
        <w:rPr>
          <w:rStyle w:val="AERbody"/>
        </w:rPr>
        <w:t>AusNet Services</w:t>
      </w:r>
      <w:r w:rsidRPr="00C75F23">
        <w:rPr>
          <w:rStyle w:val="AERbody"/>
        </w:rPr>
        <w:t>'</w:t>
      </w:r>
      <w:r>
        <w:rPr>
          <w:rStyle w:val="AERbody"/>
        </w:rPr>
        <w:t xml:space="preserve"> revised</w:t>
      </w:r>
      <w:r w:rsidRPr="00C75F23">
        <w:rPr>
          <w:rStyle w:val="AERbody"/>
        </w:rPr>
        <w:t xml:space="preserve"> regulatory proposal </w:t>
      </w:r>
      <w:r>
        <w:rPr>
          <w:rStyle w:val="AERbody"/>
        </w:rPr>
        <w:t xml:space="preserve">rejected our preliminary decision on its STPIS target and incentive rates. It </w:t>
      </w:r>
      <w:r w:rsidRPr="00C75F23">
        <w:rPr>
          <w:rStyle w:val="AERbody"/>
        </w:rPr>
        <w:t>raised a number of interrelated issues</w:t>
      </w:r>
      <w:r>
        <w:rPr>
          <w:rStyle w:val="AERbody"/>
        </w:rPr>
        <w:t xml:space="preserve"> for our consideration. Primarily, AusNet Services reiterated that a</w:t>
      </w:r>
      <w:r>
        <w:t>pplying a lower VCR to capex has implications on reliability and as such the STPIS should be modified to reflect this change.</w:t>
      </w:r>
      <w:r>
        <w:rPr>
          <w:rStyle w:val="FootnoteReference"/>
        </w:rPr>
        <w:footnoteReference w:id="7"/>
      </w:r>
      <w:r>
        <w:t xml:space="preserve"> </w:t>
      </w:r>
    </w:p>
    <w:p w:rsidR="002B37A1" w:rsidRDefault="002B37A1" w:rsidP="00B16708">
      <w:r>
        <w:t>AusNet Services’ revised regulatory proposal also submitted that we should vary the scheme to allow outages caused by the operations of r</w:t>
      </w:r>
      <w:r w:rsidRPr="009160B9">
        <w:t xml:space="preserve">apid </w:t>
      </w:r>
      <w:r>
        <w:t>e</w:t>
      </w:r>
      <w:r w:rsidRPr="009160B9">
        <w:t xml:space="preserve">arth </w:t>
      </w:r>
      <w:r>
        <w:t>f</w:t>
      </w:r>
      <w:r w:rsidRPr="009160B9">
        <w:t xml:space="preserve">ault </w:t>
      </w:r>
      <w:r>
        <w:t>c</w:t>
      </w:r>
      <w:r w:rsidRPr="009160B9">
        <w:t xml:space="preserve">urrent </w:t>
      </w:r>
      <w:r>
        <w:t>l</w:t>
      </w:r>
      <w:r w:rsidRPr="009160B9">
        <w:t>imiter</w:t>
      </w:r>
      <w:r>
        <w:t>s (REFCLs)</w:t>
      </w:r>
      <w:r w:rsidRPr="009160B9">
        <w:t xml:space="preserve"> </w:t>
      </w:r>
      <w:r>
        <w:t>to be excluded from the STPIS outcomes.</w:t>
      </w:r>
      <w:r>
        <w:rPr>
          <w:rStyle w:val="FootnoteReference"/>
        </w:rPr>
        <w:footnoteReference w:id="8"/>
      </w:r>
    </w:p>
    <w:p w:rsidR="002B37A1" w:rsidRDefault="002B37A1" w:rsidP="00B16708">
      <w:r>
        <w:t xml:space="preserve">Section </w:t>
      </w:r>
      <w:r>
        <w:fldChar w:fldCharType="begin"/>
      </w:r>
      <w:r>
        <w:instrText xml:space="preserve"> REF _Ref429475275 \r \h </w:instrText>
      </w:r>
      <w:r>
        <w:fldChar w:fldCharType="separate"/>
      </w:r>
      <w:r w:rsidR="00B32060">
        <w:t>11.7</w:t>
      </w:r>
      <w:r>
        <w:fldChar w:fldCharType="end"/>
      </w:r>
      <w:r>
        <w:t xml:space="preserve"> </w:t>
      </w:r>
      <w:r w:rsidRPr="007354B7">
        <w:t>below</w:t>
      </w:r>
      <w:r>
        <w:t xml:space="preserve"> sets out our considerations on the matters submitted</w:t>
      </w:r>
      <w:r w:rsidRPr="007354B7">
        <w:t>.</w:t>
      </w:r>
      <w:r>
        <w:t xml:space="preserve"> </w:t>
      </w:r>
    </w:p>
    <w:p w:rsidR="002B37A1" w:rsidRPr="00B34302" w:rsidRDefault="002B37A1" w:rsidP="00B16708">
      <w:pPr>
        <w:pStyle w:val="Heading2"/>
      </w:pPr>
      <w:bookmarkStart w:id="96" w:name="_Toc403144138"/>
      <w:bookmarkStart w:id="97" w:name="_Toc417479828"/>
      <w:bookmarkStart w:id="98" w:name="_Toc428779193"/>
      <w:bookmarkStart w:id="99" w:name="_Toc433551658"/>
      <w:bookmarkStart w:id="100" w:name="_Toc451529093"/>
      <w:r w:rsidRPr="00B34302">
        <w:t>AER’s assessment approach</w:t>
      </w:r>
      <w:bookmarkEnd w:id="96"/>
      <w:bookmarkEnd w:id="97"/>
      <w:bookmarkEnd w:id="98"/>
      <w:bookmarkEnd w:id="99"/>
      <w:bookmarkEnd w:id="100"/>
    </w:p>
    <w:p w:rsidR="002B37A1" w:rsidRPr="00543215" w:rsidRDefault="002B37A1" w:rsidP="00B16708">
      <w:r>
        <w:t>We are required to make a decision on how the STPIS is to apply to AusNet Services.</w:t>
      </w:r>
      <w:r>
        <w:rPr>
          <w:rStyle w:val="FootnoteReference"/>
        </w:rPr>
        <w:footnoteReference w:id="9"/>
      </w:r>
      <w:r>
        <w:t xml:space="preserve"> When making a distribution determination, the STPIS requires us to </w:t>
      </w:r>
      <w:r w:rsidRPr="00543215">
        <w:t xml:space="preserve">determine all performance targets, incentive rates, revenue at risk and other parameters </w:t>
      </w:r>
      <w:r>
        <w:t>under</w:t>
      </w:r>
      <w:r w:rsidRPr="00543215">
        <w:t xml:space="preserve"> the scheme</w:t>
      </w:r>
      <w:r>
        <w:t>.</w:t>
      </w:r>
      <w:r>
        <w:rPr>
          <w:rStyle w:val="FootnoteReference"/>
        </w:rPr>
        <w:footnoteReference w:id="10"/>
      </w:r>
    </w:p>
    <w:p w:rsidR="002B37A1" w:rsidRDefault="002B37A1" w:rsidP="00B16708">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t>F&amp;A</w:t>
      </w:r>
      <w:r w:rsidRPr="00543215">
        <w:t xml:space="preserve"> </w:t>
      </w:r>
      <w:r>
        <w:t xml:space="preserve">and preliminary decisions </w:t>
      </w:r>
      <w:r w:rsidRPr="00543215">
        <w:t xml:space="preserve">for </w:t>
      </w:r>
      <w:r>
        <w:t>Victorian electricity distributors</w:t>
      </w:r>
      <w:r w:rsidRPr="00543215">
        <w:t xml:space="preserve">. </w:t>
      </w:r>
      <w:r>
        <w:t xml:space="preserve">Our final decision is consistent with </w:t>
      </w:r>
      <w:r w:rsidRPr="00543215">
        <w:t xml:space="preserve">the position in the </w:t>
      </w:r>
      <w:r>
        <w:t>preliminary decision and F&amp;A</w:t>
      </w:r>
      <w:r w:rsidRPr="00543215">
        <w:t xml:space="preserve">, unless new information has become available or new arguments have been </w:t>
      </w:r>
      <w:r>
        <w:t xml:space="preserve">put </w:t>
      </w:r>
      <w:r w:rsidRPr="00543215">
        <w:t>forward which warrant</w:t>
      </w:r>
      <w:r>
        <w:t>s</w:t>
      </w:r>
      <w:r w:rsidRPr="00543215">
        <w:t xml:space="preserve"> a reconsideration of this position. </w:t>
      </w:r>
      <w:r>
        <w:t>We have considered materials submitted to us by AusNet Services and by stakeholders.</w:t>
      </w:r>
      <w:r w:rsidRPr="00543215">
        <w:t xml:space="preserve"> </w:t>
      </w:r>
    </w:p>
    <w:p w:rsidR="002B37A1" w:rsidRPr="00B16708" w:rsidRDefault="002B37A1" w:rsidP="000121A2">
      <w:pPr>
        <w:pStyle w:val="Heading3"/>
        <w:ind w:left="578" w:hanging="578"/>
      </w:pPr>
      <w:bookmarkStart w:id="101" w:name="_Toc415040783"/>
      <w:bookmarkStart w:id="102" w:name="_Toc417479829"/>
      <w:bookmarkStart w:id="103" w:name="_Toc428779194"/>
      <w:bookmarkStart w:id="104" w:name="_Toc433551659"/>
      <w:bookmarkStart w:id="105" w:name="_Toc446583911"/>
      <w:bookmarkStart w:id="106" w:name="_Toc451529094"/>
      <w:r>
        <w:t>Interrelationship</w:t>
      </w:r>
      <w:bookmarkEnd w:id="101"/>
      <w:bookmarkEnd w:id="102"/>
      <w:bookmarkEnd w:id="103"/>
      <w:r w:rsidRPr="00B16708">
        <w:t>s</w:t>
      </w:r>
      <w:bookmarkEnd w:id="104"/>
      <w:bookmarkEnd w:id="105"/>
      <w:bookmarkEnd w:id="106"/>
    </w:p>
    <w:p w:rsidR="002B37A1" w:rsidRPr="003861C2" w:rsidRDefault="002B37A1" w:rsidP="00B16708">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11"/>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w:t>
      </w:r>
      <w:r>
        <w:rPr>
          <w:rStyle w:val="FootnoteReference"/>
        </w:rPr>
        <w:footnoteReference w:id="12"/>
      </w:r>
      <w:r w:rsidRPr="003861C2">
        <w:t xml:space="preserve"> For the 201</w:t>
      </w:r>
      <w:r>
        <w:t>6</w:t>
      </w:r>
      <w:r w:rsidRPr="003861C2">
        <w:t>–20 regulatory control period, the STPIS will interact with the Capital Expenditure Sharing Scheme (CESS) and the opex Expenditure Benefit Sharing Scheme (EBSS).</w:t>
      </w:r>
    </w:p>
    <w:p w:rsidR="002B37A1" w:rsidRPr="002204A1" w:rsidRDefault="002B37A1" w:rsidP="00B16708">
      <w:pPr>
        <w:rPr>
          <w:rStyle w:val="AERbody"/>
        </w:rPr>
      </w:pPr>
      <w:r w:rsidRPr="002204A1">
        <w:rPr>
          <w:rStyle w:val="AERbody"/>
        </w:rPr>
        <w:t>The reward and penalt</w:t>
      </w:r>
      <w:r>
        <w:rPr>
          <w:rStyle w:val="AERbody"/>
        </w:rPr>
        <w:t>y</w:t>
      </w:r>
      <w:r w:rsidRPr="002204A1">
        <w:rPr>
          <w:rStyle w:val="AERbody"/>
        </w:rPr>
        <w:t xml:space="preserve"> amounts</w:t>
      </w:r>
      <w:r>
        <w:rPr>
          <w:rStyle w:val="AERbody"/>
        </w:rPr>
        <w:t xml:space="preserve"> (the incentive rates)</w:t>
      </w:r>
      <w:r w:rsidRPr="002204A1">
        <w:rPr>
          <w:rStyle w:val="AERbody"/>
        </w:rPr>
        <w:t xml:space="preserve"> under STPIS are determined based on the average customer value </w:t>
      </w:r>
      <w:r>
        <w:rPr>
          <w:rStyle w:val="AERbody"/>
        </w:rPr>
        <w:t>for</w:t>
      </w:r>
      <w:r w:rsidRPr="002204A1">
        <w:rPr>
          <w:rStyle w:val="AERbody"/>
        </w:rPr>
        <w:t xml:space="preserve"> the improvement, or otherwise, to supply reliability (the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w:t>
      </w:r>
      <w:r w:rsidRPr="002204A1">
        <w:rPr>
          <w:rStyle w:val="AERbody"/>
        </w:rPr>
        <w:lastRenderedPageBreak/>
        <w:t xml:space="preserve">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2B37A1" w:rsidRDefault="002B37A1" w:rsidP="00B16708">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2B37A1" w:rsidRPr="002204A1" w:rsidRDefault="002B37A1" w:rsidP="00B16708">
      <w:pPr>
        <w:rPr>
          <w:rStyle w:val="AERbody"/>
        </w:rPr>
      </w:pPr>
      <w:r>
        <w:rPr>
          <w:rStyle w:val="AERbody"/>
        </w:rPr>
        <w:t>T</w:t>
      </w:r>
      <w:r w:rsidRPr="002204A1">
        <w:rPr>
          <w:rStyle w:val="AERbody"/>
        </w:rPr>
        <w:t xml:space="preserve">he STPIS </w:t>
      </w:r>
      <w:r>
        <w:rPr>
          <w:rStyle w:val="AERbody"/>
        </w:rPr>
        <w:t xml:space="preserve">on the other hand 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2B37A1" w:rsidRPr="002204A1" w:rsidRDefault="002B37A1" w:rsidP="00B16708">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2B37A1" w:rsidRPr="003861C2" w:rsidRDefault="002B37A1" w:rsidP="00B16708">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2B37A1" w:rsidRDefault="002B37A1" w:rsidP="00B16708">
      <w:pPr>
        <w:pStyle w:val="AERbulletlistfirststyle"/>
        <w:rPr>
          <w:rStyle w:val="AERbody"/>
        </w:rPr>
      </w:pPr>
      <w:r w:rsidRPr="003861C2">
        <w:rPr>
          <w:rStyle w:val="AERbody"/>
        </w:rPr>
        <w:tab/>
        <w:t>reductions in capex  and opex are achieved efficiently, rather than at the expense of service levels to customers.</w:t>
      </w:r>
    </w:p>
    <w:p w:rsidR="002B37A1" w:rsidRPr="00B34302" w:rsidRDefault="002B37A1" w:rsidP="00B16708">
      <w:pPr>
        <w:pStyle w:val="Heading2"/>
      </w:pPr>
      <w:bookmarkStart w:id="107" w:name="_Toc403144140"/>
      <w:bookmarkStart w:id="108" w:name="_Toc417479830"/>
      <w:bookmarkStart w:id="109" w:name="_Ref428435842"/>
      <w:bookmarkStart w:id="110" w:name="_Toc428779195"/>
      <w:bookmarkStart w:id="111" w:name="_Toc433551660"/>
      <w:bookmarkStart w:id="112" w:name="_Toc451529095"/>
      <w:r w:rsidRPr="00B34302">
        <w:t xml:space="preserve">Reasons for </w:t>
      </w:r>
      <w:r>
        <w:t>the final</w:t>
      </w:r>
      <w:r w:rsidRPr="00B34302">
        <w:t xml:space="preserve"> decision</w:t>
      </w:r>
      <w:bookmarkEnd w:id="107"/>
      <w:bookmarkEnd w:id="108"/>
      <w:bookmarkEnd w:id="109"/>
      <w:bookmarkEnd w:id="110"/>
      <w:bookmarkEnd w:id="111"/>
      <w:bookmarkEnd w:id="112"/>
      <w:r w:rsidRPr="00B34302">
        <w:t xml:space="preserve"> </w:t>
      </w:r>
    </w:p>
    <w:p w:rsidR="002B37A1" w:rsidRDefault="002B37A1" w:rsidP="00B16708">
      <w:r w:rsidRPr="009C0D52">
        <w:t xml:space="preserve">The following section sets out our </w:t>
      </w:r>
      <w:r>
        <w:t>detailed consideration o</w:t>
      </w:r>
      <w:r w:rsidRPr="009C0D52">
        <w:t>n</w:t>
      </w:r>
      <w:r>
        <w:t>:</w:t>
      </w:r>
    </w:p>
    <w:p w:rsidR="002B37A1" w:rsidRDefault="002B37A1" w:rsidP="00B16708">
      <w:pPr>
        <w:pStyle w:val="AERbulletlistfirststyle"/>
      </w:pPr>
      <w:r w:rsidRPr="009C0D52">
        <w:t xml:space="preserve">applying the STPIS to </w:t>
      </w:r>
      <w:r>
        <w:t>AusNet Services</w:t>
      </w:r>
      <w:r w:rsidRPr="009C0D52">
        <w:t xml:space="preserve"> for the 201</w:t>
      </w:r>
      <w:r>
        <w:t>6</w:t>
      </w:r>
      <w:r w:rsidRPr="009C0D52">
        <w:t>–</w:t>
      </w:r>
      <w:r>
        <w:t>20 regulatory control period</w:t>
      </w:r>
    </w:p>
    <w:p w:rsidR="002B37A1" w:rsidRDefault="002B37A1" w:rsidP="00B16708">
      <w:pPr>
        <w:pStyle w:val="AERbulletlistfirststyle"/>
      </w:pPr>
      <w:r>
        <w:t xml:space="preserve">transitional matters in the applying the STPIS between regulatory control periods. </w:t>
      </w:r>
    </w:p>
    <w:p w:rsidR="002B37A1" w:rsidRPr="007C441C" w:rsidRDefault="002B37A1" w:rsidP="00B16708">
      <w:pPr>
        <w:pStyle w:val="Heading2"/>
      </w:pPr>
      <w:bookmarkStart w:id="113" w:name="_Toc433551661"/>
      <w:bookmarkStart w:id="114" w:name="_Toc451529096"/>
      <w:r w:rsidRPr="007C441C">
        <w:t>Applying the STPIS</w:t>
      </w:r>
      <w:bookmarkEnd w:id="113"/>
      <w:bookmarkEnd w:id="114"/>
    </w:p>
    <w:p w:rsidR="002B37A1" w:rsidRDefault="00F75084" w:rsidP="00B16708">
      <w:r>
        <w:t>We will apply the scheme as is to AusNet Services' STPIS for the 2016–20 regulatory control period. This is consistent with our preliminary decision on STPIS for AusNet Services</w:t>
      </w:r>
      <w:r w:rsidR="002B37A1" w:rsidRPr="007C441C">
        <w:t>.</w:t>
      </w:r>
      <w:r w:rsidR="002B37A1">
        <w:t xml:space="preserve"> For the reasons outlined in section </w:t>
      </w:r>
      <w:r w:rsidR="002B37A1">
        <w:fldChar w:fldCharType="begin"/>
      </w:r>
      <w:r w:rsidR="002B37A1">
        <w:instrText xml:space="preserve"> REF _Ref429385658 \r \h </w:instrText>
      </w:r>
      <w:r w:rsidR="002B37A1">
        <w:fldChar w:fldCharType="separate"/>
      </w:r>
      <w:r w:rsidR="00B32060">
        <w:t>11.7</w:t>
      </w:r>
      <w:r w:rsidR="002B37A1">
        <w:fldChar w:fldCharType="end"/>
      </w:r>
      <w:r w:rsidR="002B37A1">
        <w:t xml:space="preserve"> we have not accepted AusNet Services' proposal to depart from our preliminary decision on STPIS.</w:t>
      </w:r>
      <w:r w:rsidR="002B37A1">
        <w:rPr>
          <w:rStyle w:val="FootnoteReference"/>
        </w:rPr>
        <w:footnoteReference w:id="13"/>
      </w:r>
    </w:p>
    <w:p w:rsidR="002B37A1" w:rsidRPr="00B16708" w:rsidRDefault="002B37A1" w:rsidP="000121A2">
      <w:pPr>
        <w:pStyle w:val="Heading3"/>
        <w:ind w:left="578" w:hanging="578"/>
      </w:pPr>
      <w:bookmarkStart w:id="115" w:name="_Toc433551662"/>
      <w:bookmarkStart w:id="116" w:name="_Toc446583914"/>
      <w:bookmarkStart w:id="117" w:name="_Toc451529097"/>
      <w:r w:rsidRPr="007C441C">
        <w:t>Revenue at risk</w:t>
      </w:r>
      <w:bookmarkEnd w:id="115"/>
      <w:bookmarkEnd w:id="116"/>
      <w:bookmarkEnd w:id="117"/>
    </w:p>
    <w:p w:rsidR="002B37A1" w:rsidRDefault="002B37A1" w:rsidP="00B16708">
      <w:pPr>
        <w:rPr>
          <w:rStyle w:val="AERbody"/>
        </w:rPr>
      </w:pPr>
      <w:r>
        <w:rPr>
          <w:rStyle w:val="AERbody"/>
        </w:rPr>
        <w:t>Our final decision is to apply our preliminary decision. T</w:t>
      </w:r>
      <w:r w:rsidRPr="007C441C">
        <w:rPr>
          <w:rStyle w:val="AERbody"/>
        </w:rPr>
        <w:t xml:space="preserve">he revenue at risk cap for each regulatory year </w:t>
      </w:r>
      <w:r>
        <w:rPr>
          <w:rStyle w:val="AERbody"/>
        </w:rPr>
        <w:t xml:space="preserve">in </w:t>
      </w:r>
      <w:r w:rsidRPr="007C441C">
        <w:rPr>
          <w:rStyle w:val="AERbody"/>
        </w:rPr>
        <w:t>2016–20</w:t>
      </w:r>
      <w:r>
        <w:rPr>
          <w:rStyle w:val="AERbody"/>
        </w:rPr>
        <w:t xml:space="preserve"> is</w:t>
      </w:r>
      <w:r w:rsidRPr="007C441C">
        <w:rPr>
          <w:rStyle w:val="AERbody"/>
        </w:rPr>
        <w:t xml:space="preserve"> ± 5.0 per cent as per the scheme standard</w:t>
      </w:r>
      <w:r>
        <w:rPr>
          <w:rStyle w:val="AERbody"/>
        </w:rPr>
        <w:t xml:space="preserve"> for AusNet Services</w:t>
      </w:r>
      <w:r w:rsidRPr="007C441C">
        <w:rPr>
          <w:rStyle w:val="AERbody"/>
        </w:rPr>
        <w:t>.</w:t>
      </w:r>
      <w:r>
        <w:rPr>
          <w:rStyle w:val="AERbody"/>
        </w:rPr>
        <w:t xml:space="preserve">  Within this revenue at risk cap, t</w:t>
      </w:r>
      <w:r w:rsidRPr="00190F80">
        <w:rPr>
          <w:rStyle w:val="AERbody"/>
        </w:rPr>
        <w:t xml:space="preserve">here is </w:t>
      </w:r>
      <w:r>
        <w:rPr>
          <w:rStyle w:val="AERbody"/>
        </w:rPr>
        <w:t xml:space="preserve">also </w:t>
      </w:r>
      <w:r w:rsidRPr="00190F80">
        <w:rPr>
          <w:rStyle w:val="AERbody"/>
        </w:rPr>
        <w:t xml:space="preserve">a cap on the revenue at risk of </w:t>
      </w:r>
      <w:r w:rsidRPr="003952F2">
        <w:rPr>
          <w:rStyle w:val="AERbody"/>
        </w:rPr>
        <w:t>±</w:t>
      </w:r>
      <w:r>
        <w:rPr>
          <w:rStyle w:val="AERbody"/>
        </w:rPr>
        <w:t xml:space="preserve"> </w:t>
      </w:r>
      <w:r w:rsidRPr="00190F80">
        <w:rPr>
          <w:rStyle w:val="AERbody"/>
        </w:rPr>
        <w:t>0.5</w:t>
      </w:r>
      <w:r>
        <w:rPr>
          <w:rStyle w:val="AERbody"/>
        </w:rPr>
        <w:t xml:space="preserve"> per cent</w:t>
      </w:r>
      <w:r w:rsidRPr="00190F80">
        <w:rPr>
          <w:rStyle w:val="AERbody"/>
        </w:rPr>
        <w:t xml:space="preserve"> for the telephone answering parameter.</w:t>
      </w:r>
    </w:p>
    <w:p w:rsidR="002B37A1" w:rsidRDefault="002B37A1" w:rsidP="00B16708">
      <w:pPr>
        <w:rPr>
          <w:rStyle w:val="AERbody"/>
        </w:rPr>
      </w:pPr>
    </w:p>
    <w:p w:rsidR="00392A3A" w:rsidRPr="00190F80" w:rsidRDefault="00392A3A" w:rsidP="00B16708">
      <w:pPr>
        <w:rPr>
          <w:rStyle w:val="AERbody"/>
        </w:rPr>
      </w:pPr>
    </w:p>
    <w:p w:rsidR="002B37A1" w:rsidRPr="00B16708" w:rsidRDefault="002B37A1" w:rsidP="000121A2">
      <w:pPr>
        <w:pStyle w:val="Heading3"/>
        <w:ind w:left="578" w:hanging="578"/>
      </w:pPr>
      <w:bookmarkStart w:id="118" w:name="_Toc433551663"/>
      <w:bookmarkStart w:id="119" w:name="_Toc446583915"/>
      <w:bookmarkStart w:id="120" w:name="_Toc451529098"/>
      <w:r w:rsidRPr="007C441C">
        <w:lastRenderedPageBreak/>
        <w:t>Reliability of supply component</w:t>
      </w:r>
      <w:bookmarkEnd w:id="118"/>
      <w:bookmarkEnd w:id="119"/>
      <w:bookmarkEnd w:id="120"/>
    </w:p>
    <w:p w:rsidR="002B37A1" w:rsidRPr="001D627A" w:rsidRDefault="002B37A1" w:rsidP="005A269B">
      <w:pPr>
        <w:pStyle w:val="Caption"/>
      </w:pPr>
      <w:bookmarkStart w:id="121" w:name="_Toc433040429"/>
      <w:bookmarkStart w:id="122" w:name="_Toc433551664"/>
      <w:r w:rsidRPr="001D627A">
        <w:t>Applicable components and parameters</w:t>
      </w:r>
      <w:bookmarkEnd w:id="121"/>
      <w:bookmarkEnd w:id="122"/>
      <w:r w:rsidRPr="001D627A">
        <w:t xml:space="preserve"> </w:t>
      </w:r>
    </w:p>
    <w:p w:rsidR="002B37A1" w:rsidRDefault="002B37A1" w:rsidP="00B16708">
      <w:r w:rsidRPr="007C441C">
        <w:t xml:space="preserve">We will apply unplanned SAIDI, unplanned SAIFI and MAIFI parameters under the reliability of supply component to AusNet Services' urban, </w:t>
      </w:r>
      <w:r>
        <w:t xml:space="preserve">short </w:t>
      </w:r>
      <w:r w:rsidRPr="007C441C">
        <w:t xml:space="preserve">and </w:t>
      </w:r>
      <w:r>
        <w:t>long</w:t>
      </w:r>
      <w:r w:rsidRPr="007C441C">
        <w:t xml:space="preserve"> </w:t>
      </w:r>
      <w:r>
        <w:t xml:space="preserve">rural </w:t>
      </w:r>
      <w:r w:rsidRPr="007C441C">
        <w:t xml:space="preserve">feeders </w:t>
      </w:r>
      <w:r>
        <w:t xml:space="preserve">in </w:t>
      </w:r>
      <w:r w:rsidRPr="007C441C">
        <w:t>2016–20.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MAIFI captures the average number of ‘momentary’ disruptions on the network.</w:t>
      </w:r>
    </w:p>
    <w:p w:rsidR="002B37A1" w:rsidRPr="007C441C" w:rsidRDefault="002B37A1" w:rsidP="005A269B">
      <w:pPr>
        <w:pStyle w:val="Caption"/>
      </w:pPr>
      <w:bookmarkStart w:id="123" w:name="_Toc433040430"/>
      <w:bookmarkStart w:id="124" w:name="_Toc433551665"/>
      <w:r w:rsidRPr="007C441C">
        <w:t>Exclusions</w:t>
      </w:r>
      <w:bookmarkEnd w:id="123"/>
      <w:bookmarkEnd w:id="124"/>
    </w:p>
    <w:p w:rsidR="002B37A1" w:rsidRPr="007C441C" w:rsidRDefault="002B37A1" w:rsidP="00B16708">
      <w:r w:rsidRPr="007C441C">
        <w:rPr>
          <w:rStyle w:val="AERbody"/>
        </w:rPr>
        <w:t xml:space="preserve">The STPIS allows certain events to be excluded from the calculation of the S-factor revenue adjustment. These exclusions include </w:t>
      </w:r>
      <w:r>
        <w:rPr>
          <w:rStyle w:val="AERbody"/>
        </w:rPr>
        <w:t>e</w:t>
      </w:r>
      <w:r w:rsidRPr="007C441C">
        <w:rPr>
          <w:rStyle w:val="AERbody"/>
        </w:rPr>
        <w:t>vents that are beyond the control of AusNet Services</w:t>
      </w:r>
      <w:r>
        <w:rPr>
          <w:rStyle w:val="AERbody"/>
        </w:rPr>
        <w:t>.</w:t>
      </w:r>
      <w:r>
        <w:rPr>
          <w:rStyle w:val="FootnoteReference"/>
        </w:rPr>
        <w:footnoteReference w:id="14"/>
      </w:r>
      <w:r w:rsidRPr="007C441C">
        <w:rPr>
          <w:rStyle w:val="AERbody"/>
        </w:rPr>
        <w:t xml:space="preserve"> They also exclude the effects of extreme weather events that have the potential to significantly affect AusNet Services' STPIS performance</w:t>
      </w:r>
      <w:r w:rsidRPr="007C441C">
        <w:t xml:space="preserve">. </w:t>
      </w:r>
    </w:p>
    <w:p w:rsidR="002B37A1" w:rsidRDefault="002B37A1" w:rsidP="00B16708">
      <w:r>
        <w:t xml:space="preserve">The </w:t>
      </w:r>
      <w:r w:rsidRPr="007F2C2A">
        <w:rPr>
          <w:rStyle w:val="AERbody"/>
        </w:rPr>
        <w:t xml:space="preserve">major event day (MED) threshold </w:t>
      </w:r>
      <w:r>
        <w:rPr>
          <w:rStyle w:val="AERbody"/>
        </w:rPr>
        <w:t xml:space="preserve">for exclusions will be calculated in accordance the STPIS </w:t>
      </w:r>
      <w:r w:rsidRPr="007F2C2A">
        <w:rPr>
          <w:rStyle w:val="AERbody"/>
        </w:rPr>
        <w:t>using the 2</w:t>
      </w:r>
      <w:r>
        <w:rPr>
          <w:rStyle w:val="AERbody"/>
        </w:rPr>
        <w:t>.8 beta</w:t>
      </w:r>
      <w:r w:rsidR="005A269B">
        <w:rPr>
          <w:rStyle w:val="FootnoteReference"/>
        </w:rPr>
        <w:footnoteReference w:id="15"/>
      </w:r>
      <w:r>
        <w:rPr>
          <w:rStyle w:val="AERbody"/>
        </w:rPr>
        <w:t xml:space="preserve"> method.</w:t>
      </w:r>
      <w:r w:rsidRPr="007C441C">
        <w:rPr>
          <w:rStyle w:val="FootnoteReference"/>
        </w:rPr>
        <w:footnoteReference w:id="16"/>
      </w:r>
      <w:r w:rsidRPr="007C441C">
        <w:t xml:space="preserve"> </w:t>
      </w:r>
      <w:r>
        <w:t>This is consistent with our preliminary decision for AusNet Services.</w:t>
      </w:r>
      <w:r w:rsidRPr="007C441C">
        <w:t xml:space="preserve"> </w:t>
      </w:r>
    </w:p>
    <w:p w:rsidR="002B37A1" w:rsidRPr="00B16708" w:rsidRDefault="002B37A1" w:rsidP="000121A2">
      <w:pPr>
        <w:pStyle w:val="Heading3"/>
        <w:ind w:left="578" w:hanging="578"/>
      </w:pPr>
      <w:bookmarkStart w:id="125" w:name="_Toc433551666"/>
      <w:bookmarkStart w:id="126" w:name="_Toc446583916"/>
      <w:bookmarkStart w:id="127" w:name="_Toc451529099"/>
      <w:r w:rsidRPr="007C441C">
        <w:t>Performance targets</w:t>
      </w:r>
      <w:bookmarkEnd w:id="125"/>
      <w:bookmarkEnd w:id="126"/>
      <w:bookmarkEnd w:id="127"/>
    </w:p>
    <w:p w:rsidR="002B37A1" w:rsidRPr="007C441C" w:rsidRDefault="002B37A1" w:rsidP="00B16708">
      <w:r w:rsidRPr="007C441C">
        <w:t>The STPIS specifies that the performance targets should be based on the average performance over the past five regulatory years. It also state</w:t>
      </w:r>
      <w:r>
        <w:t>s</w:t>
      </w:r>
      <w:r w:rsidRPr="007C441C">
        <w:t xml:space="preserve"> that the performance target</w:t>
      </w:r>
      <w:r>
        <w:t>s</w:t>
      </w:r>
      <w:r w:rsidRPr="007C441C">
        <w:t xml:space="preserve"> must be modified for any reliability improvements completed or planned where the planned reliability improvements are:</w:t>
      </w:r>
      <w:r w:rsidRPr="007C441C">
        <w:rPr>
          <w:rStyle w:val="FootnoteReference"/>
        </w:rPr>
        <w:footnoteReference w:id="17"/>
      </w:r>
    </w:p>
    <w:p w:rsidR="002B37A1" w:rsidRPr="007C441C" w:rsidRDefault="002B37A1" w:rsidP="00B16708">
      <w:pPr>
        <w:pStyle w:val="AERbulletlistfirststyle"/>
      </w:pPr>
      <w:r w:rsidRPr="007C441C">
        <w:t>included in the expenditure program proposed by the distributor in its regulatory proposal, or</w:t>
      </w:r>
    </w:p>
    <w:p w:rsidR="002B37A1" w:rsidRPr="007C441C" w:rsidRDefault="002B37A1" w:rsidP="00B16708">
      <w:pPr>
        <w:pStyle w:val="AERbulletlistfirststyle"/>
      </w:pPr>
      <w:r w:rsidRPr="007C441C">
        <w:t>proposed by the distributor, and the cost of the improvements is allowed by the relevant regulator, in the distributor's previous regulatory proposal or regulatory submission, and</w:t>
      </w:r>
    </w:p>
    <w:p w:rsidR="002B37A1" w:rsidRPr="007C441C" w:rsidRDefault="002B37A1" w:rsidP="00B16708">
      <w:pPr>
        <w:pStyle w:val="AERbulletlistfirststyle"/>
      </w:pPr>
      <w:r w:rsidRPr="007C441C">
        <w:t>expected to result in a material improvement in supply reliability.</w:t>
      </w:r>
    </w:p>
    <w:p w:rsidR="002B37A1" w:rsidRDefault="002B37A1" w:rsidP="00B16708">
      <w:pPr>
        <w:rPr>
          <w:rStyle w:val="AERbody"/>
        </w:rPr>
      </w:pPr>
      <w:r w:rsidRPr="007C441C">
        <w:rPr>
          <w:rStyle w:val="AERbody"/>
        </w:rPr>
        <w:t>AusNet Services proposed to set the performance targets based on historical avera</w:t>
      </w:r>
      <w:r>
        <w:rPr>
          <w:rStyle w:val="AERbody"/>
        </w:rPr>
        <w:t>ges as per the scheme but, with modification,</w:t>
      </w:r>
      <w:r w:rsidRPr="007C441C">
        <w:rPr>
          <w:rStyle w:val="AERbody"/>
        </w:rPr>
        <w:t xml:space="preserve"> </w:t>
      </w:r>
      <w:r>
        <w:rPr>
          <w:rStyle w:val="AERbody"/>
        </w:rPr>
        <w:t>because of the application of</w:t>
      </w:r>
      <w:r w:rsidRPr="007C441C">
        <w:rPr>
          <w:rStyle w:val="AERbody"/>
        </w:rPr>
        <w:t xml:space="preserve"> a lower VCR</w:t>
      </w:r>
      <w:r>
        <w:rPr>
          <w:rStyle w:val="AERbody"/>
        </w:rPr>
        <w:t xml:space="preserve"> for capex planning purposes</w:t>
      </w:r>
      <w:r w:rsidRPr="007C441C">
        <w:rPr>
          <w:rStyle w:val="AERbody"/>
        </w:rPr>
        <w:t xml:space="preserve">. </w:t>
      </w:r>
    </w:p>
    <w:p w:rsidR="002B37A1" w:rsidRDefault="002B37A1" w:rsidP="00B16708">
      <w:pPr>
        <w:rPr>
          <w:rStyle w:val="AERbody"/>
        </w:rPr>
      </w:pPr>
      <w:r>
        <w:rPr>
          <w:rStyle w:val="AERbody"/>
        </w:rPr>
        <w:t xml:space="preserve">Our discussion and reasoning about the application of the VCR on the STPIS is outlined </w:t>
      </w:r>
      <w:r w:rsidRPr="007C441C">
        <w:rPr>
          <w:rStyle w:val="AERbody"/>
        </w:rPr>
        <w:t xml:space="preserve">section </w:t>
      </w:r>
      <w:r>
        <w:rPr>
          <w:rStyle w:val="AERbody"/>
        </w:rPr>
        <w:fldChar w:fldCharType="begin"/>
      </w:r>
      <w:r>
        <w:rPr>
          <w:rStyle w:val="AERbody"/>
        </w:rPr>
        <w:instrText xml:space="preserve"> REF _Ref429385935 \r \h </w:instrText>
      </w:r>
      <w:r>
        <w:rPr>
          <w:rStyle w:val="AERbody"/>
        </w:rPr>
      </w:r>
      <w:r>
        <w:rPr>
          <w:rStyle w:val="AERbody"/>
        </w:rPr>
        <w:fldChar w:fldCharType="separate"/>
      </w:r>
      <w:r w:rsidR="00B32060">
        <w:rPr>
          <w:rStyle w:val="AERbody"/>
        </w:rPr>
        <w:t>11.7</w:t>
      </w:r>
      <w:r>
        <w:rPr>
          <w:rStyle w:val="AERbody"/>
        </w:rPr>
        <w:fldChar w:fldCharType="end"/>
      </w:r>
      <w:r>
        <w:rPr>
          <w:rStyle w:val="AERbody"/>
        </w:rPr>
        <w:t>. Consistent with our reasoning in that section,</w:t>
      </w:r>
      <w:r w:rsidRPr="007C441C">
        <w:rPr>
          <w:rStyle w:val="AERbody"/>
        </w:rPr>
        <w:t xml:space="preserve"> we have not </w:t>
      </w:r>
      <w:r w:rsidRPr="007C441C">
        <w:rPr>
          <w:rStyle w:val="AERbody"/>
        </w:rPr>
        <w:lastRenderedPageBreak/>
        <w:t xml:space="preserve">accepted </w:t>
      </w:r>
      <w:r>
        <w:rPr>
          <w:rStyle w:val="AERbody"/>
        </w:rPr>
        <w:t xml:space="preserve">AusNet Services' proposal to depart from the </w:t>
      </w:r>
      <w:r w:rsidRPr="007C441C">
        <w:rPr>
          <w:rStyle w:val="AERbody"/>
        </w:rPr>
        <w:t xml:space="preserve">scheme. That is, AusNet Services’ performance targets will be based on its five year historical average. </w:t>
      </w:r>
    </w:p>
    <w:p w:rsidR="007C3375" w:rsidRPr="007C441C" w:rsidRDefault="007C3375" w:rsidP="007C3375">
      <w:r w:rsidRPr="007C441C">
        <w:t xml:space="preserve">The national STPIS customer service target applicable to AusNet Services is telephone response measured as the </w:t>
      </w:r>
      <w:r>
        <w:t>percentage</w:t>
      </w:r>
      <w:r w:rsidRPr="007C441C">
        <w:t xml:space="preserve"> of telephone calls answered within 30 seconds. This measure is referred to as the telephone Grade of Service (GOS).</w:t>
      </w:r>
    </w:p>
    <w:p w:rsidR="002B37A1" w:rsidRDefault="002B37A1" w:rsidP="00B16708">
      <w:r>
        <w:t xml:space="preserve">We have adjusted AusNet Services reliability targets to account for the reliability improvement due to </w:t>
      </w:r>
      <w:r w:rsidR="005A269B">
        <w:t xml:space="preserve">animal </w:t>
      </w:r>
      <w:r>
        <w:t>proofing capex</w:t>
      </w:r>
      <w:r w:rsidR="005A269B">
        <w:t xml:space="preserve"> in accordance with the STPIS (see section </w:t>
      </w:r>
      <w:r w:rsidR="00FC0F39">
        <w:fldChar w:fldCharType="begin"/>
      </w:r>
      <w:r w:rsidR="00FC0F39">
        <w:instrText xml:space="preserve"> REF _Ref446318506 \r \h </w:instrText>
      </w:r>
      <w:r w:rsidR="00FC0F39">
        <w:fldChar w:fldCharType="separate"/>
      </w:r>
      <w:r w:rsidR="00B32060">
        <w:t>11.8.3</w:t>
      </w:r>
      <w:r w:rsidR="00FC0F39">
        <w:fldChar w:fldCharType="end"/>
      </w:r>
      <w:r w:rsidR="00FC0F39">
        <w:t>)</w:t>
      </w:r>
      <w:r>
        <w:t xml:space="preserve">. Our calculated </w:t>
      </w:r>
      <w:r w:rsidRPr="007C441C">
        <w:t>performance targets for AusNet Services for the 2016–20 regulatory control period are presented in</w:t>
      </w:r>
      <w:r>
        <w:t xml:space="preserve"> </w:t>
      </w:r>
      <w:r>
        <w:fldChar w:fldCharType="begin"/>
      </w:r>
      <w:r>
        <w:instrText xml:space="preserve"> REF _Ref429467689 \h </w:instrText>
      </w:r>
      <w:r>
        <w:fldChar w:fldCharType="separate"/>
      </w:r>
      <w:r w:rsidR="00B32060" w:rsidRPr="007C441C">
        <w:t xml:space="preserve">Table </w:t>
      </w:r>
      <w:r w:rsidR="00B32060">
        <w:rPr>
          <w:noProof/>
        </w:rPr>
        <w:t>11</w:t>
      </w:r>
      <w:r w:rsidR="00B32060">
        <w:t>.</w:t>
      </w:r>
      <w:r w:rsidR="00B32060">
        <w:rPr>
          <w:noProof/>
        </w:rPr>
        <w:t>3</w:t>
      </w:r>
      <w:r>
        <w:fldChar w:fldCharType="end"/>
      </w:r>
      <w:r w:rsidRPr="007C441C">
        <w:t>.</w:t>
      </w:r>
    </w:p>
    <w:p w:rsidR="002B37A1" w:rsidRPr="007C441C" w:rsidRDefault="002B37A1" w:rsidP="00B16708">
      <w:pPr>
        <w:pStyle w:val="Caption"/>
      </w:pPr>
      <w:bookmarkStart w:id="128" w:name="_Ref429467689"/>
      <w:r w:rsidRPr="007C441C">
        <w:t xml:space="preserve">Table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Table \* ARABIC \s 1 </w:instrText>
      </w:r>
      <w:r w:rsidR="00B32060">
        <w:fldChar w:fldCharType="separate"/>
      </w:r>
      <w:r w:rsidR="00B32060">
        <w:rPr>
          <w:noProof/>
        </w:rPr>
        <w:t>3</w:t>
      </w:r>
      <w:r w:rsidR="00B32060">
        <w:fldChar w:fldCharType="end"/>
      </w:r>
      <w:bookmarkEnd w:id="128"/>
      <w:r w:rsidRPr="007C441C">
        <w:t xml:space="preserve"> </w:t>
      </w:r>
      <w:r>
        <w:tab/>
        <w:t>Final</w:t>
      </w:r>
      <w:r w:rsidRPr="007C441C">
        <w:t xml:space="preserve"> decision—STPIS reliability targets</w:t>
      </w:r>
      <w:r>
        <w:t xml:space="preserve"> for AusNet Services for </w:t>
      </w:r>
      <w:r w:rsidRPr="007C441C">
        <w:t>the 2016–20 regulatory period</w:t>
      </w:r>
    </w:p>
    <w:tbl>
      <w:tblPr>
        <w:tblStyle w:val="AERtable-numbers"/>
        <w:tblW w:w="5000" w:type="pct"/>
        <w:tblLook w:val="04A0" w:firstRow="1" w:lastRow="0" w:firstColumn="1" w:lastColumn="0" w:noHBand="0" w:noVBand="1"/>
      </w:tblPr>
      <w:tblGrid>
        <w:gridCol w:w="3446"/>
        <w:gridCol w:w="1050"/>
        <w:gridCol w:w="1050"/>
        <w:gridCol w:w="1050"/>
        <w:gridCol w:w="1050"/>
        <w:gridCol w:w="1047"/>
      </w:tblGrid>
      <w:tr w:rsidR="008803FC" w:rsidRPr="008803FC" w:rsidTr="00C20525">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982" w:type="pct"/>
            <w:noWrap/>
            <w:hideMark/>
          </w:tcPr>
          <w:p w:rsidR="008803FC" w:rsidRPr="008803FC" w:rsidRDefault="008803FC" w:rsidP="008803FC">
            <w:r w:rsidRPr="008803FC">
              <w:t>Measure</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2016</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2017</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2018</w:t>
            </w:r>
          </w:p>
        </w:tc>
        <w:tc>
          <w:tcPr>
            <w:tcW w:w="604"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2019</w:t>
            </w:r>
          </w:p>
        </w:tc>
        <w:tc>
          <w:tcPr>
            <w:tcW w:w="602" w:type="pct"/>
            <w:noWrap/>
            <w:hideMark/>
          </w:tcPr>
          <w:p w:rsidR="008803FC" w:rsidRPr="008803FC" w:rsidRDefault="008803FC" w:rsidP="008803FC">
            <w:pPr>
              <w:cnfStyle w:val="100000000000" w:firstRow="1" w:lastRow="0" w:firstColumn="0" w:lastColumn="0" w:oddVBand="0" w:evenVBand="0" w:oddHBand="0" w:evenHBand="0" w:firstRowFirstColumn="0" w:firstRowLastColumn="0" w:lastRowFirstColumn="0" w:lastRowLastColumn="0"/>
            </w:pPr>
            <w:r w:rsidRPr="008803FC">
              <w:t>2020</w:t>
            </w:r>
          </w:p>
        </w:tc>
      </w:tr>
      <w:tr w:rsidR="008803FC"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8803FC" w:rsidRPr="008803FC" w:rsidRDefault="008803FC" w:rsidP="008803FC"/>
        </w:tc>
        <w:tc>
          <w:tcPr>
            <w:tcW w:w="604" w:type="pct"/>
            <w:noWrap/>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4" w:type="pct"/>
            <w:noWrap/>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4" w:type="pct"/>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4" w:type="pct"/>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c>
          <w:tcPr>
            <w:tcW w:w="602" w:type="pct"/>
            <w:hideMark/>
          </w:tcPr>
          <w:p w:rsidR="008803FC" w:rsidRPr="008803FC" w:rsidRDefault="008803FC" w:rsidP="008803FC">
            <w:pPr>
              <w:cnfStyle w:val="000000000000" w:firstRow="0" w:lastRow="0" w:firstColumn="0" w:lastColumn="0" w:oddVBand="0" w:evenVBand="0" w:oddHBand="0" w:evenHBand="0" w:firstRowFirstColumn="0" w:firstRowLastColumn="0" w:lastRowFirstColumn="0" w:lastRowLastColumn="0"/>
            </w:pPr>
            <w:r w:rsidRPr="008803FC">
              <w:t> </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SAIDI - urban</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81.539</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81.218</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80.897</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80.577</w:t>
            </w: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80.256</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SAIDI - short rural</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188.049</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187.593</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187.138</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186.682</w:t>
            </w: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186.226</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SAIDI - long rural</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233.977</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233.356</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232.736</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232.116</w:t>
            </w: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231.496</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SAIFI - urban</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1.099</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1.093</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1.088</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1.082</w:t>
            </w: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1.077</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SAIFI - short rural</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2.291</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2.284</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2.276</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2.269</w:t>
            </w: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2.261</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SAIFI - long rural</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2.829</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2.819</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2.810</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2.801</w:t>
            </w: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2.792</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MAIFI - urban</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2.796</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2.794</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2.792</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2.790</w:t>
            </w: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2.788</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MAIFI - short rural</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5.825</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5.819</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5.814</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5.808</w:t>
            </w: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5.803</w:t>
            </w:r>
          </w:p>
        </w:tc>
      </w:tr>
      <w:tr w:rsidR="00C20525" w:rsidRPr="008803FC" w:rsidTr="00C20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Unplanned MAIFI - long rural</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11.374</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11.368</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11.362</w:t>
            </w:r>
          </w:p>
        </w:tc>
        <w:tc>
          <w:tcPr>
            <w:tcW w:w="604"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11.356</w:t>
            </w:r>
          </w:p>
        </w:tc>
        <w:tc>
          <w:tcPr>
            <w:tcW w:w="602" w:type="pct"/>
            <w:noWrap/>
            <w:vAlign w:val="top"/>
            <w:hideMark/>
          </w:tcPr>
          <w:p w:rsidR="00C20525" w:rsidRPr="00C20525" w:rsidRDefault="00C20525" w:rsidP="00026D10">
            <w:pPr>
              <w:cnfStyle w:val="000000010000" w:firstRow="0" w:lastRow="0" w:firstColumn="0" w:lastColumn="0" w:oddVBand="0" w:evenVBand="0" w:oddHBand="0" w:evenHBand="1" w:firstRowFirstColumn="0" w:firstRowLastColumn="0" w:lastRowFirstColumn="0" w:lastRowLastColumn="0"/>
            </w:pPr>
            <w:r w:rsidRPr="00C20525">
              <w:t>11.350</w:t>
            </w:r>
          </w:p>
        </w:tc>
      </w:tr>
      <w:tr w:rsidR="00C20525" w:rsidRPr="008803FC" w:rsidTr="00C20525">
        <w:trPr>
          <w:trHeight w:val="300"/>
        </w:trPr>
        <w:tc>
          <w:tcPr>
            <w:cnfStyle w:val="001000000000" w:firstRow="0" w:lastRow="0" w:firstColumn="1" w:lastColumn="0" w:oddVBand="0" w:evenVBand="0" w:oddHBand="0" w:evenHBand="0" w:firstRowFirstColumn="0" w:firstRowLastColumn="0" w:lastRowFirstColumn="0" w:lastRowLastColumn="0"/>
            <w:tcW w:w="1982" w:type="pct"/>
            <w:noWrap/>
            <w:hideMark/>
          </w:tcPr>
          <w:p w:rsidR="00C20525" w:rsidRPr="00C20525" w:rsidRDefault="00C20525" w:rsidP="00C20525">
            <w:r w:rsidRPr="00C20525">
              <w:t xml:space="preserve">Telephone answering parameter </w:t>
            </w:r>
          </w:p>
          <w:p w:rsidR="00C20525" w:rsidRPr="00C20525" w:rsidRDefault="00C20525" w:rsidP="00C20525">
            <w:r w:rsidRPr="00C20525">
              <w:t>(measured as a percentage in STPIS)</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80.330</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80.330</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80.330</w:t>
            </w:r>
          </w:p>
        </w:tc>
        <w:tc>
          <w:tcPr>
            <w:tcW w:w="604"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80.330</w:t>
            </w:r>
          </w:p>
        </w:tc>
        <w:tc>
          <w:tcPr>
            <w:tcW w:w="602" w:type="pct"/>
            <w:noWrap/>
            <w:vAlign w:val="top"/>
            <w:hideMark/>
          </w:tcPr>
          <w:p w:rsidR="00C20525" w:rsidRPr="00C20525" w:rsidRDefault="00C20525" w:rsidP="00026D10">
            <w:pPr>
              <w:cnfStyle w:val="000000000000" w:firstRow="0" w:lastRow="0" w:firstColumn="0" w:lastColumn="0" w:oddVBand="0" w:evenVBand="0" w:oddHBand="0" w:evenHBand="0" w:firstRowFirstColumn="0" w:firstRowLastColumn="0" w:lastRowFirstColumn="0" w:lastRowLastColumn="0"/>
            </w:pPr>
            <w:r w:rsidRPr="00C20525">
              <w:t>80.330</w:t>
            </w:r>
          </w:p>
        </w:tc>
      </w:tr>
    </w:tbl>
    <w:p w:rsidR="002B37A1" w:rsidRPr="00BF2FF3" w:rsidRDefault="002B37A1" w:rsidP="00B16708">
      <w:pPr>
        <w:pStyle w:val="AERtablesource"/>
      </w:pPr>
      <w:r w:rsidRPr="00BF2FF3">
        <w:t xml:space="preserve">Source: </w:t>
      </w:r>
      <w:r w:rsidRPr="00BF2FF3">
        <w:tab/>
        <w:t>AER analysis.</w:t>
      </w:r>
    </w:p>
    <w:p w:rsidR="002B37A1" w:rsidRPr="00B16708" w:rsidRDefault="002B37A1" w:rsidP="00B16708">
      <w:pPr>
        <w:pStyle w:val="Heading3"/>
      </w:pPr>
      <w:bookmarkStart w:id="129" w:name="_Toc446583917"/>
      <w:bookmarkStart w:id="130" w:name="_Toc446583918"/>
      <w:bookmarkStart w:id="131" w:name="_Toc446583919"/>
      <w:bookmarkStart w:id="132" w:name="_Toc433551668"/>
      <w:bookmarkStart w:id="133" w:name="_Toc446583920"/>
      <w:bookmarkStart w:id="134" w:name="_Toc451529100"/>
      <w:bookmarkEnd w:id="129"/>
      <w:bookmarkEnd w:id="130"/>
      <w:bookmarkEnd w:id="131"/>
      <w:r w:rsidRPr="007C441C">
        <w:t>Incentive rates</w:t>
      </w:r>
      <w:bookmarkEnd w:id="132"/>
      <w:bookmarkEnd w:id="133"/>
      <w:bookmarkEnd w:id="134"/>
    </w:p>
    <w:p w:rsidR="002B37A1" w:rsidRPr="007C441C" w:rsidRDefault="002B37A1" w:rsidP="00B16708">
      <w:r w:rsidRPr="007C441C">
        <w:t xml:space="preserve">The incentive rates applicable to AusNet Services </w:t>
      </w:r>
      <w:r>
        <w:t xml:space="preserve">have been calculated </w:t>
      </w:r>
      <w:r w:rsidRPr="007C441C">
        <w:t xml:space="preserve">in accordance with clause 3.2.2 and using the formulae provided as appendix B of </w:t>
      </w:r>
      <w:r>
        <w:t>the</w:t>
      </w:r>
      <w:r w:rsidRPr="007C441C">
        <w:t xml:space="preserve"> STPIS. Our </w:t>
      </w:r>
      <w:r>
        <w:t>final</w:t>
      </w:r>
      <w:r w:rsidRPr="007C441C">
        <w:t xml:space="preserve"> decision o</w:t>
      </w:r>
      <w:r>
        <w:t>n</w:t>
      </w:r>
      <w:r w:rsidRPr="007C441C">
        <w:t xml:space="preserve"> AusNet Services' incentive rates are</w:t>
      </w:r>
      <w:r w:rsidR="00FC0F39">
        <w:t xml:space="preserve"> presented in</w:t>
      </w:r>
      <w:r>
        <w:t xml:space="preserve"> </w:t>
      </w:r>
      <w:r>
        <w:fldChar w:fldCharType="begin"/>
      </w:r>
      <w:r>
        <w:instrText xml:space="preserve"> REF _Ref429467667 \h </w:instrText>
      </w:r>
      <w:r>
        <w:fldChar w:fldCharType="separate"/>
      </w:r>
      <w:r w:rsidR="00B32060" w:rsidRPr="007C441C">
        <w:t xml:space="preserve">Table </w:t>
      </w:r>
      <w:r w:rsidR="00B32060">
        <w:rPr>
          <w:noProof/>
        </w:rPr>
        <w:t>11</w:t>
      </w:r>
      <w:r w:rsidR="00B32060">
        <w:t>.</w:t>
      </w:r>
      <w:r w:rsidR="00B32060">
        <w:rPr>
          <w:noProof/>
        </w:rPr>
        <w:t>4</w:t>
      </w:r>
      <w:r>
        <w:fldChar w:fldCharType="end"/>
      </w:r>
      <w:r>
        <w:t>. Our preliminary decision incorrectly utilised AusNet Services</w:t>
      </w:r>
      <w:r w:rsidR="00B32060">
        <w:t>'</w:t>
      </w:r>
      <w:r>
        <w:t xml:space="preserve"> total energy consumption </w:t>
      </w:r>
      <w:r>
        <w:lastRenderedPageBreak/>
        <w:t>instead of average energy consumption to calculate the incentive rates. This final decision has corrected this error by using AusNet Services' average energy consumption to calculate the incentive rates.</w:t>
      </w:r>
    </w:p>
    <w:p w:rsidR="002B37A1" w:rsidRPr="007C441C" w:rsidRDefault="002B37A1" w:rsidP="00B16708">
      <w:pPr>
        <w:pStyle w:val="Caption"/>
      </w:pPr>
      <w:bookmarkStart w:id="135" w:name="_Ref429467667"/>
      <w:r w:rsidRPr="007C441C">
        <w:t xml:space="preserve">Table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Table \* ARABIC \s 1 </w:instrText>
      </w:r>
      <w:r w:rsidR="00B32060">
        <w:fldChar w:fldCharType="separate"/>
      </w:r>
      <w:r w:rsidR="00B32060">
        <w:rPr>
          <w:noProof/>
        </w:rPr>
        <w:t>4</w:t>
      </w:r>
      <w:r w:rsidR="00B32060">
        <w:fldChar w:fldCharType="end"/>
      </w:r>
      <w:bookmarkEnd w:id="135"/>
      <w:r>
        <w:tab/>
        <w:t>Final</w:t>
      </w:r>
      <w:r w:rsidRPr="007C441C">
        <w:t xml:space="preserve"> decision—</w:t>
      </w:r>
      <w:r>
        <w:t xml:space="preserve">STPIS </w:t>
      </w:r>
      <w:r w:rsidRPr="007C441C">
        <w:t xml:space="preserve">incentive rates </w:t>
      </w:r>
      <w:r>
        <w:t xml:space="preserve">for </w:t>
      </w:r>
      <w:r w:rsidRPr="007C441C">
        <w:t>AusNet Services</w:t>
      </w:r>
      <w:r>
        <w:t xml:space="preserve"> for the </w:t>
      </w:r>
      <w:r w:rsidRPr="007C441C">
        <w:t>2016–20</w:t>
      </w:r>
      <w:r>
        <w:t xml:space="preserve"> regulatory period</w:t>
      </w:r>
    </w:p>
    <w:tbl>
      <w:tblPr>
        <w:tblStyle w:val="AERtable-numbers"/>
        <w:tblW w:w="5000" w:type="pct"/>
        <w:tblLook w:val="04A0" w:firstRow="1" w:lastRow="0" w:firstColumn="1" w:lastColumn="0" w:noHBand="0" w:noVBand="1"/>
      </w:tblPr>
      <w:tblGrid>
        <w:gridCol w:w="2216"/>
        <w:gridCol w:w="2163"/>
        <w:gridCol w:w="2158"/>
        <w:gridCol w:w="2156"/>
      </w:tblGrid>
      <w:tr w:rsidR="002B37A1" w:rsidRPr="00A946AA" w:rsidTr="00B167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pct"/>
            <w:hideMark/>
          </w:tcPr>
          <w:p w:rsidR="002B37A1" w:rsidRPr="00B16708" w:rsidRDefault="002B37A1" w:rsidP="00B16708">
            <w:pPr>
              <w:pStyle w:val="Tabletext-centred"/>
            </w:pPr>
            <w:r w:rsidRPr="007C441C">
              <w:t> </w:t>
            </w:r>
          </w:p>
        </w:tc>
        <w:tc>
          <w:tcPr>
            <w:tcW w:w="1244" w:type="pct"/>
            <w:hideMark/>
          </w:tcPr>
          <w:p w:rsidR="002B37A1" w:rsidRPr="00B16708" w:rsidRDefault="002B37A1" w:rsidP="00B16708">
            <w:pPr>
              <w:pStyle w:val="AERtabletextleft"/>
              <w:cnfStyle w:val="100000000000" w:firstRow="1" w:lastRow="0" w:firstColumn="0" w:lastColumn="0" w:oddVBand="0" w:evenVBand="0" w:oddHBand="0" w:evenHBand="0" w:firstRowFirstColumn="0" w:firstRowLastColumn="0" w:lastRowFirstColumn="0" w:lastRowLastColumn="0"/>
            </w:pPr>
            <w:r w:rsidRPr="007C441C">
              <w:t>Urban</w:t>
            </w:r>
          </w:p>
        </w:tc>
        <w:tc>
          <w:tcPr>
            <w:tcW w:w="1241" w:type="pct"/>
            <w:hideMark/>
          </w:tcPr>
          <w:p w:rsidR="002B37A1" w:rsidRPr="00B16708" w:rsidRDefault="002B37A1" w:rsidP="00B16708">
            <w:pPr>
              <w:pStyle w:val="AERtabletextleft"/>
              <w:cnfStyle w:val="100000000000" w:firstRow="1" w:lastRow="0" w:firstColumn="0" w:lastColumn="0" w:oddVBand="0" w:evenVBand="0" w:oddHBand="0" w:evenHBand="0" w:firstRowFirstColumn="0" w:firstRowLastColumn="0" w:lastRowFirstColumn="0" w:lastRowLastColumn="0"/>
            </w:pPr>
            <w:r>
              <w:t>S</w:t>
            </w:r>
            <w:r w:rsidRPr="00B16708">
              <w:t>hort rural</w:t>
            </w:r>
          </w:p>
        </w:tc>
        <w:tc>
          <w:tcPr>
            <w:tcW w:w="1240" w:type="pct"/>
          </w:tcPr>
          <w:p w:rsidR="002B37A1" w:rsidRPr="00B16708" w:rsidRDefault="002B37A1" w:rsidP="00B16708">
            <w:pPr>
              <w:pStyle w:val="AERtabletextleft"/>
              <w:cnfStyle w:val="100000000000" w:firstRow="1" w:lastRow="0" w:firstColumn="0" w:lastColumn="0" w:oddVBand="0" w:evenVBand="0" w:oddHBand="0" w:evenHBand="0" w:firstRowFirstColumn="0" w:firstRowLastColumn="0" w:lastRowFirstColumn="0" w:lastRowLastColumn="0"/>
            </w:pPr>
            <w:r>
              <w:t>L</w:t>
            </w:r>
            <w:r w:rsidRPr="00B16708">
              <w:t>ong rural</w:t>
            </w:r>
          </w:p>
        </w:tc>
      </w:tr>
      <w:tr w:rsidR="00C20525" w:rsidRPr="00A946AA" w:rsidTr="00351C4F">
        <w:trPr>
          <w:trHeight w:val="465"/>
        </w:trPr>
        <w:tc>
          <w:tcPr>
            <w:cnfStyle w:val="001000000000" w:firstRow="0" w:lastRow="0" w:firstColumn="1" w:lastColumn="0" w:oddVBand="0" w:evenVBand="0" w:oddHBand="0" w:evenHBand="0" w:firstRowFirstColumn="0" w:firstRowLastColumn="0" w:lastRowFirstColumn="0" w:lastRowLastColumn="0"/>
            <w:tcW w:w="1275" w:type="pct"/>
            <w:hideMark/>
          </w:tcPr>
          <w:p w:rsidR="00C20525" w:rsidRPr="00C20525" w:rsidRDefault="00C20525" w:rsidP="00C20525">
            <w:pPr>
              <w:pStyle w:val="AERtabletextleft"/>
            </w:pPr>
            <w:r w:rsidRPr="00C20525">
              <w:t>SAIDI</w:t>
            </w:r>
          </w:p>
        </w:tc>
        <w:tc>
          <w:tcPr>
            <w:tcW w:w="1244" w:type="pct"/>
            <w:vAlign w:val="top"/>
          </w:tcPr>
          <w:p w:rsidR="00C20525" w:rsidRPr="00C20525" w:rsidRDefault="00C20525" w:rsidP="0065355C">
            <w:pPr>
              <w:cnfStyle w:val="000000000000" w:firstRow="0" w:lastRow="0" w:firstColumn="0" w:lastColumn="0" w:oddVBand="0" w:evenVBand="0" w:oddHBand="0" w:evenHBand="0" w:firstRowFirstColumn="0" w:firstRowLastColumn="0" w:lastRowFirstColumn="0" w:lastRowLastColumn="0"/>
            </w:pPr>
            <w:r w:rsidRPr="00C20525">
              <w:t>0.0207</w:t>
            </w:r>
          </w:p>
        </w:tc>
        <w:tc>
          <w:tcPr>
            <w:tcW w:w="1241" w:type="pct"/>
            <w:vAlign w:val="top"/>
          </w:tcPr>
          <w:p w:rsidR="00C20525" w:rsidRPr="00C20525" w:rsidRDefault="00C20525" w:rsidP="0065355C">
            <w:pPr>
              <w:cnfStyle w:val="000000000000" w:firstRow="0" w:lastRow="0" w:firstColumn="0" w:lastColumn="0" w:oddVBand="0" w:evenVBand="0" w:oddHBand="0" w:evenHBand="0" w:firstRowFirstColumn="0" w:firstRowLastColumn="0" w:lastRowFirstColumn="0" w:lastRowLastColumn="0"/>
            </w:pPr>
            <w:r w:rsidRPr="00C20525">
              <w:t>0.0161</w:t>
            </w:r>
          </w:p>
        </w:tc>
        <w:tc>
          <w:tcPr>
            <w:tcW w:w="1240" w:type="pct"/>
            <w:vAlign w:val="top"/>
          </w:tcPr>
          <w:p w:rsidR="00C20525" w:rsidRPr="00C20525" w:rsidRDefault="00C20525" w:rsidP="0065355C">
            <w:pPr>
              <w:cnfStyle w:val="000000000000" w:firstRow="0" w:lastRow="0" w:firstColumn="0" w:lastColumn="0" w:oddVBand="0" w:evenVBand="0" w:oddHBand="0" w:evenHBand="0" w:firstRowFirstColumn="0" w:firstRowLastColumn="0" w:lastRowFirstColumn="0" w:lastRowLastColumn="0"/>
            </w:pPr>
            <w:r w:rsidRPr="00C20525">
              <w:t>0.0074</w:t>
            </w:r>
          </w:p>
        </w:tc>
      </w:tr>
      <w:tr w:rsidR="00C20525" w:rsidRPr="00A946AA" w:rsidTr="00351C4F">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5" w:type="pct"/>
          </w:tcPr>
          <w:p w:rsidR="00C20525" w:rsidRPr="00C20525" w:rsidRDefault="00C20525" w:rsidP="00C20525">
            <w:pPr>
              <w:pStyle w:val="AERtabletextleft"/>
            </w:pPr>
            <w:r w:rsidRPr="00C20525">
              <w:t>SAIFI</w:t>
            </w:r>
          </w:p>
        </w:tc>
        <w:tc>
          <w:tcPr>
            <w:tcW w:w="1244" w:type="pct"/>
            <w:vAlign w:val="top"/>
          </w:tcPr>
          <w:p w:rsidR="00C20525" w:rsidRPr="00C20525" w:rsidRDefault="00C20525" w:rsidP="0065355C">
            <w:pPr>
              <w:cnfStyle w:val="000000010000" w:firstRow="0" w:lastRow="0" w:firstColumn="0" w:lastColumn="0" w:oddVBand="0" w:evenVBand="0" w:oddHBand="0" w:evenHBand="1" w:firstRowFirstColumn="0" w:firstRowLastColumn="0" w:lastRowFirstColumn="0" w:lastRowLastColumn="0"/>
            </w:pPr>
            <w:r w:rsidRPr="00C20525">
              <w:t>1.5872</w:t>
            </w:r>
          </w:p>
        </w:tc>
        <w:tc>
          <w:tcPr>
            <w:tcW w:w="1241" w:type="pct"/>
            <w:vAlign w:val="top"/>
          </w:tcPr>
          <w:p w:rsidR="00C20525" w:rsidRPr="00C20525" w:rsidRDefault="00C20525" w:rsidP="0065355C">
            <w:pPr>
              <w:cnfStyle w:val="000000010000" w:firstRow="0" w:lastRow="0" w:firstColumn="0" w:lastColumn="0" w:oddVBand="0" w:evenVBand="0" w:oddHBand="0" w:evenHBand="1" w:firstRowFirstColumn="0" w:firstRowLastColumn="0" w:lastRowFirstColumn="0" w:lastRowLastColumn="0"/>
            </w:pPr>
            <w:r w:rsidRPr="00C20525">
              <w:t>1.4396</w:t>
            </w:r>
          </w:p>
        </w:tc>
        <w:tc>
          <w:tcPr>
            <w:tcW w:w="1240" w:type="pct"/>
            <w:vAlign w:val="top"/>
          </w:tcPr>
          <w:p w:rsidR="00C20525" w:rsidRPr="00C20525" w:rsidRDefault="00C20525" w:rsidP="0065355C">
            <w:pPr>
              <w:cnfStyle w:val="000000010000" w:firstRow="0" w:lastRow="0" w:firstColumn="0" w:lastColumn="0" w:oddVBand="0" w:evenVBand="0" w:oddHBand="0" w:evenHBand="1" w:firstRowFirstColumn="0" w:firstRowLastColumn="0" w:lastRowFirstColumn="0" w:lastRowLastColumn="0"/>
            </w:pPr>
            <w:r w:rsidRPr="00C20525">
              <w:t>0.6618</w:t>
            </w:r>
          </w:p>
        </w:tc>
      </w:tr>
      <w:tr w:rsidR="00C20525" w:rsidRPr="00A946AA" w:rsidTr="00351C4F">
        <w:trPr>
          <w:trHeight w:val="465"/>
        </w:trPr>
        <w:tc>
          <w:tcPr>
            <w:cnfStyle w:val="001000000000" w:firstRow="0" w:lastRow="0" w:firstColumn="1" w:lastColumn="0" w:oddVBand="0" w:evenVBand="0" w:oddHBand="0" w:evenHBand="0" w:firstRowFirstColumn="0" w:firstRowLastColumn="0" w:lastRowFirstColumn="0" w:lastRowLastColumn="0"/>
            <w:tcW w:w="1275" w:type="pct"/>
          </w:tcPr>
          <w:p w:rsidR="00C20525" w:rsidRPr="00C20525" w:rsidRDefault="00C20525" w:rsidP="00C20525">
            <w:pPr>
              <w:pStyle w:val="AERtabletextleft"/>
            </w:pPr>
            <w:r w:rsidRPr="00C20525">
              <w:t>MAIFI</w:t>
            </w:r>
          </w:p>
        </w:tc>
        <w:tc>
          <w:tcPr>
            <w:tcW w:w="1244" w:type="pct"/>
            <w:vAlign w:val="top"/>
          </w:tcPr>
          <w:p w:rsidR="00C20525" w:rsidRPr="00C20525" w:rsidRDefault="00C20525" w:rsidP="0065355C">
            <w:pPr>
              <w:cnfStyle w:val="000000000000" w:firstRow="0" w:lastRow="0" w:firstColumn="0" w:lastColumn="0" w:oddVBand="0" w:evenVBand="0" w:oddHBand="0" w:evenHBand="0" w:firstRowFirstColumn="0" w:firstRowLastColumn="0" w:lastRowFirstColumn="0" w:lastRowLastColumn="0"/>
            </w:pPr>
            <w:r w:rsidRPr="00C20525">
              <w:t>0.1270</w:t>
            </w:r>
          </w:p>
        </w:tc>
        <w:tc>
          <w:tcPr>
            <w:tcW w:w="1241" w:type="pct"/>
            <w:vAlign w:val="top"/>
          </w:tcPr>
          <w:p w:rsidR="00C20525" w:rsidRPr="00C20525" w:rsidRDefault="00C20525" w:rsidP="0065355C">
            <w:pPr>
              <w:cnfStyle w:val="000000000000" w:firstRow="0" w:lastRow="0" w:firstColumn="0" w:lastColumn="0" w:oddVBand="0" w:evenVBand="0" w:oddHBand="0" w:evenHBand="0" w:firstRowFirstColumn="0" w:firstRowLastColumn="0" w:lastRowFirstColumn="0" w:lastRowLastColumn="0"/>
            </w:pPr>
            <w:r w:rsidRPr="00C20525">
              <w:t>0.1152</w:t>
            </w:r>
          </w:p>
        </w:tc>
        <w:tc>
          <w:tcPr>
            <w:tcW w:w="1240" w:type="pct"/>
            <w:vAlign w:val="top"/>
          </w:tcPr>
          <w:p w:rsidR="00C20525" w:rsidRPr="00C20525" w:rsidRDefault="00C20525" w:rsidP="0065355C">
            <w:pPr>
              <w:cnfStyle w:val="000000000000" w:firstRow="0" w:lastRow="0" w:firstColumn="0" w:lastColumn="0" w:oddVBand="0" w:evenVBand="0" w:oddHBand="0" w:evenHBand="0" w:firstRowFirstColumn="0" w:firstRowLastColumn="0" w:lastRowFirstColumn="0" w:lastRowLastColumn="0"/>
            </w:pPr>
            <w:r w:rsidRPr="00C20525">
              <w:t>0.0529</w:t>
            </w:r>
          </w:p>
        </w:tc>
      </w:tr>
    </w:tbl>
    <w:p w:rsidR="002B37A1" w:rsidRPr="00602ACF" w:rsidRDefault="002B37A1" w:rsidP="00602ACF">
      <w:pPr>
        <w:pStyle w:val="AERtablesource"/>
      </w:pPr>
      <w:r w:rsidRPr="00602ACF">
        <w:t>Source:</w:t>
      </w:r>
      <w:r w:rsidRPr="00602ACF">
        <w:tab/>
      </w:r>
      <w:r w:rsidRPr="00602ACF">
        <w:rPr>
          <w:rStyle w:val="FootnoteReference"/>
          <w:vertAlign w:val="baseline"/>
        </w:rPr>
        <w:t>AER Analysis</w:t>
      </w:r>
    </w:p>
    <w:p w:rsidR="002B37A1" w:rsidRDefault="002B37A1" w:rsidP="00602ACF">
      <w:r w:rsidRPr="007C441C">
        <w:t>The</w:t>
      </w:r>
      <w:r>
        <w:t xml:space="preserve"> </w:t>
      </w:r>
      <w:r w:rsidRPr="007C441C">
        <w:t>incentive rate for the customer service component will be -</w:t>
      </w:r>
      <w:r>
        <w:t xml:space="preserve">0.040 </w:t>
      </w:r>
      <w:r w:rsidRPr="007C441C">
        <w:t>per cent per unit of the telephone answering parameter.</w:t>
      </w:r>
      <w:r w:rsidRPr="007C441C">
        <w:rPr>
          <w:rStyle w:val="FootnoteReference"/>
        </w:rPr>
        <w:footnoteReference w:id="18"/>
      </w:r>
      <w:r w:rsidRPr="007C441C">
        <w:t xml:space="preserve"> </w:t>
      </w:r>
    </w:p>
    <w:p w:rsidR="002B37A1" w:rsidRDefault="002B37A1" w:rsidP="00B16708">
      <w:pPr>
        <w:pStyle w:val="Heading2"/>
      </w:pPr>
      <w:bookmarkStart w:id="136" w:name="_Ref429475275"/>
      <w:bookmarkStart w:id="137" w:name="_Toc433551669"/>
      <w:bookmarkStart w:id="138" w:name="_Toc428779196"/>
      <w:bookmarkStart w:id="139" w:name="_Ref429385658"/>
      <w:bookmarkStart w:id="140" w:name="_Ref429385935"/>
      <w:bookmarkStart w:id="141" w:name="_Ref429386253"/>
      <w:bookmarkStart w:id="142" w:name="_Toc451529101"/>
      <w:r>
        <w:t>Reasons for not departing from our preliminary decision</w:t>
      </w:r>
      <w:bookmarkEnd w:id="136"/>
      <w:bookmarkEnd w:id="137"/>
      <w:bookmarkEnd w:id="142"/>
    </w:p>
    <w:p w:rsidR="002B37A1" w:rsidRPr="00B16708" w:rsidRDefault="002B37A1" w:rsidP="000121A2">
      <w:pPr>
        <w:pStyle w:val="Heading3"/>
        <w:ind w:left="578" w:hanging="578"/>
      </w:pPr>
      <w:bookmarkStart w:id="143" w:name="_Toc433551670"/>
      <w:bookmarkStart w:id="144" w:name="_Toc446583922"/>
      <w:bookmarkStart w:id="145" w:name="_Toc451529102"/>
      <w:r>
        <w:t>Value of customer reliability</w:t>
      </w:r>
      <w:bookmarkEnd w:id="138"/>
      <w:bookmarkEnd w:id="139"/>
      <w:bookmarkEnd w:id="140"/>
      <w:bookmarkEnd w:id="141"/>
      <w:bookmarkEnd w:id="143"/>
      <w:bookmarkEnd w:id="144"/>
      <w:bookmarkEnd w:id="145"/>
    </w:p>
    <w:p w:rsidR="002B37A1" w:rsidRDefault="002B37A1" w:rsidP="00B16708">
      <w:r>
        <w:t>In both its regulatory and revised regulatory proposals, AusNet Services' stated that its performance targets should be lowered as a result of the change in VCR value.</w:t>
      </w:r>
      <w:r>
        <w:rPr>
          <w:rStyle w:val="FootnoteReference"/>
        </w:rPr>
        <w:footnoteReference w:id="19"/>
      </w:r>
      <w:r>
        <w:t xml:space="preserve"> </w:t>
      </w:r>
    </w:p>
    <w:p w:rsidR="002B37A1" w:rsidRDefault="002B37A1" w:rsidP="00B16708">
      <w:r>
        <w:t xml:space="preserve">This section will first explain the value of customer reliability in order to conceptualise the issues raised by AusNet Services </w:t>
      </w:r>
      <w:r w:rsidR="007A6A6C">
        <w:t>and then</w:t>
      </w:r>
      <w:r>
        <w:t xml:space="preserve"> our consideration of its proposed change. </w:t>
      </w:r>
      <w:r w:rsidRPr="00086358">
        <w:t xml:space="preserve">The VCR represents, in dollar terms, the willingness of customers to pay for the reliable supply of electricity. The values </w:t>
      </w:r>
      <w:r>
        <w:t xml:space="preserve">are typically derived from customer surveys. </w:t>
      </w:r>
    </w:p>
    <w:p w:rsidR="002B37A1" w:rsidRDefault="002B37A1" w:rsidP="00B16708">
      <w:r>
        <w:t xml:space="preserve">The outcome of the survey </w:t>
      </w:r>
      <w:r w:rsidR="007C3375">
        <w:t>(</w:t>
      </w:r>
      <w:r>
        <w:t>VCR</w:t>
      </w:r>
      <w:r w:rsidR="007C3375">
        <w:t>)</w:t>
      </w:r>
      <w:r>
        <w:t xml:space="preserve"> </w:t>
      </w:r>
      <w:r w:rsidRPr="00086358">
        <w:t xml:space="preserve">can </w:t>
      </w:r>
      <w:r>
        <w:t xml:space="preserve">then </w:t>
      </w:r>
      <w:r w:rsidRPr="00086358">
        <w:t xml:space="preserve">be applied for use in </w:t>
      </w:r>
      <w:r>
        <w:t>incentive</w:t>
      </w:r>
      <w:r w:rsidRPr="00086358">
        <w:t xml:space="preserve"> regulation, planning and operational purposes in the </w:t>
      </w:r>
      <w:r>
        <w:t xml:space="preserve">National Electricity </w:t>
      </w:r>
      <w:r w:rsidRPr="00086358">
        <w:t>M</w:t>
      </w:r>
      <w:r>
        <w:t>arket</w:t>
      </w:r>
      <w:r w:rsidRPr="00086358">
        <w:t>. In network planning, the VCR</w:t>
      </w:r>
      <w:r>
        <w:t xml:space="preserve"> may be</w:t>
      </w:r>
      <w:r w:rsidRPr="00086358">
        <w:t xml:space="preserve"> used by </w:t>
      </w:r>
      <w:r>
        <w:t xml:space="preserve">electricity distributors </w:t>
      </w:r>
      <w:r w:rsidRPr="00086358">
        <w:t>to assess the economic merits of carrying out additional investment</w:t>
      </w:r>
      <w:r>
        <w:t xml:space="preserve"> to manage the level of energy at risk</w:t>
      </w:r>
      <w:r w:rsidRPr="00086358">
        <w:t xml:space="preserve"> in the electricity network. It is therefore important the VCR figures accurately reflect the value of reliability across a range of customers.</w:t>
      </w:r>
      <w:r>
        <w:t xml:space="preserve"> The VCR is also used to set the incentive rates under the STPIS. A lower VCR reduces the reward and penalty under the scheme, whereas a higher VCR increases them. </w:t>
      </w:r>
    </w:p>
    <w:p w:rsidR="002B37A1" w:rsidRDefault="002B37A1" w:rsidP="00B16708">
      <w:r w:rsidRPr="008E13D6">
        <w:t xml:space="preserve">In 2014, the Australian Energy Market Operator (AEMO) carried out a review of the VCR. The intention of this review was to improve the understanding of the level of </w:t>
      </w:r>
      <w:r w:rsidRPr="008E13D6">
        <w:lastRenderedPageBreak/>
        <w:t xml:space="preserve">reliability that customers expect by producing a range of VCR values for residential and business customers across the </w:t>
      </w:r>
      <w:r>
        <w:t>n</w:t>
      </w:r>
      <w:r w:rsidRPr="008E13D6">
        <w:t>ational</w:t>
      </w:r>
      <w:r>
        <w:t xml:space="preserve"> e</w:t>
      </w:r>
      <w:r w:rsidRPr="008E13D6">
        <w:t xml:space="preserve">lectricity </w:t>
      </w:r>
      <w:r>
        <w:t>m</w:t>
      </w:r>
      <w:r w:rsidRPr="008E13D6">
        <w:t>arket.</w:t>
      </w:r>
      <w:r>
        <w:rPr>
          <w:rStyle w:val="FootnoteReference"/>
        </w:rPr>
        <w:footnoteReference w:id="20"/>
      </w:r>
    </w:p>
    <w:p w:rsidR="002B37A1" w:rsidRDefault="002B37A1" w:rsidP="00B16708">
      <w:r>
        <w:t>As a result of the AEMO review, the Victorian composite VCR was significantly reduced to $39.50 per kWh ($ 2014), a reduction of approximately 40 per cent, from the STPIS scheme specification value of $63.09 per kWh ($ 2014). The actual VCR for setting the STPIS incentive rates for the 2011–15 period is $54.92 per kWh ($ 2014).</w:t>
      </w:r>
    </w:p>
    <w:p w:rsidR="002B37A1" w:rsidRDefault="002B37A1" w:rsidP="00B16708">
      <w:r>
        <w:t>AusNet Services</w:t>
      </w:r>
      <w:r w:rsidR="00B32060">
        <w:t>'</w:t>
      </w:r>
      <w:r w:rsidRPr="004319DE">
        <w:t xml:space="preserve"> regulatory </w:t>
      </w:r>
      <w:r>
        <w:t xml:space="preserve">and revised regulatory </w:t>
      </w:r>
      <w:r w:rsidRPr="004319DE">
        <w:t>proposal</w:t>
      </w:r>
      <w:r>
        <w:t>s,</w:t>
      </w:r>
      <w:r w:rsidRPr="004319DE">
        <w:t xml:space="preserve"> </w:t>
      </w:r>
      <w:r>
        <w:t>applied</w:t>
      </w:r>
      <w:r w:rsidRPr="004319DE">
        <w:t xml:space="preserve"> the latest VCR to assess capex but outlined </w:t>
      </w:r>
      <w:r>
        <w:t xml:space="preserve">we should </w:t>
      </w:r>
      <w:r w:rsidRPr="004319DE">
        <w:t xml:space="preserve">relax </w:t>
      </w:r>
      <w:r>
        <w:t>its</w:t>
      </w:r>
      <w:r w:rsidRPr="004319DE">
        <w:t xml:space="preserve"> performance targets </w:t>
      </w:r>
      <w:r>
        <w:t>to account for a lower</w:t>
      </w:r>
      <w:r w:rsidRPr="004319DE">
        <w:t xml:space="preserve"> VCR.</w:t>
      </w:r>
      <w:r>
        <w:rPr>
          <w:rStyle w:val="FootnoteReference"/>
        </w:rPr>
        <w:footnoteReference w:id="21"/>
      </w:r>
      <w:r>
        <w:t xml:space="preserve"> AusNet Services stated, amongst other things, that if a lower VCR is adopted by us, the reliability of its networks will decline.</w:t>
      </w:r>
    </w:p>
    <w:p w:rsidR="002B37A1" w:rsidRDefault="002B37A1" w:rsidP="00B16708">
      <w:r>
        <w:t xml:space="preserve">Put simply, AusNet Services submitted that a lower VCR will result in less monetary value being attributed to the energy associated with supply interruptions that cannot be serviced should parts of its networks fail (energy at risk). Hence, augmentation projects will be implemented later than otherwise. It also stated that the lower VCR will also cause certain </w:t>
      </w:r>
      <w:r w:rsidRPr="000035AD">
        <w:t>station rebuilds</w:t>
      </w:r>
      <w:r>
        <w:t xml:space="preserve"> (replacement capex)</w:t>
      </w:r>
      <w:r w:rsidRPr="000035AD">
        <w:t xml:space="preserve"> </w:t>
      </w:r>
      <w:r>
        <w:t xml:space="preserve">to </w:t>
      </w:r>
      <w:r w:rsidRPr="000035AD">
        <w:t xml:space="preserve">become economically </w:t>
      </w:r>
      <w:r>
        <w:t>un</w:t>
      </w:r>
      <w:r w:rsidRPr="000035AD">
        <w:t>justified.</w:t>
      </w:r>
      <w:r>
        <w:rPr>
          <w:rStyle w:val="FootnoteReference"/>
        </w:rPr>
        <w:footnoteReference w:id="22"/>
      </w:r>
      <w:r>
        <w:t xml:space="preserve"> </w:t>
      </w:r>
    </w:p>
    <w:p w:rsidR="002B37A1" w:rsidRPr="00B16708" w:rsidRDefault="002B37A1" w:rsidP="000121A2">
      <w:pPr>
        <w:pStyle w:val="Heading3"/>
        <w:ind w:left="578" w:hanging="578"/>
      </w:pPr>
      <w:bookmarkStart w:id="146" w:name="_Toc433551671"/>
      <w:bookmarkStart w:id="147" w:name="_Toc446583923"/>
      <w:bookmarkStart w:id="148" w:name="_Toc428779197"/>
      <w:bookmarkStart w:id="149" w:name="_Toc451529103"/>
      <w:r>
        <w:t>Relationship between VCR, reliability outcomes and performance targets</w:t>
      </w:r>
      <w:bookmarkEnd w:id="146"/>
      <w:bookmarkEnd w:id="147"/>
      <w:bookmarkEnd w:id="149"/>
      <w:r w:rsidRPr="00B16708">
        <w:t xml:space="preserve"> </w:t>
      </w:r>
      <w:bookmarkEnd w:id="148"/>
    </w:p>
    <w:p w:rsidR="002B37A1" w:rsidRDefault="002B37A1" w:rsidP="00B16708">
      <w:r>
        <w:t xml:space="preserve">The STPIS states that </w:t>
      </w:r>
      <w:r w:rsidRPr="00B91D03">
        <w:t>performance targets must be based on average performance over the past</w:t>
      </w:r>
      <w:r>
        <w:t xml:space="preserve"> </w:t>
      </w:r>
      <w:r w:rsidRPr="00B91D03">
        <w:t>five regulatory years.</w:t>
      </w:r>
      <w:r>
        <w:t xml:space="preserve"> However, distributors may seek a variation in targets as long as they are in accordance with the scheme.</w:t>
      </w:r>
      <w:r>
        <w:rPr>
          <w:rStyle w:val="FootnoteReference"/>
        </w:rPr>
        <w:footnoteReference w:id="23"/>
      </w:r>
    </w:p>
    <w:p w:rsidR="002B37A1" w:rsidRDefault="002B37A1" w:rsidP="00B16708">
      <w:r>
        <w:t xml:space="preserve">AusNet Services' revised regulatory proposal submitted reliability </w:t>
      </w:r>
      <w:r w:rsidR="00F4313A">
        <w:t xml:space="preserve">performance </w:t>
      </w:r>
      <w:r>
        <w:t>will be affected due to the capex deferrals</w:t>
      </w:r>
      <w:r w:rsidR="00F4313A">
        <w:t xml:space="preserve"> from a lower VCR</w:t>
      </w:r>
      <w:r>
        <w:t>.</w:t>
      </w:r>
      <w:r w:rsidR="00F4313A">
        <w:t xml:space="preserve"> </w:t>
      </w:r>
      <w:r>
        <w:t>It also stated that, while the incentive rates reflect the revised VCR, the STPIS targets do not. As such, the incentive scheme itself is inherently inconsistent. Further, we should allow higher capex if customers want the current level of reliability to be maintained.</w:t>
      </w:r>
      <w:r>
        <w:rPr>
          <w:rStyle w:val="FootnoteReference"/>
        </w:rPr>
        <w:footnoteReference w:id="24"/>
      </w:r>
      <w:r>
        <w:t xml:space="preserve"> </w:t>
      </w:r>
    </w:p>
    <w:p w:rsidR="003F4FF2" w:rsidRDefault="003F4FF2" w:rsidP="00821B06">
      <w:r>
        <w:t xml:space="preserve">We do not agree </w:t>
      </w:r>
      <w:r w:rsidR="00E27C5F">
        <w:t xml:space="preserve">with </w:t>
      </w:r>
      <w:r>
        <w:t xml:space="preserve">AusNet Services' </w:t>
      </w:r>
      <w:r w:rsidR="003632FA">
        <w:t>submission</w:t>
      </w:r>
      <w:r>
        <w:t xml:space="preserve">, because the VCR is just one of the many parameters (for example, asset condition, asset age, level of energy at risks etc) used in </w:t>
      </w:r>
      <w:r w:rsidR="00DB0EFC">
        <w:t xml:space="preserve">planning </w:t>
      </w:r>
      <w:r>
        <w:t>asset replacement or augmentation.</w:t>
      </w:r>
      <w:r w:rsidR="0074446D">
        <w:t xml:space="preserve"> AusNet Services</w:t>
      </w:r>
      <w:r w:rsidR="00967B79">
        <w:t>'</w:t>
      </w:r>
      <w:r w:rsidR="0074446D">
        <w:t xml:space="preserve"> regulatory proposal outlined that it will defer </w:t>
      </w:r>
      <w:r w:rsidR="00CF6826">
        <w:t>over $140 million ($2014) of capital expenditure as a result of the applying the new VCR in its planning and risk assessments but</w:t>
      </w:r>
      <w:r w:rsidR="0074446D">
        <w:t xml:space="preserve"> sought funding </w:t>
      </w:r>
      <w:r w:rsidR="00CF6826">
        <w:t>for them anyway</w:t>
      </w:r>
      <w:r w:rsidR="0074446D">
        <w:t>.</w:t>
      </w:r>
      <w:r w:rsidR="00CF6826">
        <w:rPr>
          <w:rStyle w:val="FootnoteReference"/>
        </w:rPr>
        <w:footnoteReference w:id="25"/>
      </w:r>
      <w:r w:rsidR="0074446D">
        <w:t xml:space="preserve"> O</w:t>
      </w:r>
      <w:r w:rsidR="0074446D" w:rsidRPr="0074446D">
        <w:t xml:space="preserve">ur estimates of </w:t>
      </w:r>
      <w:r w:rsidR="00CF6826">
        <w:t xml:space="preserve">the </w:t>
      </w:r>
      <w:r w:rsidR="0074446D" w:rsidRPr="0074446D">
        <w:t xml:space="preserve">efficient </w:t>
      </w:r>
      <w:r w:rsidR="00CF6826">
        <w:t xml:space="preserve">level </w:t>
      </w:r>
      <w:r w:rsidR="0074446D" w:rsidRPr="0074446D">
        <w:t xml:space="preserve">capex </w:t>
      </w:r>
      <w:r w:rsidR="00CF6826">
        <w:t xml:space="preserve">in </w:t>
      </w:r>
      <w:r w:rsidR="0074446D" w:rsidRPr="0074446D">
        <w:t>th</w:t>
      </w:r>
      <w:r w:rsidR="00CF6826">
        <w:t>is</w:t>
      </w:r>
      <w:r w:rsidR="0074446D" w:rsidRPr="0074446D">
        <w:t xml:space="preserve"> final </w:t>
      </w:r>
      <w:r w:rsidR="0074446D" w:rsidRPr="0074446D">
        <w:lastRenderedPageBreak/>
        <w:t>decision</w:t>
      </w:r>
      <w:r w:rsidR="00CF6826">
        <w:t xml:space="preserve"> </w:t>
      </w:r>
      <w:r w:rsidR="00967B79">
        <w:t>provided an allowance to maintain reliability. It is up to an efficient business in AusNet Services' circumstances to allocate capex to mitigate the reliability</w:t>
      </w:r>
      <w:r w:rsidR="003632FA">
        <w:t xml:space="preserve"> of supply</w:t>
      </w:r>
      <w:r w:rsidR="00967B79">
        <w:t xml:space="preserve"> risk</w:t>
      </w:r>
      <w:r w:rsidR="00CF6826">
        <w:t xml:space="preserve">. </w:t>
      </w:r>
      <w:r w:rsidR="00377B20">
        <w:t xml:space="preserve"> </w:t>
      </w:r>
      <w:r w:rsidR="0074446D">
        <w:t xml:space="preserve"> </w:t>
      </w:r>
    </w:p>
    <w:p w:rsidR="002B37A1" w:rsidRDefault="00821B06" w:rsidP="00B16708">
      <w:r>
        <w:t>Further, w</w:t>
      </w:r>
      <w:r w:rsidR="002B37A1">
        <w:t>e consider that AusNet Services has not demonstrated that departing from our preliminary decision on the application of the STPIS is reasonable or necessary because:</w:t>
      </w:r>
    </w:p>
    <w:p w:rsidR="002B37A1" w:rsidRPr="00B16708" w:rsidRDefault="002B37A1" w:rsidP="00B16708">
      <w:pPr>
        <w:pStyle w:val="ListNumber"/>
      </w:pPr>
      <w:r w:rsidRPr="00057C43">
        <w:t>The</w:t>
      </w:r>
      <w:r w:rsidRPr="00B16708">
        <w:t xml:space="preserve"> VCR has varied between years but there has been no net movement in its value between previous (2006–10 and 2011–2015) regulatory periods, and forthcoming (2016–20) regulatory control periods, for the purpose of setting STPIS targets. That is, the VCR value in 2010 is almost identical to that in 2016.   </w:t>
      </w:r>
    </w:p>
    <w:p w:rsidR="002B37A1" w:rsidRDefault="002B37A1" w:rsidP="00B16708">
      <w:pPr>
        <w:pStyle w:val="ListNumber"/>
      </w:pPr>
      <w:r>
        <w:t>T</w:t>
      </w:r>
      <w:r w:rsidRPr="00C059C7">
        <w:t xml:space="preserve">here </w:t>
      </w:r>
      <w:r>
        <w:t xml:space="preserve">appears to be limited or clear </w:t>
      </w:r>
      <w:r w:rsidRPr="00C059C7">
        <w:t xml:space="preserve">co-relation between </w:t>
      </w:r>
      <w:r>
        <w:t xml:space="preserve">the </w:t>
      </w:r>
      <w:r w:rsidRPr="00C059C7">
        <w:t xml:space="preserve">VCR and </w:t>
      </w:r>
      <w:r>
        <w:t xml:space="preserve">AusNet Services </w:t>
      </w:r>
      <w:r w:rsidRPr="00C059C7">
        <w:t>reliability outcomes</w:t>
      </w:r>
      <w:r>
        <w:t>.</w:t>
      </w:r>
    </w:p>
    <w:p w:rsidR="002B37A1" w:rsidRDefault="002B37A1" w:rsidP="00B16708">
      <w:pPr>
        <w:pStyle w:val="ListNumber"/>
      </w:pPr>
      <w:r>
        <w:t xml:space="preserve">AusNet Services did not seek an upward adjustment to tighten the STPIS targets for the current period (2011–15) when the VCR rose from the previous (2006–10) period. </w:t>
      </w:r>
    </w:p>
    <w:p w:rsidR="002B37A1" w:rsidRDefault="002B37A1" w:rsidP="00B16708">
      <w:pPr>
        <w:rPr>
          <w:rStyle w:val="AERbody"/>
        </w:rPr>
      </w:pPr>
      <w:r w:rsidRPr="001C3617">
        <w:rPr>
          <w:rStyle w:val="AERbody"/>
        </w:rPr>
        <w:t xml:space="preserve">These points are addressed below. </w:t>
      </w:r>
    </w:p>
    <w:p w:rsidR="002B37A1" w:rsidRDefault="002B37A1" w:rsidP="00B16708">
      <w:pPr>
        <w:pStyle w:val="HeadingBoldBlue"/>
      </w:pPr>
      <w:bookmarkStart w:id="150" w:name="_Toc433040437"/>
      <w:bookmarkStart w:id="151" w:name="_Toc433551672"/>
      <w:r>
        <w:t>No variation in the VCR between the previous and the forthcoming regulatory periods</w:t>
      </w:r>
      <w:bookmarkEnd w:id="150"/>
      <w:bookmarkEnd w:id="151"/>
    </w:p>
    <w:p w:rsidR="002B37A1" w:rsidRDefault="002B37A1" w:rsidP="00B16708">
      <w:r>
        <w:t>There has been no net movement in the value of the VCR between the two regulatory periods commencing in 2006</w:t>
      </w:r>
      <w:r w:rsidR="00E7640D">
        <w:t xml:space="preserve"> and 2011 respectively</w:t>
      </w:r>
      <w:r>
        <w:t xml:space="preserve"> (see </w:t>
      </w:r>
      <w:r>
        <w:fldChar w:fldCharType="begin"/>
      </w:r>
      <w:r>
        <w:instrText xml:space="preserve"> REF _Ref433040283 \h </w:instrText>
      </w:r>
      <w:r>
        <w:fldChar w:fldCharType="separate"/>
      </w:r>
      <w:r w:rsidR="00B32060">
        <w:t xml:space="preserve">Figure </w:t>
      </w:r>
      <w:r w:rsidR="00B32060">
        <w:rPr>
          <w:noProof/>
        </w:rPr>
        <w:t>11</w:t>
      </w:r>
      <w:r w:rsidR="00B32060">
        <w:t>.</w:t>
      </w:r>
      <w:r w:rsidR="00B32060">
        <w:rPr>
          <w:noProof/>
        </w:rPr>
        <w:t>1</w:t>
      </w:r>
      <w:r>
        <w:fldChar w:fldCharType="end"/>
      </w:r>
      <w:r>
        <w:t xml:space="preserve">), for the purpose of setting STPIS targets: </w:t>
      </w:r>
    </w:p>
    <w:p w:rsidR="002B37A1" w:rsidRDefault="002B37A1" w:rsidP="00B16708">
      <w:pPr>
        <w:pStyle w:val="AERbulletlistfirststyle"/>
      </w:pPr>
      <w:r>
        <w:tab/>
        <w:t>In the 2006–10 determination (by the Essential Services Commission of Victoria), a VCR of $39</w:t>
      </w:r>
      <w:r w:rsidR="00C44ABC">
        <w:t>.</w:t>
      </w:r>
      <w:r>
        <w:t xml:space="preserve">46 per </w:t>
      </w:r>
      <w:r w:rsidR="00C44ABC">
        <w:t>k</w:t>
      </w:r>
      <w:r>
        <w:t>Wh ($ 2014) was used as the basis for setting the incentive rates of the previous Victorian equivalent of the STPIS.</w:t>
      </w:r>
      <w:r>
        <w:rPr>
          <w:rStyle w:val="FootnoteReference"/>
        </w:rPr>
        <w:footnoteReference w:id="26"/>
      </w:r>
    </w:p>
    <w:p w:rsidR="002B37A1" w:rsidRDefault="002B37A1" w:rsidP="00B16708">
      <w:pPr>
        <w:pStyle w:val="AERbulletlistfirststyle"/>
      </w:pPr>
      <w:r>
        <w:t xml:space="preserve">In </w:t>
      </w:r>
      <w:r w:rsidR="00E7640D">
        <w:t>the</w:t>
      </w:r>
      <w:r>
        <w:t xml:space="preserve"> 2011–15 distribution determination, a VCR of $54</w:t>
      </w:r>
      <w:r w:rsidR="00C44ABC">
        <w:t>.</w:t>
      </w:r>
      <w:r>
        <w:t xml:space="preserve">92 per </w:t>
      </w:r>
      <w:r w:rsidR="00C44ABC">
        <w:t>k</w:t>
      </w:r>
      <w:r>
        <w:t xml:space="preserve">Wh </w:t>
      </w:r>
      <w:r>
        <w:br/>
        <w:t>($ 2014) was used to calculate the incentive rates. However, the performance targets for the 2011–15 period were based on the actual performance outcomes of the 2006–10 period when the VCR was $39</w:t>
      </w:r>
      <w:r w:rsidR="00C44ABC">
        <w:t>.</w:t>
      </w:r>
      <w:r>
        <w:t xml:space="preserve">46 per </w:t>
      </w:r>
      <w:r w:rsidR="00C44ABC">
        <w:t>k</w:t>
      </w:r>
      <w:r>
        <w:t>Wh ($ 2014) without adjustments.</w:t>
      </w:r>
    </w:p>
    <w:p w:rsidR="002B37A1" w:rsidRDefault="002B37A1" w:rsidP="00B16708">
      <w:pPr>
        <w:pStyle w:val="AERbulletlistfirststyle"/>
      </w:pPr>
      <w:r>
        <w:tab/>
        <w:t>The most recent study by AEMO indicates that the Victorian state-wide VCR is now $39</w:t>
      </w:r>
      <w:r w:rsidR="00C44ABC">
        <w:t>.</w:t>
      </w:r>
      <w:r>
        <w:t xml:space="preserve">50 per </w:t>
      </w:r>
      <w:r w:rsidR="00C44ABC">
        <w:t>k</w:t>
      </w:r>
      <w:r>
        <w:t>Wh ($ 2014)––practically at the same level as the 2006–10 period.</w:t>
      </w:r>
    </w:p>
    <w:p w:rsidR="002B37A1" w:rsidRPr="006B539F" w:rsidRDefault="002B37A1" w:rsidP="006B539F">
      <w:r w:rsidRPr="006B539F">
        <w:t xml:space="preserve">AusNet Services revised regulatory questioned the relevance of the above points and stated that the schemes applied in 2006–10 were different to those 2011–15. </w:t>
      </w:r>
    </w:p>
    <w:p w:rsidR="002B37A1" w:rsidRDefault="002B37A1" w:rsidP="007C7299">
      <w:r w:rsidRPr="006B539F">
        <w:t xml:space="preserve">We do not agree with this submission.  We consider that, while the scheme in name may be different, the application of the scheme and the scheme design are </w:t>
      </w:r>
      <w:r>
        <w:t xml:space="preserve">essentially </w:t>
      </w:r>
      <w:r>
        <w:lastRenderedPageBreak/>
        <w:t>the same</w:t>
      </w:r>
      <w:r w:rsidRPr="006B539F">
        <w:t>.</w:t>
      </w:r>
      <w:r>
        <w:t xml:space="preserve"> The scheme applied in the 2006–10 regulatory control period was developed by the ESCV while the scheme applied in 2011–15 was developed by us. However, the STPIS targets applied to AusNet Services in 2011–15 was based on its 5 years' historical average performance in 2006–10 (slightly adjusted for difference in </w:t>
      </w:r>
      <w:r w:rsidR="007C3375">
        <w:t>how major events are excluded from the performance calculation</w:t>
      </w:r>
      <w:r>
        <w:t>) with a VCR of $39</w:t>
      </w:r>
      <w:r w:rsidR="00C44ABC">
        <w:t>.</w:t>
      </w:r>
      <w:r>
        <w:t xml:space="preserve">46 per </w:t>
      </w:r>
      <w:r w:rsidR="00C44ABC">
        <w:t>k</w:t>
      </w:r>
      <w:r>
        <w:t xml:space="preserve">Wh ($ 2014). As such, there has been no net movement in the value of the VCR between the two regulatory periods commencing in 2006, for the purpose of setting STPIS targets because it was carried forward into 2011–15 by the historical reliability performance level. </w:t>
      </w:r>
    </w:p>
    <w:p w:rsidR="002B37A1" w:rsidRDefault="002B37A1" w:rsidP="00E27C5F">
      <w:pPr>
        <w:pStyle w:val="Caption"/>
      </w:pPr>
      <w:bookmarkStart w:id="152" w:name="_Ref433040283"/>
      <w:bookmarkStart w:id="153" w:name="_Ref428866581"/>
      <w:r>
        <w:t xml:space="preserve">Figure </w:t>
      </w:r>
      <w:r w:rsidR="008D7069">
        <w:fldChar w:fldCharType="begin"/>
      </w:r>
      <w:r w:rsidR="008D7069">
        <w:instrText xml:space="preserve"> STYLEREF 1 \s </w:instrText>
      </w:r>
      <w:r w:rsidR="008D7069">
        <w:fldChar w:fldCharType="separate"/>
      </w:r>
      <w:r w:rsidR="00B32060">
        <w:rPr>
          <w:noProof/>
        </w:rPr>
        <w:t>11</w:t>
      </w:r>
      <w:r w:rsidR="008D7069">
        <w:rPr>
          <w:noProof/>
        </w:rPr>
        <w:fldChar w:fldCharType="end"/>
      </w:r>
      <w:r w:rsidR="00B32060">
        <w:t>.</w:t>
      </w:r>
      <w:r w:rsidR="00B32060">
        <w:fldChar w:fldCharType="begin"/>
      </w:r>
      <w:r w:rsidR="00B32060">
        <w:instrText xml:space="preserve"> SEQ Figure \* ARABIC \s 1 </w:instrText>
      </w:r>
      <w:r w:rsidR="00B32060">
        <w:fldChar w:fldCharType="separate"/>
      </w:r>
      <w:r w:rsidR="00B32060">
        <w:rPr>
          <w:noProof/>
        </w:rPr>
        <w:t>1</w:t>
      </w:r>
      <w:r w:rsidR="00B32060">
        <w:fldChar w:fldCharType="end"/>
      </w:r>
      <w:bookmarkEnd w:id="152"/>
      <w:bookmarkEnd w:id="153"/>
      <w:r>
        <w:tab/>
      </w:r>
      <w:r>
        <w:tab/>
        <w:t xml:space="preserve"> Historical Victorian VCR (nominal)</w:t>
      </w:r>
    </w:p>
    <w:p w:rsidR="002B37A1" w:rsidRDefault="00F822FA" w:rsidP="00B16708">
      <w:r w:rsidRPr="00F822FA">
        <w:rPr>
          <w:noProof/>
          <w:lang w:eastAsia="en-AU"/>
        </w:rPr>
        <w:drawing>
          <wp:inline distT="0" distB="0" distL="0" distR="0" wp14:anchorId="39BDE21C" wp14:editId="44980EA2">
            <wp:extent cx="5103821" cy="2901244"/>
            <wp:effectExtent l="0" t="0" r="1905" b="0"/>
            <wp:docPr id="4" name="Picture 4" descr="cid:image005.png@01D0AE9C.9AD55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0AE9C.9AD55D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106691" cy="2902875"/>
                    </a:xfrm>
                    <a:prstGeom prst="rect">
                      <a:avLst/>
                    </a:prstGeom>
                    <a:noFill/>
                    <a:ln>
                      <a:noFill/>
                    </a:ln>
                  </pic:spPr>
                </pic:pic>
              </a:graphicData>
            </a:graphic>
          </wp:inline>
        </w:drawing>
      </w:r>
    </w:p>
    <w:p w:rsidR="002B37A1" w:rsidRDefault="002B37A1" w:rsidP="00B16708">
      <w:pPr>
        <w:pStyle w:val="AERtablesource"/>
      </w:pPr>
      <w:r>
        <w:t xml:space="preserve">Source: AusNet Services, </w:t>
      </w:r>
      <w:r w:rsidRPr="002F7815">
        <w:rPr>
          <w:rStyle w:val="AERtextitalic"/>
        </w:rPr>
        <w:t>Regulatory proposal 2016–20</w:t>
      </w:r>
      <w:r>
        <w:t>, 30 April 2015, p. 120.</w:t>
      </w:r>
    </w:p>
    <w:p w:rsidR="002B37A1" w:rsidRDefault="007C3375" w:rsidP="00231020">
      <w:r w:rsidRPr="007C3375">
        <w:t xml:space="preserve">Our determinations for NSW, ACT, QLD and SA distributors did not vary the STPIS targets due to a change in VCR. </w:t>
      </w:r>
      <w:r w:rsidR="002B37A1">
        <w:t xml:space="preserve"> </w:t>
      </w:r>
    </w:p>
    <w:p w:rsidR="002B37A1" w:rsidRDefault="002B37A1" w:rsidP="00B16708">
      <w:pPr>
        <w:pStyle w:val="HeadingBoldBlue"/>
      </w:pPr>
      <w:bookmarkStart w:id="154" w:name="_Toc433040438"/>
      <w:bookmarkStart w:id="155" w:name="_Toc433551673"/>
      <w:r>
        <w:t>Limited relationship between VCR and reliability outcomes</w:t>
      </w:r>
      <w:bookmarkEnd w:id="154"/>
      <w:bookmarkEnd w:id="155"/>
    </w:p>
    <w:p w:rsidR="002B37A1" w:rsidRDefault="002B37A1" w:rsidP="00B16708">
      <w:r>
        <w:t xml:space="preserve">The STPIS states that </w:t>
      </w:r>
      <w:r w:rsidRPr="00B91D03">
        <w:t>performance targets must be based on average performance over the past</w:t>
      </w:r>
      <w:r>
        <w:t xml:space="preserve"> </w:t>
      </w:r>
      <w:r w:rsidRPr="00B91D03">
        <w:t>five regulatory years.</w:t>
      </w:r>
      <w:r w:rsidR="00FD17A3">
        <w:rPr>
          <w:rStyle w:val="FootnoteReference"/>
        </w:rPr>
        <w:footnoteReference w:id="27"/>
      </w:r>
      <w:r>
        <w:t xml:space="preserve"> As stated above, AusNet Services' revised regulatory proposal submitted that we should modify its performance targets to reflect the lower VCR for capex planning purposes. </w:t>
      </w:r>
    </w:p>
    <w:p w:rsidR="002B37A1" w:rsidRDefault="002B37A1" w:rsidP="00B16708">
      <w:pPr>
        <w:rPr>
          <w:rStyle w:val="AERbody"/>
        </w:rPr>
      </w:pPr>
      <w:r>
        <w:t xml:space="preserve">We consider that performance targets </w:t>
      </w:r>
      <w:r w:rsidR="006043FB">
        <w:t xml:space="preserve">for the next regulatory period </w:t>
      </w:r>
      <w:r>
        <w:t xml:space="preserve">should not be modified due to a change in the VCR. Similar to our preliminary decision, our </w:t>
      </w:r>
      <w:r w:rsidRPr="003861C2">
        <w:t>review</w:t>
      </w:r>
      <w:r>
        <w:t xml:space="preserve"> of AusNet Services' regulatory proposal found little evidence to suggest that the value of </w:t>
      </w:r>
      <w:r>
        <w:lastRenderedPageBreak/>
        <w:t>the VCR will impact on reliability immediately as claimed</w:t>
      </w:r>
      <w:r w:rsidRPr="003E5BF4">
        <w:rPr>
          <w:rStyle w:val="AERbody"/>
        </w:rPr>
        <w:t>.</w:t>
      </w:r>
      <w:r>
        <w:rPr>
          <w:rStyle w:val="FootnoteReference"/>
        </w:rPr>
        <w:footnoteReference w:id="28"/>
      </w:r>
      <w:r w:rsidRPr="003E5BF4">
        <w:rPr>
          <w:rStyle w:val="AERbody"/>
        </w:rPr>
        <w:t xml:space="preserve"> </w:t>
      </w:r>
      <w:r>
        <w:rPr>
          <w:rStyle w:val="AERbody"/>
        </w:rPr>
        <w:t>AusNet Services</w:t>
      </w:r>
      <w:r w:rsidRPr="003E5BF4">
        <w:rPr>
          <w:rStyle w:val="AERbody"/>
        </w:rPr>
        <w:t xml:space="preserve"> asserts that </w:t>
      </w:r>
      <w:r>
        <w:rPr>
          <w:rStyle w:val="AERbody"/>
        </w:rPr>
        <w:t xml:space="preserve">applying </w:t>
      </w:r>
      <w:r w:rsidRPr="003E5BF4">
        <w:rPr>
          <w:rStyle w:val="AERbody"/>
        </w:rPr>
        <w:t xml:space="preserve">a lower VCR </w:t>
      </w:r>
      <w:r>
        <w:rPr>
          <w:rStyle w:val="AERbody"/>
        </w:rPr>
        <w:t xml:space="preserve">for capex purposes will result in a decline in reliability in the next regulatory period. Contrary to the above assertion concerning the effect of VCR on reliability performance, AusNet Services attributed its improved reliability performance in the current regulatory period to other factors (see below) and not to the increase in the VCR value (see </w:t>
      </w:r>
      <w:r>
        <w:rPr>
          <w:rStyle w:val="AERbody"/>
        </w:rPr>
        <w:fldChar w:fldCharType="begin"/>
      </w:r>
      <w:r>
        <w:rPr>
          <w:rStyle w:val="AERbody"/>
        </w:rPr>
        <w:instrText xml:space="preserve"> REF _Ref433040717 \h </w:instrText>
      </w:r>
      <w:r>
        <w:rPr>
          <w:rStyle w:val="AERbody"/>
        </w:rPr>
      </w:r>
      <w:r>
        <w:rPr>
          <w:rStyle w:val="AERbody"/>
        </w:rPr>
        <w:fldChar w:fldCharType="separate"/>
      </w:r>
      <w:r w:rsidR="00B32060">
        <w:t xml:space="preserve">Figure </w:t>
      </w:r>
      <w:r w:rsidR="00B32060">
        <w:rPr>
          <w:noProof/>
        </w:rPr>
        <w:t>11</w:t>
      </w:r>
      <w:r w:rsidR="00B32060">
        <w:t>.</w:t>
      </w:r>
      <w:r w:rsidR="00B32060">
        <w:rPr>
          <w:noProof/>
        </w:rPr>
        <w:t>2</w:t>
      </w:r>
      <w:r>
        <w:rPr>
          <w:rStyle w:val="AERbody"/>
        </w:rPr>
        <w:fldChar w:fldCharType="end"/>
      </w:r>
      <w:r>
        <w:rPr>
          <w:rStyle w:val="AERbody"/>
        </w:rPr>
        <w:t xml:space="preserve"> and </w:t>
      </w:r>
      <w:r>
        <w:rPr>
          <w:rStyle w:val="AERbody"/>
        </w:rPr>
        <w:fldChar w:fldCharType="begin"/>
      </w:r>
      <w:r>
        <w:rPr>
          <w:rStyle w:val="AERbody"/>
        </w:rPr>
        <w:instrText xml:space="preserve"> REF _Ref433040745 \h </w:instrText>
      </w:r>
      <w:r>
        <w:rPr>
          <w:rStyle w:val="AERbody"/>
        </w:rPr>
      </w:r>
      <w:r>
        <w:rPr>
          <w:rStyle w:val="AERbody"/>
        </w:rPr>
        <w:fldChar w:fldCharType="separate"/>
      </w:r>
      <w:r w:rsidR="00B32060">
        <w:t xml:space="preserve">Figure </w:t>
      </w:r>
      <w:r w:rsidR="00B32060">
        <w:rPr>
          <w:noProof/>
        </w:rPr>
        <w:t>11</w:t>
      </w:r>
      <w:r w:rsidR="00B32060">
        <w:t>.</w:t>
      </w:r>
      <w:r w:rsidR="00B32060">
        <w:rPr>
          <w:noProof/>
        </w:rPr>
        <w:t>3</w:t>
      </w:r>
      <w:r>
        <w:rPr>
          <w:rStyle w:val="AERbody"/>
        </w:rPr>
        <w:fldChar w:fldCharType="end"/>
      </w:r>
      <w:r>
        <w:rPr>
          <w:rStyle w:val="AERbody"/>
        </w:rPr>
        <w:t xml:space="preserve">). </w:t>
      </w:r>
    </w:p>
    <w:p w:rsidR="002B37A1" w:rsidRDefault="002B37A1" w:rsidP="00B16708">
      <w:pPr>
        <w:rPr>
          <w:rStyle w:val="AERbody"/>
        </w:rPr>
      </w:pPr>
      <w:r>
        <w:rPr>
          <w:rStyle w:val="AERbody"/>
        </w:rPr>
        <w:t xml:space="preserve">As such, we consider that </w:t>
      </w:r>
      <w:r w:rsidRPr="00FD3324">
        <w:rPr>
          <w:rStyle w:val="AERbody"/>
        </w:rPr>
        <w:t xml:space="preserve">the improvement is more likely due to the higher level of incentives approved for AusNet Services in the current period (higher than the normal STPIS scheme standard of </w:t>
      </w:r>
      <w:r w:rsidRPr="00B16708">
        <w:rPr>
          <w:rStyle w:val="AERbody"/>
        </w:rPr>
        <w:t>±</w:t>
      </w:r>
      <w:r>
        <w:rPr>
          <w:rStyle w:val="AERbody"/>
        </w:rPr>
        <w:t xml:space="preserve"> </w:t>
      </w:r>
      <w:r w:rsidRPr="00FD3324">
        <w:rPr>
          <w:rStyle w:val="AERbody"/>
        </w:rPr>
        <w:t>7</w:t>
      </w:r>
      <w:r>
        <w:rPr>
          <w:rStyle w:val="AERbody"/>
        </w:rPr>
        <w:t>.0</w:t>
      </w:r>
      <w:r w:rsidRPr="00FD3324">
        <w:rPr>
          <w:rStyle w:val="AERbody"/>
        </w:rPr>
        <w:t xml:space="preserve"> per cent revenue at risk; and a 2.8 beta threshold for major event day (MED) exclusion level––the higher the beta the lesser the number of MED events that can be excluded and a higher level of accountability on the distributor’s performance outcome). In effect the scheme was adjusted to provide both higher incentive rates and revenue at risk (greater rewards and penalties) over the current period.</w:t>
      </w:r>
    </w:p>
    <w:p w:rsidR="002B37A1" w:rsidRDefault="002B37A1" w:rsidP="00B16708">
      <w:r>
        <w:rPr>
          <w:rStyle w:val="AERbody"/>
        </w:rPr>
        <w:t>We note that, i</w:t>
      </w:r>
      <w:r w:rsidRPr="00FD3324">
        <w:rPr>
          <w:rStyle w:val="AERbody"/>
        </w:rPr>
        <w:t xml:space="preserve">n its published planning report and regulatory proposal capex overview, AusNet Services attributed the reliability improvement of its SAIDI measures to smart asset management and investment in feeder automation, installation of automatic circuit recloser and animal proofing measures. These measures demonstrate that AusNet Services have invested more to respond to the STPIS incentive by improving network operational arrangements, rather than addressing network capacity shortfalls. Put simply, these measures have </w:t>
      </w:r>
      <w:r>
        <w:rPr>
          <w:rStyle w:val="AERbody"/>
        </w:rPr>
        <w:t xml:space="preserve">little connection to the </w:t>
      </w:r>
      <w:r w:rsidRPr="00FD3324">
        <w:rPr>
          <w:rStyle w:val="AERbody"/>
        </w:rPr>
        <w:t>level of energy at risk (the energy at risk is used as a basis on whether to augment the network</w:t>
      </w:r>
      <w:r w:rsidR="002E14BC">
        <w:rPr>
          <w:rStyle w:val="AERbody"/>
        </w:rPr>
        <w:t xml:space="preserve"> </w:t>
      </w:r>
      <w:r w:rsidR="002E14BC" w:rsidRPr="002E14BC">
        <w:rPr>
          <w:rStyle w:val="AERbody"/>
        </w:rPr>
        <w:t>or to some extent replace assets</w:t>
      </w:r>
      <w:r w:rsidRPr="00FD3324">
        <w:t>).</w:t>
      </w:r>
      <w:r w:rsidRPr="00FD3324">
        <w:rPr>
          <w:rStyle w:val="FootnoteReference"/>
        </w:rPr>
        <w:footnoteReference w:id="29"/>
      </w:r>
      <w:r w:rsidRPr="00FD3324">
        <w:t xml:space="preserve"> </w:t>
      </w:r>
    </w:p>
    <w:p w:rsidR="002B37A1" w:rsidRPr="00DE0D7C" w:rsidRDefault="002B37A1" w:rsidP="00B16708">
      <w:pPr>
        <w:rPr>
          <w:rStyle w:val="AERbody"/>
        </w:rPr>
      </w:pPr>
      <w:r w:rsidRPr="00DE0D7C">
        <w:rPr>
          <w:rStyle w:val="AERbody"/>
        </w:rPr>
        <w:t xml:space="preserve">AusNet </w:t>
      </w:r>
      <w:r>
        <w:rPr>
          <w:rStyle w:val="AERbody"/>
        </w:rPr>
        <w:t>S</w:t>
      </w:r>
      <w:r w:rsidRPr="00DE0D7C">
        <w:rPr>
          <w:rStyle w:val="AERbody"/>
        </w:rPr>
        <w:t>ervice</w:t>
      </w:r>
      <w:r>
        <w:rPr>
          <w:rStyle w:val="AERbody"/>
        </w:rPr>
        <w:t>s</w:t>
      </w:r>
      <w:r w:rsidRPr="00DE0D7C">
        <w:rPr>
          <w:rStyle w:val="AERbody"/>
        </w:rPr>
        <w:t xml:space="preserve"> also contend</w:t>
      </w:r>
      <w:r>
        <w:rPr>
          <w:rStyle w:val="AERbody"/>
        </w:rPr>
        <w:t xml:space="preserve"> </w:t>
      </w:r>
      <w:r w:rsidRPr="00DE0D7C">
        <w:rPr>
          <w:rStyle w:val="AERbody"/>
        </w:rPr>
        <w:t>that a lower VCR will also have impact on its asset replacement capex</w:t>
      </w:r>
      <w:r w:rsidRPr="00F04A66">
        <w:t>.</w:t>
      </w:r>
      <w:r>
        <w:rPr>
          <w:rStyle w:val="FootnoteReference"/>
        </w:rPr>
        <w:footnoteReference w:id="30"/>
      </w:r>
      <w:r w:rsidRPr="00F04A66">
        <w:t xml:space="preserve"> </w:t>
      </w:r>
      <w:r w:rsidRPr="00DE0D7C">
        <w:rPr>
          <w:rStyle w:val="AERbody"/>
        </w:rPr>
        <w:t xml:space="preserve">We disagree </w:t>
      </w:r>
      <w:r>
        <w:rPr>
          <w:rStyle w:val="AERbody"/>
        </w:rPr>
        <w:t>with the</w:t>
      </w:r>
      <w:r w:rsidRPr="00DE0D7C">
        <w:rPr>
          <w:rStyle w:val="AERbody"/>
        </w:rPr>
        <w:t xml:space="preserve"> contention that replacement capex will be materially affected by a lower VCR</w:t>
      </w:r>
      <w:r>
        <w:rPr>
          <w:rStyle w:val="AERbody"/>
        </w:rPr>
        <w:t>. We consider</w:t>
      </w:r>
      <w:r w:rsidRPr="00DE0D7C">
        <w:rPr>
          <w:rStyle w:val="AERbody"/>
        </w:rPr>
        <w:t xml:space="preserve"> that the prime driver for asset replacement is the physical condition of th</w:t>
      </w:r>
      <w:r>
        <w:rPr>
          <w:rStyle w:val="AERbody"/>
        </w:rPr>
        <w:t>at</w:t>
      </w:r>
      <w:r w:rsidRPr="00DE0D7C">
        <w:rPr>
          <w:rStyle w:val="AERbody"/>
        </w:rPr>
        <w:t xml:space="preserve"> asset and to </w:t>
      </w:r>
      <w:r w:rsidR="00411F5D">
        <w:rPr>
          <w:rStyle w:val="AERbody"/>
        </w:rPr>
        <w:t xml:space="preserve">a </w:t>
      </w:r>
      <w:r w:rsidRPr="00DE0D7C">
        <w:rPr>
          <w:rStyle w:val="AERbody"/>
        </w:rPr>
        <w:t>certain extent</w:t>
      </w:r>
      <w:r>
        <w:rPr>
          <w:rStyle w:val="AERbody"/>
        </w:rPr>
        <w:t>,</w:t>
      </w:r>
      <w:r w:rsidRPr="00DE0D7C">
        <w:rPr>
          <w:rStyle w:val="AERbody"/>
        </w:rPr>
        <w:t xml:space="preserve"> the trade-off between capex and opex.  </w:t>
      </w:r>
    </w:p>
    <w:p w:rsidR="002B37A1" w:rsidRPr="00DE0D7C" w:rsidRDefault="002B37A1" w:rsidP="00B16708">
      <w:pPr>
        <w:rPr>
          <w:rStyle w:val="AERbody"/>
        </w:rPr>
      </w:pPr>
      <w:r w:rsidRPr="00DE0D7C">
        <w:rPr>
          <w:rStyle w:val="AERbody"/>
        </w:rPr>
        <w:t>Further, we reviewed the</w:t>
      </w:r>
      <w:r>
        <w:rPr>
          <w:rStyle w:val="AERbody"/>
        </w:rPr>
        <w:t xml:space="preserve"> reliability performance outcomes of the</w:t>
      </w:r>
      <w:r w:rsidRPr="00DE0D7C">
        <w:rPr>
          <w:rStyle w:val="AERbody"/>
        </w:rPr>
        <w:t xml:space="preserve"> other three distributors</w:t>
      </w:r>
      <w:r>
        <w:rPr>
          <w:rStyle w:val="AERbody"/>
        </w:rPr>
        <w:t xml:space="preserve"> in our preliminary decision</w:t>
      </w:r>
      <w:r w:rsidRPr="00DE0D7C">
        <w:rPr>
          <w:rStyle w:val="AERbody"/>
        </w:rPr>
        <w:t>––CitiPower, Powercor and United Energy––who also sought similar adjustments to their performance targets. We also found little evidence to suggest that the VCR will have an immediate impact on reliability for these three distributors.</w:t>
      </w:r>
      <w:r>
        <w:rPr>
          <w:rStyle w:val="FootnoteReference"/>
        </w:rPr>
        <w:footnoteReference w:id="31"/>
      </w:r>
      <w:r w:rsidRPr="00DE0D7C">
        <w:rPr>
          <w:rStyle w:val="AERbody"/>
        </w:rPr>
        <w:t xml:space="preserve"> </w:t>
      </w:r>
    </w:p>
    <w:p w:rsidR="002B37A1" w:rsidRDefault="007A6A6C" w:rsidP="00B16708">
      <w:pPr>
        <w:rPr>
          <w:rStyle w:val="AERbody"/>
        </w:rPr>
      </w:pPr>
      <w:r>
        <w:rPr>
          <w:rStyle w:val="AERbody"/>
        </w:rPr>
        <w:lastRenderedPageBreak/>
        <w:t>W</w:t>
      </w:r>
      <w:r w:rsidR="002B37A1" w:rsidRPr="003E5BF4">
        <w:rPr>
          <w:rStyle w:val="AERbody"/>
        </w:rPr>
        <w:t xml:space="preserve">e consider that </w:t>
      </w:r>
      <w:r w:rsidR="002B37A1">
        <w:rPr>
          <w:rStyle w:val="AERbody"/>
        </w:rPr>
        <w:t>AusNet Services</w:t>
      </w:r>
      <w:r w:rsidR="002B37A1" w:rsidRPr="003E5BF4">
        <w:rPr>
          <w:rStyle w:val="AERbody"/>
        </w:rPr>
        <w:t xml:space="preserve">’ reliability performance is </w:t>
      </w:r>
      <w:r w:rsidR="002B37A1">
        <w:rPr>
          <w:rStyle w:val="AERbody"/>
        </w:rPr>
        <w:t xml:space="preserve">more likely to be </w:t>
      </w:r>
      <w:r w:rsidR="002B37A1" w:rsidRPr="003E5BF4">
        <w:rPr>
          <w:rStyle w:val="AERbody"/>
        </w:rPr>
        <w:t xml:space="preserve">influenced by </w:t>
      </w:r>
      <w:r w:rsidR="002B37A1">
        <w:rPr>
          <w:rStyle w:val="AERbody"/>
        </w:rPr>
        <w:t xml:space="preserve">other factors, other than the VCR, such as </w:t>
      </w:r>
      <w:r w:rsidR="002B37A1" w:rsidRPr="003E5BF4">
        <w:rPr>
          <w:rStyle w:val="AERbody"/>
        </w:rPr>
        <w:t>the configuration</w:t>
      </w:r>
      <w:r w:rsidR="002B37A1">
        <w:rPr>
          <w:rStyle w:val="AERbody"/>
        </w:rPr>
        <w:t xml:space="preserve"> and </w:t>
      </w:r>
      <w:r w:rsidR="002B37A1" w:rsidRPr="003E5BF4">
        <w:rPr>
          <w:rStyle w:val="AERbody"/>
        </w:rPr>
        <w:t>condition of its network assets</w:t>
      </w:r>
      <w:r w:rsidR="002B37A1">
        <w:rPr>
          <w:rStyle w:val="AERbody"/>
        </w:rPr>
        <w:t>. Further,</w:t>
      </w:r>
      <w:r w:rsidR="002B37A1" w:rsidRPr="003E5BF4">
        <w:rPr>
          <w:rStyle w:val="AERbody"/>
        </w:rPr>
        <w:t xml:space="preserve"> </w:t>
      </w:r>
      <w:r w:rsidR="002B37A1">
        <w:rPr>
          <w:rStyle w:val="AERbody"/>
        </w:rPr>
        <w:t>m</w:t>
      </w:r>
      <w:r w:rsidR="002B37A1" w:rsidRPr="003E5BF4">
        <w:rPr>
          <w:rStyle w:val="AERbody"/>
        </w:rPr>
        <w:t>ost network assets have an expected life in excess of 50 years, therefore, by discounting for uncontrollable external impacts such as material weather</w:t>
      </w:r>
      <w:r w:rsidR="002B37A1">
        <w:rPr>
          <w:rStyle w:val="AERbody"/>
        </w:rPr>
        <w:t xml:space="preserve"> events</w:t>
      </w:r>
      <w:r w:rsidR="002B37A1" w:rsidRPr="003E5BF4">
        <w:rPr>
          <w:rStyle w:val="AERbody"/>
        </w:rPr>
        <w:t xml:space="preserve">, </w:t>
      </w:r>
      <w:r w:rsidR="002B37A1">
        <w:rPr>
          <w:rStyle w:val="AERbody"/>
        </w:rPr>
        <w:t>AusNet Services</w:t>
      </w:r>
      <w:r w:rsidR="002B37A1" w:rsidRPr="003E5BF4">
        <w:rPr>
          <w:rStyle w:val="AERbody"/>
        </w:rPr>
        <w:t>' reliability level should not change abruptly</w:t>
      </w:r>
      <w:r w:rsidR="002B37A1">
        <w:rPr>
          <w:rStyle w:val="AERbody"/>
        </w:rPr>
        <w:t xml:space="preserve"> with a lower VCR for planning purposes.</w:t>
      </w:r>
    </w:p>
    <w:p w:rsidR="002B37A1" w:rsidRDefault="002B37A1" w:rsidP="00B16708">
      <w:pPr>
        <w:rPr>
          <w:rStyle w:val="AERbody"/>
        </w:rPr>
      </w:pPr>
      <w:r>
        <w:rPr>
          <w:rStyle w:val="AERbody"/>
        </w:rPr>
        <w:t>As such we consider that AusNet Services has not demonstrated that its assertion that reliability will decline in the next regulatory period is due to a lower VCR.</w:t>
      </w:r>
    </w:p>
    <w:p w:rsidR="002B37A1" w:rsidRDefault="002B37A1" w:rsidP="00B16708">
      <w:pPr>
        <w:pStyle w:val="Caption"/>
      </w:pPr>
      <w:bookmarkStart w:id="156" w:name="_Ref433040717"/>
      <w:bookmarkStart w:id="157" w:name="_Ref428452254"/>
      <w:r>
        <w:t xml:space="preserve">Figure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Figure \* ARABIC \s 1 </w:instrText>
      </w:r>
      <w:r w:rsidR="00B32060">
        <w:fldChar w:fldCharType="separate"/>
      </w:r>
      <w:r w:rsidR="00B32060">
        <w:rPr>
          <w:noProof/>
        </w:rPr>
        <w:t>2</w:t>
      </w:r>
      <w:r w:rsidR="00B32060">
        <w:fldChar w:fldCharType="end"/>
      </w:r>
      <w:bookmarkEnd w:id="156"/>
      <w:bookmarkEnd w:id="157"/>
      <w:r>
        <w:tab/>
      </w:r>
      <w:r>
        <w:tab/>
        <w:t>Historical SAIDI</w:t>
      </w:r>
    </w:p>
    <w:p w:rsidR="002B37A1" w:rsidRDefault="002B37A1" w:rsidP="00B16708">
      <w:r w:rsidRPr="00B16708">
        <w:rPr>
          <w:noProof/>
          <w:lang w:eastAsia="en-AU"/>
        </w:rPr>
        <w:drawing>
          <wp:inline distT="0" distB="0" distL="0" distR="0" wp14:anchorId="18763B1D" wp14:editId="0AC68E59">
            <wp:extent cx="5003320" cy="307100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8902" cy="3080568"/>
                    </a:xfrm>
                    <a:prstGeom prst="rect">
                      <a:avLst/>
                    </a:prstGeom>
                    <a:noFill/>
                  </pic:spPr>
                </pic:pic>
              </a:graphicData>
            </a:graphic>
          </wp:inline>
        </w:drawing>
      </w:r>
    </w:p>
    <w:p w:rsidR="002B37A1" w:rsidRPr="00231020" w:rsidRDefault="002B37A1" w:rsidP="00231020">
      <w:pPr>
        <w:pStyle w:val="AERtablesource"/>
        <w:rPr>
          <w:rStyle w:val="AERbody"/>
          <w:sz w:val="16"/>
        </w:rPr>
      </w:pPr>
      <w:r w:rsidRPr="00231020">
        <w:rPr>
          <w:rStyle w:val="AERbody"/>
          <w:sz w:val="16"/>
        </w:rPr>
        <w:t>Source:</w:t>
      </w:r>
      <w:r w:rsidRPr="00231020">
        <w:rPr>
          <w:rStyle w:val="AERbody"/>
          <w:sz w:val="16"/>
        </w:rPr>
        <w:tab/>
        <w:t>AER analysis.</w:t>
      </w:r>
    </w:p>
    <w:p w:rsidR="002B37A1" w:rsidRDefault="002B37A1" w:rsidP="00B16708">
      <w:pPr>
        <w:pStyle w:val="Caption"/>
      </w:pPr>
      <w:bookmarkStart w:id="158" w:name="_Ref433040745"/>
      <w:bookmarkStart w:id="159" w:name="_Ref428452260"/>
      <w:r>
        <w:lastRenderedPageBreak/>
        <w:t xml:space="preserve">Figure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Figure \* ARABIC \s 1 </w:instrText>
      </w:r>
      <w:r w:rsidR="00B32060">
        <w:fldChar w:fldCharType="separate"/>
      </w:r>
      <w:r w:rsidR="00B32060">
        <w:rPr>
          <w:noProof/>
        </w:rPr>
        <w:t>3</w:t>
      </w:r>
      <w:r w:rsidR="00B32060">
        <w:fldChar w:fldCharType="end"/>
      </w:r>
      <w:bookmarkEnd w:id="158"/>
      <w:bookmarkEnd w:id="159"/>
      <w:r>
        <w:tab/>
      </w:r>
      <w:r>
        <w:tab/>
        <w:t>Historical SAIFI</w:t>
      </w:r>
    </w:p>
    <w:p w:rsidR="002B37A1" w:rsidRPr="009000AE" w:rsidRDefault="002B37A1" w:rsidP="00B16708">
      <w:pPr>
        <w:rPr>
          <w:rStyle w:val="AERbody"/>
        </w:rPr>
      </w:pPr>
      <w:r w:rsidRPr="00B16708">
        <w:rPr>
          <w:noProof/>
          <w:lang w:eastAsia="en-AU"/>
        </w:rPr>
        <w:drawing>
          <wp:inline distT="0" distB="0" distL="0" distR="0" wp14:anchorId="7E4F9264" wp14:editId="4DB01105">
            <wp:extent cx="5098093" cy="313150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1827" cy="3127658"/>
                    </a:xfrm>
                    <a:prstGeom prst="rect">
                      <a:avLst/>
                    </a:prstGeom>
                    <a:noFill/>
                  </pic:spPr>
                </pic:pic>
              </a:graphicData>
            </a:graphic>
          </wp:inline>
        </w:drawing>
      </w:r>
    </w:p>
    <w:p w:rsidR="002B37A1" w:rsidRDefault="002B37A1" w:rsidP="00231020">
      <w:pPr>
        <w:pStyle w:val="AERtablesource"/>
        <w:rPr>
          <w:rStyle w:val="AERbody"/>
        </w:rPr>
      </w:pPr>
      <w:r w:rsidRPr="00231020">
        <w:rPr>
          <w:rStyle w:val="AERbody"/>
          <w:sz w:val="16"/>
        </w:rPr>
        <w:t>Source:</w:t>
      </w:r>
      <w:r w:rsidRPr="00231020">
        <w:rPr>
          <w:rStyle w:val="AERbody"/>
          <w:sz w:val="16"/>
        </w:rPr>
        <w:tab/>
        <w:t>AER analysis.</w:t>
      </w:r>
    </w:p>
    <w:p w:rsidR="002B37A1" w:rsidRPr="00A00848" w:rsidRDefault="002B37A1" w:rsidP="00A00848">
      <w:pPr>
        <w:pStyle w:val="Tabletitle"/>
      </w:pPr>
      <w:r w:rsidRPr="00A00848">
        <w:t>Inconsistency between incentive rates, performance targets and VCR</w:t>
      </w:r>
    </w:p>
    <w:p w:rsidR="002B37A1" w:rsidRDefault="002B37A1" w:rsidP="007C7299">
      <w:r>
        <w:t xml:space="preserve">AusNet Services' revised regulatory proposal stated the </w:t>
      </w:r>
      <w:r w:rsidRPr="007C7299">
        <w:t xml:space="preserve">reduced VCR </w:t>
      </w:r>
      <w:r>
        <w:t xml:space="preserve">used to </w:t>
      </w:r>
      <w:r w:rsidRPr="007C7299">
        <w:t xml:space="preserve">assess </w:t>
      </w:r>
      <w:r>
        <w:t xml:space="preserve">its capex </w:t>
      </w:r>
      <w:r w:rsidRPr="007C7299">
        <w:t>in 2016-20</w:t>
      </w:r>
      <w:r>
        <w:t xml:space="preserve"> is inconsistent with </w:t>
      </w:r>
      <w:r w:rsidRPr="007C7299">
        <w:t>STPIS targets.</w:t>
      </w:r>
      <w:r>
        <w:t xml:space="preserve"> It stated that it would</w:t>
      </w:r>
      <w:r w:rsidRPr="007C7299">
        <w:t xml:space="preserve"> lead to distortions in the incentive framework. Further, if the incentive rates reflect the revised VCR, but the STPIS targets do not</w:t>
      </w:r>
      <w:r w:rsidR="00411F5D">
        <w:t>,</w:t>
      </w:r>
      <w:r w:rsidRPr="007C7299">
        <w:t xml:space="preserve"> the</w:t>
      </w:r>
      <w:r>
        <w:t xml:space="preserve"> </w:t>
      </w:r>
      <w:r w:rsidRPr="007C7299">
        <w:t>incentive scheme itself is inherently inconsistent.</w:t>
      </w:r>
    </w:p>
    <w:p w:rsidR="002B37A1" w:rsidRDefault="002B37A1" w:rsidP="00B16708">
      <w:pPr>
        <w:rPr>
          <w:rStyle w:val="AERbody"/>
        </w:rPr>
      </w:pPr>
      <w:r w:rsidRPr="00154387">
        <w:t xml:space="preserve">We observe </w:t>
      </w:r>
      <w:r>
        <w:t xml:space="preserve">that </w:t>
      </w:r>
      <w:r w:rsidRPr="00154387">
        <w:t>there i</w:t>
      </w:r>
      <w:r>
        <w:t>s asymmetry in AusNet Services'</w:t>
      </w:r>
      <w:r w:rsidRPr="00154387">
        <w:t xml:space="preserve"> </w:t>
      </w:r>
      <w:r>
        <w:t>submission,</w:t>
      </w:r>
      <w:r w:rsidRPr="00154387">
        <w:t xml:space="preserve"> </w:t>
      </w:r>
      <w:r>
        <w:t>as our regulatory determination  in 2011–15 was made on the same basis</w:t>
      </w:r>
      <w:r w:rsidR="005D6F1B">
        <w:t>, that is</w:t>
      </w:r>
      <w:r w:rsidR="00D36226">
        <w:t>,</w:t>
      </w:r>
      <w:r w:rsidR="005D6F1B">
        <w:t xml:space="preserve"> no adjustment of the performance target</w:t>
      </w:r>
      <w:r w:rsidR="00D36226">
        <w:t>s</w:t>
      </w:r>
      <w:r w:rsidR="005D6F1B">
        <w:t xml:space="preserve"> because of a change in VCR between 2008 and 2011</w:t>
      </w:r>
      <w:r>
        <w:t>.</w:t>
      </w:r>
      <w:r w:rsidR="00BF7BDC">
        <w:rPr>
          <w:rStyle w:val="FootnoteReference"/>
        </w:rPr>
        <w:footnoteReference w:id="32"/>
      </w:r>
      <w:r>
        <w:t xml:space="preserve"> </w:t>
      </w:r>
      <w:r w:rsidR="001E7B4E">
        <w:t xml:space="preserve">That said, we consider that adjusting the performance targets </w:t>
      </w:r>
      <w:r w:rsidR="005D6F1B">
        <w:t xml:space="preserve">immediately </w:t>
      </w:r>
      <w:r w:rsidR="001E7B4E">
        <w:t xml:space="preserve">to account for </w:t>
      </w:r>
      <w:r w:rsidR="00AA2A49">
        <w:t xml:space="preserve">a movement in </w:t>
      </w:r>
      <w:r w:rsidR="001E7B4E">
        <w:t xml:space="preserve">the VCR is not </w:t>
      </w:r>
      <w:r w:rsidR="00E27C5F">
        <w:t>appropriate</w:t>
      </w:r>
      <w:r w:rsidR="001E7B4E">
        <w:t xml:space="preserve"> because the </w:t>
      </w:r>
      <w:r w:rsidR="00E27C5F">
        <w:t xml:space="preserve">reliability </w:t>
      </w:r>
      <w:r w:rsidR="001E7B4E">
        <w:t xml:space="preserve">effects of the changes </w:t>
      </w:r>
      <w:r w:rsidR="00142C77">
        <w:t xml:space="preserve">should </w:t>
      </w:r>
      <w:r w:rsidR="00AA2A49">
        <w:t>be gradual</w:t>
      </w:r>
      <w:r w:rsidR="00CE5641">
        <w:t>, likely to be</w:t>
      </w:r>
      <w:r w:rsidR="00AA2A49">
        <w:t xml:space="preserve"> </w:t>
      </w:r>
      <w:r w:rsidR="003632FA">
        <w:t xml:space="preserve">over </w:t>
      </w:r>
      <w:r w:rsidR="00CE5641">
        <w:t xml:space="preserve">a </w:t>
      </w:r>
      <w:r w:rsidR="00AA2A49">
        <w:t xml:space="preserve">long </w:t>
      </w:r>
      <w:r w:rsidR="00CE5641">
        <w:t>period of time</w:t>
      </w:r>
      <w:r w:rsidR="001E7B4E">
        <w:t>—</w:t>
      </w:r>
      <w:r w:rsidR="00CE5641">
        <w:t xml:space="preserve">for example over </w:t>
      </w:r>
      <w:r w:rsidR="00C5393D">
        <w:t>6</w:t>
      </w:r>
      <w:r w:rsidR="00CE5641">
        <w:t>0 years</w:t>
      </w:r>
      <w:r w:rsidR="00AA2A49">
        <w:t xml:space="preserve"> as submitted by </w:t>
      </w:r>
      <w:r w:rsidR="001E7B4E">
        <w:t>CitiPower and Powercor</w:t>
      </w:r>
      <w:r w:rsidR="001204CF">
        <w:rPr>
          <w:rStyle w:val="FootnoteReference"/>
        </w:rPr>
        <w:footnoteReference w:id="33"/>
      </w:r>
      <w:r w:rsidR="001E7B4E">
        <w:t xml:space="preserve"> and AusNet Services</w:t>
      </w:r>
      <w:r w:rsidR="00AA2A49">
        <w:t xml:space="preserve"> </w:t>
      </w:r>
      <w:r w:rsidR="001E7B4E">
        <w:t>transmission</w:t>
      </w:r>
      <w:r w:rsidR="001204CF">
        <w:t>.</w:t>
      </w:r>
      <w:r w:rsidR="001204CF">
        <w:rPr>
          <w:rStyle w:val="FootnoteReference"/>
        </w:rPr>
        <w:footnoteReference w:id="34"/>
      </w:r>
      <w:r w:rsidR="00BF7BDC" w:rsidRPr="00BF7BDC">
        <w:rPr>
          <w:rStyle w:val="AERsuperscript"/>
        </w:rPr>
        <w:t>,</w:t>
      </w:r>
      <w:r w:rsidR="00AA2A49">
        <w:rPr>
          <w:rStyle w:val="AERbody"/>
        </w:rPr>
        <w:t xml:space="preserve"> </w:t>
      </w:r>
      <w:r>
        <w:rPr>
          <w:rStyle w:val="AERbody"/>
        </w:rPr>
        <w:t xml:space="preserve"> </w:t>
      </w:r>
    </w:p>
    <w:p w:rsidR="002B37A1" w:rsidRDefault="002B37A1" w:rsidP="0025203D">
      <w:r>
        <w:t xml:space="preserve">AusNet Services' revised regulatory proposal also submitted that our preliminary decision stated that there is </w:t>
      </w:r>
      <w:r w:rsidRPr="00474B00">
        <w:rPr>
          <w:rStyle w:val="AERtextunderline"/>
        </w:rPr>
        <w:t>no correlation</w:t>
      </w:r>
      <w:r>
        <w:t xml:space="preserve"> between the VCR and reliability. It reiterated </w:t>
      </w:r>
      <w:r>
        <w:lastRenderedPageBreak/>
        <w:t xml:space="preserve">that its capex deferrals as a result of a lower VCR will result in lower reliability performance compared to historical levels.   </w:t>
      </w:r>
    </w:p>
    <w:p w:rsidR="002B37A1" w:rsidRDefault="002B37A1" w:rsidP="00C87A9A">
      <w:pPr>
        <w:rPr>
          <w:rStyle w:val="AERbody"/>
        </w:rPr>
      </w:pPr>
      <w:r>
        <w:rPr>
          <w:rStyle w:val="AERbody"/>
        </w:rPr>
        <w:t xml:space="preserve">In light of the above (demonstrating that the VCR has limited effect on AusNet Services' reliability performance), we consider that AusNet Services has not made the case that supply reliability level will change immediately after the VCR value is changed. </w:t>
      </w:r>
    </w:p>
    <w:p w:rsidR="002B37A1" w:rsidRDefault="002B37A1" w:rsidP="001204CF">
      <w:pPr>
        <w:rPr>
          <w:rStyle w:val="AERbody"/>
        </w:rPr>
      </w:pPr>
      <w:r>
        <w:rPr>
          <w:rStyle w:val="AERbody"/>
        </w:rPr>
        <w:t>Furthermore, this final decision has provided AusNet Services with an efficient expenditure allowance to maintain reliability</w:t>
      </w:r>
      <w:r w:rsidR="00E27C5F">
        <w:rPr>
          <w:rStyle w:val="AERbody"/>
        </w:rPr>
        <w:t xml:space="preserve"> (please refer to the capex attachment in this final decision for further details)</w:t>
      </w:r>
      <w:r>
        <w:rPr>
          <w:rStyle w:val="AERbody"/>
        </w:rPr>
        <w:t xml:space="preserve">. </w:t>
      </w:r>
    </w:p>
    <w:p w:rsidR="002B37A1" w:rsidRDefault="002B37A1" w:rsidP="00B16708">
      <w:pPr>
        <w:rPr>
          <w:rStyle w:val="AERbody"/>
        </w:rPr>
      </w:pPr>
      <w:r>
        <w:rPr>
          <w:rStyle w:val="AERbody"/>
        </w:rPr>
        <w:t xml:space="preserve">Even if its reasoning were proven, </w:t>
      </w:r>
      <w:r w:rsidRPr="005458A0">
        <w:rPr>
          <w:rStyle w:val="AERbody"/>
        </w:rPr>
        <w:t xml:space="preserve">since the VCR is now back to the previous level, </w:t>
      </w:r>
      <w:r>
        <w:rPr>
          <w:rStyle w:val="AERbody"/>
        </w:rPr>
        <w:t>such adjustment to STPIS performance targets is not required</w:t>
      </w:r>
      <w:r w:rsidRPr="005458A0">
        <w:rPr>
          <w:rStyle w:val="AERbody"/>
        </w:rPr>
        <w:t>––as there should have been a previous equal and opposite adjustment for the 2011–15 performance targets</w:t>
      </w:r>
      <w:r>
        <w:rPr>
          <w:rStyle w:val="AERbody"/>
        </w:rPr>
        <w:t>.</w:t>
      </w:r>
      <w:r w:rsidR="001801C5">
        <w:rPr>
          <w:rStyle w:val="AERbody"/>
        </w:rPr>
        <w:t xml:space="preserve"> Hence, AusNet Servi</w:t>
      </w:r>
      <w:r w:rsidR="009050AE">
        <w:rPr>
          <w:rStyle w:val="AERbody"/>
        </w:rPr>
        <w:t>c</w:t>
      </w:r>
      <w:r w:rsidR="001801C5">
        <w:rPr>
          <w:rStyle w:val="AERbody"/>
        </w:rPr>
        <w:t>es will be financially neutral for the propose</w:t>
      </w:r>
      <w:r w:rsidR="007A6A6C">
        <w:rPr>
          <w:rStyle w:val="AERbody"/>
        </w:rPr>
        <w:t>d</w:t>
      </w:r>
      <w:r w:rsidR="001801C5">
        <w:rPr>
          <w:rStyle w:val="AERbody"/>
        </w:rPr>
        <w:t xml:space="preserve"> STPIS.</w:t>
      </w:r>
    </w:p>
    <w:p w:rsidR="002B37A1" w:rsidRDefault="002B37A1" w:rsidP="00B16708">
      <w:pPr>
        <w:rPr>
          <w:rStyle w:val="AERbody"/>
        </w:rPr>
      </w:pPr>
      <w:r>
        <w:rPr>
          <w:rStyle w:val="AERbody"/>
        </w:rPr>
        <w:t>AusNet Services' revised regulatory proposal disputed a sentence in our preliminary decision that was inconsistent with other parts of the STPIS attachment. That sentence stated that "there is no correlation between VCR and reliability" as opposed to "there is limited correlation between VCR and reliability".</w:t>
      </w:r>
    </w:p>
    <w:p w:rsidR="002B37A1" w:rsidRDefault="002B37A1" w:rsidP="00B16708">
      <w:pPr>
        <w:rPr>
          <w:rStyle w:val="AERbody"/>
        </w:rPr>
      </w:pPr>
      <w:r>
        <w:rPr>
          <w:rStyle w:val="AERbody"/>
        </w:rPr>
        <w:t xml:space="preserve">However, this </w:t>
      </w:r>
      <w:r w:rsidR="007A6A6C">
        <w:rPr>
          <w:rStyle w:val="AERbody"/>
        </w:rPr>
        <w:t>does not change our view</w:t>
      </w:r>
      <w:r>
        <w:rPr>
          <w:rStyle w:val="AERbody"/>
        </w:rPr>
        <w:t xml:space="preserve"> that AusNet Services' has not demonstrated that supply reliability will change immediately after the VCR value has changed.</w:t>
      </w:r>
    </w:p>
    <w:p w:rsidR="002B37A1" w:rsidRDefault="002B37A1" w:rsidP="00067549">
      <w:r>
        <w:t xml:space="preserve">We consider that the operation of the scheme as is, will not affect reliability performance in the short term. Hence no adjustment to the performance target is necessary. That said, </w:t>
      </w:r>
      <w:r w:rsidR="00154F38">
        <w:t xml:space="preserve">we will review the scheme and consult stakeholders on </w:t>
      </w:r>
      <w:r w:rsidR="006043FB">
        <w:t xml:space="preserve">whether or </w:t>
      </w:r>
      <w:r w:rsidR="00154F38">
        <w:t xml:space="preserve">how the scheme </w:t>
      </w:r>
      <w:r w:rsidR="006043FB">
        <w:t>is to be applied</w:t>
      </w:r>
      <w:r w:rsidR="00154F38">
        <w:t xml:space="preserve"> to reflect to reflect step changes in VCR over multiple regulatory control period</w:t>
      </w:r>
      <w:r w:rsidR="006043FB">
        <w:t>s</w:t>
      </w:r>
      <w:r w:rsidR="00154F38">
        <w:t xml:space="preserve"> in the near future</w:t>
      </w:r>
      <w:r>
        <w:t xml:space="preserve">. </w:t>
      </w:r>
    </w:p>
    <w:p w:rsidR="002B37A1" w:rsidRDefault="002B37A1" w:rsidP="000840A8">
      <w:pPr>
        <w:pStyle w:val="Heading2"/>
      </w:pPr>
      <w:bookmarkStart w:id="160" w:name="_Toc433551676"/>
      <w:bookmarkStart w:id="161" w:name="_Ref446502954"/>
      <w:bookmarkStart w:id="162" w:name="_Ref428460458"/>
      <w:bookmarkStart w:id="163" w:name="_Toc428779198"/>
      <w:bookmarkStart w:id="164" w:name="_Toc451529104"/>
      <w:r>
        <w:t>Other considerations in applying the STPIS</w:t>
      </w:r>
      <w:bookmarkEnd w:id="160"/>
      <w:bookmarkEnd w:id="161"/>
      <w:bookmarkEnd w:id="164"/>
      <w:r>
        <w:t xml:space="preserve"> </w:t>
      </w:r>
    </w:p>
    <w:p w:rsidR="002B37A1" w:rsidRDefault="002B37A1" w:rsidP="000121A2">
      <w:pPr>
        <w:pStyle w:val="Heading3"/>
        <w:ind w:left="578" w:hanging="578"/>
      </w:pPr>
      <w:bookmarkStart w:id="165" w:name="_Toc446583925"/>
      <w:bookmarkStart w:id="166" w:name="_Toc451529105"/>
      <w:bookmarkEnd w:id="162"/>
      <w:bookmarkEnd w:id="163"/>
      <w:r>
        <w:t>Adjusting</w:t>
      </w:r>
      <w:r w:rsidRPr="000840A8">
        <w:t xml:space="preserve"> the STPIS targets for</w:t>
      </w:r>
      <w:r w:rsidR="004F6B73">
        <w:t xml:space="preserve"> the installation of</w:t>
      </w:r>
      <w:r w:rsidRPr="000840A8">
        <w:t xml:space="preserve"> </w:t>
      </w:r>
      <w:r w:rsidR="004F6B73">
        <w:t>rapid earth fault current limiters</w:t>
      </w:r>
      <w:bookmarkEnd w:id="165"/>
      <w:bookmarkEnd w:id="166"/>
    </w:p>
    <w:p w:rsidR="00C44ABC" w:rsidRPr="00C44ABC" w:rsidRDefault="00C44ABC" w:rsidP="00C44ABC">
      <w:r w:rsidRPr="009F0CB6">
        <w:t>The Victorian Government submission state</w:t>
      </w:r>
      <w:r w:rsidRPr="00C44ABC">
        <w:t xml:space="preserve">d that there are reliability benefits associated with the installation of </w:t>
      </w:r>
      <w:r w:rsidR="004F6B73">
        <w:t>rapid earth fault current limiters (</w:t>
      </w:r>
      <w:r w:rsidRPr="00C44ABC">
        <w:t>REFCLs</w:t>
      </w:r>
      <w:r w:rsidR="004F6B73">
        <w:t>)</w:t>
      </w:r>
      <w:r w:rsidR="002A575A">
        <w:rPr>
          <w:rStyle w:val="FootnoteReference"/>
        </w:rPr>
        <w:footnoteReference w:id="35"/>
      </w:r>
      <w:r w:rsidRPr="00C44ABC">
        <w:t xml:space="preserve"> and that the AER must take into consideration any potential revenue increments that the distributor will receive under the STPIS.</w:t>
      </w:r>
      <w:r w:rsidRPr="00C44ABC">
        <w:rPr>
          <w:rStyle w:val="FootnoteReference"/>
        </w:rPr>
        <w:footnoteReference w:id="36"/>
      </w:r>
    </w:p>
    <w:p w:rsidR="00C44ABC" w:rsidRPr="00C44ABC" w:rsidRDefault="00C44ABC" w:rsidP="00C44ABC">
      <w:r w:rsidRPr="009F0CB6">
        <w:t>Submissions by Victorian distributors</w:t>
      </w:r>
      <w:r w:rsidRPr="00C44ABC">
        <w:t xml:space="preserve"> (except for United Energy who provided no comment) disagreed with the Victorian Government. In summary, they stated that:</w:t>
      </w:r>
    </w:p>
    <w:p w:rsidR="00C44ABC" w:rsidRPr="00C44ABC" w:rsidRDefault="00C44ABC" w:rsidP="00E27C5F">
      <w:pPr>
        <w:pStyle w:val="AERquoteindent2"/>
      </w:pPr>
      <w:r w:rsidRPr="009F0CB6">
        <w:lastRenderedPageBreak/>
        <w:t>They do not anticipate a material improvement in supply reliability, in fact, they envisaged a possibility that reliability may deteriorate rather than improve as a result of the deployment of REFCL devices in the electricity distribution network.</w:t>
      </w:r>
      <w:r w:rsidRPr="00C44ABC">
        <w:rPr>
          <w:rStyle w:val="FootnoteReference"/>
        </w:rPr>
        <w:footnoteReference w:id="37"/>
      </w:r>
    </w:p>
    <w:p w:rsidR="00D36226" w:rsidRDefault="00D36226" w:rsidP="008E1767">
      <w:r>
        <w:t>AusNet Services submitted that i</w:t>
      </w:r>
      <w:r w:rsidRPr="00D36226">
        <w:t xml:space="preserve">t </w:t>
      </w:r>
      <w:r>
        <w:t>was</w:t>
      </w:r>
      <w:r w:rsidRPr="00D36226">
        <w:t xml:space="preserve"> inappropriate to assume any reliability benefits will </w:t>
      </w:r>
      <w:r w:rsidR="00CE5641">
        <w:t xml:space="preserve">result from </w:t>
      </w:r>
      <w:r w:rsidRPr="00D36226">
        <w:t>the REFCL program</w:t>
      </w:r>
      <w:r>
        <w:t xml:space="preserve"> because of the introduction and then integ</w:t>
      </w:r>
      <w:r w:rsidR="008E1767">
        <w:t>r</w:t>
      </w:r>
      <w:r>
        <w:t>ation of REFCL into AusNet Services network</w:t>
      </w:r>
      <w:r w:rsidRPr="00D36226">
        <w:t>.</w:t>
      </w:r>
      <w:r w:rsidR="008E1767">
        <w:t xml:space="preserve"> Further, </w:t>
      </w:r>
      <w:r>
        <w:t xml:space="preserve">AusNet Services stated that </w:t>
      </w:r>
      <w:r w:rsidRPr="00D36226">
        <w:t>the REFCL installation program will cause significant</w:t>
      </w:r>
      <w:r>
        <w:t xml:space="preserve"> </w:t>
      </w:r>
      <w:r w:rsidRPr="00D36226">
        <w:t xml:space="preserve">interruptions to customer supply, in the short term. </w:t>
      </w:r>
      <w:r w:rsidR="008E1767">
        <w:t xml:space="preserve">It submits that these </w:t>
      </w:r>
      <w:r w:rsidRPr="00D36226">
        <w:t>interruptions will be required to undertake</w:t>
      </w:r>
      <w:r>
        <w:t xml:space="preserve"> </w:t>
      </w:r>
      <w:r w:rsidRPr="00D36226">
        <w:t>network hardening and balancing, which requires disconnection and reconfiguration of the network at</w:t>
      </w:r>
      <w:r>
        <w:t xml:space="preserve"> </w:t>
      </w:r>
      <w:r w:rsidRPr="00D36226">
        <w:t>points along the entire length of the affected power lines.</w:t>
      </w:r>
      <w:r w:rsidR="008E1767">
        <w:rPr>
          <w:rStyle w:val="FootnoteReference"/>
        </w:rPr>
        <w:footnoteReference w:id="38"/>
      </w:r>
    </w:p>
    <w:p w:rsidR="00C44ABC" w:rsidRPr="00C44ABC" w:rsidRDefault="00C44ABC" w:rsidP="00C44ABC">
      <w:r>
        <w:t xml:space="preserve">On balance we consider that </w:t>
      </w:r>
      <w:r w:rsidRPr="009F0CB6">
        <w:t>there is no evidence to suggest that reliability will improve</w:t>
      </w:r>
      <w:r>
        <w:t xml:space="preserve"> because</w:t>
      </w:r>
      <w:r w:rsidRPr="00C44ABC">
        <w:t>:</w:t>
      </w:r>
    </w:p>
    <w:p w:rsidR="00C44ABC" w:rsidRPr="00C44ABC" w:rsidRDefault="007A6A6C" w:rsidP="00C44ABC">
      <w:pPr>
        <w:pStyle w:val="AERbulletlistfirststyle"/>
      </w:pPr>
      <w:r>
        <w:t>AusNet</w:t>
      </w:r>
      <w:r w:rsidRPr="009F0CB6">
        <w:t xml:space="preserve"> </w:t>
      </w:r>
      <w:r w:rsidR="00B34D88">
        <w:t xml:space="preserve">Services </w:t>
      </w:r>
      <w:r w:rsidR="00C44ABC" w:rsidRPr="009F0CB6">
        <w:t>intend</w:t>
      </w:r>
      <w:r w:rsidR="00C44ABC">
        <w:t>s</w:t>
      </w:r>
      <w:r w:rsidR="00C44ABC" w:rsidRPr="009F0CB6">
        <w:t xml:space="preserve"> to operate REFCL on </w:t>
      </w:r>
      <w:r w:rsidR="006043FB">
        <w:t xml:space="preserve">total fire ban </w:t>
      </w:r>
      <w:r w:rsidR="00C44ABC" w:rsidRPr="009F0CB6">
        <w:t>days and as such reliability will worsen rather than improve because of the operations of the devices</w:t>
      </w:r>
      <w:r w:rsidR="00C44ABC" w:rsidRPr="00C44ABC">
        <w:t>.</w:t>
      </w:r>
    </w:p>
    <w:p w:rsidR="006C7D90" w:rsidRDefault="00C44ABC" w:rsidP="00C44ABC">
      <w:pPr>
        <w:pStyle w:val="AERbulletlistfirststyle"/>
      </w:pPr>
      <w:r w:rsidRPr="009F0CB6">
        <w:t xml:space="preserve">most REFCL devices are expected to be installed late in the 2016-20 regulatory control period therefore </w:t>
      </w:r>
      <w:r w:rsidR="00FD1D78">
        <w:t>it is likely</w:t>
      </w:r>
      <w:r w:rsidR="00FD1D78" w:rsidRPr="009F0CB6">
        <w:t xml:space="preserve"> </w:t>
      </w:r>
      <w:r w:rsidRPr="009F0CB6">
        <w:t>reliability benefits will be realised after 2020.</w:t>
      </w:r>
      <w:r w:rsidRPr="00C44ABC">
        <w:rPr>
          <w:rStyle w:val="FootnoteReference"/>
        </w:rPr>
        <w:footnoteReference w:id="39"/>
      </w:r>
    </w:p>
    <w:p w:rsidR="00C44ABC" w:rsidRDefault="006C7D90" w:rsidP="00C44ABC">
      <w:pPr>
        <w:pStyle w:val="AERbulletlistfirststyle"/>
      </w:pPr>
      <w:r>
        <w:t>there is some uncertainty about the precise impacts of REFCLs in the more immediate period on reliability such that precise adjustments to the scheme would be problematic</w:t>
      </w:r>
      <w:r w:rsidR="00A362CD">
        <w:t>.</w:t>
      </w:r>
    </w:p>
    <w:p w:rsidR="002B37A1" w:rsidRPr="00676A83" w:rsidRDefault="002B37A1" w:rsidP="000121A2">
      <w:pPr>
        <w:pStyle w:val="Heading3"/>
        <w:ind w:left="578" w:hanging="578"/>
      </w:pPr>
      <w:bookmarkStart w:id="167" w:name="_Toc446583926"/>
      <w:bookmarkStart w:id="168" w:name="_Toc451529106"/>
      <w:r w:rsidRPr="00676A83">
        <w:t xml:space="preserve">Adjusting the STPIS targets for </w:t>
      </w:r>
      <w:r>
        <w:t>the benefits of smart meters</w:t>
      </w:r>
      <w:bookmarkEnd w:id="167"/>
      <w:bookmarkEnd w:id="168"/>
    </w:p>
    <w:p w:rsidR="002B37A1" w:rsidRPr="00676A83" w:rsidRDefault="002B37A1" w:rsidP="00676A83">
      <w:r w:rsidRPr="00AA3896">
        <w:t>Based on a report by Deloitte in 2011,</w:t>
      </w:r>
      <w:r w:rsidRPr="00676A83">
        <w:rPr>
          <w:rStyle w:val="FootnoteReference"/>
        </w:rPr>
        <w:footnoteReference w:id="40"/>
      </w:r>
      <w:r w:rsidRPr="00676A83">
        <w:t xml:space="preserve"> the Victorian Government suggested that distributors’ historical 5-year average STPIS targets should be adjusted as result of the Advanced Metering Infrastructure (</w:t>
      </w:r>
      <w:r w:rsidR="006043FB">
        <w:t>commonly known as smart meters</w:t>
      </w:r>
      <w:r w:rsidRPr="00676A83">
        <w:t>) program. Specifically, the following benefits were identified in the Deloitte report:</w:t>
      </w:r>
    </w:p>
    <w:p w:rsidR="002B37A1" w:rsidRPr="00676A83" w:rsidRDefault="002B37A1" w:rsidP="00676A83">
      <w:pPr>
        <w:pStyle w:val="AERbulletlistfirststyle"/>
      </w:pPr>
      <w:r w:rsidRPr="00676A83">
        <w:t>Reduction in unserved energy due to faster detection of outages and restoration times</w:t>
      </w:r>
    </w:p>
    <w:p w:rsidR="002B37A1" w:rsidRPr="00676A83" w:rsidRDefault="002B37A1" w:rsidP="00676A83">
      <w:pPr>
        <w:pStyle w:val="AERbulletlistfirststyle"/>
      </w:pPr>
      <w:r w:rsidRPr="00676A83">
        <w:t>Low voltage network monitoring improvement benefits</w:t>
      </w:r>
    </w:p>
    <w:p w:rsidR="002B37A1" w:rsidRPr="00676A83" w:rsidRDefault="002B37A1" w:rsidP="00676A83">
      <w:pPr>
        <w:pStyle w:val="AERbulletlistfirststyle"/>
      </w:pPr>
      <w:r w:rsidRPr="00676A83">
        <w:t>Rural and semi-rural area notification time improvement benefits</w:t>
      </w:r>
    </w:p>
    <w:p w:rsidR="002B37A1" w:rsidRPr="00676A83" w:rsidRDefault="002B37A1" w:rsidP="00676A83">
      <w:pPr>
        <w:pStyle w:val="AERbulletlistfirststyle"/>
      </w:pPr>
      <w:r w:rsidRPr="00676A83">
        <w:t>Outage Management innovation benefits.</w:t>
      </w:r>
    </w:p>
    <w:p w:rsidR="002B37A1" w:rsidRPr="00676A83" w:rsidRDefault="002B37A1" w:rsidP="00676A83">
      <w:r w:rsidRPr="00AA3896">
        <w:lastRenderedPageBreak/>
        <w:t>AusNet Services commented on the issue in its submission dated 4 February 2016 that:</w:t>
      </w:r>
      <w:r w:rsidRPr="00676A83">
        <w:rPr>
          <w:rStyle w:val="FootnoteReference"/>
        </w:rPr>
        <w:footnoteReference w:id="41"/>
      </w:r>
      <w:r w:rsidRPr="00676A83">
        <w:t xml:space="preserve"> </w:t>
      </w:r>
    </w:p>
    <w:p w:rsidR="002B37A1" w:rsidRPr="00676A83" w:rsidRDefault="002B37A1" w:rsidP="00676A83">
      <w:pPr>
        <w:pStyle w:val="AERbulletlistfirststyle"/>
      </w:pPr>
      <w:r w:rsidRPr="00676A83">
        <w:t>Deloitte’s estimated 5 per cent improvement to SAIDI target because of reduction in unserved energy due to faster detection of outages and restoration times are not supported by evidence.</w:t>
      </w:r>
    </w:p>
    <w:p w:rsidR="002B37A1" w:rsidRPr="00676A83" w:rsidRDefault="002B37A1" w:rsidP="00676A83">
      <w:pPr>
        <w:pStyle w:val="AERbulletlistfirststyle"/>
      </w:pPr>
      <w:r w:rsidRPr="00676A83">
        <w:t xml:space="preserve">Deloitte’s estimated 5 per cent improvement to SAIDI target because </w:t>
      </w:r>
      <w:r w:rsidR="00411F5D">
        <w:t>the</w:t>
      </w:r>
      <w:r w:rsidRPr="00676A83">
        <w:t xml:space="preserve"> low voltage network monitoring improvement benefits was unrealistic. The realistic estimate of the improvement in faster detection of outages and restoration times which AMI meters can provide equates to approximately 0.4% of the annual Unplanned SAIDI since AMI meters became functional.</w:t>
      </w:r>
    </w:p>
    <w:p w:rsidR="002B37A1" w:rsidRPr="00676A83" w:rsidRDefault="002B37A1" w:rsidP="00676A83">
      <w:pPr>
        <w:pStyle w:val="AERbulletlistfirststyle"/>
      </w:pPr>
      <w:r w:rsidRPr="00676A83">
        <w:t>Deloitte’s claim of 2 per cent improvement because of improvement to rural and semi-rural area notification time was unrealistic. Because notification of these outages is typically received through direct customer contact or SCADA system alerts, response and travel times are predominantly set by the distance between the affected circuit and the distributor’s nearest resources, and the time to repair and restore supply is determined by the information provided by fault crews, customers or emergency services on the nature of the network fault and by the speed of the distributor to divert material and resources from other works to the unplanned event.</w:t>
      </w:r>
    </w:p>
    <w:p w:rsidR="002B37A1" w:rsidRPr="00676A83" w:rsidRDefault="002B37A1" w:rsidP="00676A83">
      <w:pPr>
        <w:pStyle w:val="AERbulletlistfirststyle"/>
      </w:pPr>
      <w:r w:rsidRPr="00676A83">
        <w:t>Deloitte’s claim of 1 per cent improvement because of improved Outage Management System innovation achieved by AMI data was not based on thorough quantitative analysis, despite acknowledging that “it is likely that given this additional information, innovative strategies will be developed over time to improve outage times. However, this additional benefit is difficult to quantify”. While AMI meters have the potential to create Outage Management System and other reliability benefits going forward, investment is required to realise these benefits. The deployment of AMI has not, and does not, automatically allow these benefits to be realised.</w:t>
      </w:r>
    </w:p>
    <w:p w:rsidR="002B37A1" w:rsidRPr="00676A83" w:rsidRDefault="002B37A1" w:rsidP="00676A83">
      <w:r w:rsidRPr="00AA3896">
        <w:t>In consideration that only Jemena and AusNet Services achieved performance improvement in the last regulatory period, whereas the other three distributors––all achieved a very high rate of AMI implementation––did not report improvement in supply reliability, we consider that Deloitte’s 2011 estimate of supply reliability improvements are not supported by the reported evidence.</w:t>
      </w:r>
    </w:p>
    <w:p w:rsidR="002B37A1" w:rsidRDefault="002B37A1" w:rsidP="00F6579A">
      <w:r>
        <w:t xml:space="preserve">In light of the above, we consider </w:t>
      </w:r>
      <w:r w:rsidR="00FD3CCF">
        <w:t xml:space="preserve">there is insufficient evidence in order for us to adjust the performance </w:t>
      </w:r>
      <w:r>
        <w:t>for the effects of smart meters.</w:t>
      </w:r>
    </w:p>
    <w:p w:rsidR="00411F5D" w:rsidRDefault="00411F5D" w:rsidP="00F6579A"/>
    <w:p w:rsidR="002B37A1" w:rsidRPr="00087EBB" w:rsidRDefault="002B37A1" w:rsidP="000121A2">
      <w:pPr>
        <w:pStyle w:val="Heading3"/>
        <w:ind w:left="578" w:hanging="578"/>
        <w:rPr>
          <w:rStyle w:val="IntenseEmphasis"/>
          <w:rFonts w:eastAsiaTheme="minorHAnsi" w:cstheme="minorBidi"/>
          <w:b/>
          <w:bCs/>
          <w:i w:val="0"/>
          <w:iCs w:val="0"/>
          <w:color w:val="70635A" w:themeColor="text2"/>
          <w:sz w:val="22"/>
        </w:rPr>
      </w:pPr>
      <w:bookmarkStart w:id="169" w:name="_Ref446318506"/>
      <w:bookmarkStart w:id="170" w:name="_Toc446583927"/>
      <w:bookmarkStart w:id="171" w:name="_Toc451529107"/>
      <w:r w:rsidRPr="00087EBB">
        <w:rPr>
          <w:rStyle w:val="IntenseEmphasis"/>
          <w:b/>
          <w:bCs/>
          <w:i w:val="0"/>
          <w:iCs w:val="0"/>
          <w:color w:val="70635A" w:themeColor="text2"/>
        </w:rPr>
        <w:lastRenderedPageBreak/>
        <w:t xml:space="preserve">Adjusting the performance targets for animal proofing capex and </w:t>
      </w:r>
      <w:r w:rsidR="00231487" w:rsidRPr="00231487">
        <w:t xml:space="preserve">Automatic Circuit Reclosers </w:t>
      </w:r>
      <w:r w:rsidRPr="00087EBB">
        <w:rPr>
          <w:rStyle w:val="IntenseEmphasis"/>
          <w:b/>
          <w:bCs/>
          <w:i w:val="0"/>
          <w:iCs w:val="0"/>
          <w:color w:val="70635A" w:themeColor="text2"/>
        </w:rPr>
        <w:t>that affect reliability</w:t>
      </w:r>
      <w:bookmarkEnd w:id="169"/>
      <w:bookmarkEnd w:id="170"/>
      <w:bookmarkEnd w:id="171"/>
    </w:p>
    <w:p w:rsidR="002B37A1" w:rsidRDefault="002B37A1" w:rsidP="00087EBB">
      <w:r w:rsidRPr="00AA3896">
        <w:t xml:space="preserve">In its submission, the Victorian Government noted that </w:t>
      </w:r>
      <w:r>
        <w:t>we</w:t>
      </w:r>
      <w:r w:rsidRPr="00087EBB">
        <w:t xml:space="preserve"> accepted capital expenditure of $57.1 million over the 2016</w:t>
      </w:r>
      <w:r w:rsidR="00B32060">
        <w:t>–</w:t>
      </w:r>
      <w:r w:rsidRPr="00087EBB">
        <w:t>20 regulatory control period for more animal and bird proofing. It stated that the reliability benefits associated with this additional bird and animal proofing should also be taken into consideration in determining AusNet Services’ performance targets for the 2016</w:t>
      </w:r>
      <w:r w:rsidR="00B32060">
        <w:t>–</w:t>
      </w:r>
      <w:r w:rsidRPr="00087EBB">
        <w:t>20 regulatory control period.</w:t>
      </w:r>
      <w:r w:rsidRPr="00087EBB">
        <w:rPr>
          <w:rStyle w:val="FootnoteReference"/>
        </w:rPr>
        <w:footnoteReference w:id="42"/>
      </w:r>
      <w:r w:rsidRPr="00087EBB">
        <w:t xml:space="preserve"> It also stated that AusNet Services’ STPIS performance targets should be adjusted to account for the ‘material’ reliability benefits obtained from investments associated with the installation of </w:t>
      </w:r>
      <w:r w:rsidR="00074E52" w:rsidRPr="00231487">
        <w:t xml:space="preserve">Automatic Circuit Reclosers </w:t>
      </w:r>
      <w:r w:rsidR="00074E52">
        <w:t>(</w:t>
      </w:r>
      <w:r w:rsidR="00074E52" w:rsidRPr="00087EBB">
        <w:t>ACRs</w:t>
      </w:r>
      <w:r w:rsidR="00074E52">
        <w:t>)</w:t>
      </w:r>
      <w:r>
        <w:t xml:space="preserve"> in 2011–15</w:t>
      </w:r>
      <w:r w:rsidRPr="00087EBB">
        <w:t>.</w:t>
      </w:r>
    </w:p>
    <w:p w:rsidR="002B37A1" w:rsidRPr="00087EBB" w:rsidRDefault="002B37A1" w:rsidP="00E82771">
      <w:r w:rsidRPr="00AA3896">
        <w:t xml:space="preserve">AusNet Services </w:t>
      </w:r>
      <w:r w:rsidRPr="00087EBB">
        <w:t>stated that the Victorian Government appears to have misunderstood the reliability impacts of the ACR upgrade program. ACRs have been upgraded on AusNet Services’ network to allow remote changes to operational settings for days of high bushfire risk. Prior to this upgrade the ACRs were configured to provide optimal reliability. Contrary to this submission, the use of upgraded ACRs will result in lower reliability due to longer duration outages because on days of high bushfire risk the reclose function will be suppressed to limit the risk of bushfire ignition. This means that in circumstances where previously outages were automatically restored, the outage will only be restored after manual inspection.</w:t>
      </w:r>
      <w:r>
        <w:t xml:space="preserve"> For these reasons we consider an adjustment to the STPIS targets to account for the investment in ACRs </w:t>
      </w:r>
      <w:r w:rsidR="00231487">
        <w:t xml:space="preserve">during the </w:t>
      </w:r>
      <w:r>
        <w:t>2011–15</w:t>
      </w:r>
      <w:r w:rsidR="00625252">
        <w:t xml:space="preserve"> </w:t>
      </w:r>
      <w:r w:rsidR="009050AE">
        <w:t xml:space="preserve">regulatory </w:t>
      </w:r>
      <w:r w:rsidR="00625252">
        <w:t>period</w:t>
      </w:r>
      <w:r w:rsidR="00231487">
        <w:t xml:space="preserve"> is not necessary</w:t>
      </w:r>
      <w:r>
        <w:t>.</w:t>
      </w:r>
      <w:r w:rsidR="00A16825">
        <w:rPr>
          <w:rStyle w:val="FootnoteReference"/>
        </w:rPr>
        <w:footnoteReference w:id="43"/>
      </w:r>
    </w:p>
    <w:p w:rsidR="002B37A1" w:rsidRDefault="006C7D90" w:rsidP="00087EBB">
      <w:r>
        <w:t>However</w:t>
      </w:r>
      <w:r w:rsidR="00FD3CCF">
        <w:t xml:space="preserve">, </w:t>
      </w:r>
      <w:r>
        <w:t xml:space="preserve">there is merit </w:t>
      </w:r>
      <w:r w:rsidR="00411F5D">
        <w:t>in adjusting</w:t>
      </w:r>
      <w:r w:rsidR="002B37A1">
        <w:t xml:space="preserve"> the STPIS targets for reliability improvements resulting from animal proofing capex for 2016–20. </w:t>
      </w:r>
      <w:r w:rsidR="002B37A1" w:rsidRPr="00087EBB">
        <w:t xml:space="preserve">As </w:t>
      </w:r>
      <w:r w:rsidR="002A575A">
        <w:t xml:space="preserve">the </w:t>
      </w:r>
      <w:r w:rsidR="002B37A1" w:rsidRPr="00087EBB">
        <w:t>animal proofing</w:t>
      </w:r>
      <w:r w:rsidR="002A575A">
        <w:t xml:space="preserve"> program will significantly reduce the </w:t>
      </w:r>
      <w:r w:rsidR="00411F5D">
        <w:t>occurrence</w:t>
      </w:r>
      <w:r w:rsidR="002A575A">
        <w:t xml:space="preserve"> of </w:t>
      </w:r>
      <w:r w:rsidR="00597FE2">
        <w:t>network faults due to animal contacts, this</w:t>
      </w:r>
      <w:r w:rsidR="002B37A1" w:rsidRPr="00087EBB">
        <w:t xml:space="preserve"> capex </w:t>
      </w:r>
      <w:r w:rsidR="00597FE2">
        <w:t xml:space="preserve">will </w:t>
      </w:r>
      <w:r w:rsidR="002B37A1" w:rsidRPr="00087EBB">
        <w:t>directly affect reliability</w:t>
      </w:r>
      <w:r w:rsidR="00597FE2">
        <w:t>.</w:t>
      </w:r>
      <w:r w:rsidR="002B37A1" w:rsidRPr="00087EBB">
        <w:t xml:space="preserve"> </w:t>
      </w:r>
      <w:r w:rsidR="00597FE2">
        <w:t xml:space="preserve">Hence, </w:t>
      </w:r>
      <w:r w:rsidR="002B37A1" w:rsidRPr="00087EBB">
        <w:t xml:space="preserve">the performance targets </w:t>
      </w:r>
      <w:r>
        <w:t xml:space="preserve">should </w:t>
      </w:r>
      <w:r w:rsidR="002B37A1" w:rsidRPr="00087EBB">
        <w:t xml:space="preserve">be adjusted to reflect the reliability improvements as per the scheme. This program was approved for safety reasons but the reliability </w:t>
      </w:r>
      <w:r w:rsidR="002B37A1">
        <w:t xml:space="preserve">benefits </w:t>
      </w:r>
      <w:r w:rsidR="002B37A1" w:rsidRPr="00087EBB">
        <w:t xml:space="preserve">still need to be accounted for in the STPIS. </w:t>
      </w:r>
      <w:r w:rsidR="002B37A1">
        <w:t xml:space="preserve">Consequently, we </w:t>
      </w:r>
      <w:r w:rsidR="002B37A1" w:rsidRPr="00087EBB">
        <w:t xml:space="preserve">requested AusNet Services to calculate the reliability benefits of this capex program and </w:t>
      </w:r>
      <w:r w:rsidR="002B37A1">
        <w:t xml:space="preserve">have </w:t>
      </w:r>
      <w:r w:rsidR="002B37A1" w:rsidRPr="00087EBB">
        <w:t>adjust</w:t>
      </w:r>
      <w:r w:rsidR="002B37A1">
        <w:t>ed</w:t>
      </w:r>
      <w:r w:rsidR="002B37A1" w:rsidRPr="00087EBB">
        <w:t xml:space="preserve"> the performance targets in th</w:t>
      </w:r>
      <w:r w:rsidR="002B37A1">
        <w:t>is</w:t>
      </w:r>
      <w:r w:rsidR="002B37A1" w:rsidRPr="00087EBB">
        <w:t xml:space="preserve"> final decision.</w:t>
      </w:r>
      <w:r w:rsidR="00A16825">
        <w:rPr>
          <w:rStyle w:val="FootnoteReference"/>
        </w:rPr>
        <w:footnoteReference w:id="44"/>
      </w:r>
      <w:r w:rsidR="002B37A1">
        <w:t xml:space="preserve"> The adjustments are found below.</w:t>
      </w:r>
    </w:p>
    <w:p w:rsidR="002B37A1" w:rsidRPr="00704CD0" w:rsidRDefault="002B37A1" w:rsidP="00411F5D">
      <w:pPr>
        <w:pStyle w:val="Caption"/>
      </w:pPr>
      <w:r>
        <w:lastRenderedPageBreak/>
        <w:t xml:space="preserve">Table </w:t>
      </w:r>
      <w:r w:rsidR="00B32060">
        <w:fldChar w:fldCharType="begin"/>
      </w:r>
      <w:r w:rsidR="00B32060">
        <w:instrText xml:space="preserve"> STYLEREF 1 \s </w:instrText>
      </w:r>
      <w:r w:rsidR="00B32060">
        <w:fldChar w:fldCharType="separate"/>
      </w:r>
      <w:r w:rsidR="00B32060">
        <w:rPr>
          <w:noProof/>
        </w:rPr>
        <w:t>11</w:t>
      </w:r>
      <w:r w:rsidR="00B32060">
        <w:fldChar w:fldCharType="end"/>
      </w:r>
      <w:r w:rsidR="00B32060">
        <w:t>.</w:t>
      </w:r>
      <w:r w:rsidR="00B32060">
        <w:fldChar w:fldCharType="begin"/>
      </w:r>
      <w:r w:rsidR="00B32060">
        <w:instrText xml:space="preserve"> SEQ Table \* ARABIC \s 1 </w:instrText>
      </w:r>
      <w:r w:rsidR="00B32060">
        <w:fldChar w:fldCharType="separate"/>
      </w:r>
      <w:r w:rsidR="00B32060">
        <w:rPr>
          <w:noProof/>
        </w:rPr>
        <w:t>5</w:t>
      </w:r>
      <w:r w:rsidR="00B32060">
        <w:fldChar w:fldCharType="end"/>
      </w:r>
      <w:r>
        <w:tab/>
      </w:r>
      <w:r w:rsidRPr="00704CD0">
        <w:t xml:space="preserve">Final decision—STPIS </w:t>
      </w:r>
      <w:r>
        <w:t xml:space="preserve">adjustments for animal proofing capex </w:t>
      </w:r>
    </w:p>
    <w:tbl>
      <w:tblPr>
        <w:tblStyle w:val="AERtable-numbers"/>
        <w:tblW w:w="8240" w:type="dxa"/>
        <w:tblLook w:val="04A0" w:firstRow="1" w:lastRow="0" w:firstColumn="1" w:lastColumn="0" w:noHBand="0" w:noVBand="1"/>
      </w:tblPr>
      <w:tblGrid>
        <w:gridCol w:w="2260"/>
        <w:gridCol w:w="1180"/>
        <w:gridCol w:w="960"/>
        <w:gridCol w:w="960"/>
        <w:gridCol w:w="960"/>
        <w:gridCol w:w="960"/>
        <w:gridCol w:w="960"/>
      </w:tblGrid>
      <w:tr w:rsidR="002B37A1" w:rsidRPr="002B37A1" w:rsidTr="002B37A1">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440" w:type="dxa"/>
            <w:gridSpan w:val="2"/>
            <w:noWrap/>
            <w:hideMark/>
          </w:tcPr>
          <w:p w:rsidR="002B37A1" w:rsidRPr="002B37A1" w:rsidRDefault="002B37A1" w:rsidP="000121A2">
            <w:pPr>
              <w:keepNext/>
            </w:pPr>
          </w:p>
        </w:tc>
        <w:tc>
          <w:tcPr>
            <w:tcW w:w="960" w:type="dxa"/>
            <w:noWrap/>
            <w:hideMark/>
          </w:tcPr>
          <w:p w:rsidR="002B37A1" w:rsidRPr="002B37A1" w:rsidRDefault="002B37A1" w:rsidP="000121A2">
            <w:pPr>
              <w:keepNext/>
              <w:cnfStyle w:val="100000000000" w:firstRow="1" w:lastRow="0" w:firstColumn="0" w:lastColumn="0" w:oddVBand="0" w:evenVBand="0" w:oddHBand="0" w:evenHBand="0" w:firstRowFirstColumn="0" w:firstRowLastColumn="0" w:lastRowFirstColumn="0" w:lastRowLastColumn="0"/>
            </w:pPr>
            <w:r w:rsidRPr="002B37A1">
              <w:t>2016</w:t>
            </w:r>
          </w:p>
        </w:tc>
        <w:tc>
          <w:tcPr>
            <w:tcW w:w="960" w:type="dxa"/>
            <w:noWrap/>
            <w:hideMark/>
          </w:tcPr>
          <w:p w:rsidR="002B37A1" w:rsidRPr="002B37A1" w:rsidRDefault="002B37A1" w:rsidP="000121A2">
            <w:pPr>
              <w:keepNext/>
              <w:cnfStyle w:val="100000000000" w:firstRow="1" w:lastRow="0" w:firstColumn="0" w:lastColumn="0" w:oddVBand="0" w:evenVBand="0" w:oddHBand="0" w:evenHBand="0" w:firstRowFirstColumn="0" w:firstRowLastColumn="0" w:lastRowFirstColumn="0" w:lastRowLastColumn="0"/>
            </w:pPr>
            <w:r w:rsidRPr="002B37A1">
              <w:t>2017</w:t>
            </w:r>
          </w:p>
        </w:tc>
        <w:tc>
          <w:tcPr>
            <w:tcW w:w="960" w:type="dxa"/>
            <w:noWrap/>
            <w:hideMark/>
          </w:tcPr>
          <w:p w:rsidR="002B37A1" w:rsidRPr="002B37A1" w:rsidRDefault="002B37A1" w:rsidP="000121A2">
            <w:pPr>
              <w:keepNext/>
              <w:cnfStyle w:val="100000000000" w:firstRow="1" w:lastRow="0" w:firstColumn="0" w:lastColumn="0" w:oddVBand="0" w:evenVBand="0" w:oddHBand="0" w:evenHBand="0" w:firstRowFirstColumn="0" w:firstRowLastColumn="0" w:lastRowFirstColumn="0" w:lastRowLastColumn="0"/>
            </w:pPr>
            <w:r w:rsidRPr="002B37A1">
              <w:t>2018</w:t>
            </w:r>
          </w:p>
        </w:tc>
        <w:tc>
          <w:tcPr>
            <w:tcW w:w="960" w:type="dxa"/>
            <w:noWrap/>
            <w:hideMark/>
          </w:tcPr>
          <w:p w:rsidR="002B37A1" w:rsidRPr="002B37A1" w:rsidRDefault="002B37A1" w:rsidP="000121A2">
            <w:pPr>
              <w:keepNext/>
              <w:cnfStyle w:val="100000000000" w:firstRow="1" w:lastRow="0" w:firstColumn="0" w:lastColumn="0" w:oddVBand="0" w:evenVBand="0" w:oddHBand="0" w:evenHBand="0" w:firstRowFirstColumn="0" w:firstRowLastColumn="0" w:lastRowFirstColumn="0" w:lastRowLastColumn="0"/>
            </w:pPr>
            <w:r w:rsidRPr="002B37A1">
              <w:t>2019</w:t>
            </w:r>
          </w:p>
        </w:tc>
        <w:tc>
          <w:tcPr>
            <w:tcW w:w="960" w:type="dxa"/>
            <w:noWrap/>
            <w:hideMark/>
          </w:tcPr>
          <w:p w:rsidR="002B37A1" w:rsidRPr="002B37A1" w:rsidRDefault="002B37A1" w:rsidP="000121A2">
            <w:pPr>
              <w:keepNext/>
              <w:cnfStyle w:val="100000000000" w:firstRow="1" w:lastRow="0" w:firstColumn="0" w:lastColumn="0" w:oddVBand="0" w:evenVBand="0" w:oddHBand="0" w:evenHBand="0" w:firstRowFirstColumn="0" w:firstRowLastColumn="0" w:lastRowFirstColumn="0" w:lastRowLastColumn="0"/>
            </w:pPr>
            <w:r w:rsidRPr="002B37A1">
              <w:t>2020</w:t>
            </w:r>
          </w:p>
        </w:tc>
      </w:tr>
      <w:tr w:rsidR="002B37A1" w:rsidRPr="002B37A1" w:rsidTr="00231487">
        <w:trPr>
          <w:trHeight w:val="300"/>
        </w:trPr>
        <w:tc>
          <w:tcPr>
            <w:cnfStyle w:val="001000000000" w:firstRow="0" w:lastRow="0" w:firstColumn="1" w:lastColumn="0" w:oddVBand="0" w:evenVBand="0" w:oddHBand="0" w:evenHBand="0" w:firstRowFirstColumn="0" w:firstRowLastColumn="0" w:lastRowFirstColumn="0" w:lastRowLastColumn="0"/>
            <w:tcW w:w="2260" w:type="dxa"/>
            <w:vMerge w:val="restart"/>
            <w:hideMark/>
          </w:tcPr>
          <w:p w:rsidR="002B37A1" w:rsidRPr="002B37A1" w:rsidRDefault="002B37A1" w:rsidP="000121A2">
            <w:pPr>
              <w:keepNext/>
            </w:pPr>
            <w:r w:rsidRPr="002B37A1">
              <w:t>Total sustained customer interruptions after removing excluded events</w:t>
            </w:r>
          </w:p>
        </w:tc>
        <w:tc>
          <w:tcPr>
            <w:tcW w:w="118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r>
      <w:tr w:rsidR="002B37A1" w:rsidRPr="002B37A1" w:rsidTr="002B37A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Urban</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0.2</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0.5</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0.8</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1.1</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1.4</w:t>
            </w:r>
          </w:p>
        </w:tc>
      </w:tr>
      <w:tr w:rsidR="002B37A1" w:rsidRPr="002B37A1" w:rsidTr="002B37A1">
        <w:trPr>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Short Rural</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0.2</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0.7</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1.1</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1.6</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2.0</w:t>
            </w:r>
          </w:p>
        </w:tc>
      </w:tr>
      <w:tr w:rsidR="002B37A1" w:rsidRPr="002B37A1" w:rsidTr="002B37A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Long Rural</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0.3</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0.9</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1.6</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2.2</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2.8</w:t>
            </w:r>
          </w:p>
        </w:tc>
      </w:tr>
      <w:tr w:rsidR="002B37A1" w:rsidRPr="002B37A1" w:rsidTr="002B37A1">
        <w:trPr>
          <w:trHeight w:val="300"/>
        </w:trPr>
        <w:tc>
          <w:tcPr>
            <w:cnfStyle w:val="001000000000" w:firstRow="0" w:lastRow="0" w:firstColumn="1" w:lastColumn="0" w:oddVBand="0" w:evenVBand="0" w:oddHBand="0" w:evenHBand="0" w:firstRowFirstColumn="0" w:firstRowLastColumn="0" w:lastRowFirstColumn="0" w:lastRowLastColumn="0"/>
            <w:tcW w:w="2260" w:type="dxa"/>
            <w:noWrap/>
            <w:hideMark/>
          </w:tcPr>
          <w:p w:rsidR="002B37A1" w:rsidRPr="002B37A1" w:rsidRDefault="002B37A1" w:rsidP="000121A2">
            <w:pPr>
              <w:keepNext/>
            </w:pPr>
          </w:p>
        </w:tc>
        <w:tc>
          <w:tcPr>
            <w:tcW w:w="118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r>
      <w:tr w:rsidR="002B37A1" w:rsidRPr="002B37A1" w:rsidTr="0023148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vMerge w:val="restart"/>
            <w:hideMark/>
          </w:tcPr>
          <w:p w:rsidR="002B37A1" w:rsidRPr="002B37A1" w:rsidRDefault="002B37A1" w:rsidP="000121A2">
            <w:pPr>
              <w:keepNext/>
            </w:pPr>
            <w:r w:rsidRPr="002B37A1">
              <w:t>Total sustained customer interruptions after removing excluded events</w:t>
            </w:r>
          </w:p>
        </w:tc>
        <w:tc>
          <w:tcPr>
            <w:tcW w:w="1180" w:type="dxa"/>
            <w:noWrap/>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r>
      <w:tr w:rsidR="002B37A1" w:rsidRPr="002B37A1" w:rsidTr="002B37A1">
        <w:trPr>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Urban</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0.003</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0.008</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0.014</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0.019</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0.025</w:t>
            </w:r>
          </w:p>
        </w:tc>
      </w:tr>
      <w:tr w:rsidR="002B37A1" w:rsidRPr="002B37A1" w:rsidTr="002B37A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Short Rural</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0.004</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0.011</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0.019</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0.026</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0.034</w:t>
            </w:r>
          </w:p>
        </w:tc>
      </w:tr>
      <w:tr w:rsidR="002B37A1" w:rsidRPr="002B37A1" w:rsidTr="002B37A1">
        <w:trPr>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Long Rural</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0.005</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0.014</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0.023</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0.033</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0.042</w:t>
            </w:r>
          </w:p>
        </w:tc>
      </w:tr>
      <w:tr w:rsidR="002B37A1" w:rsidRPr="002B37A1" w:rsidTr="002B37A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noWrap/>
            <w:hideMark/>
          </w:tcPr>
          <w:p w:rsidR="002B37A1" w:rsidRPr="002B37A1" w:rsidRDefault="002B37A1" w:rsidP="000121A2">
            <w:pPr>
              <w:keepNext/>
            </w:pPr>
          </w:p>
        </w:tc>
        <w:tc>
          <w:tcPr>
            <w:tcW w:w="118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p>
        </w:tc>
      </w:tr>
      <w:tr w:rsidR="002B37A1" w:rsidRPr="002B37A1" w:rsidTr="00231487">
        <w:trPr>
          <w:trHeight w:val="315"/>
        </w:trPr>
        <w:tc>
          <w:tcPr>
            <w:cnfStyle w:val="001000000000" w:firstRow="0" w:lastRow="0" w:firstColumn="1" w:lastColumn="0" w:oddVBand="0" w:evenVBand="0" w:oddHBand="0" w:evenHBand="0" w:firstRowFirstColumn="0" w:firstRowLastColumn="0" w:lastRowFirstColumn="0" w:lastRowLastColumn="0"/>
            <w:tcW w:w="2260" w:type="dxa"/>
            <w:vMerge w:val="restart"/>
            <w:hideMark/>
          </w:tcPr>
          <w:p w:rsidR="002B37A1" w:rsidRPr="002B37A1" w:rsidRDefault="002B37A1" w:rsidP="000121A2">
            <w:pPr>
              <w:keepNext/>
            </w:pPr>
            <w:r w:rsidRPr="002B37A1">
              <w:t>Total sustained customer interruptions after removing excluded events</w:t>
            </w:r>
          </w:p>
        </w:tc>
        <w:tc>
          <w:tcPr>
            <w:tcW w:w="118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c>
          <w:tcPr>
            <w:tcW w:w="960" w:type="dxa"/>
            <w:noWrap/>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p>
        </w:tc>
      </w:tr>
      <w:tr w:rsidR="002B37A1" w:rsidRPr="002B37A1" w:rsidTr="002B37A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Urban</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0.001</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0.003</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0.005</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0.007</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0.009</w:t>
            </w:r>
          </w:p>
        </w:tc>
      </w:tr>
      <w:tr w:rsidR="002B37A1" w:rsidRPr="002B37A1" w:rsidTr="002B37A1">
        <w:trPr>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Short Rural</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0.003</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0.008</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0.014</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0.019</w:t>
            </w:r>
          </w:p>
        </w:tc>
        <w:tc>
          <w:tcPr>
            <w:tcW w:w="960" w:type="dxa"/>
            <w:noWrap/>
            <w:hideMark/>
          </w:tcPr>
          <w:p w:rsidR="002B37A1" w:rsidRPr="002B37A1" w:rsidRDefault="002B37A1" w:rsidP="000121A2">
            <w:pPr>
              <w:keepNext/>
              <w:cnfStyle w:val="000000000000" w:firstRow="0" w:lastRow="0" w:firstColumn="0" w:lastColumn="0" w:oddVBand="0" w:evenVBand="0" w:oddHBand="0" w:evenHBand="0" w:firstRowFirstColumn="0" w:firstRowLastColumn="0" w:lastRowFirstColumn="0" w:lastRowLastColumn="0"/>
            </w:pPr>
            <w:r w:rsidRPr="002B37A1">
              <w:t>0.025</w:t>
            </w:r>
          </w:p>
        </w:tc>
      </w:tr>
      <w:tr w:rsidR="002B37A1" w:rsidRPr="002B37A1" w:rsidTr="002B37A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vMerge/>
            <w:hideMark/>
          </w:tcPr>
          <w:p w:rsidR="002B37A1" w:rsidRPr="002B37A1" w:rsidRDefault="002B37A1" w:rsidP="000121A2">
            <w:pPr>
              <w:keepNext/>
            </w:pPr>
          </w:p>
        </w:tc>
        <w:tc>
          <w:tcPr>
            <w:tcW w:w="118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Long Rural</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0.003</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0.009</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0.015</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0.021</w:t>
            </w:r>
          </w:p>
        </w:tc>
        <w:tc>
          <w:tcPr>
            <w:tcW w:w="960" w:type="dxa"/>
            <w:noWrap/>
            <w:hideMark/>
          </w:tcPr>
          <w:p w:rsidR="002B37A1" w:rsidRPr="002B37A1" w:rsidRDefault="002B37A1" w:rsidP="000121A2">
            <w:pPr>
              <w:keepNext/>
              <w:cnfStyle w:val="000000010000" w:firstRow="0" w:lastRow="0" w:firstColumn="0" w:lastColumn="0" w:oddVBand="0" w:evenVBand="0" w:oddHBand="0" w:evenHBand="1" w:firstRowFirstColumn="0" w:firstRowLastColumn="0" w:lastRowFirstColumn="0" w:lastRowLastColumn="0"/>
            </w:pPr>
            <w:r w:rsidRPr="002B37A1">
              <w:t>0.026</w:t>
            </w:r>
          </w:p>
        </w:tc>
      </w:tr>
    </w:tbl>
    <w:p w:rsidR="002B37A1" w:rsidRDefault="00FD3CCF" w:rsidP="000121A2">
      <w:pPr>
        <w:pStyle w:val="AERtablesource"/>
        <w:keepNext/>
      </w:pPr>
      <w:r>
        <w:t>Source:</w:t>
      </w:r>
      <w:r>
        <w:tab/>
        <w:t>AusNet Services</w:t>
      </w:r>
      <w:r w:rsidR="00B32060">
        <w:t>.</w:t>
      </w:r>
      <w:r>
        <w:t xml:space="preserve"> </w:t>
      </w:r>
    </w:p>
    <w:p w:rsidR="002B37A1" w:rsidRPr="00B16708" w:rsidRDefault="002B37A1" w:rsidP="000121A2">
      <w:pPr>
        <w:pStyle w:val="Heading3"/>
        <w:ind w:left="578" w:hanging="578"/>
      </w:pPr>
      <w:bookmarkStart w:id="172" w:name="_Toc428779200"/>
      <w:bookmarkStart w:id="173" w:name="_Toc433551678"/>
      <w:bookmarkStart w:id="174" w:name="_Toc446583928"/>
      <w:bookmarkStart w:id="175" w:name="_Toc451529108"/>
      <w:r>
        <w:t xml:space="preserve">Amending </w:t>
      </w:r>
      <w:r w:rsidRPr="00B16708">
        <w:t xml:space="preserve">the STPIS </w:t>
      </w:r>
      <w:r>
        <w:t>exclusion criterion to account for interruptions caused by REFCL devices</w:t>
      </w:r>
      <w:bookmarkEnd w:id="172"/>
      <w:bookmarkEnd w:id="173"/>
      <w:bookmarkEnd w:id="174"/>
      <w:bookmarkEnd w:id="175"/>
    </w:p>
    <w:p w:rsidR="00A73E5B" w:rsidRPr="00A73E5B" w:rsidRDefault="00A73E5B" w:rsidP="00A73E5B">
      <w:pPr>
        <w:rPr>
          <w:rStyle w:val="IntenseEmphasis"/>
        </w:rPr>
      </w:pPr>
      <w:r w:rsidRPr="00A73E5B">
        <w:t xml:space="preserve">AusNet Service </w:t>
      </w:r>
      <w:r w:rsidR="005D6F1B">
        <w:t>proposed to add a new exclusion criterion to the scheme to exclu</w:t>
      </w:r>
      <w:r w:rsidR="006C7D90">
        <w:t>de</w:t>
      </w:r>
      <w:r w:rsidR="005D6F1B">
        <w:t xml:space="preserve"> </w:t>
      </w:r>
      <w:r w:rsidRPr="00A73E5B">
        <w:t>interruptions caused by the operation of REFCL devices from the STPIS</w:t>
      </w:r>
      <w:r w:rsidR="005D6F1B">
        <w:t xml:space="preserve"> performance calculation</w:t>
      </w:r>
      <w:r w:rsidRPr="00A73E5B">
        <w:t xml:space="preserve"> </w:t>
      </w:r>
      <w:r w:rsidR="005D6F1B">
        <w:t>because</w:t>
      </w:r>
      <w:r w:rsidRPr="00A73E5B">
        <w:t xml:space="preserve"> it consider</w:t>
      </w:r>
      <w:r w:rsidR="005D6F1B">
        <w:t>ed</w:t>
      </w:r>
      <w:r w:rsidRPr="00A73E5B">
        <w:t xml:space="preserve"> that the use of REFCLs is mandatory</w:t>
      </w:r>
      <w:r w:rsidR="00A16825">
        <w:t>. The criteria is</w:t>
      </w:r>
      <w:r w:rsidRPr="00A73E5B">
        <w:t xml:space="preserve"> similar to a current exclusion for certain supply interruptions caused by the suppression of automatic reclose devices during total fire ban days</w:t>
      </w:r>
      <w:r w:rsidR="00FD3CCF">
        <w:t>.</w:t>
      </w:r>
      <w:r w:rsidR="00A16825">
        <w:rPr>
          <w:rStyle w:val="FootnoteReference"/>
        </w:rPr>
        <w:footnoteReference w:id="45"/>
      </w:r>
    </w:p>
    <w:p w:rsidR="00A73E5B" w:rsidRPr="00A73E5B" w:rsidRDefault="00A73E5B" w:rsidP="00A73E5B">
      <w:pPr>
        <w:rPr>
          <w:rStyle w:val="IntenseEmphasis"/>
        </w:rPr>
      </w:pPr>
      <w:r w:rsidRPr="00A73E5B">
        <w:t>The Victorian Government did not support the exclusion of the operation of REFCL devices or auto</w:t>
      </w:r>
      <w:r w:rsidR="006C7D90">
        <w:t>-</w:t>
      </w:r>
      <w:r w:rsidRPr="00A73E5B">
        <w:t>reclose devices from the STPIS</w:t>
      </w:r>
      <w:r w:rsidR="00F636D6">
        <w:t xml:space="preserve">. It stated that </w:t>
      </w:r>
      <w:r w:rsidRPr="00A73E5B">
        <w:t xml:space="preserve">distributors should be held to account for the reliability and safety of their networks under section 98 of the </w:t>
      </w:r>
      <w:r w:rsidRPr="00F636D6">
        <w:rPr>
          <w:rStyle w:val="AERtextitalic"/>
        </w:rPr>
        <w:t>Electricity Safety Act 1998</w:t>
      </w:r>
      <w:r w:rsidRPr="00A73E5B">
        <w:rPr>
          <w:rStyle w:val="IntenseEmphasis"/>
        </w:rPr>
        <w:t>.</w:t>
      </w:r>
      <w:r w:rsidR="00F636D6">
        <w:rPr>
          <w:rStyle w:val="FootnoteReference"/>
        </w:rPr>
        <w:footnoteReference w:id="46"/>
      </w:r>
    </w:p>
    <w:p w:rsidR="00A73E5B" w:rsidRPr="00A73E5B" w:rsidRDefault="00A73E5B" w:rsidP="00A73E5B">
      <w:r w:rsidRPr="009F0CB6">
        <w:lastRenderedPageBreak/>
        <w:t>We sought AusNet Services to clarify the basis of this proposal, it advised that:</w:t>
      </w:r>
      <w:r w:rsidR="00F636D6">
        <w:rPr>
          <w:rStyle w:val="FootnoteReference"/>
        </w:rPr>
        <w:footnoteReference w:id="47"/>
      </w:r>
      <w:r w:rsidRPr="00A73E5B">
        <w:rPr>
          <w:rStyle w:val="FootnoteReference"/>
        </w:rPr>
        <w:t xml:space="preserve"> </w:t>
      </w:r>
    </w:p>
    <w:p w:rsidR="00FD3CCF" w:rsidRDefault="00A73E5B" w:rsidP="00A73E5B">
      <w:pPr>
        <w:pStyle w:val="AERbulletlistfirststyle"/>
      </w:pPr>
      <w:r w:rsidRPr="00A73E5B">
        <w:t>Because of safety concerns, it does not intend to operate REFCLs in continuous compensation mode. For example, a fallen tree or vehicle impacting a pole may dislodge more than one live conductor.</w:t>
      </w:r>
    </w:p>
    <w:p w:rsidR="00A73E5B" w:rsidRPr="00A73E5B" w:rsidRDefault="00A73E5B" w:rsidP="00A73E5B">
      <w:pPr>
        <w:pStyle w:val="AERbulletlistfirststyle"/>
      </w:pPr>
      <w:r w:rsidRPr="00A73E5B">
        <w:t>The REFCL will suppress the voltage of the conductor that touches the ground first. After the operation of REFCL, the other two phase conductor will remain energised, but at 7</w:t>
      </w:r>
      <w:r w:rsidR="00231487">
        <w:t>0</w:t>
      </w:r>
      <w:r w:rsidRPr="00A73E5B">
        <w:t xml:space="preserve"> percent above normal voltage. There is no guarantee that these other two phase conductor</w:t>
      </w:r>
      <w:r w:rsidR="00032417">
        <w:t>s</w:t>
      </w:r>
      <w:r w:rsidRPr="00A73E5B">
        <w:t xml:space="preserve"> will remain at safe clearances to ground level––hence, a safety risk to the public. </w:t>
      </w:r>
    </w:p>
    <w:p w:rsidR="00A73E5B" w:rsidRPr="00A73E5B" w:rsidRDefault="00A73E5B" w:rsidP="00A73E5B">
      <w:pPr>
        <w:pStyle w:val="AERbulletlistfirststyle"/>
      </w:pPr>
      <w:r w:rsidRPr="00A73E5B">
        <w:t>It intends to operate REFCLs on Total Fire Ban (TFB) days only. If a fault is not self-cleared within 1 minute, the normal protective device will trip off the feeder. After which, the feeder needs to inspected (line patrol) before power can be safety restored.</w:t>
      </w:r>
    </w:p>
    <w:p w:rsidR="00A73E5B" w:rsidRPr="00A73E5B" w:rsidRDefault="00A73E5B" w:rsidP="00A73E5B">
      <w:pPr>
        <w:pStyle w:val="AERbulletlistfirststyle"/>
      </w:pPr>
      <w:r w:rsidRPr="00A73E5B">
        <w:t>Hence, AusNet Services proposed to modify the STPIS to exclude any interruptions to supply caused by the use of REFCL devices operating in this mode where the interruption occurs on a TFB or other non-TFB day as required by Energy Safe Victoria. The mode of operation of the REFCL devices will be in accordance with AusNet Services’ revised Bushfire Mitigation Plan, accepted by Energy Safe Victoria.</w:t>
      </w:r>
    </w:p>
    <w:p w:rsidR="00A73E5B" w:rsidRPr="00A73E5B" w:rsidRDefault="00A73E5B" w:rsidP="00A73E5B">
      <w:pPr>
        <w:pStyle w:val="AERbulletlistfirststyle"/>
      </w:pPr>
      <w:r w:rsidRPr="00A73E5B">
        <w:t xml:space="preserve">This proposed exclusion for the operation of REFCL devices would be similar in operation to the current exclusion that applies only on TFB days relating to interruptions caused by the operation of automatic reclose devices. </w:t>
      </w:r>
    </w:p>
    <w:p w:rsidR="00A73E5B" w:rsidRPr="00A73E5B" w:rsidRDefault="00A73E5B" w:rsidP="00A73E5B">
      <w:pPr>
        <w:pStyle w:val="AERbulletlistfirststyle"/>
      </w:pPr>
      <w:r w:rsidRPr="00A73E5B">
        <w:t>Currently, any event where the protection device is tripped to lockout while the reclose function is suppressed</w:t>
      </w:r>
      <w:r w:rsidR="00F4313A">
        <w:t xml:space="preserve"> on a Total Fire Ban (TFB) day </w:t>
      </w:r>
      <w:r w:rsidRPr="00A73E5B">
        <w:t>is claimed as an exclusion under clause 3.3(a)(7) of the STPIS.</w:t>
      </w:r>
    </w:p>
    <w:p w:rsidR="00A73E5B" w:rsidRPr="00A73E5B" w:rsidRDefault="00A73E5B" w:rsidP="00A73E5B">
      <w:pPr>
        <w:pStyle w:val="AERbulletlistfirststyle"/>
      </w:pPr>
      <w:r w:rsidRPr="00A73E5B">
        <w:t>This mode of operation is in accordance with AusNet Services’ Bushfire Mitigation Plan as accepted by Energy Safe Victoria. In particular, section 11.2.3 of AusNet Services’ Bushfire Mitigation Plan requires that the auto reclose is suppressed and protection settings changed on designated ACRs on 22kV feeders in hazardous bushfire risk areas on TFB and Code Red days. This is also in accordance with the Powerline Bushfire Safety Taskforce Recommendations.</w:t>
      </w:r>
    </w:p>
    <w:p w:rsidR="00A73E5B" w:rsidRPr="00A73E5B" w:rsidRDefault="00A73E5B" w:rsidP="00A73E5B">
      <w:r w:rsidRPr="00A73E5B">
        <w:t>To qualify for an exclusion from the STIPIS on this basis, the interruption must meet the following criteria:</w:t>
      </w:r>
    </w:p>
    <w:p w:rsidR="00A73E5B" w:rsidRPr="00A73E5B" w:rsidRDefault="00A73E5B" w:rsidP="00A73E5B">
      <w:r w:rsidRPr="009F0CB6">
        <w:t>1. The event occurred on a TFB or Code Red day;</w:t>
      </w:r>
    </w:p>
    <w:p w:rsidR="00A73E5B" w:rsidRPr="00A73E5B" w:rsidRDefault="00A73E5B" w:rsidP="00A73E5B">
      <w:r w:rsidRPr="009F0CB6">
        <w:t>2. The device that operated (i.e. Circuit breaker, ACR) had its protection setting changed during the TFB or Code Red day;</w:t>
      </w:r>
    </w:p>
    <w:p w:rsidR="00A73E5B" w:rsidRPr="00A73E5B" w:rsidRDefault="00A73E5B" w:rsidP="00A73E5B">
      <w:r w:rsidRPr="009F0CB6">
        <w:lastRenderedPageBreak/>
        <w:t xml:space="preserve">3. The event occurred during the period when </w:t>
      </w:r>
      <w:r w:rsidR="00411F5D">
        <w:t xml:space="preserve">the </w:t>
      </w:r>
      <w:r w:rsidRPr="009F0CB6">
        <w:t>device that operated (i.e. Circuit breaker, ACR) had its protection setting set for TFB or Code Red day operation; and</w:t>
      </w:r>
    </w:p>
    <w:p w:rsidR="00A73E5B" w:rsidRPr="00A73E5B" w:rsidRDefault="00A73E5B" w:rsidP="00A73E5B">
      <w:r w:rsidRPr="009F0CB6">
        <w:t>4. After line patrol no cause of the outage was found.</w:t>
      </w:r>
    </w:p>
    <w:p w:rsidR="00A73E5B" w:rsidRPr="00A73E5B" w:rsidRDefault="00A73E5B" w:rsidP="00A73E5B">
      <w:r w:rsidRPr="009F0CB6">
        <w:t xml:space="preserve">We consider outages caused by the operations of REFCL </w:t>
      </w:r>
      <w:r w:rsidRPr="00A73E5B">
        <w:t>on TFB days in accordance with the Bushfire Mitigation Plan approved by ESV are similar to those caused by ACRs. Hence these two types of events should be treated in a similar manner. There is no need to modify the exclusion criteria of the scheme. This approach is consistent with our preliminary decision, that:</w:t>
      </w:r>
    </w:p>
    <w:p w:rsidR="00A73E5B" w:rsidRDefault="00A73E5B" w:rsidP="00A73E5B">
      <w:pPr>
        <w:pStyle w:val="AERquote"/>
      </w:pPr>
      <w:r w:rsidRPr="009F0CB6">
        <w:t xml:space="preserve">“Compliance with Electricity Safety Management Scheme is a regulatory obligation under </w:t>
      </w:r>
      <w:r w:rsidRPr="00A73E5B">
        <w:rPr>
          <w:rStyle w:val="AERtextitalic"/>
        </w:rPr>
        <w:t xml:space="preserve">Electricity Safety Act 1998 </w:t>
      </w:r>
      <w:r w:rsidRPr="00A73E5B">
        <w:t>(Vic). The Bushfire Mitigation Plan forms part of an accepted Electricity Safety Management Scheme. This legislated requirement applies to the whole of AusNet Services' network.”</w:t>
      </w:r>
    </w:p>
    <w:p w:rsidR="002B37A1" w:rsidRPr="00CF11D2" w:rsidRDefault="002B37A1" w:rsidP="000121A2">
      <w:pPr>
        <w:pStyle w:val="Heading3"/>
        <w:ind w:left="578" w:hanging="578"/>
      </w:pPr>
      <w:bookmarkStart w:id="176" w:name="_Toc446583929"/>
      <w:bookmarkStart w:id="177" w:name="_Toc451529109"/>
      <w:r w:rsidRPr="00CF11D2">
        <w:t>Consumer challenge panel submission</w:t>
      </w:r>
      <w:bookmarkEnd w:id="176"/>
      <w:bookmarkEnd w:id="177"/>
    </w:p>
    <w:p w:rsidR="002B37A1" w:rsidRPr="00CF11D2" w:rsidRDefault="002B37A1" w:rsidP="00CF11D2">
      <w:r w:rsidRPr="00CF11D2">
        <w:t xml:space="preserve">The </w:t>
      </w:r>
      <w:r w:rsidR="00231487">
        <w:t>consumer challenge panel</w:t>
      </w:r>
      <w:r w:rsidRPr="00CF11D2">
        <w:t xml:space="preserve"> stated that deeper analysis is required of the preliminary decisions and the revised proposals, to ensure that there are no added costs which would lead to increased reliability.</w:t>
      </w:r>
      <w:r>
        <w:rPr>
          <w:rStyle w:val="FootnoteReference"/>
        </w:rPr>
        <w:footnoteReference w:id="48"/>
      </w:r>
      <w:r w:rsidRPr="00CF11D2">
        <w:t xml:space="preserve"> </w:t>
      </w:r>
    </w:p>
    <w:p w:rsidR="002B37A1" w:rsidRDefault="002B37A1" w:rsidP="00CF11D2">
      <w:r w:rsidRPr="00CF11D2">
        <w:t xml:space="preserve">As stated above, </w:t>
      </w:r>
      <w:r>
        <w:t xml:space="preserve">we have reviewed </w:t>
      </w:r>
      <w:r w:rsidRPr="00CF11D2">
        <w:t xml:space="preserve">the reliability benefits from animal proofing </w:t>
      </w:r>
      <w:r>
        <w:t xml:space="preserve">and have removed these benefits from AusNet Services performance targets.  </w:t>
      </w:r>
    </w:p>
    <w:p w:rsidR="00F636D6" w:rsidRDefault="00F636D6" w:rsidP="000121A2">
      <w:pPr>
        <w:pStyle w:val="Heading3"/>
        <w:ind w:left="578" w:hanging="578"/>
      </w:pPr>
      <w:bookmarkStart w:id="178" w:name="_Toc446583930"/>
      <w:bookmarkStart w:id="179" w:name="_Toc451529110"/>
      <w:r>
        <w:t>Value for customer reliability for the purpose of calculating the incentive rates</w:t>
      </w:r>
      <w:bookmarkEnd w:id="178"/>
      <w:bookmarkEnd w:id="179"/>
    </w:p>
    <w:p w:rsidR="00F636D6" w:rsidRDefault="00F636D6" w:rsidP="00F636D6">
      <w:r>
        <w:t>We applied a proxy</w:t>
      </w:r>
      <w:r w:rsidR="00231487">
        <w:t xml:space="preserve"> method to determine</w:t>
      </w:r>
      <w:r>
        <w:t xml:space="preserve"> VCR to calculate the incentive rates for AusNet Services in our preliminary decision.</w:t>
      </w:r>
      <w:r>
        <w:rPr>
          <w:rStyle w:val="FootnoteReference"/>
        </w:rPr>
        <w:footnoteReference w:id="49"/>
      </w:r>
      <w:r>
        <w:t xml:space="preserve"> </w:t>
      </w:r>
    </w:p>
    <w:p w:rsidR="00F636D6" w:rsidRDefault="00F636D6" w:rsidP="00F636D6">
      <w:r>
        <w:t>AusNet Services</w:t>
      </w:r>
      <w:r w:rsidR="00231487">
        <w:t>'</w:t>
      </w:r>
      <w:r>
        <w:t xml:space="preserve"> revised regulatory proposal suggested that we apply its calculated VCR to determine the incentive rates.</w:t>
      </w:r>
      <w:r w:rsidR="00231487">
        <w:t xml:space="preserve"> It</w:t>
      </w:r>
      <w:r w:rsidR="001A7D6F">
        <w:t xml:space="preserve"> stated that the</w:t>
      </w:r>
      <w:r w:rsidR="00231487">
        <w:t xml:space="preserve"> data was based on the actual energy load classification specified in AEMO's assessment method.</w:t>
      </w:r>
      <w:r>
        <w:rPr>
          <w:rStyle w:val="FootnoteReference"/>
        </w:rPr>
        <w:footnoteReference w:id="50"/>
      </w:r>
      <w:r>
        <w:t xml:space="preserve"> </w:t>
      </w:r>
    </w:p>
    <w:p w:rsidR="00F636D6" w:rsidRDefault="00F636D6" w:rsidP="00F636D6">
      <w:r>
        <w:t>Our final decision applied AusNet Services' derived VCR to calculate the incentive rates because it</w:t>
      </w:r>
      <w:r w:rsidR="008D591D">
        <w:t>s</w:t>
      </w:r>
      <w:r>
        <w:t xml:space="preserve"> data and methodology is consistent with AEMO's method to calculate the VCR. We also note that there is little difference between our calculated VCR and AusNet Services.</w:t>
      </w:r>
    </w:p>
    <w:p w:rsidR="00231487" w:rsidRPr="00F636D6" w:rsidRDefault="00231487" w:rsidP="00F636D6"/>
    <w:p w:rsidR="002B37A1" w:rsidRDefault="002B37A1" w:rsidP="00B16708">
      <w:pPr>
        <w:pStyle w:val="Heading2"/>
      </w:pPr>
      <w:bookmarkStart w:id="180" w:name="_Toc428779202"/>
      <w:bookmarkStart w:id="181" w:name="_Toc433551680"/>
      <w:bookmarkStart w:id="182" w:name="_Toc451529111"/>
      <w:r>
        <w:lastRenderedPageBreak/>
        <w:t>Transitional arrangements for the STPIS</w:t>
      </w:r>
      <w:bookmarkEnd w:id="180"/>
      <w:bookmarkEnd w:id="181"/>
      <w:bookmarkEnd w:id="182"/>
    </w:p>
    <w:p w:rsidR="002B37A1" w:rsidRDefault="002B37A1" w:rsidP="00B16708">
      <w:r>
        <w:t xml:space="preserve">This section addresses the following transitional issues relating </w:t>
      </w:r>
      <w:r w:rsidR="00231487">
        <w:t xml:space="preserve">to </w:t>
      </w:r>
      <w:r>
        <w:t>the STPIS:</w:t>
      </w:r>
    </w:p>
    <w:p w:rsidR="002B37A1" w:rsidRDefault="002B37A1" w:rsidP="00B16708">
      <w:pPr>
        <w:pStyle w:val="AERbulletlistfirststyle"/>
      </w:pPr>
      <w:r>
        <w:t>how we intend to adjust the S-factor between regulatory control periods</w:t>
      </w:r>
    </w:p>
    <w:p w:rsidR="002B37A1" w:rsidRDefault="002B37A1" w:rsidP="00B16708">
      <w:pPr>
        <w:pStyle w:val="AERbulletlistfirststyle"/>
      </w:pPr>
      <w:r>
        <w:t xml:space="preserve">how we intend to account for revenue increments or decrements resulting from the STPIS outcomes between regulatory control periods </w:t>
      </w:r>
    </w:p>
    <w:p w:rsidR="002B37A1" w:rsidRDefault="002B37A1" w:rsidP="00B16708">
      <w:pPr>
        <w:pStyle w:val="AERbulletlistfirststyle"/>
      </w:pPr>
      <w:r>
        <w:t>how we will close out Essential Services Commission service performance scheme for 2006–10.</w:t>
      </w:r>
    </w:p>
    <w:p w:rsidR="002B37A1" w:rsidRPr="00B16708" w:rsidRDefault="002B37A1" w:rsidP="000121A2">
      <w:pPr>
        <w:pStyle w:val="Heading3"/>
        <w:ind w:left="578" w:hanging="578"/>
      </w:pPr>
      <w:bookmarkStart w:id="183" w:name="_Toc428779203"/>
      <w:bookmarkStart w:id="184" w:name="_Toc433551681"/>
      <w:bookmarkStart w:id="185" w:name="_Toc446583932"/>
      <w:bookmarkStart w:id="186" w:name="_Toc451529112"/>
      <w:r>
        <w:t xml:space="preserve">Adjusting the </w:t>
      </w:r>
      <w:r w:rsidRPr="00B16708">
        <w:t>S-factor between regulatory control periods</w:t>
      </w:r>
      <w:bookmarkEnd w:id="183"/>
      <w:bookmarkEnd w:id="184"/>
      <w:bookmarkEnd w:id="185"/>
      <w:bookmarkEnd w:id="186"/>
    </w:p>
    <w:p w:rsidR="002B37A1" w:rsidRDefault="002B37A1" w:rsidP="00B16708">
      <w:r>
        <w:t xml:space="preserve">The STPIS operates as part of the building block determination and is applied via the control mechanism. Through the </w:t>
      </w:r>
      <w:r w:rsidR="00411F5D">
        <w:t>S</w:t>
      </w:r>
      <w:r>
        <w:t xml:space="preserve">-factor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 </w:t>
      </w:r>
      <w:r>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2B37A1" w:rsidRDefault="002B37A1" w:rsidP="00B16708">
      <w:r>
        <w:t xml:space="preserve">Consequently, the S-factor outcomes of 2014 and 2015 will apply to prices in the 2016 and 2017 regulatory years respectively. </w:t>
      </w:r>
    </w:p>
    <w:p w:rsidR="002B37A1" w:rsidRDefault="002B37A1" w:rsidP="00B16708">
      <w:r>
        <w:rPr>
          <w:rStyle w:val="AERbody"/>
        </w:rPr>
        <w:t>T</w:t>
      </w:r>
      <w:r w:rsidRPr="00432754">
        <w:rPr>
          <w:rStyle w:val="AERbody"/>
        </w:rPr>
        <w:t>he revenue at risk cap</w:t>
      </w:r>
      <w:r w:rsidR="008D591D">
        <w:rPr>
          <w:rStyle w:val="AERbody"/>
        </w:rPr>
        <w:t xml:space="preserve"> limits</w:t>
      </w:r>
      <w:r w:rsidRPr="00432754">
        <w:rPr>
          <w:rStyle w:val="AERbody"/>
        </w:rPr>
        <w:t xml:space="preserve"> the risk of the STPIS to </w:t>
      </w:r>
      <w:r>
        <w:rPr>
          <w:rStyle w:val="AERbody"/>
        </w:rPr>
        <w:t>AusNet Services at five per cent</w:t>
      </w:r>
      <w:r w:rsidRPr="00432754">
        <w:rPr>
          <w:rStyle w:val="AERbody"/>
        </w:rPr>
        <w:t xml:space="preserve">. </w:t>
      </w:r>
      <w:r>
        <w:rPr>
          <w:rStyle w:val="AERbody"/>
        </w:rPr>
        <w:t xml:space="preserve">However, distributors may exceed this cap where there are increases or decreases to the amount of the annual allowable revenue that they can recover between regulatory control periods. </w:t>
      </w:r>
      <w:r>
        <w:t>The STPIS scheme accounts for the differences to the allowable revenue recoverable between regulatory control periods by making an adjustment to the "raw"</w:t>
      </w:r>
      <w:r>
        <w:rPr>
          <w:rStyle w:val="FootnoteReference"/>
        </w:rPr>
        <w:footnoteReference w:id="51"/>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2B37A1" w:rsidRDefault="002B37A1" w:rsidP="00B16708">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52"/>
      </w:r>
    </w:p>
    <w:p w:rsidR="002B37A1" w:rsidRDefault="002B37A1" w:rsidP="00B16708">
      <w:r>
        <w:t>Hence, the revenue at risk cap for the first two years of the next regulatory control period will be adjusted based on the approved revenue at risk cap of the previous regulatory control period.</w:t>
      </w:r>
    </w:p>
    <w:p w:rsidR="002B37A1" w:rsidRPr="00B16708" w:rsidRDefault="002B37A1" w:rsidP="000121A2">
      <w:pPr>
        <w:pStyle w:val="Heading3"/>
        <w:ind w:left="578" w:hanging="578"/>
      </w:pPr>
      <w:bookmarkStart w:id="187" w:name="_Toc428779204"/>
      <w:bookmarkStart w:id="188" w:name="_Toc433551682"/>
      <w:bookmarkStart w:id="189" w:name="_Toc446583933"/>
      <w:bookmarkStart w:id="190" w:name="_Toc451529113"/>
      <w:r w:rsidRPr="00FD0BEC">
        <w:lastRenderedPageBreak/>
        <w:t xml:space="preserve">Accounting </w:t>
      </w:r>
      <w:r w:rsidRPr="00B16708">
        <w:t>for revenue increments decrements between regulatory periods</w:t>
      </w:r>
      <w:bookmarkEnd w:id="187"/>
      <w:bookmarkEnd w:id="188"/>
      <w:bookmarkEnd w:id="189"/>
      <w:bookmarkEnd w:id="190"/>
      <w:r w:rsidRPr="00B16708">
        <w:t xml:space="preserve"> </w:t>
      </w:r>
    </w:p>
    <w:p w:rsidR="002B37A1" w:rsidRPr="00AF64B3" w:rsidRDefault="002B37A1" w:rsidP="00B16708">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2B37A1" w:rsidRDefault="002B37A1" w:rsidP="00B16708">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53"/>
      </w:r>
    </w:p>
    <w:p w:rsidR="002B37A1" w:rsidRPr="00FD0BEC" w:rsidRDefault="002B37A1" w:rsidP="00B16708">
      <w:r>
        <w:t xml:space="preserve">The STPIS provides a mechanism to </w:t>
      </w:r>
      <w:r w:rsidRPr="00FD0BEC">
        <w:t xml:space="preserve">account for any step change in revenues (or prices), </w:t>
      </w:r>
      <w:r w:rsidR="009050AE" w:rsidRPr="00FD0BEC">
        <w:t>via</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54"/>
        </m:r>
      </m:oMath>
      <w:r w:rsidRPr="00FD0BEC">
        <w:t>, from one regulatory</w:t>
      </w:r>
      <w:r>
        <w:t xml:space="preserve"> </w:t>
      </w:r>
      <w:r w:rsidRPr="00FD0BEC">
        <w:t>control period to the next</w:t>
      </w:r>
      <w:r>
        <w:t>. For AusNet services, t</w:t>
      </w:r>
      <w:r w:rsidRPr="00FD0BEC">
        <w:t xml:space="preserve">he ‘raw’ </w:t>
      </w:r>
      <w:r w:rsidR="00B32060">
        <w:t>S</w:t>
      </w:r>
      <w:r w:rsidRPr="00FD0BEC">
        <w:t>-factor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55"/>
      </w:r>
      <w:r w:rsidRPr="00FD0BEC">
        <w:t xml:space="preserve"> </w:t>
      </w:r>
    </w:p>
    <w:p w:rsidR="002B37A1" w:rsidRPr="00FD0BEC" w:rsidRDefault="008D7069" w:rsidP="00B16708">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2B37A1" w:rsidRPr="00FD0BEC">
        <w:t xml:space="preserve"> </w:t>
      </w:r>
    </w:p>
    <w:p w:rsidR="002B37A1" w:rsidRPr="00FD0BEC" w:rsidRDefault="002B37A1" w:rsidP="00B16708">
      <w:r w:rsidRPr="00FD0BEC">
        <w:t>Where:</w:t>
      </w:r>
    </w:p>
    <w:p w:rsidR="002B37A1" w:rsidRDefault="008D7069" w:rsidP="00B16708">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den>
        </m:f>
      </m:oMath>
      <w:r w:rsidR="002B37A1" w:rsidRPr="00FD0BEC">
        <w:t xml:space="preserve"> </w:t>
      </w:r>
    </w:p>
    <w:p w:rsidR="002B37A1" w:rsidRPr="00E118B5" w:rsidRDefault="008D7069" w:rsidP="00B16708">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2B37A1" w:rsidRPr="00E118B5">
        <w:t xml:space="preserve"> is the sum of the s-factors for all parameters, after application of the s-bank, as determined in equation (3) in the STPIS</w:t>
      </w:r>
    </w:p>
    <w:p w:rsidR="002B37A1" w:rsidRPr="00FD0BEC" w:rsidRDefault="008D7069" w:rsidP="00B16708">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oMath>
      <w:r w:rsidR="002B37A1" w:rsidRPr="00FD0BEC">
        <w:t xml:space="preserve"> is </w:t>
      </w:r>
      <w:r w:rsidR="002B37A1">
        <w:t>AusNet Services'</w:t>
      </w:r>
      <w:r w:rsidR="002B37A1" w:rsidRPr="00FD0BEC">
        <w:t xml:space="preserve"> approved revenue in the 201</w:t>
      </w:r>
      <w:r w:rsidR="002B37A1">
        <w:t>6</w:t>
      </w:r>
      <w:r w:rsidR="002B37A1" w:rsidRPr="00FD0BEC">
        <w:t xml:space="preserve"> pricing proposal </w:t>
      </w:r>
    </w:p>
    <w:p w:rsidR="002B37A1" w:rsidRDefault="008D7069" w:rsidP="00B16708">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oMath>
      <w:r w:rsidR="002B37A1" w:rsidRPr="00FD0BEC">
        <w:t xml:space="preserve"> is </w:t>
      </w:r>
      <w:r w:rsidR="002B37A1">
        <w:t>AusNet Services' a</w:t>
      </w:r>
      <w:r w:rsidR="002B37A1" w:rsidRPr="00FD0BEC">
        <w:t xml:space="preserve">llowable revenue </w:t>
      </w:r>
      <w:r w:rsidR="002B37A1">
        <w:t xml:space="preserve">in the </w:t>
      </w:r>
      <w:r w:rsidR="002B37A1" w:rsidRPr="00FD0BEC">
        <w:t>final determination 201</w:t>
      </w:r>
      <w:r w:rsidR="002B37A1">
        <w:t>7</w:t>
      </w:r>
      <w:r w:rsidR="002B37A1" w:rsidRPr="00FD0BEC">
        <w:t>.</w:t>
      </w:r>
    </w:p>
    <w:p w:rsidR="002B37A1" w:rsidRPr="00B16708" w:rsidRDefault="002B37A1" w:rsidP="000121A2">
      <w:pPr>
        <w:pStyle w:val="Heading3"/>
        <w:ind w:left="578" w:hanging="578"/>
      </w:pPr>
      <w:bookmarkStart w:id="191" w:name="_Toc428779205"/>
      <w:bookmarkStart w:id="192" w:name="_Toc433551683"/>
      <w:bookmarkStart w:id="193" w:name="_Toc446583934"/>
      <w:bookmarkStart w:id="194" w:name="_Toc451529114"/>
      <w:r>
        <w:t>Closing out of the ESCV’s service performance scheme</w:t>
      </w:r>
      <w:bookmarkEnd w:id="191"/>
      <w:bookmarkEnd w:id="192"/>
      <w:bookmarkEnd w:id="193"/>
      <w:bookmarkEnd w:id="194"/>
      <w:r>
        <w:t xml:space="preserve"> </w:t>
      </w:r>
    </w:p>
    <w:p w:rsidR="002B37A1" w:rsidRDefault="002B37A1" w:rsidP="00B16708">
      <w:r>
        <w:t xml:space="preserve">Prior to the operation of STPIS from 2011, Victorian distributors were subjected to the Essential Services Commission Victoria’s (ESCV) </w:t>
      </w:r>
      <w:r w:rsidR="008D591D">
        <w:t>"S</w:t>
      </w:r>
      <w:r w:rsidR="00B32060">
        <w:t>-</w:t>
      </w:r>
      <w:r w:rsidR="008D591D">
        <w:t xml:space="preserve">Factor" </w:t>
      </w:r>
      <w:r>
        <w:t xml:space="preserve">service performance scheme. </w:t>
      </w:r>
    </w:p>
    <w:p w:rsidR="002B37A1" w:rsidRDefault="002B37A1" w:rsidP="00B16708">
      <w:r>
        <w:t xml:space="preserve">In order to close out the ESCV’s </w:t>
      </w:r>
      <w:r w:rsidR="008D591D">
        <w:t xml:space="preserve">S Factor </w:t>
      </w:r>
      <w:r>
        <w:t xml:space="preserve">scheme, we required the final performance data of the distributors’ for 2010. As this information was not available in time for the final decision of the 2011–15 determination, a final close out was factored into the current determination, requiring a final true-up when the final performance data are </w:t>
      </w:r>
      <w:r>
        <w:lastRenderedPageBreak/>
        <w:t>available. We will complete the close out calculation in the determination for the next regulatory period (2016–20). The calculation method on how to close out the ESCV’s scheme was set out in our 2011–15 determination.</w:t>
      </w:r>
      <w:r w:rsidR="003632FA">
        <w:t xml:space="preserve"> The close-out of the S</w:t>
      </w:r>
      <w:r w:rsidR="00B32060">
        <w:t>-</w:t>
      </w:r>
      <w:r w:rsidR="003632FA">
        <w:t>Factor service performance scheme will result in an adjustment to AusNet Services revenue in 2016–17.</w:t>
      </w:r>
    </w:p>
    <w:p w:rsidR="00B16708" w:rsidRDefault="002B37A1" w:rsidP="00B16708">
      <w:r>
        <w:t xml:space="preserve">In 2012 the Victorian government amended the </w:t>
      </w:r>
      <w:r w:rsidRPr="0089074B">
        <w:rPr>
          <w:rStyle w:val="AERtextitalic"/>
        </w:rPr>
        <w:t>National Electricity (Victoria) Act 2005</w:t>
      </w:r>
      <w:r>
        <w:t xml:space="preserve">, to allow us the power to close out the ESCV’s </w:t>
      </w:r>
      <w:r w:rsidR="008D591D">
        <w:t>S</w:t>
      </w:r>
      <w:r w:rsidR="00B32060">
        <w:t>-</w:t>
      </w:r>
      <w:r w:rsidR="008D591D">
        <w:t>Factor</w:t>
      </w:r>
      <w:r>
        <w:t xml:space="preserve"> scheme.</w:t>
      </w:r>
      <w:r>
        <w:rPr>
          <w:rStyle w:val="FootnoteReference"/>
        </w:rPr>
        <w:footnoteReference w:id="56"/>
      </w:r>
      <w:r>
        <w:t xml:space="preserve"> </w:t>
      </w:r>
      <w:r w:rsidR="00B16708">
        <w:t xml:space="preserve">This amendment to the legislation does not alter or limit our approach to close out the scheme. </w:t>
      </w:r>
    </w:p>
    <w:p w:rsidR="00637C1E" w:rsidRDefault="00637C1E" w:rsidP="00637C1E">
      <w:r>
        <w:t>AusNet Service</w:t>
      </w:r>
      <w:r w:rsidR="008D591D">
        <w:t>s'</w:t>
      </w:r>
      <w:r>
        <w:t xml:space="preserve"> revised regulatory proposal stated that we have </w:t>
      </w:r>
      <w:r w:rsidRPr="00637C1E">
        <w:t xml:space="preserve">erred in </w:t>
      </w:r>
      <w:r>
        <w:t xml:space="preserve">using the forecast revenue in </w:t>
      </w:r>
      <w:r w:rsidRPr="00637C1E">
        <w:t>calculati</w:t>
      </w:r>
      <w:r>
        <w:t>ng</w:t>
      </w:r>
      <w:r w:rsidRPr="00637C1E">
        <w:t xml:space="preserve"> the close-out of the previous ESCV S-factor</w:t>
      </w:r>
      <w:r w:rsidR="00552F42">
        <w:t xml:space="preserve"> scheme. Our preliminary decision applied the </w:t>
      </w:r>
      <w:r w:rsidR="004A54C6">
        <w:t xml:space="preserve">forecast </w:t>
      </w:r>
      <w:r w:rsidR="00552F42">
        <w:t xml:space="preserve">revenue that AusNet Services </w:t>
      </w:r>
      <w:r>
        <w:t xml:space="preserve">reported </w:t>
      </w:r>
      <w:r w:rsidR="00552F42">
        <w:t>to us in its 2014 pricing proposal.</w:t>
      </w:r>
      <w:r w:rsidR="004A54C6">
        <w:t xml:space="preserve"> As actual revenue for 2014 is now available, </w:t>
      </w:r>
      <w:r>
        <w:t xml:space="preserve">we accept AusNet </w:t>
      </w:r>
      <w:r w:rsidR="00AF6513">
        <w:t xml:space="preserve">Services' </w:t>
      </w:r>
      <w:r>
        <w:t>proposal to use standard control revenue from its latest reporting RIN.</w:t>
      </w:r>
    </w:p>
    <w:p w:rsidR="00637C1E" w:rsidRDefault="00637C1E" w:rsidP="00B16708">
      <w:r>
        <w:t xml:space="preserve">In assessing the </w:t>
      </w:r>
      <w:r w:rsidR="00411F5D">
        <w:t>S</w:t>
      </w:r>
      <w:r w:rsidR="004A54C6">
        <w:t>-factor true-up</w:t>
      </w:r>
      <w:r>
        <w:t xml:space="preserve">, we </w:t>
      </w:r>
      <w:r w:rsidR="004A54C6">
        <w:t xml:space="preserve">found that </w:t>
      </w:r>
      <w:r w:rsidRPr="00637C1E">
        <w:t xml:space="preserve">S-factor true up </w:t>
      </w:r>
      <w:r w:rsidR="004A54C6">
        <w:t xml:space="preserve">did not account </w:t>
      </w:r>
      <w:r w:rsidRPr="00637C1E">
        <w:t xml:space="preserve">for incorrect </w:t>
      </w:r>
      <w:r w:rsidR="00AF6513">
        <w:t>c</w:t>
      </w:r>
      <w:r w:rsidRPr="00637C1E">
        <w:t>all centre data</w:t>
      </w:r>
      <w:r>
        <w:t xml:space="preserve"> </w:t>
      </w:r>
      <w:r w:rsidR="002E14BC">
        <w:t xml:space="preserve">previously </w:t>
      </w:r>
      <w:r w:rsidR="00AF6513">
        <w:t xml:space="preserve">provided by </w:t>
      </w:r>
      <w:r>
        <w:t>AusNet Services</w:t>
      </w:r>
      <w:r w:rsidR="00AF6513">
        <w:t xml:space="preserve"> in 2013</w:t>
      </w:r>
      <w:r>
        <w:t xml:space="preserve">. This final decision </w:t>
      </w:r>
      <w:r w:rsidR="00AF6513">
        <w:t xml:space="preserve">has included </w:t>
      </w:r>
      <w:r w:rsidR="002E14BC">
        <w:t xml:space="preserve">the correction to account for this input error.  </w:t>
      </w:r>
    </w:p>
    <w:p w:rsidR="00B16708" w:rsidRDefault="00B16708" w:rsidP="00B16708">
      <w:r>
        <w:t>The financial penalty accrued by AusNet Services in the 2006–10 regulatory period in the allowable revenue for 2016–20 regulatory period will be –$</w:t>
      </w:r>
      <w:r w:rsidR="00637C1E">
        <w:t>16.11</w:t>
      </w:r>
      <w:r>
        <w:t xml:space="preserve"> million ($ 2015) in total. This amendment to the legislation does not alter or limit our approach to close out the scheme.</w:t>
      </w:r>
    </w:p>
    <w:p w:rsidR="00132D43" w:rsidRPr="002C592C" w:rsidRDefault="00B16708" w:rsidP="002C592C">
      <w:r w:rsidRPr="002C592C">
        <w:t>This number has been included in the forecast revenue for the forthcoming regulatory control period by including the adjustment in the ‘revenue adjustments’ row of the post-tax revenue m</w:t>
      </w:r>
      <w:r w:rsidR="00F4313A">
        <w:t>odel.</w:t>
      </w:r>
      <w:r w:rsidR="008D591D" w:rsidRPr="008D591D">
        <w:rPr>
          <w:rStyle w:val="FootnoteReference"/>
        </w:rPr>
        <w:t xml:space="preserve"> </w:t>
      </w:r>
      <w:r w:rsidR="008D591D">
        <w:rPr>
          <w:rStyle w:val="FootnoteReference"/>
        </w:rPr>
        <w:footnoteReference w:id="57"/>
      </w:r>
    </w:p>
    <w:sectPr w:rsidR="00132D43" w:rsidRPr="002C592C" w:rsidSect="00CF42AA">
      <w:headerReference w:type="default" r:id="rId20"/>
      <w:footerReference w:type="even"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FC" w:rsidRPr="00290C63" w:rsidRDefault="008803FC" w:rsidP="00290C63">
      <w:r>
        <w:separator/>
      </w:r>
    </w:p>
    <w:p w:rsidR="008803FC" w:rsidRDefault="008803FC"/>
  </w:endnote>
  <w:endnote w:type="continuationSeparator" w:id="0">
    <w:p w:rsidR="008803FC" w:rsidRPr="00290C63" w:rsidRDefault="008803FC" w:rsidP="00290C63">
      <w:r>
        <w:continuationSeparator/>
      </w:r>
    </w:p>
    <w:p w:rsidR="008803FC" w:rsidRDefault="00880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FC" w:rsidRPr="00290C63" w:rsidRDefault="008803F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803FC" w:rsidRDefault="008803FC"/>
  <w:p w:rsidR="008803FC" w:rsidRDefault="008803FC"/>
  <w:p w:rsidR="008803FC" w:rsidRDefault="008803FC"/>
  <w:p w:rsidR="008803FC" w:rsidRDefault="008803FC"/>
  <w:p w:rsidR="008803FC" w:rsidRDefault="008803FC"/>
  <w:p w:rsidR="008803FC" w:rsidRDefault="008803FC"/>
  <w:p w:rsidR="008803FC" w:rsidRDefault="008803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803FC" w:rsidRPr="009B6F84" w:rsidRDefault="008803FC">
        <w:pPr>
          <w:pStyle w:val="Footer"/>
          <w:rPr>
            <w:sz w:val="20"/>
          </w:rPr>
        </w:pPr>
        <w:r>
          <w:fldChar w:fldCharType="begin"/>
        </w:r>
        <w:r>
          <w:instrText xml:space="preserve"> PAGE   \* MERGEFORMAT </w:instrText>
        </w:r>
        <w:r>
          <w:fldChar w:fldCharType="separate"/>
        </w:r>
        <w:r w:rsidR="00067DAA">
          <w:rPr>
            <w:noProof/>
          </w:rPr>
          <w:t>11-3</w:t>
        </w:r>
        <w:r>
          <w:rPr>
            <w:noProof/>
          </w:rPr>
          <w:fldChar w:fldCharType="end"/>
        </w:r>
        <w:r>
          <w:rPr>
            <w:noProof/>
          </w:rPr>
          <w:t xml:space="preserve">  </w:t>
        </w:r>
        <w:r>
          <w:t>Attachment 11 – Service target performance incentive scheme</w:t>
        </w:r>
        <w:r w:rsidRPr="004523B2">
          <w:t xml:space="preserve">| </w:t>
        </w:r>
        <w:r>
          <w:t>AusNet Services distribution determination final decision</w:t>
        </w:r>
        <w:r w:rsidRPr="004523B2">
          <w:t xml:space="preserve"> 201</w:t>
        </w:r>
        <w:r>
          <w:t>6</w:t>
        </w:r>
        <w:r w:rsidRPr="004523B2">
          <w:t>–</w:t>
        </w:r>
        <w:r>
          <w:t>20</w:t>
        </w:r>
      </w:p>
    </w:sdtContent>
  </w:sdt>
  <w:p w:rsidR="008803FC" w:rsidRDefault="00880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FC" w:rsidRPr="00290C63" w:rsidRDefault="008803F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803FC" w:rsidRDefault="008803FC">
    <w:pPr>
      <w:pStyle w:val="Footer"/>
    </w:pPr>
  </w:p>
  <w:p w:rsidR="008803FC" w:rsidRDefault="008803FC"/>
  <w:p w:rsidR="008803FC" w:rsidRDefault="008803FC"/>
  <w:p w:rsidR="008803FC" w:rsidRDefault="008803FC"/>
  <w:p w:rsidR="008803FC" w:rsidRDefault="008803FC"/>
  <w:p w:rsidR="008803FC" w:rsidRDefault="008803FC"/>
  <w:p w:rsidR="008803FC" w:rsidRDefault="008803FC"/>
  <w:p w:rsidR="008803FC" w:rsidRDefault="008803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FC" w:rsidRPr="00290C63" w:rsidRDefault="008803F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803FC" w:rsidRDefault="008803FC"/>
  <w:p w:rsidR="008803FC" w:rsidRDefault="008803FC"/>
  <w:p w:rsidR="008803FC" w:rsidRDefault="008803FC"/>
  <w:p w:rsidR="008803FC" w:rsidRDefault="008803FC"/>
  <w:p w:rsidR="008803FC" w:rsidRDefault="008803FC"/>
  <w:p w:rsidR="008803FC" w:rsidRDefault="008803FC"/>
  <w:p w:rsidR="008803FC" w:rsidRDefault="008803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FC" w:rsidRPr="00290C63" w:rsidRDefault="008803F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803FC" w:rsidRDefault="008803FC">
    <w:pPr>
      <w:pStyle w:val="Footer"/>
    </w:pPr>
  </w:p>
  <w:p w:rsidR="008803FC" w:rsidRDefault="008803FC"/>
  <w:p w:rsidR="008803FC" w:rsidRDefault="008803FC"/>
  <w:p w:rsidR="008803FC" w:rsidRDefault="008803FC"/>
  <w:p w:rsidR="008803FC" w:rsidRDefault="008803FC"/>
  <w:p w:rsidR="008803FC" w:rsidRDefault="008803FC"/>
  <w:p w:rsidR="008803FC" w:rsidRDefault="008803FC"/>
  <w:p w:rsidR="008803FC" w:rsidRDefault="008803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FC" w:rsidRPr="00290C63" w:rsidRDefault="008803FC" w:rsidP="00290C63">
      <w:r>
        <w:separator/>
      </w:r>
    </w:p>
  </w:footnote>
  <w:footnote w:type="continuationSeparator" w:id="0">
    <w:p w:rsidR="008803FC" w:rsidRPr="00290C63" w:rsidRDefault="008803FC" w:rsidP="00290C63">
      <w:r>
        <w:continuationSeparator/>
      </w:r>
    </w:p>
  </w:footnote>
  <w:footnote w:type="continuationNotice" w:id="1">
    <w:p w:rsidR="008803FC" w:rsidRDefault="008803FC">
      <w:pPr>
        <w:spacing w:before="0" w:line="240" w:lineRule="auto"/>
      </w:pPr>
    </w:p>
  </w:footnote>
  <w:footnote w:id="2">
    <w:p w:rsidR="008803FC" w:rsidRDefault="008803FC" w:rsidP="00B16708">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3">
    <w:p w:rsidR="008803FC" w:rsidRDefault="008803FC" w:rsidP="00B16708">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4">
    <w:p w:rsidR="008803FC" w:rsidRDefault="008803FC" w:rsidP="00B16708">
      <w:pPr>
        <w:pStyle w:val="FootnoteText"/>
      </w:pPr>
      <w:r>
        <w:rPr>
          <w:rStyle w:val="FootnoteReference"/>
        </w:rPr>
        <w:footnoteRef/>
      </w:r>
      <w:r>
        <w:t xml:space="preserve"> </w:t>
      </w:r>
      <w:r>
        <w:tab/>
      </w:r>
      <w:r w:rsidRPr="00392A3A">
        <w:t xml:space="preserve">AER, </w:t>
      </w:r>
      <w:r w:rsidRPr="00A011FE">
        <w:rPr>
          <w:rStyle w:val="AERtextitalic"/>
        </w:rPr>
        <w:t>Preliminary decision, AusNet Services distribution determination  2016 to 2020 Attachment 11 – Service target performance incentive scheme</w:t>
      </w:r>
      <w:r w:rsidRPr="00392A3A">
        <w:t>, October 2015</w:t>
      </w:r>
      <w:r>
        <w:t xml:space="preserve">. </w:t>
      </w:r>
    </w:p>
  </w:footnote>
  <w:footnote w:id="5">
    <w:p w:rsidR="008803FC" w:rsidRDefault="008803FC" w:rsidP="00B16708">
      <w:pPr>
        <w:pStyle w:val="FootnoteText"/>
      </w:pPr>
      <w:r>
        <w:rPr>
          <w:rStyle w:val="FootnoteReference"/>
        </w:rPr>
        <w:footnoteRef/>
      </w:r>
      <w:r>
        <w:t xml:space="preserve"> </w:t>
      </w:r>
      <w:r>
        <w:tab/>
        <w:t>V</w:t>
      </w:r>
      <w:r w:rsidRPr="002316EC">
        <w:t>alues determined from the most recent Australian Energy Market Operator (AEMO) review of VCR values</w:t>
      </w:r>
      <w:r>
        <w:t>.</w:t>
      </w:r>
    </w:p>
  </w:footnote>
  <w:footnote w:id="6">
    <w:p w:rsidR="008803FC" w:rsidRDefault="008803FC">
      <w:pPr>
        <w:pStyle w:val="FootnoteText"/>
      </w:pPr>
      <w:r>
        <w:rPr>
          <w:rStyle w:val="FootnoteReference"/>
        </w:rPr>
        <w:footnoteRef/>
      </w:r>
      <w:r>
        <w:t xml:space="preserve"> </w:t>
      </w:r>
      <w:r>
        <w:tab/>
      </w:r>
      <w:r w:rsidRPr="00392A3A">
        <w:t xml:space="preserve">AER, Preliminary decision, </w:t>
      </w:r>
      <w:r w:rsidRPr="00A011FE">
        <w:rPr>
          <w:rStyle w:val="AERtextitalic"/>
        </w:rPr>
        <w:t>AusNet Services distribution determination  2016 to 2020 Attachment 11 – Service target performance incentive scheme</w:t>
      </w:r>
      <w:r w:rsidRPr="00392A3A">
        <w:t>, October 2015.</w:t>
      </w:r>
    </w:p>
  </w:footnote>
  <w:footnote w:id="7">
    <w:p w:rsidR="008803FC" w:rsidRDefault="008803FC">
      <w:pPr>
        <w:pStyle w:val="FootnoteText"/>
      </w:pPr>
      <w:r>
        <w:rPr>
          <w:rStyle w:val="FootnoteReference"/>
        </w:rPr>
        <w:footnoteRef/>
      </w:r>
      <w:r>
        <w:t xml:space="preserve"> </w:t>
      </w:r>
      <w:r>
        <w:tab/>
      </w:r>
      <w:r w:rsidRPr="004319DE">
        <w:t>AusNet Services</w:t>
      </w:r>
      <w:r>
        <w:t xml:space="preserve">, </w:t>
      </w:r>
      <w:r>
        <w:rPr>
          <w:rStyle w:val="AERtextitalic"/>
        </w:rPr>
        <w:t>Revised regulatory proposal 2016–20</w:t>
      </w:r>
      <w:r>
        <w:t>, 6 January 2016, pp. 5(4)–5(6).</w:t>
      </w:r>
    </w:p>
  </w:footnote>
  <w:footnote w:id="8">
    <w:p w:rsidR="008803FC" w:rsidRDefault="008803FC" w:rsidP="00B16708">
      <w:pPr>
        <w:pStyle w:val="FootnoteText"/>
      </w:pPr>
      <w:r>
        <w:rPr>
          <w:rStyle w:val="FootnoteReference"/>
        </w:rPr>
        <w:footnoteRef/>
      </w:r>
      <w:r>
        <w:t xml:space="preserve"> </w:t>
      </w:r>
      <w:r>
        <w:tab/>
      </w:r>
      <w:r w:rsidRPr="004319DE">
        <w:t>AusNet Services</w:t>
      </w:r>
      <w:r>
        <w:t xml:space="preserve">, </w:t>
      </w:r>
      <w:r>
        <w:rPr>
          <w:rStyle w:val="AERtextitalic"/>
        </w:rPr>
        <w:t>Revised regulatory proposal 2016–20</w:t>
      </w:r>
      <w:r>
        <w:t>, 6 January 2016, pp. 5(6)–5(7).</w:t>
      </w:r>
    </w:p>
  </w:footnote>
  <w:footnote w:id="9">
    <w:p w:rsidR="008803FC" w:rsidRDefault="008803FC" w:rsidP="00B16708">
      <w:pPr>
        <w:pStyle w:val="FootnoteText"/>
      </w:pPr>
      <w:r>
        <w:rPr>
          <w:rStyle w:val="FootnoteReference"/>
        </w:rPr>
        <w:footnoteRef/>
      </w:r>
      <w:r>
        <w:t xml:space="preserve"> </w:t>
      </w:r>
      <w:r>
        <w:tab/>
        <w:t>NER, cl. 6.12.1(a).</w:t>
      </w:r>
    </w:p>
  </w:footnote>
  <w:footnote w:id="10">
    <w:p w:rsidR="008803FC" w:rsidRDefault="008803FC" w:rsidP="00B16708">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1">
    <w:p w:rsidR="008803FC" w:rsidRDefault="008803FC" w:rsidP="00B16708">
      <w:pPr>
        <w:pStyle w:val="FootnoteText"/>
      </w:pPr>
      <w:r>
        <w:rPr>
          <w:rStyle w:val="FootnoteReference"/>
        </w:rPr>
        <w:footnoteRef/>
      </w:r>
      <w:r>
        <w:t xml:space="preserve"> </w:t>
      </w:r>
      <w:r>
        <w:tab/>
        <w:t>NER, cl. 6.6.2(b)(3)(iv).</w:t>
      </w:r>
    </w:p>
  </w:footnote>
  <w:footnote w:id="12">
    <w:p w:rsidR="008803FC" w:rsidRDefault="008803FC" w:rsidP="00B16708">
      <w:pPr>
        <w:pStyle w:val="FootnoteText"/>
      </w:pPr>
      <w:r>
        <w:rPr>
          <w:rStyle w:val="FootnoteReference"/>
        </w:rPr>
        <w:footnoteRef/>
      </w:r>
      <w:r>
        <w:t xml:space="preserve"> </w:t>
      </w:r>
      <w:r>
        <w:tab/>
        <w:t xml:space="preserve">AER, </w:t>
      </w:r>
      <w:r w:rsidRPr="008A5AB3">
        <w:rPr>
          <w:rStyle w:val="AERtextitalic"/>
        </w:rPr>
        <w:t>STPIS</w:t>
      </w:r>
      <w:r>
        <w:t xml:space="preserve">, November 2009, cl. 1.5(b)(5). </w:t>
      </w:r>
    </w:p>
  </w:footnote>
  <w:footnote w:id="13">
    <w:p w:rsidR="008803FC" w:rsidRDefault="008803FC" w:rsidP="00B16708">
      <w:pPr>
        <w:pStyle w:val="FootnoteText"/>
      </w:pPr>
      <w:r>
        <w:rPr>
          <w:rStyle w:val="FootnoteReference"/>
        </w:rPr>
        <w:footnoteRef/>
      </w:r>
      <w:r>
        <w:t xml:space="preserve"> </w:t>
      </w:r>
      <w:r>
        <w:tab/>
      </w:r>
      <w:r w:rsidRPr="00392A3A">
        <w:t xml:space="preserve">AER, </w:t>
      </w:r>
      <w:r w:rsidRPr="00A011FE">
        <w:rPr>
          <w:rStyle w:val="AERtextitalic"/>
        </w:rPr>
        <w:t>Preliminary decision, AusNet Services distribution determination  2016 to 2020 Attachment 11 – Service target performance incentive scheme</w:t>
      </w:r>
      <w:r w:rsidRPr="00392A3A">
        <w:t>, October 2015.</w:t>
      </w:r>
    </w:p>
  </w:footnote>
  <w:footnote w:id="14">
    <w:p w:rsidR="008803FC" w:rsidRDefault="008803FC">
      <w:pPr>
        <w:pStyle w:val="FootnoteText"/>
      </w:pPr>
      <w:r>
        <w:rPr>
          <w:rStyle w:val="FootnoteReference"/>
        </w:rPr>
        <w:footnoteRef/>
      </w:r>
      <w:r>
        <w:t xml:space="preserve"> </w:t>
      </w:r>
      <w:r>
        <w:tab/>
        <w:t xml:space="preserve">For example </w:t>
      </w:r>
      <w:r w:rsidRPr="00571B74">
        <w:t>the effects of transmission network outages and other upstream events</w:t>
      </w:r>
      <w:r>
        <w:t>.</w:t>
      </w:r>
    </w:p>
  </w:footnote>
  <w:footnote w:id="15">
    <w:p w:rsidR="008803FC" w:rsidRDefault="008803FC">
      <w:pPr>
        <w:pStyle w:val="FootnoteText"/>
      </w:pPr>
      <w:r>
        <w:rPr>
          <w:rStyle w:val="FootnoteReference"/>
        </w:rPr>
        <w:footnoteRef/>
      </w:r>
      <w:r>
        <w:t xml:space="preserve"> </w:t>
      </w:r>
      <w:r>
        <w:tab/>
        <w:t>This method outlines how major event days are defined for exclusion from the system.</w:t>
      </w:r>
    </w:p>
  </w:footnote>
  <w:footnote w:id="16">
    <w:p w:rsidR="008803FC" w:rsidRDefault="008803FC" w:rsidP="00B16708">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w:t>
      </w:r>
    </w:p>
  </w:footnote>
  <w:footnote w:id="17">
    <w:p w:rsidR="008803FC" w:rsidRDefault="008803FC" w:rsidP="00B16708">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8">
    <w:p w:rsidR="008803FC" w:rsidRDefault="008803FC" w:rsidP="00602ACF">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19">
    <w:p w:rsidR="008803FC" w:rsidRDefault="008803FC">
      <w:pPr>
        <w:pStyle w:val="FootnoteText"/>
      </w:pPr>
      <w:r>
        <w:rPr>
          <w:rStyle w:val="FootnoteReference"/>
        </w:rPr>
        <w:footnoteRef/>
      </w:r>
      <w:r>
        <w:t xml:space="preserve"> </w:t>
      </w:r>
      <w:r>
        <w:tab/>
      </w:r>
      <w:r w:rsidRPr="004319DE">
        <w:t>AusNet Services</w:t>
      </w:r>
      <w:r>
        <w:t xml:space="preserve">, </w:t>
      </w:r>
      <w:r>
        <w:rPr>
          <w:rStyle w:val="AERtextitalic"/>
        </w:rPr>
        <w:t>Revised regulatory proposal 2016–20</w:t>
      </w:r>
      <w:r>
        <w:t>, 6 January 2016, pp. 5(4)–5(5).</w:t>
      </w:r>
    </w:p>
  </w:footnote>
  <w:footnote w:id="20">
    <w:p w:rsidR="008803FC" w:rsidRDefault="008803FC" w:rsidP="00B16708">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21">
    <w:p w:rsidR="008803FC" w:rsidRDefault="008803FC" w:rsidP="00B16708">
      <w:pPr>
        <w:pStyle w:val="FootnoteText"/>
      </w:pPr>
      <w:r>
        <w:rPr>
          <w:rStyle w:val="FootnoteReference"/>
        </w:rPr>
        <w:footnoteRef/>
      </w:r>
      <w:r>
        <w:t xml:space="preserve"> </w:t>
      </w:r>
      <w:r>
        <w:tab/>
      </w:r>
      <w:r w:rsidRPr="004319DE">
        <w:t>AusNet Electricity Services</w:t>
      </w:r>
      <w:r>
        <w:t>,</w:t>
      </w:r>
      <w:r w:rsidRPr="004319DE">
        <w:t xml:space="preserve"> </w:t>
      </w:r>
      <w:r w:rsidRPr="00660952">
        <w:rPr>
          <w:rStyle w:val="AERtextitalic"/>
        </w:rPr>
        <w:t>Revised regulatory proposal 2016–20</w:t>
      </w:r>
      <w:r w:rsidRPr="00392A3A">
        <w:t>, 6 J</w:t>
      </w:r>
      <w:r>
        <w:t xml:space="preserve">anuary </w:t>
      </w:r>
      <w:r w:rsidRPr="00392A3A">
        <w:t>2016, pp. 5</w:t>
      </w:r>
      <w:r>
        <w:t>(</w:t>
      </w:r>
      <w:r w:rsidRPr="00392A3A">
        <w:t>4</w:t>
      </w:r>
      <w:r>
        <w:t>)–</w:t>
      </w:r>
      <w:r w:rsidRPr="00392A3A">
        <w:t>5</w:t>
      </w:r>
      <w:r>
        <w:t>(</w:t>
      </w:r>
      <w:r w:rsidRPr="00392A3A">
        <w:t>5</w:t>
      </w:r>
      <w:r>
        <w:t>)</w:t>
      </w:r>
      <w:r w:rsidRPr="00392A3A">
        <w:t>.</w:t>
      </w:r>
      <w:r>
        <w:t xml:space="preserve"> </w:t>
      </w:r>
    </w:p>
  </w:footnote>
  <w:footnote w:id="22">
    <w:p w:rsidR="008803FC" w:rsidRDefault="008803FC" w:rsidP="00B16708">
      <w:pPr>
        <w:pStyle w:val="FootnoteText"/>
      </w:pPr>
      <w:r>
        <w:rPr>
          <w:rStyle w:val="FootnoteReference"/>
        </w:rPr>
        <w:footnoteRef/>
      </w:r>
      <w:r>
        <w:t xml:space="preserve"> </w:t>
      </w:r>
      <w:r>
        <w:tab/>
      </w:r>
      <w:r w:rsidRPr="004319DE">
        <w:t>AusNet Electricity Services</w:t>
      </w:r>
      <w:r>
        <w:t xml:space="preserve">, </w:t>
      </w:r>
      <w:r w:rsidRPr="004319DE">
        <w:rPr>
          <w:rStyle w:val="AERtextitalic"/>
        </w:rPr>
        <w:t>Electricity Distribution Price Review 2016-20</w:t>
      </w:r>
      <w:r>
        <w:t>, 30 April 2015, p. 153.</w:t>
      </w:r>
    </w:p>
  </w:footnote>
  <w:footnote w:id="23">
    <w:p w:rsidR="008803FC" w:rsidRDefault="008803FC" w:rsidP="00B16708">
      <w:pPr>
        <w:pStyle w:val="FootnoteText"/>
      </w:pPr>
      <w:r>
        <w:rPr>
          <w:rStyle w:val="FootnoteReference"/>
        </w:rPr>
        <w:footnoteRef/>
      </w:r>
      <w:r>
        <w:t xml:space="preserve"> </w:t>
      </w:r>
      <w:r>
        <w:tab/>
      </w:r>
      <w:r w:rsidRPr="00755F8E">
        <w:t xml:space="preserve">AER, </w:t>
      </w:r>
      <w:r w:rsidRPr="00E37324">
        <w:rPr>
          <w:rStyle w:val="AERtextitalic"/>
        </w:rPr>
        <w:t>STPIS</w:t>
      </w:r>
      <w:r>
        <w:t>, November 2009, cl. 5.3.1.</w:t>
      </w:r>
    </w:p>
  </w:footnote>
  <w:footnote w:id="24">
    <w:p w:rsidR="008803FC" w:rsidRDefault="008803FC">
      <w:pPr>
        <w:pStyle w:val="FootnoteText"/>
      </w:pPr>
      <w:r>
        <w:rPr>
          <w:rStyle w:val="FootnoteReference"/>
        </w:rPr>
        <w:footnoteRef/>
      </w:r>
      <w:r>
        <w:t xml:space="preserve"> </w:t>
      </w:r>
      <w:r>
        <w:tab/>
      </w:r>
      <w:r w:rsidRPr="004319DE">
        <w:t>AusNet Electricity Services</w:t>
      </w:r>
      <w:r>
        <w:t xml:space="preserve">, </w:t>
      </w:r>
      <w:r>
        <w:rPr>
          <w:rStyle w:val="AERtextitalic"/>
        </w:rPr>
        <w:t>Revised regulatory proposal 2016–20</w:t>
      </w:r>
      <w:r>
        <w:t>, 6 January 2016, pp. 5(4)–5(5).</w:t>
      </w:r>
    </w:p>
  </w:footnote>
  <w:footnote w:id="25">
    <w:p w:rsidR="008803FC" w:rsidRPr="00CF6826" w:rsidRDefault="008803FC" w:rsidP="00CF6826">
      <w:pPr>
        <w:pStyle w:val="FootnoteText"/>
      </w:pPr>
      <w:r>
        <w:rPr>
          <w:rStyle w:val="FootnoteReference"/>
        </w:rPr>
        <w:footnoteRef/>
      </w:r>
      <w:r>
        <w:t xml:space="preserve"> </w:t>
      </w:r>
      <w:r>
        <w:tab/>
      </w:r>
      <w:r w:rsidRPr="00CF6826">
        <w:t xml:space="preserve">AusNet Electricity Services, </w:t>
      </w:r>
      <w:r>
        <w:rPr>
          <w:rStyle w:val="AERtextitalic"/>
        </w:rPr>
        <w:t>R</w:t>
      </w:r>
      <w:r w:rsidRPr="00CF6826">
        <w:rPr>
          <w:rStyle w:val="AERtextitalic"/>
        </w:rPr>
        <w:t>egulatory proposal 2016–20</w:t>
      </w:r>
      <w:r w:rsidRPr="00CF6826">
        <w:t xml:space="preserve">, 6 January 2016, p. </w:t>
      </w:r>
      <w:r>
        <w:t xml:space="preserve">248; AusNet Services, </w:t>
      </w:r>
      <w:r w:rsidRPr="00967B79">
        <w:t>AST Distribution Capex Model (Confidential)</w:t>
      </w:r>
      <w:r>
        <w:t>.</w:t>
      </w:r>
    </w:p>
    <w:p w:rsidR="008803FC" w:rsidRDefault="008803FC">
      <w:pPr>
        <w:pStyle w:val="FootnoteText"/>
      </w:pPr>
    </w:p>
  </w:footnote>
  <w:footnote w:id="26">
    <w:p w:rsidR="008803FC" w:rsidRDefault="008803FC" w:rsidP="00B16708">
      <w:pPr>
        <w:pStyle w:val="FootnoteText"/>
      </w:pPr>
      <w:r>
        <w:rPr>
          <w:rStyle w:val="FootnoteReference"/>
        </w:rPr>
        <w:footnoteRef/>
      </w:r>
      <w:r>
        <w:t xml:space="preserve"> </w:t>
      </w:r>
      <w:r>
        <w:tab/>
        <w:t xml:space="preserve">Essential Services Commission (Victoria), </w:t>
      </w:r>
      <w:r w:rsidRPr="000035AD">
        <w:rPr>
          <w:rStyle w:val="AERtextitalic"/>
        </w:rPr>
        <w:t>Electricity Distribution  Price Revie 2006–10, Final Decision volume 1 Statement of Purpose and Reasons</w:t>
      </w:r>
      <w:r>
        <w:t>, October 2005, p. 88.</w:t>
      </w:r>
    </w:p>
  </w:footnote>
  <w:footnote w:id="27">
    <w:p w:rsidR="008803FC" w:rsidRDefault="008803FC" w:rsidP="00FD17A3">
      <w:pPr>
        <w:pStyle w:val="FootnoteText"/>
      </w:pPr>
      <w:r>
        <w:rPr>
          <w:rStyle w:val="FootnoteReference"/>
        </w:rPr>
        <w:footnoteRef/>
      </w:r>
      <w:r>
        <w:t xml:space="preserve"> </w:t>
      </w:r>
      <w:r>
        <w:tab/>
      </w:r>
      <w:r w:rsidRPr="00755F8E">
        <w:t xml:space="preserve">AER, </w:t>
      </w:r>
      <w:r w:rsidRPr="00E37324">
        <w:rPr>
          <w:rStyle w:val="AERtextitalic"/>
        </w:rPr>
        <w:t>STPIS</w:t>
      </w:r>
      <w:r>
        <w:t>, November 2009, cl. 3.2.1(a).</w:t>
      </w:r>
    </w:p>
  </w:footnote>
  <w:footnote w:id="28">
    <w:p w:rsidR="008803FC" w:rsidRDefault="008803FC" w:rsidP="00B16708">
      <w:pPr>
        <w:pStyle w:val="FootnoteText"/>
      </w:pPr>
      <w:r>
        <w:rPr>
          <w:rStyle w:val="FootnoteReference"/>
        </w:rPr>
        <w:footnoteRef/>
      </w:r>
      <w:r>
        <w:t xml:space="preserve"> </w:t>
      </w:r>
      <w:r>
        <w:tab/>
      </w:r>
      <w:r w:rsidRPr="00F4313A">
        <w:t xml:space="preserve">AER, </w:t>
      </w:r>
      <w:r w:rsidRPr="00660952">
        <w:rPr>
          <w:rStyle w:val="AERtextitalic"/>
        </w:rPr>
        <w:t>Preliminary decision, AusNet Services distribution determination  2016 to 2020 Attachment 11 – Service target performance incentive scheme</w:t>
      </w:r>
      <w:r w:rsidRPr="00F4313A">
        <w:t>, October 2015</w:t>
      </w:r>
      <w:r>
        <w:t>, pp</w:t>
      </w:r>
      <w:r w:rsidRPr="00F4313A">
        <w:t>.</w:t>
      </w:r>
      <w:r>
        <w:t xml:space="preserve"> 11(15)–11(22). </w:t>
      </w:r>
    </w:p>
  </w:footnote>
  <w:footnote w:id="29">
    <w:p w:rsidR="008803FC" w:rsidRDefault="008803FC" w:rsidP="00B16708">
      <w:pPr>
        <w:pStyle w:val="FootnoteText"/>
      </w:pPr>
      <w:r>
        <w:rPr>
          <w:rStyle w:val="FootnoteReference"/>
        </w:rPr>
        <w:footnoteRef/>
      </w:r>
      <w:r>
        <w:t xml:space="preserve"> </w:t>
      </w:r>
      <w:r>
        <w:tab/>
        <w:t xml:space="preserve">AusNet Services, </w:t>
      </w:r>
      <w:r w:rsidRPr="00EB5497">
        <w:rPr>
          <w:rStyle w:val="AERtextitalic"/>
        </w:rPr>
        <w:t>Distribution Annual Planning Report 2015 – 2019</w:t>
      </w:r>
      <w:r>
        <w:t xml:space="preserve">, 19 December 2014, p. 72;  AusNet Services, </w:t>
      </w:r>
      <w:r w:rsidRPr="00EB5497">
        <w:rPr>
          <w:rStyle w:val="AERtextitalic"/>
        </w:rPr>
        <w:t>EDPR 2016–20 Appendix 7A: Network Capital Expenditure Overview 2016-2020</w:t>
      </w:r>
      <w:r>
        <w:t>, April 2015, p. 16.</w:t>
      </w:r>
    </w:p>
  </w:footnote>
  <w:footnote w:id="30">
    <w:p w:rsidR="008803FC" w:rsidRDefault="008803FC" w:rsidP="00B16708">
      <w:pPr>
        <w:pStyle w:val="FootnoteText"/>
      </w:pPr>
      <w:r>
        <w:rPr>
          <w:rStyle w:val="FootnoteReference"/>
        </w:rPr>
        <w:footnoteRef/>
      </w:r>
      <w:r>
        <w:t xml:space="preserve"> </w:t>
      </w:r>
      <w:r>
        <w:tab/>
        <w:t>AusNet Services</w:t>
      </w:r>
      <w:r w:rsidRPr="008F17AF">
        <w:t xml:space="preserve">, </w:t>
      </w:r>
      <w:r w:rsidRPr="00675508">
        <w:rPr>
          <w:rStyle w:val="AERtextitalic"/>
        </w:rPr>
        <w:t>2016–20 Regulatory proposal</w:t>
      </w:r>
      <w:r w:rsidRPr="008F17AF">
        <w:t xml:space="preserve">, </w:t>
      </w:r>
      <w:r>
        <w:t xml:space="preserve">30 April 2015, p. 137; AusNet Services, </w:t>
      </w:r>
      <w:r w:rsidRPr="00C55ABF">
        <w:t xml:space="preserve">Vic. EDPR - </w:t>
      </w:r>
      <w:r>
        <w:t>AusNet Services</w:t>
      </w:r>
      <w:r w:rsidRPr="00C55ABF">
        <w:t xml:space="preserve"> - IR#003</w:t>
      </w:r>
      <w:r>
        <w:t xml:space="preserve">, 24 June 2015; AusNet Services, </w:t>
      </w:r>
      <w:r w:rsidRPr="00C55ABF">
        <w:t xml:space="preserve">Vic. EDPR - </w:t>
      </w:r>
      <w:r>
        <w:t>AusNet Services</w:t>
      </w:r>
      <w:r w:rsidRPr="00C55ABF">
        <w:t xml:space="preserve"> - IR#003</w:t>
      </w:r>
      <w:r>
        <w:t>, 2 July 2015.</w:t>
      </w:r>
    </w:p>
  </w:footnote>
  <w:footnote w:id="31">
    <w:p w:rsidR="008803FC" w:rsidRDefault="008803FC" w:rsidP="00B16708">
      <w:pPr>
        <w:pStyle w:val="FootnoteText"/>
      </w:pPr>
      <w:r>
        <w:rPr>
          <w:rStyle w:val="FootnoteReference"/>
        </w:rPr>
        <w:footnoteRef/>
      </w:r>
      <w:r>
        <w:t xml:space="preserve"> </w:t>
      </w:r>
      <w:r>
        <w:tab/>
        <w:t xml:space="preserve">AER, </w:t>
      </w:r>
      <w:r>
        <w:rPr>
          <w:rStyle w:val="AERtextitalic"/>
        </w:rPr>
        <w:t>Preliminary</w:t>
      </w:r>
      <w:r w:rsidRPr="00F04A66">
        <w:rPr>
          <w:rStyle w:val="AERtextitalic"/>
        </w:rPr>
        <w:t xml:space="preserve"> decision Powercor distribution determination 2016 to 2020 Attachment 11 – Service target performance incentive scheme</w:t>
      </w:r>
      <w:r>
        <w:t xml:space="preserve">, </w:t>
      </w:r>
      <w:r w:rsidRPr="00F04A66">
        <w:t>October 2015</w:t>
      </w:r>
      <w:r>
        <w:t xml:space="preserve">; AER, </w:t>
      </w:r>
      <w:r>
        <w:rPr>
          <w:rStyle w:val="AERtextitalic"/>
        </w:rPr>
        <w:t>Preliminary</w:t>
      </w:r>
      <w:r w:rsidRPr="00F04A66">
        <w:rPr>
          <w:rStyle w:val="AERtextitalic"/>
        </w:rPr>
        <w:t xml:space="preserve"> decision </w:t>
      </w:r>
      <w:r>
        <w:rPr>
          <w:rStyle w:val="AERtextitalic"/>
        </w:rPr>
        <w:t>CitiPower</w:t>
      </w:r>
      <w:r w:rsidRPr="00F04A66">
        <w:rPr>
          <w:rStyle w:val="AERtextitalic"/>
        </w:rPr>
        <w:t xml:space="preserve"> distribution determination 2016 to 2020 Attachment 11 – Service target performance incentive scheme</w:t>
      </w:r>
      <w:r>
        <w:t xml:space="preserve">, </w:t>
      </w:r>
      <w:r w:rsidRPr="00F04A66">
        <w:t>October 2015</w:t>
      </w:r>
      <w:r>
        <w:t xml:space="preserve">; AER, </w:t>
      </w:r>
      <w:r>
        <w:rPr>
          <w:rStyle w:val="AERtextitalic"/>
        </w:rPr>
        <w:t>Preliminary</w:t>
      </w:r>
      <w:r w:rsidRPr="00F04A66">
        <w:rPr>
          <w:rStyle w:val="AERtextitalic"/>
        </w:rPr>
        <w:t xml:space="preserve"> decision</w:t>
      </w:r>
      <w:r>
        <w:rPr>
          <w:rStyle w:val="AERtextitalic"/>
        </w:rPr>
        <w:t xml:space="preserve"> United Energy</w:t>
      </w:r>
      <w:r w:rsidRPr="00F04A66">
        <w:rPr>
          <w:rStyle w:val="AERtextitalic"/>
        </w:rPr>
        <w:t xml:space="preserve"> distribution determination 2016 to 2020 Attachment 11 – Service target performance incentive scheme</w:t>
      </w:r>
      <w:r>
        <w:t xml:space="preserve">, </w:t>
      </w:r>
      <w:r w:rsidRPr="00F04A66">
        <w:t>October 2015</w:t>
      </w:r>
      <w:r>
        <w:t>.</w:t>
      </w:r>
    </w:p>
  </w:footnote>
  <w:footnote w:id="32">
    <w:p w:rsidR="008803FC" w:rsidRDefault="008803FC" w:rsidP="00BF7BDC">
      <w:pPr>
        <w:pStyle w:val="FootnoteText"/>
      </w:pPr>
      <w:r>
        <w:rPr>
          <w:rStyle w:val="FootnoteReference"/>
        </w:rPr>
        <w:footnoteRef/>
      </w:r>
      <w:r>
        <w:t xml:space="preserve"> </w:t>
      </w:r>
      <w:r>
        <w:tab/>
      </w:r>
      <w:r w:rsidRPr="00BF7BDC">
        <w:t xml:space="preserve">AusNet Services made no submission to have its performance targets tightened </w:t>
      </w:r>
      <w:r>
        <w:t>for</w:t>
      </w:r>
      <w:r w:rsidRPr="00BF7BDC">
        <w:t xml:space="preserve"> the </w:t>
      </w:r>
      <w:r>
        <w:t>2011-15 r</w:t>
      </w:r>
      <w:r w:rsidRPr="00BF7BDC">
        <w:t xml:space="preserve">egulatory period because of a 40 per cent increase in the VCR </w:t>
      </w:r>
      <w:r>
        <w:t>from the 2005-10 period</w:t>
      </w:r>
      <w:r w:rsidRPr="00BF7BDC">
        <w:t>. As such, we consider it is not in the long term interest of consumers to allow it to also benefit from a lower VCR with a softening of its performance targets. We consider this asymmetric treatment is contrary to the NEO and the objectives of the scheme</w:t>
      </w:r>
    </w:p>
  </w:footnote>
  <w:footnote w:id="33">
    <w:p w:rsidR="008803FC" w:rsidRDefault="008803FC">
      <w:pPr>
        <w:pStyle w:val="FootnoteText"/>
      </w:pPr>
      <w:r>
        <w:rPr>
          <w:rStyle w:val="FootnoteReference"/>
        </w:rPr>
        <w:footnoteRef/>
      </w:r>
      <w:r>
        <w:t xml:space="preserve"> </w:t>
      </w:r>
      <w:r>
        <w:tab/>
      </w:r>
      <w:r w:rsidRPr="001204CF">
        <w:t xml:space="preserve">CitiPower, </w:t>
      </w:r>
      <w:r w:rsidRPr="001204CF">
        <w:rPr>
          <w:rStyle w:val="AERtextitalic"/>
        </w:rPr>
        <w:t>Revised regulatory proposal 2016–20, January 2016</w:t>
      </w:r>
      <w:r w:rsidRPr="001204CF">
        <w:t>, p. 400.</w:t>
      </w:r>
    </w:p>
  </w:footnote>
  <w:footnote w:id="34">
    <w:p w:rsidR="008803FC" w:rsidRDefault="008803FC">
      <w:pPr>
        <w:pStyle w:val="FootnoteText"/>
      </w:pPr>
      <w:r>
        <w:rPr>
          <w:rStyle w:val="FootnoteReference"/>
        </w:rPr>
        <w:footnoteRef/>
      </w:r>
      <w:r>
        <w:t xml:space="preserve"> </w:t>
      </w:r>
      <w:r>
        <w:tab/>
        <w:t xml:space="preserve">AusNet Services, </w:t>
      </w:r>
      <w:r w:rsidRPr="00E27C5F">
        <w:rPr>
          <w:rStyle w:val="AERtextitalic"/>
        </w:rPr>
        <w:t>Transmission Revenue Review 2017-2022</w:t>
      </w:r>
      <w:r>
        <w:t xml:space="preserve">, October 2015, p. 162; AER. </w:t>
      </w:r>
      <w:r w:rsidRPr="00EC7C6C">
        <w:rPr>
          <w:rStyle w:val="AERtextitalic"/>
        </w:rPr>
        <w:t>STPIS</w:t>
      </w:r>
      <w:r>
        <w:t xml:space="preserve">, November 2009, </w:t>
      </w:r>
      <w:r w:rsidRPr="00BE291C">
        <w:t>cl</w:t>
      </w:r>
      <w:r>
        <w:t>.</w:t>
      </w:r>
      <w:r w:rsidRPr="00BE291C">
        <w:t xml:space="preserve"> 1.5(b)(1)</w:t>
      </w:r>
      <w:r>
        <w:t>.</w:t>
      </w:r>
    </w:p>
  </w:footnote>
  <w:footnote w:id="35">
    <w:p w:rsidR="008803FC" w:rsidRDefault="008803FC">
      <w:pPr>
        <w:pStyle w:val="FootnoteText"/>
      </w:pPr>
      <w:r>
        <w:rPr>
          <w:rStyle w:val="FootnoteReference"/>
        </w:rPr>
        <w:footnoteRef/>
      </w:r>
      <w:r>
        <w:t xml:space="preserve"> </w:t>
      </w:r>
      <w:r>
        <w:tab/>
        <w:t>When one of the high voltage conductors develops an earth fault, REFCL will supresses the voltage of that particular conductor to prevent a fire from starting.</w:t>
      </w:r>
    </w:p>
  </w:footnote>
  <w:footnote w:id="36">
    <w:p w:rsidR="008803FC" w:rsidRDefault="008803FC" w:rsidP="00C44ABC">
      <w:pPr>
        <w:pStyle w:val="FootnoteText"/>
      </w:pPr>
      <w:r>
        <w:rPr>
          <w:rStyle w:val="FootnoteReference"/>
        </w:rPr>
        <w:footnoteRef/>
      </w:r>
      <w:r>
        <w:t xml:space="preserve"> </w:t>
      </w:r>
      <w:r>
        <w:tab/>
      </w:r>
      <w:r w:rsidRPr="00A16825">
        <w:t xml:space="preserve">Victorian Government, </w:t>
      </w:r>
      <w:r w:rsidRPr="00660952">
        <w:rPr>
          <w:rStyle w:val="AERtextitalic"/>
        </w:rPr>
        <w:t>Submission on the Victorian electricity distribution network service providers’ revised regulatory proposals for 2016-20</w:t>
      </w:r>
      <w:r w:rsidRPr="00A16825">
        <w:t xml:space="preserve">, 14 January, p. 8. </w:t>
      </w:r>
      <w:r>
        <w:rPr>
          <w:rFonts w:ascii="Gautami" w:hAnsi="Gautami" w:cs="Gautami"/>
          <w:szCs w:val="16"/>
        </w:rPr>
        <w:t xml:space="preserve"> </w:t>
      </w:r>
    </w:p>
  </w:footnote>
  <w:footnote w:id="37">
    <w:p w:rsidR="008803FC" w:rsidRPr="00513A77" w:rsidRDefault="008803FC" w:rsidP="00C44ABC">
      <w:pPr>
        <w:pStyle w:val="FootnoteText"/>
        <w:rPr>
          <w:rFonts w:ascii="Gautami" w:hAnsi="Gautami" w:cs="Gautami"/>
        </w:rPr>
      </w:pPr>
      <w:r w:rsidRPr="00513A77">
        <w:rPr>
          <w:rStyle w:val="FootnoteReference"/>
          <w:rFonts w:ascii="Gautami" w:hAnsi="Gautami" w:cs="Gautami"/>
        </w:rPr>
        <w:footnoteRef/>
      </w:r>
      <w:r w:rsidRPr="00513A77">
        <w:rPr>
          <w:rFonts w:ascii="Gautami" w:hAnsi="Gautami" w:cs="Gautami"/>
        </w:rPr>
        <w:t xml:space="preserve"> </w:t>
      </w:r>
      <w:r w:rsidRPr="00513A77">
        <w:rPr>
          <w:rFonts w:ascii="Gautami" w:hAnsi="Gautami" w:cs="Gautami"/>
        </w:rPr>
        <w:tab/>
      </w:r>
      <w:r w:rsidRPr="00A16825">
        <w:t xml:space="preserve">CitiPower and Powercor, </w:t>
      </w:r>
      <w:r w:rsidRPr="00660952">
        <w:rPr>
          <w:rStyle w:val="AERtextitalic"/>
        </w:rPr>
        <w:t>Further submission to the AER regarding preliminary determination</w:t>
      </w:r>
      <w:r w:rsidRPr="00A16825">
        <w:t xml:space="preserve">, 4 February 2016, pp. 19–21; Jemena Electricity Networks, </w:t>
      </w:r>
      <w:r w:rsidRPr="00660952">
        <w:rPr>
          <w:rStyle w:val="AERtextitalic"/>
        </w:rPr>
        <w:t>Victorian 2016-2020 Electricity Distribution Process Review Submission to the Victorian EDPR Process</w:t>
      </w:r>
      <w:r w:rsidRPr="00A16825">
        <w:t xml:space="preserve">, 4 February 2016, pp.18–20; AusNet Services, </w:t>
      </w:r>
      <w:r w:rsidRPr="00660952">
        <w:rPr>
          <w:rStyle w:val="AERtextitalic"/>
        </w:rPr>
        <w:t>Response to submissions on the Victorian EDPR Preliminary Decision</w:t>
      </w:r>
      <w:r w:rsidRPr="00A16825">
        <w:t>, 4 February 2016, pp. 31–32.</w:t>
      </w:r>
    </w:p>
  </w:footnote>
  <w:footnote w:id="38">
    <w:p w:rsidR="008803FC" w:rsidRDefault="008803FC">
      <w:pPr>
        <w:pStyle w:val="FootnoteText"/>
      </w:pPr>
      <w:r>
        <w:rPr>
          <w:rStyle w:val="FootnoteReference"/>
        </w:rPr>
        <w:footnoteRef/>
      </w:r>
      <w:r>
        <w:t xml:space="preserve"> </w:t>
      </w:r>
      <w:r>
        <w:tab/>
        <w:t xml:space="preserve">AusNet Services, </w:t>
      </w:r>
      <w:r w:rsidRPr="008E1767">
        <w:t>A</w:t>
      </w:r>
      <w:r w:rsidRPr="008E1767">
        <w:rPr>
          <w:rStyle w:val="AERtextitalic"/>
        </w:rPr>
        <w:t>usNet Services’ response to submissions on the Victorian EDPR Preliminary Decision</w:t>
      </w:r>
      <w:r>
        <w:t>, 4 February 2016, pp. 31–32.</w:t>
      </w:r>
    </w:p>
  </w:footnote>
  <w:footnote w:id="39">
    <w:p w:rsidR="008803FC" w:rsidRDefault="008803FC" w:rsidP="00C44ABC">
      <w:pPr>
        <w:pStyle w:val="FootnoteText"/>
      </w:pPr>
      <w:r>
        <w:rPr>
          <w:rStyle w:val="FootnoteReference"/>
        </w:rPr>
        <w:footnoteRef/>
      </w:r>
      <w:r>
        <w:t xml:space="preserve"> </w:t>
      </w:r>
      <w:r>
        <w:tab/>
      </w:r>
      <w:r w:rsidRPr="00A16825">
        <w:t xml:space="preserve">Jemena Electricity Networks, </w:t>
      </w:r>
      <w:r w:rsidRPr="00660952">
        <w:rPr>
          <w:rStyle w:val="AERtextitalic"/>
        </w:rPr>
        <w:t>Victorian 2016-2020 Electricity Distribution Process Review Submission to the Victorian EDPR Process</w:t>
      </w:r>
      <w:r w:rsidRPr="00A16825">
        <w:t>, 4 February 2016, p.20.</w:t>
      </w:r>
    </w:p>
  </w:footnote>
  <w:footnote w:id="40">
    <w:p w:rsidR="008803FC" w:rsidRPr="00513A77" w:rsidRDefault="008803FC" w:rsidP="00676A83">
      <w:pPr>
        <w:pStyle w:val="FootnoteText"/>
        <w:rPr>
          <w:rFonts w:ascii="Gautami" w:hAnsi="Gautami" w:cs="Gautami"/>
          <w:szCs w:val="16"/>
        </w:rPr>
      </w:pPr>
      <w:r w:rsidRPr="00513A77">
        <w:rPr>
          <w:rStyle w:val="FootnoteReference"/>
          <w:rFonts w:ascii="Gautami" w:hAnsi="Gautami" w:cs="Gautami"/>
          <w:szCs w:val="16"/>
        </w:rPr>
        <w:footnoteRef/>
      </w:r>
      <w:r w:rsidRPr="00513A77">
        <w:rPr>
          <w:rFonts w:ascii="Gautami" w:hAnsi="Gautami" w:cs="Gautami"/>
          <w:szCs w:val="16"/>
        </w:rPr>
        <w:t xml:space="preserve"> </w:t>
      </w:r>
      <w:r w:rsidRPr="00513A77">
        <w:rPr>
          <w:rFonts w:ascii="Gautami" w:hAnsi="Gautami" w:cs="Gautami"/>
          <w:szCs w:val="16"/>
        </w:rPr>
        <w:tab/>
      </w:r>
      <w:r w:rsidRPr="00C54043">
        <w:t xml:space="preserve">Deloitte, </w:t>
      </w:r>
      <w:r w:rsidRPr="00660952">
        <w:rPr>
          <w:rStyle w:val="AERtextitalic"/>
        </w:rPr>
        <w:t>Advanced metering infrastructure cost benefit analysis</w:t>
      </w:r>
      <w:r w:rsidRPr="00C54043">
        <w:t>, August 2011</w:t>
      </w:r>
      <w:r>
        <w:t>.</w:t>
      </w:r>
    </w:p>
  </w:footnote>
  <w:footnote w:id="41">
    <w:p w:rsidR="008803FC" w:rsidRPr="00513A77" w:rsidRDefault="008803FC" w:rsidP="00676A83">
      <w:pPr>
        <w:pStyle w:val="FootnoteText"/>
        <w:rPr>
          <w:rFonts w:ascii="Gautami" w:hAnsi="Gautami" w:cs="Gautami"/>
          <w:szCs w:val="16"/>
        </w:rPr>
      </w:pPr>
      <w:r w:rsidRPr="00513A77">
        <w:rPr>
          <w:rStyle w:val="FootnoteReference"/>
          <w:rFonts w:ascii="Gautami" w:hAnsi="Gautami" w:cs="Gautami"/>
          <w:szCs w:val="16"/>
        </w:rPr>
        <w:footnoteRef/>
      </w:r>
      <w:r w:rsidRPr="00513A77">
        <w:rPr>
          <w:rFonts w:ascii="Gautami" w:hAnsi="Gautami" w:cs="Gautami"/>
          <w:szCs w:val="16"/>
        </w:rPr>
        <w:t xml:space="preserve"> </w:t>
      </w:r>
      <w:r w:rsidRPr="00513A77">
        <w:rPr>
          <w:rFonts w:ascii="Gautami" w:hAnsi="Gautami" w:cs="Gautami"/>
          <w:szCs w:val="16"/>
        </w:rPr>
        <w:tab/>
      </w:r>
      <w:r w:rsidRPr="00C54043">
        <w:t xml:space="preserve">AusNet Services, </w:t>
      </w:r>
      <w:r w:rsidRPr="00660952">
        <w:rPr>
          <w:rStyle w:val="AERtextitalic"/>
        </w:rPr>
        <w:t>Response to AER Information request - VIC EDPR - AusNet - IR#032</w:t>
      </w:r>
      <w:r w:rsidRPr="00C54043">
        <w:t>, 26 February 2016</w:t>
      </w:r>
      <w:r w:rsidR="00B32060">
        <w:t>.</w:t>
      </w:r>
    </w:p>
  </w:footnote>
  <w:footnote w:id="42">
    <w:p w:rsidR="008803FC" w:rsidRPr="00513A77" w:rsidRDefault="008803FC" w:rsidP="00087EBB">
      <w:pPr>
        <w:pStyle w:val="FootnoteText"/>
        <w:rPr>
          <w:rFonts w:ascii="Gautami" w:hAnsi="Gautami" w:cs="Gautami"/>
          <w:szCs w:val="16"/>
        </w:rPr>
      </w:pPr>
      <w:r w:rsidRPr="00513A77">
        <w:rPr>
          <w:rStyle w:val="FootnoteReference"/>
          <w:rFonts w:ascii="Gautami" w:hAnsi="Gautami" w:cs="Gautami"/>
          <w:szCs w:val="16"/>
        </w:rPr>
        <w:footnoteRef/>
      </w:r>
      <w:r w:rsidRPr="00513A77">
        <w:rPr>
          <w:rFonts w:ascii="Gautami" w:hAnsi="Gautami" w:cs="Gautami"/>
          <w:szCs w:val="16"/>
        </w:rPr>
        <w:t xml:space="preserve"> </w:t>
      </w:r>
      <w:r w:rsidRPr="00513A77">
        <w:rPr>
          <w:rFonts w:ascii="Gautami" w:hAnsi="Gautami" w:cs="Gautami"/>
          <w:szCs w:val="16"/>
        </w:rPr>
        <w:tab/>
      </w:r>
      <w:r w:rsidRPr="00A16825">
        <w:t>Victorian Government</w:t>
      </w:r>
      <w:r w:rsidRPr="00660952">
        <w:rPr>
          <w:rStyle w:val="AERtextitalic"/>
        </w:rPr>
        <w:t>, Submission on the Victorian electricity distribution network service providers’ revised regulatory proposals for 2016-20</w:t>
      </w:r>
      <w:r w:rsidRPr="00A16825">
        <w:t>, 12 February 2016.</w:t>
      </w:r>
    </w:p>
  </w:footnote>
  <w:footnote w:id="43">
    <w:p w:rsidR="008803FC" w:rsidRDefault="008803FC">
      <w:pPr>
        <w:pStyle w:val="FootnoteText"/>
      </w:pPr>
      <w:r>
        <w:rPr>
          <w:rStyle w:val="FootnoteReference"/>
        </w:rPr>
        <w:footnoteRef/>
      </w:r>
      <w:r>
        <w:t xml:space="preserve"> </w:t>
      </w:r>
      <w:r>
        <w:tab/>
      </w:r>
      <w:r w:rsidRPr="00A16825">
        <w:t xml:space="preserve">AusNet Services, </w:t>
      </w:r>
      <w:r w:rsidRPr="00660952">
        <w:rPr>
          <w:rStyle w:val="AERtextitalic"/>
        </w:rPr>
        <w:t>Response to submissions on the Victorian EDPR Preliminary Decision</w:t>
      </w:r>
      <w:r w:rsidRPr="00A16825">
        <w:t>, 4 February 2016, p</w:t>
      </w:r>
      <w:r>
        <w:t xml:space="preserve">. </w:t>
      </w:r>
      <w:r w:rsidRPr="00A16825">
        <w:t>32</w:t>
      </w:r>
      <w:r>
        <w:t>.</w:t>
      </w:r>
    </w:p>
  </w:footnote>
  <w:footnote w:id="44">
    <w:p w:rsidR="008803FC" w:rsidRDefault="008803FC">
      <w:pPr>
        <w:pStyle w:val="FootnoteText"/>
      </w:pPr>
      <w:r>
        <w:rPr>
          <w:rStyle w:val="FootnoteReference"/>
        </w:rPr>
        <w:footnoteRef/>
      </w:r>
      <w:r>
        <w:t xml:space="preserve"> </w:t>
      </w:r>
      <w:r>
        <w:tab/>
      </w:r>
      <w:r w:rsidRPr="00A16825">
        <w:t xml:space="preserve">AusNet Services, </w:t>
      </w:r>
      <w:r w:rsidRPr="00660952">
        <w:rPr>
          <w:rStyle w:val="AERtextitalic"/>
        </w:rPr>
        <w:t>AER information request – AusNet Services - #048 - Reliability benefits of ACRs and animal proofing (follow-up question)</w:t>
      </w:r>
      <w:r w:rsidRPr="00A16825">
        <w:t xml:space="preserve">, </w:t>
      </w:r>
      <w:r>
        <w:t>2</w:t>
      </w:r>
      <w:r w:rsidRPr="00A16825">
        <w:t xml:space="preserve"> </w:t>
      </w:r>
      <w:r>
        <w:t>March</w:t>
      </w:r>
      <w:r w:rsidRPr="00A16825">
        <w:t xml:space="preserve"> 2016.</w:t>
      </w:r>
    </w:p>
  </w:footnote>
  <w:footnote w:id="45">
    <w:p w:rsidR="008803FC" w:rsidRDefault="008803FC">
      <w:pPr>
        <w:pStyle w:val="FootnoteText"/>
      </w:pPr>
      <w:r>
        <w:rPr>
          <w:rStyle w:val="FootnoteReference"/>
        </w:rPr>
        <w:footnoteRef/>
      </w:r>
      <w:r>
        <w:t xml:space="preserve"> </w:t>
      </w:r>
      <w:r>
        <w:tab/>
      </w:r>
      <w:r w:rsidRPr="00A16825">
        <w:t xml:space="preserve">AusNet Electricity Services, </w:t>
      </w:r>
      <w:r w:rsidRPr="00660952">
        <w:rPr>
          <w:rStyle w:val="AERtextitalic"/>
        </w:rPr>
        <w:t>Revised regulatory proposal 2016–20</w:t>
      </w:r>
      <w:r w:rsidRPr="00A16825">
        <w:t xml:space="preserve">, </w:t>
      </w:r>
      <w:r>
        <w:t>6 January 2016</w:t>
      </w:r>
      <w:r w:rsidRPr="00A16825">
        <w:t>, p</w:t>
      </w:r>
      <w:r>
        <w:t>. 5(</w:t>
      </w:r>
      <w:r w:rsidRPr="00A16825">
        <w:t>4</w:t>
      </w:r>
      <w:r>
        <w:t>)</w:t>
      </w:r>
      <w:r w:rsidRPr="00A16825">
        <w:t>.</w:t>
      </w:r>
    </w:p>
  </w:footnote>
  <w:footnote w:id="46">
    <w:p w:rsidR="008803FC" w:rsidRDefault="008803FC">
      <w:pPr>
        <w:pStyle w:val="FootnoteText"/>
      </w:pPr>
      <w:r>
        <w:rPr>
          <w:rStyle w:val="FootnoteReference"/>
        </w:rPr>
        <w:footnoteRef/>
      </w:r>
      <w:r>
        <w:t xml:space="preserve"> </w:t>
      </w:r>
      <w:r>
        <w:tab/>
      </w:r>
      <w:r w:rsidRPr="00F636D6">
        <w:t xml:space="preserve">Victorian Government, </w:t>
      </w:r>
      <w:r w:rsidRPr="00660952">
        <w:rPr>
          <w:rStyle w:val="AERtextitalic"/>
        </w:rPr>
        <w:t>Submission on the Victorian electricity distribution network service providers’ revised regulatory proposals for 2016-20</w:t>
      </w:r>
      <w:r w:rsidRPr="00F636D6">
        <w:t>, 12 February 2016.</w:t>
      </w:r>
    </w:p>
  </w:footnote>
  <w:footnote w:id="47">
    <w:p w:rsidR="008803FC" w:rsidRDefault="008803FC">
      <w:pPr>
        <w:pStyle w:val="FootnoteText"/>
      </w:pPr>
      <w:r>
        <w:rPr>
          <w:rStyle w:val="FootnoteReference"/>
        </w:rPr>
        <w:footnoteRef/>
      </w:r>
      <w:r>
        <w:t xml:space="preserve"> </w:t>
      </w:r>
      <w:r>
        <w:tab/>
        <w:t xml:space="preserve">AusNet Services, </w:t>
      </w:r>
      <w:r w:rsidRPr="00660952">
        <w:rPr>
          <w:rStyle w:val="AERtextitalic"/>
        </w:rPr>
        <w:t>AER information request – AusNet Services - #039 – STPIS and REFCL devices</w:t>
      </w:r>
      <w:r>
        <w:t>, 26 February 2016, pp. 1–3.</w:t>
      </w:r>
    </w:p>
  </w:footnote>
  <w:footnote w:id="48">
    <w:p w:rsidR="008803FC" w:rsidRDefault="008803FC" w:rsidP="001E4908">
      <w:pPr>
        <w:pStyle w:val="FootnoteText"/>
      </w:pPr>
      <w:r>
        <w:rPr>
          <w:rStyle w:val="FootnoteReference"/>
        </w:rPr>
        <w:footnoteRef/>
      </w:r>
      <w:r>
        <w:t xml:space="preserve"> </w:t>
      </w:r>
      <w:r>
        <w:tab/>
        <w:t xml:space="preserve">Consumer challenge panel, </w:t>
      </w:r>
      <w:r w:rsidRPr="001E4908">
        <w:rPr>
          <w:rStyle w:val="AERtextitalic"/>
        </w:rPr>
        <w:t>CCP3 Response to AER Preliminary Decisions and revised proposals from Victorian electricity distribution network service providers for a revenue reset for the 2016</w:t>
      </w:r>
      <w:r w:rsidRPr="001E4908">
        <w:rPr>
          <w:rStyle w:val="AERtextitalic"/>
          <w:rFonts w:ascii="Cambria Math" w:hAnsi="Cambria Math" w:cs="Cambria Math"/>
        </w:rPr>
        <w:t>‐</w:t>
      </w:r>
      <w:r w:rsidRPr="001E4908">
        <w:rPr>
          <w:rStyle w:val="AERtextitalic"/>
        </w:rPr>
        <w:t>2020 regulatory period</w:t>
      </w:r>
      <w:r>
        <w:t xml:space="preserve">, 22 February 2016, p. 28. </w:t>
      </w:r>
      <w:r>
        <w:tab/>
      </w:r>
    </w:p>
  </w:footnote>
  <w:footnote w:id="49">
    <w:p w:rsidR="008803FC" w:rsidRDefault="008803FC" w:rsidP="00392A3A">
      <w:pPr>
        <w:pStyle w:val="FootnoteText"/>
      </w:pPr>
      <w:r>
        <w:rPr>
          <w:rStyle w:val="FootnoteReference"/>
        </w:rPr>
        <w:footnoteRef/>
      </w:r>
      <w:r>
        <w:t xml:space="preserve"> </w:t>
      </w:r>
      <w:r>
        <w:tab/>
        <w:t xml:space="preserve">AER, </w:t>
      </w:r>
      <w:r w:rsidRPr="00660952">
        <w:rPr>
          <w:rStyle w:val="AERtextitalic"/>
        </w:rPr>
        <w:t>Preliminary decision, AusNet Services distribution determination  2016 to 2020 Attachment 11 – Service target performance incentive scheme</w:t>
      </w:r>
      <w:r>
        <w:t xml:space="preserve">, </w:t>
      </w:r>
      <w:r w:rsidRPr="00392A3A">
        <w:t>October 2015</w:t>
      </w:r>
      <w:r>
        <w:t>, p. 11(24).</w:t>
      </w:r>
    </w:p>
  </w:footnote>
  <w:footnote w:id="50">
    <w:p w:rsidR="008803FC" w:rsidRDefault="008803FC">
      <w:pPr>
        <w:pStyle w:val="FootnoteText"/>
      </w:pPr>
      <w:r>
        <w:rPr>
          <w:rStyle w:val="FootnoteReference"/>
        </w:rPr>
        <w:footnoteRef/>
      </w:r>
      <w:r>
        <w:t xml:space="preserve"> </w:t>
      </w:r>
      <w:r>
        <w:tab/>
        <w:t xml:space="preserve">AusNet Services, </w:t>
      </w:r>
      <w:r w:rsidRPr="00660952">
        <w:rPr>
          <w:rStyle w:val="AERtextitalic"/>
        </w:rPr>
        <w:t>Revised regulatory proposal 2016–20</w:t>
      </w:r>
      <w:r w:rsidRPr="00392A3A">
        <w:t xml:space="preserve">, </w:t>
      </w:r>
      <w:r>
        <w:t>6 January 2016</w:t>
      </w:r>
      <w:r w:rsidRPr="00392A3A">
        <w:t>, p</w:t>
      </w:r>
      <w:r>
        <w:t>p</w:t>
      </w:r>
      <w:r w:rsidRPr="00392A3A">
        <w:t>. 5</w:t>
      </w:r>
      <w:r>
        <w:t>(5)–5(6).</w:t>
      </w:r>
    </w:p>
  </w:footnote>
  <w:footnote w:id="51">
    <w:p w:rsidR="008803FC" w:rsidRDefault="008803FC" w:rsidP="00B16708">
      <w:pPr>
        <w:pStyle w:val="FootnoteText"/>
      </w:pPr>
      <w:r>
        <w:rPr>
          <w:rStyle w:val="FootnoteReference"/>
        </w:rPr>
        <w:footnoteRef/>
      </w:r>
      <w:r>
        <w:t xml:space="preserve"> </w:t>
      </w:r>
      <w:r>
        <w:tab/>
        <w:t>"Raw" refers to the S-factor prior to any adjustments.</w:t>
      </w:r>
    </w:p>
  </w:footnote>
  <w:footnote w:id="52">
    <w:p w:rsidR="008803FC" w:rsidRDefault="008803FC" w:rsidP="00B16708">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53">
    <w:p w:rsidR="008803FC" w:rsidRDefault="008803FC" w:rsidP="00B16708">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54">
    <w:p w:rsidR="008803FC" w:rsidRDefault="008803FC" w:rsidP="00B16708">
      <w:pPr>
        <w:pStyle w:val="FootnoteText"/>
      </w:pPr>
      <w:r>
        <w:rPr>
          <w:rStyle w:val="FootnoteReference"/>
        </w:rPr>
        <w:footnoteRef/>
      </w:r>
      <w:r>
        <w:t xml:space="preserve"> </w:t>
      </w:r>
      <w:r>
        <w:tab/>
      </w:r>
      <w:r w:rsidRPr="00E451B2">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 AER, STPIS, November 2009, Appendix C, pp. 33–34</w:t>
      </w:r>
    </w:p>
  </w:footnote>
  <w:footnote w:id="55">
    <w:p w:rsidR="008803FC" w:rsidRDefault="008803FC" w:rsidP="00B16708">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56">
    <w:p w:rsidR="008803FC" w:rsidRDefault="008803FC" w:rsidP="00B16708">
      <w:pPr>
        <w:pStyle w:val="FootnoteText"/>
      </w:pPr>
      <w:r>
        <w:rPr>
          <w:rStyle w:val="FootnoteReference"/>
        </w:rPr>
        <w:footnoteRef/>
      </w:r>
      <w:r>
        <w:t xml:space="preserve"> </w:t>
      </w:r>
      <w:r>
        <w:tab/>
      </w:r>
      <w:r w:rsidRPr="00154387">
        <w:rPr>
          <w:rStyle w:val="AERtextitalic"/>
        </w:rPr>
        <w:t>Energy Legislation Amendment Act 2012 (Vic</w:t>
      </w:r>
      <w:r>
        <w:rPr>
          <w:rStyle w:val="AERtextitalic"/>
        </w:rPr>
        <w:t>toria</w:t>
      </w:r>
      <w:r>
        <w:t>), s. 10.</w:t>
      </w:r>
    </w:p>
  </w:footnote>
  <w:footnote w:id="57">
    <w:p w:rsidR="008803FC" w:rsidRDefault="008803FC" w:rsidP="008D591D">
      <w:pPr>
        <w:pStyle w:val="FootnoteText"/>
      </w:pPr>
      <w:r>
        <w:rPr>
          <w:rStyle w:val="FootnoteReference"/>
        </w:rPr>
        <w:footnoteRef/>
      </w:r>
      <w:r>
        <w:t xml:space="preserve"> </w:t>
      </w:r>
      <w:r>
        <w:tab/>
        <w:t>NER, cl</w:t>
      </w:r>
      <w:r w:rsidR="00B32060">
        <w:t>l.</w:t>
      </w:r>
      <w:r>
        <w:t xml:space="preserve"> 6.4.3(a)(5) and (b)(5) as amended by Division 4 of Part 3 to the </w:t>
      </w:r>
      <w:r w:rsidRPr="00E27C5F">
        <w:rPr>
          <w:rStyle w:val="AERtextitalic"/>
        </w:rPr>
        <w:t>National Electricity (Victoria) Act 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FC" w:rsidRDefault="00880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4287F9D"/>
    <w:multiLevelType w:val="hybridMultilevel"/>
    <w:tmpl w:val="D608A876"/>
    <w:lvl w:ilvl="0" w:tplc="45FA0CE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D3A6B7C"/>
    <w:multiLevelType w:val="hybridMultilevel"/>
    <w:tmpl w:val="68282CA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128CCF2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EF67FF"/>
    <w:multiLevelType w:val="multilevel"/>
    <w:tmpl w:val="D2C2DEE4"/>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C064AE5"/>
    <w:multiLevelType w:val="hybridMultilevel"/>
    <w:tmpl w:val="04E6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1"/>
  </w:num>
  <w:num w:numId="15">
    <w:abstractNumId w:val="15"/>
  </w:num>
  <w:num w:numId="16">
    <w:abstractNumId w:val="24"/>
  </w:num>
  <w:num w:numId="17">
    <w:abstractNumId w:val="10"/>
  </w:num>
  <w:num w:numId="18">
    <w:abstractNumId w:val="18"/>
  </w:num>
  <w:num w:numId="19">
    <w:abstractNumId w:val="25"/>
  </w:num>
  <w:num w:numId="20">
    <w:abstractNumId w:val="31"/>
  </w:num>
  <w:num w:numId="21">
    <w:abstractNumId w:val="28"/>
  </w:num>
  <w:num w:numId="22">
    <w:abstractNumId w:val="26"/>
  </w:num>
  <w:num w:numId="23">
    <w:abstractNumId w:val="19"/>
  </w:num>
  <w:num w:numId="24">
    <w:abstractNumId w:val="27"/>
  </w:num>
  <w:num w:numId="25">
    <w:abstractNumId w:val="29"/>
  </w:num>
  <w:num w:numId="26">
    <w:abstractNumId w:val="20"/>
  </w:num>
  <w:num w:numId="27">
    <w:abstractNumId w:val="17"/>
  </w:num>
  <w:num w:numId="28">
    <w:abstractNumId w:val="33"/>
  </w:num>
  <w:num w:numId="29">
    <w:abstractNumId w:val="23"/>
  </w:num>
  <w:num w:numId="30">
    <w:abstractNumId w:val="9"/>
  </w:num>
  <w:num w:numId="31">
    <w:abstractNumId w:val="3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9"/>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16"/>
  </w:num>
  <w:num w:numId="39">
    <w:abstractNumId w:val="21"/>
  </w:num>
  <w:num w:numId="40">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wJnXkUNajTZueHxa84flOFWCDX8eGbXBIXVpBIvzbo=" w:saltValue="9TflyBYPUfXAd4xHMVir4A==" w:algorithmName="SHA-256"/>
  <w:defaultTabStop w:val="340"/>
  <w:characterSpacingControl w:val="doNotCompress"/>
  <w:hdrShapeDefaults>
    <o:shapedefaults v:ext="edit" spidmax="29900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556\AER15 4370  AER - Final decision AusNet distribution determination - Attachment 12 - Demand management incentive scheme - April 2016.DOCX"/>
  </w:docVars>
  <w:rsids>
    <w:rsidRoot w:val="00961A4A"/>
    <w:rsid w:val="000051DC"/>
    <w:rsid w:val="0000658F"/>
    <w:rsid w:val="0001062E"/>
    <w:rsid w:val="000121A2"/>
    <w:rsid w:val="0001507B"/>
    <w:rsid w:val="00020016"/>
    <w:rsid w:val="0002063B"/>
    <w:rsid w:val="00021202"/>
    <w:rsid w:val="00021C2B"/>
    <w:rsid w:val="0002498B"/>
    <w:rsid w:val="0002517F"/>
    <w:rsid w:val="00026187"/>
    <w:rsid w:val="000266FC"/>
    <w:rsid w:val="000273B3"/>
    <w:rsid w:val="00027E2D"/>
    <w:rsid w:val="00032417"/>
    <w:rsid w:val="0003578C"/>
    <w:rsid w:val="00041D23"/>
    <w:rsid w:val="00044DA3"/>
    <w:rsid w:val="000474DF"/>
    <w:rsid w:val="00055A67"/>
    <w:rsid w:val="00063247"/>
    <w:rsid w:val="0006624E"/>
    <w:rsid w:val="00067549"/>
    <w:rsid w:val="00067DAA"/>
    <w:rsid w:val="00070F9F"/>
    <w:rsid w:val="0007137B"/>
    <w:rsid w:val="00073B74"/>
    <w:rsid w:val="00074E52"/>
    <w:rsid w:val="00076416"/>
    <w:rsid w:val="000805A8"/>
    <w:rsid w:val="0008190B"/>
    <w:rsid w:val="000836D9"/>
    <w:rsid w:val="000840A8"/>
    <w:rsid w:val="00085663"/>
    <w:rsid w:val="00085EBF"/>
    <w:rsid w:val="00087EBB"/>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04CF"/>
    <w:rsid w:val="0012132C"/>
    <w:rsid w:val="00124609"/>
    <w:rsid w:val="00126A4C"/>
    <w:rsid w:val="001270E3"/>
    <w:rsid w:val="00132D43"/>
    <w:rsid w:val="00133366"/>
    <w:rsid w:val="00133F47"/>
    <w:rsid w:val="00134029"/>
    <w:rsid w:val="00142C2D"/>
    <w:rsid w:val="00142C77"/>
    <w:rsid w:val="00144C96"/>
    <w:rsid w:val="0014573B"/>
    <w:rsid w:val="001463A3"/>
    <w:rsid w:val="0015073A"/>
    <w:rsid w:val="00154F38"/>
    <w:rsid w:val="001573E4"/>
    <w:rsid w:val="00160756"/>
    <w:rsid w:val="00161DC8"/>
    <w:rsid w:val="00166760"/>
    <w:rsid w:val="0017232E"/>
    <w:rsid w:val="00174102"/>
    <w:rsid w:val="001754EE"/>
    <w:rsid w:val="00180157"/>
    <w:rsid w:val="001801C5"/>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A7D6F"/>
    <w:rsid w:val="001B45A0"/>
    <w:rsid w:val="001B680E"/>
    <w:rsid w:val="001D055E"/>
    <w:rsid w:val="001E1B3F"/>
    <w:rsid w:val="001E4908"/>
    <w:rsid w:val="001E7161"/>
    <w:rsid w:val="001E7B4E"/>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1020"/>
    <w:rsid w:val="00231487"/>
    <w:rsid w:val="00233775"/>
    <w:rsid w:val="0023414B"/>
    <w:rsid w:val="002406CA"/>
    <w:rsid w:val="00243635"/>
    <w:rsid w:val="00247079"/>
    <w:rsid w:val="00251745"/>
    <w:rsid w:val="0025203D"/>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0B6"/>
    <w:rsid w:val="00294B08"/>
    <w:rsid w:val="0029518C"/>
    <w:rsid w:val="002963DD"/>
    <w:rsid w:val="00296B65"/>
    <w:rsid w:val="002A575A"/>
    <w:rsid w:val="002A7DEF"/>
    <w:rsid w:val="002B0696"/>
    <w:rsid w:val="002B37A1"/>
    <w:rsid w:val="002C0222"/>
    <w:rsid w:val="002C0E2D"/>
    <w:rsid w:val="002C1499"/>
    <w:rsid w:val="002C233C"/>
    <w:rsid w:val="002C517B"/>
    <w:rsid w:val="002C592C"/>
    <w:rsid w:val="002D3509"/>
    <w:rsid w:val="002D4CEE"/>
    <w:rsid w:val="002D5457"/>
    <w:rsid w:val="002D72E8"/>
    <w:rsid w:val="002D79AD"/>
    <w:rsid w:val="002E14BC"/>
    <w:rsid w:val="002E268F"/>
    <w:rsid w:val="002E78DD"/>
    <w:rsid w:val="002E7B22"/>
    <w:rsid w:val="002F12EC"/>
    <w:rsid w:val="002F42BC"/>
    <w:rsid w:val="002F4E37"/>
    <w:rsid w:val="002F7986"/>
    <w:rsid w:val="00301B40"/>
    <w:rsid w:val="00301C82"/>
    <w:rsid w:val="003029EE"/>
    <w:rsid w:val="00304D38"/>
    <w:rsid w:val="00305CC8"/>
    <w:rsid w:val="00307F6D"/>
    <w:rsid w:val="003125F3"/>
    <w:rsid w:val="00314D83"/>
    <w:rsid w:val="0031571F"/>
    <w:rsid w:val="003177A2"/>
    <w:rsid w:val="00317E02"/>
    <w:rsid w:val="00326C70"/>
    <w:rsid w:val="003271B5"/>
    <w:rsid w:val="00327A1E"/>
    <w:rsid w:val="00327E28"/>
    <w:rsid w:val="00331264"/>
    <w:rsid w:val="00331EF0"/>
    <w:rsid w:val="00334C8D"/>
    <w:rsid w:val="003378BD"/>
    <w:rsid w:val="003424EA"/>
    <w:rsid w:val="00342C2F"/>
    <w:rsid w:val="003436EB"/>
    <w:rsid w:val="00343A18"/>
    <w:rsid w:val="00345744"/>
    <w:rsid w:val="003518B3"/>
    <w:rsid w:val="00353E79"/>
    <w:rsid w:val="003576C7"/>
    <w:rsid w:val="003632FA"/>
    <w:rsid w:val="00364EA0"/>
    <w:rsid w:val="00366981"/>
    <w:rsid w:val="00370678"/>
    <w:rsid w:val="0037214E"/>
    <w:rsid w:val="00372C85"/>
    <w:rsid w:val="00373845"/>
    <w:rsid w:val="003744E3"/>
    <w:rsid w:val="00375F71"/>
    <w:rsid w:val="00376219"/>
    <w:rsid w:val="0037663E"/>
    <w:rsid w:val="0037699E"/>
    <w:rsid w:val="00377A29"/>
    <w:rsid w:val="00377B20"/>
    <w:rsid w:val="00377C69"/>
    <w:rsid w:val="0038415D"/>
    <w:rsid w:val="0038461C"/>
    <w:rsid w:val="003846F1"/>
    <w:rsid w:val="00390E6A"/>
    <w:rsid w:val="00392A3A"/>
    <w:rsid w:val="00393ABE"/>
    <w:rsid w:val="00395DB6"/>
    <w:rsid w:val="00397398"/>
    <w:rsid w:val="003A371A"/>
    <w:rsid w:val="003A59CD"/>
    <w:rsid w:val="003A6B00"/>
    <w:rsid w:val="003A7092"/>
    <w:rsid w:val="003B1EE5"/>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3F4FF2"/>
    <w:rsid w:val="00400FD2"/>
    <w:rsid w:val="00403711"/>
    <w:rsid w:val="00404C52"/>
    <w:rsid w:val="00411F5D"/>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4B00"/>
    <w:rsid w:val="00476221"/>
    <w:rsid w:val="004766F5"/>
    <w:rsid w:val="00480B4B"/>
    <w:rsid w:val="004838D8"/>
    <w:rsid w:val="00485DC4"/>
    <w:rsid w:val="00494D04"/>
    <w:rsid w:val="004A40BA"/>
    <w:rsid w:val="004A43D1"/>
    <w:rsid w:val="004A492B"/>
    <w:rsid w:val="004A54C6"/>
    <w:rsid w:val="004B3C32"/>
    <w:rsid w:val="004B4412"/>
    <w:rsid w:val="004B6269"/>
    <w:rsid w:val="004C348C"/>
    <w:rsid w:val="004C462E"/>
    <w:rsid w:val="004C6CA3"/>
    <w:rsid w:val="004C7F5E"/>
    <w:rsid w:val="004D343C"/>
    <w:rsid w:val="004D372A"/>
    <w:rsid w:val="004D55BA"/>
    <w:rsid w:val="004D720C"/>
    <w:rsid w:val="004E0FA7"/>
    <w:rsid w:val="004E22EC"/>
    <w:rsid w:val="004E4FA1"/>
    <w:rsid w:val="004F0BFA"/>
    <w:rsid w:val="004F13DA"/>
    <w:rsid w:val="004F4D69"/>
    <w:rsid w:val="004F6883"/>
    <w:rsid w:val="004F6A0E"/>
    <w:rsid w:val="004F6B73"/>
    <w:rsid w:val="004F6BB3"/>
    <w:rsid w:val="005000C5"/>
    <w:rsid w:val="005009CD"/>
    <w:rsid w:val="00504E5F"/>
    <w:rsid w:val="0051337E"/>
    <w:rsid w:val="00513FA7"/>
    <w:rsid w:val="0051768F"/>
    <w:rsid w:val="00522DC2"/>
    <w:rsid w:val="00526AD4"/>
    <w:rsid w:val="00530128"/>
    <w:rsid w:val="00532467"/>
    <w:rsid w:val="005332A9"/>
    <w:rsid w:val="0053603C"/>
    <w:rsid w:val="00537871"/>
    <w:rsid w:val="00542FE9"/>
    <w:rsid w:val="00544598"/>
    <w:rsid w:val="00544C8D"/>
    <w:rsid w:val="00544DFD"/>
    <w:rsid w:val="00552F42"/>
    <w:rsid w:val="00556B1E"/>
    <w:rsid w:val="00564A4D"/>
    <w:rsid w:val="0056598C"/>
    <w:rsid w:val="00566E0B"/>
    <w:rsid w:val="00567BA5"/>
    <w:rsid w:val="00571B35"/>
    <w:rsid w:val="00571B43"/>
    <w:rsid w:val="00571B74"/>
    <w:rsid w:val="00571D57"/>
    <w:rsid w:val="00573A3B"/>
    <w:rsid w:val="00577716"/>
    <w:rsid w:val="00577A09"/>
    <w:rsid w:val="005829C2"/>
    <w:rsid w:val="00584D8F"/>
    <w:rsid w:val="00587A18"/>
    <w:rsid w:val="00587ADE"/>
    <w:rsid w:val="00597FE2"/>
    <w:rsid w:val="005A0BEC"/>
    <w:rsid w:val="005A269B"/>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6F1B"/>
    <w:rsid w:val="005D7BA2"/>
    <w:rsid w:val="005E36C2"/>
    <w:rsid w:val="005E4AF4"/>
    <w:rsid w:val="005E61D0"/>
    <w:rsid w:val="005F387E"/>
    <w:rsid w:val="00601E0B"/>
    <w:rsid w:val="0060258B"/>
    <w:rsid w:val="00602ACF"/>
    <w:rsid w:val="006043FB"/>
    <w:rsid w:val="00610EF9"/>
    <w:rsid w:val="00612F4F"/>
    <w:rsid w:val="00614EA0"/>
    <w:rsid w:val="00615343"/>
    <w:rsid w:val="00615C6B"/>
    <w:rsid w:val="00617D4C"/>
    <w:rsid w:val="00621DCE"/>
    <w:rsid w:val="00621FC5"/>
    <w:rsid w:val="00624F2C"/>
    <w:rsid w:val="00625252"/>
    <w:rsid w:val="00632D6D"/>
    <w:rsid w:val="00636569"/>
    <w:rsid w:val="00636EF9"/>
    <w:rsid w:val="0063739E"/>
    <w:rsid w:val="00637C1E"/>
    <w:rsid w:val="00642C3E"/>
    <w:rsid w:val="00644A01"/>
    <w:rsid w:val="00651E2D"/>
    <w:rsid w:val="00652324"/>
    <w:rsid w:val="0065640C"/>
    <w:rsid w:val="006577FB"/>
    <w:rsid w:val="00660952"/>
    <w:rsid w:val="0066104A"/>
    <w:rsid w:val="00663066"/>
    <w:rsid w:val="00663DAD"/>
    <w:rsid w:val="00664206"/>
    <w:rsid w:val="006649E7"/>
    <w:rsid w:val="00666634"/>
    <w:rsid w:val="00671692"/>
    <w:rsid w:val="00675E20"/>
    <w:rsid w:val="00676679"/>
    <w:rsid w:val="00676A83"/>
    <w:rsid w:val="00683C89"/>
    <w:rsid w:val="00691B53"/>
    <w:rsid w:val="00697D0B"/>
    <w:rsid w:val="006A12BA"/>
    <w:rsid w:val="006A4739"/>
    <w:rsid w:val="006A66A1"/>
    <w:rsid w:val="006B032D"/>
    <w:rsid w:val="006B2395"/>
    <w:rsid w:val="006B40AC"/>
    <w:rsid w:val="006B4CF9"/>
    <w:rsid w:val="006B539F"/>
    <w:rsid w:val="006B797C"/>
    <w:rsid w:val="006B7AC8"/>
    <w:rsid w:val="006C1736"/>
    <w:rsid w:val="006C329B"/>
    <w:rsid w:val="006C6303"/>
    <w:rsid w:val="006C7D90"/>
    <w:rsid w:val="006D550F"/>
    <w:rsid w:val="006D6146"/>
    <w:rsid w:val="006D7F7E"/>
    <w:rsid w:val="006E0CFF"/>
    <w:rsid w:val="006F0D92"/>
    <w:rsid w:val="006F267D"/>
    <w:rsid w:val="0070011E"/>
    <w:rsid w:val="00701CAB"/>
    <w:rsid w:val="007023BB"/>
    <w:rsid w:val="00704CD0"/>
    <w:rsid w:val="00704DD7"/>
    <w:rsid w:val="00707563"/>
    <w:rsid w:val="00715F61"/>
    <w:rsid w:val="00722132"/>
    <w:rsid w:val="007228F7"/>
    <w:rsid w:val="0072348C"/>
    <w:rsid w:val="00724A37"/>
    <w:rsid w:val="007303C3"/>
    <w:rsid w:val="00731188"/>
    <w:rsid w:val="007313F5"/>
    <w:rsid w:val="007356CC"/>
    <w:rsid w:val="007368E6"/>
    <w:rsid w:val="007375DF"/>
    <w:rsid w:val="007429BE"/>
    <w:rsid w:val="00743223"/>
    <w:rsid w:val="00743349"/>
    <w:rsid w:val="0074403A"/>
    <w:rsid w:val="0074446D"/>
    <w:rsid w:val="00745614"/>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798"/>
    <w:rsid w:val="007949D7"/>
    <w:rsid w:val="0079769A"/>
    <w:rsid w:val="007A0143"/>
    <w:rsid w:val="007A34C2"/>
    <w:rsid w:val="007A396C"/>
    <w:rsid w:val="007A4B02"/>
    <w:rsid w:val="007A6A6C"/>
    <w:rsid w:val="007B0BE3"/>
    <w:rsid w:val="007B1816"/>
    <w:rsid w:val="007B186E"/>
    <w:rsid w:val="007B25DC"/>
    <w:rsid w:val="007B2C72"/>
    <w:rsid w:val="007B3789"/>
    <w:rsid w:val="007B651F"/>
    <w:rsid w:val="007B7BB5"/>
    <w:rsid w:val="007C1C53"/>
    <w:rsid w:val="007C284C"/>
    <w:rsid w:val="007C3375"/>
    <w:rsid w:val="007C4995"/>
    <w:rsid w:val="007C4B82"/>
    <w:rsid w:val="007C7299"/>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52D7"/>
    <w:rsid w:val="00806731"/>
    <w:rsid w:val="00806C88"/>
    <w:rsid w:val="0081034E"/>
    <w:rsid w:val="00810806"/>
    <w:rsid w:val="008133AC"/>
    <w:rsid w:val="00815882"/>
    <w:rsid w:val="00820454"/>
    <w:rsid w:val="00821B06"/>
    <w:rsid w:val="00822AC7"/>
    <w:rsid w:val="00822E86"/>
    <w:rsid w:val="008344F6"/>
    <w:rsid w:val="0083510F"/>
    <w:rsid w:val="00837BF3"/>
    <w:rsid w:val="008415DE"/>
    <w:rsid w:val="008420DE"/>
    <w:rsid w:val="00845865"/>
    <w:rsid w:val="00846D3F"/>
    <w:rsid w:val="0084799B"/>
    <w:rsid w:val="00850C90"/>
    <w:rsid w:val="00851209"/>
    <w:rsid w:val="0085171F"/>
    <w:rsid w:val="00856A10"/>
    <w:rsid w:val="00863D7C"/>
    <w:rsid w:val="00864E4C"/>
    <w:rsid w:val="008658A1"/>
    <w:rsid w:val="0086716A"/>
    <w:rsid w:val="00867AFB"/>
    <w:rsid w:val="00870613"/>
    <w:rsid w:val="0087380F"/>
    <w:rsid w:val="0087648F"/>
    <w:rsid w:val="00876612"/>
    <w:rsid w:val="0087718C"/>
    <w:rsid w:val="008803FC"/>
    <w:rsid w:val="00882BB1"/>
    <w:rsid w:val="008837AC"/>
    <w:rsid w:val="008909DC"/>
    <w:rsid w:val="00894255"/>
    <w:rsid w:val="008945AD"/>
    <w:rsid w:val="00896D92"/>
    <w:rsid w:val="008A0645"/>
    <w:rsid w:val="008A1C02"/>
    <w:rsid w:val="008A370D"/>
    <w:rsid w:val="008A3DDE"/>
    <w:rsid w:val="008A587D"/>
    <w:rsid w:val="008B1646"/>
    <w:rsid w:val="008B16B0"/>
    <w:rsid w:val="008B1BD5"/>
    <w:rsid w:val="008B35CD"/>
    <w:rsid w:val="008B4093"/>
    <w:rsid w:val="008B5FCC"/>
    <w:rsid w:val="008B7F36"/>
    <w:rsid w:val="008C357F"/>
    <w:rsid w:val="008C5486"/>
    <w:rsid w:val="008D1661"/>
    <w:rsid w:val="008D1FA7"/>
    <w:rsid w:val="008D27E0"/>
    <w:rsid w:val="008D591D"/>
    <w:rsid w:val="008D5F90"/>
    <w:rsid w:val="008D6800"/>
    <w:rsid w:val="008D7069"/>
    <w:rsid w:val="008D72F1"/>
    <w:rsid w:val="008E1691"/>
    <w:rsid w:val="008E1767"/>
    <w:rsid w:val="008E4089"/>
    <w:rsid w:val="008E5AFF"/>
    <w:rsid w:val="008E7031"/>
    <w:rsid w:val="008E77DE"/>
    <w:rsid w:val="008F040C"/>
    <w:rsid w:val="008F07A3"/>
    <w:rsid w:val="008F3322"/>
    <w:rsid w:val="008F3519"/>
    <w:rsid w:val="008F3A0D"/>
    <w:rsid w:val="008F4B52"/>
    <w:rsid w:val="009001B6"/>
    <w:rsid w:val="00900E1B"/>
    <w:rsid w:val="0090131F"/>
    <w:rsid w:val="009050AE"/>
    <w:rsid w:val="00907683"/>
    <w:rsid w:val="009132B7"/>
    <w:rsid w:val="009160B9"/>
    <w:rsid w:val="00916A2C"/>
    <w:rsid w:val="009233EE"/>
    <w:rsid w:val="00930B1A"/>
    <w:rsid w:val="00931CCE"/>
    <w:rsid w:val="00932612"/>
    <w:rsid w:val="009327DC"/>
    <w:rsid w:val="009338D9"/>
    <w:rsid w:val="009339BD"/>
    <w:rsid w:val="009356CF"/>
    <w:rsid w:val="00945E53"/>
    <w:rsid w:val="009460AA"/>
    <w:rsid w:val="00951978"/>
    <w:rsid w:val="00952C8B"/>
    <w:rsid w:val="00961A4A"/>
    <w:rsid w:val="00963B98"/>
    <w:rsid w:val="009661DE"/>
    <w:rsid w:val="00967B79"/>
    <w:rsid w:val="00972C7C"/>
    <w:rsid w:val="009746C4"/>
    <w:rsid w:val="009776F4"/>
    <w:rsid w:val="00982DA2"/>
    <w:rsid w:val="00983C25"/>
    <w:rsid w:val="0098466D"/>
    <w:rsid w:val="009856B7"/>
    <w:rsid w:val="009859D6"/>
    <w:rsid w:val="00985C86"/>
    <w:rsid w:val="00990111"/>
    <w:rsid w:val="00996CAE"/>
    <w:rsid w:val="009A0F81"/>
    <w:rsid w:val="009A5FC3"/>
    <w:rsid w:val="009A7651"/>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0848"/>
    <w:rsid w:val="00A011FE"/>
    <w:rsid w:val="00A02A88"/>
    <w:rsid w:val="00A04012"/>
    <w:rsid w:val="00A046FA"/>
    <w:rsid w:val="00A0482A"/>
    <w:rsid w:val="00A0562E"/>
    <w:rsid w:val="00A0726D"/>
    <w:rsid w:val="00A073AE"/>
    <w:rsid w:val="00A12204"/>
    <w:rsid w:val="00A12750"/>
    <w:rsid w:val="00A13CB0"/>
    <w:rsid w:val="00A1561F"/>
    <w:rsid w:val="00A16544"/>
    <w:rsid w:val="00A16825"/>
    <w:rsid w:val="00A21C7F"/>
    <w:rsid w:val="00A30BF5"/>
    <w:rsid w:val="00A31BE6"/>
    <w:rsid w:val="00A32FBB"/>
    <w:rsid w:val="00A362CD"/>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70859"/>
    <w:rsid w:val="00A73E5B"/>
    <w:rsid w:val="00A845D6"/>
    <w:rsid w:val="00A84A99"/>
    <w:rsid w:val="00A84F46"/>
    <w:rsid w:val="00A85E87"/>
    <w:rsid w:val="00A86AEA"/>
    <w:rsid w:val="00A871F4"/>
    <w:rsid w:val="00A92246"/>
    <w:rsid w:val="00A9431A"/>
    <w:rsid w:val="00A95988"/>
    <w:rsid w:val="00A959DF"/>
    <w:rsid w:val="00A96B6C"/>
    <w:rsid w:val="00A97A1B"/>
    <w:rsid w:val="00AA2927"/>
    <w:rsid w:val="00AA2A49"/>
    <w:rsid w:val="00AB1240"/>
    <w:rsid w:val="00AB2CB8"/>
    <w:rsid w:val="00AB4617"/>
    <w:rsid w:val="00AB51A5"/>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6513"/>
    <w:rsid w:val="00B00B0E"/>
    <w:rsid w:val="00B00B26"/>
    <w:rsid w:val="00B02385"/>
    <w:rsid w:val="00B02F9D"/>
    <w:rsid w:val="00B05766"/>
    <w:rsid w:val="00B13048"/>
    <w:rsid w:val="00B13883"/>
    <w:rsid w:val="00B16708"/>
    <w:rsid w:val="00B1716D"/>
    <w:rsid w:val="00B17A1D"/>
    <w:rsid w:val="00B207A0"/>
    <w:rsid w:val="00B21C21"/>
    <w:rsid w:val="00B22F54"/>
    <w:rsid w:val="00B24A7E"/>
    <w:rsid w:val="00B25C0C"/>
    <w:rsid w:val="00B304B5"/>
    <w:rsid w:val="00B308A9"/>
    <w:rsid w:val="00B31047"/>
    <w:rsid w:val="00B32060"/>
    <w:rsid w:val="00B33148"/>
    <w:rsid w:val="00B34D88"/>
    <w:rsid w:val="00B35CDF"/>
    <w:rsid w:val="00B365B2"/>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7BDC"/>
    <w:rsid w:val="00C0079E"/>
    <w:rsid w:val="00C0572A"/>
    <w:rsid w:val="00C13EBD"/>
    <w:rsid w:val="00C1631B"/>
    <w:rsid w:val="00C163AB"/>
    <w:rsid w:val="00C170F0"/>
    <w:rsid w:val="00C20525"/>
    <w:rsid w:val="00C21E23"/>
    <w:rsid w:val="00C25962"/>
    <w:rsid w:val="00C25FA6"/>
    <w:rsid w:val="00C3099D"/>
    <w:rsid w:val="00C33011"/>
    <w:rsid w:val="00C343A2"/>
    <w:rsid w:val="00C362C1"/>
    <w:rsid w:val="00C41950"/>
    <w:rsid w:val="00C42C3B"/>
    <w:rsid w:val="00C44ABC"/>
    <w:rsid w:val="00C51672"/>
    <w:rsid w:val="00C538A9"/>
    <w:rsid w:val="00C5393D"/>
    <w:rsid w:val="00C53B5A"/>
    <w:rsid w:val="00C53CB4"/>
    <w:rsid w:val="00C53E41"/>
    <w:rsid w:val="00C54043"/>
    <w:rsid w:val="00C54909"/>
    <w:rsid w:val="00C54AF3"/>
    <w:rsid w:val="00C54F5A"/>
    <w:rsid w:val="00C569B4"/>
    <w:rsid w:val="00C57DDE"/>
    <w:rsid w:val="00C61468"/>
    <w:rsid w:val="00C61539"/>
    <w:rsid w:val="00C61A97"/>
    <w:rsid w:val="00C61E44"/>
    <w:rsid w:val="00C64FF3"/>
    <w:rsid w:val="00C662AD"/>
    <w:rsid w:val="00C67A92"/>
    <w:rsid w:val="00C71280"/>
    <w:rsid w:val="00C717BF"/>
    <w:rsid w:val="00C75E3E"/>
    <w:rsid w:val="00C76178"/>
    <w:rsid w:val="00C84560"/>
    <w:rsid w:val="00C86679"/>
    <w:rsid w:val="00C8792F"/>
    <w:rsid w:val="00C87A9A"/>
    <w:rsid w:val="00C90472"/>
    <w:rsid w:val="00C91D6E"/>
    <w:rsid w:val="00CA489E"/>
    <w:rsid w:val="00CB0279"/>
    <w:rsid w:val="00CB666B"/>
    <w:rsid w:val="00CB734B"/>
    <w:rsid w:val="00CC0147"/>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5641"/>
    <w:rsid w:val="00CE7CBA"/>
    <w:rsid w:val="00CF0DEE"/>
    <w:rsid w:val="00CF11D2"/>
    <w:rsid w:val="00CF42AA"/>
    <w:rsid w:val="00CF5EAA"/>
    <w:rsid w:val="00CF6826"/>
    <w:rsid w:val="00CF6AE3"/>
    <w:rsid w:val="00CF76F4"/>
    <w:rsid w:val="00CF77BB"/>
    <w:rsid w:val="00D006AE"/>
    <w:rsid w:val="00D00905"/>
    <w:rsid w:val="00D010C1"/>
    <w:rsid w:val="00D01CF0"/>
    <w:rsid w:val="00D03474"/>
    <w:rsid w:val="00D0442A"/>
    <w:rsid w:val="00D12A7B"/>
    <w:rsid w:val="00D12ADB"/>
    <w:rsid w:val="00D15E63"/>
    <w:rsid w:val="00D17213"/>
    <w:rsid w:val="00D25A39"/>
    <w:rsid w:val="00D27CFA"/>
    <w:rsid w:val="00D310FA"/>
    <w:rsid w:val="00D325C6"/>
    <w:rsid w:val="00D3622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3304"/>
    <w:rsid w:val="00D84040"/>
    <w:rsid w:val="00D84854"/>
    <w:rsid w:val="00D924AE"/>
    <w:rsid w:val="00D92CF1"/>
    <w:rsid w:val="00D92D38"/>
    <w:rsid w:val="00D950F5"/>
    <w:rsid w:val="00D97379"/>
    <w:rsid w:val="00D97651"/>
    <w:rsid w:val="00DA4752"/>
    <w:rsid w:val="00DA4C09"/>
    <w:rsid w:val="00DA61F3"/>
    <w:rsid w:val="00DA7CB3"/>
    <w:rsid w:val="00DB0D00"/>
    <w:rsid w:val="00DB0EFC"/>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43C"/>
    <w:rsid w:val="00DE7AB5"/>
    <w:rsid w:val="00DF0152"/>
    <w:rsid w:val="00DF1958"/>
    <w:rsid w:val="00E04818"/>
    <w:rsid w:val="00E06442"/>
    <w:rsid w:val="00E06952"/>
    <w:rsid w:val="00E11E61"/>
    <w:rsid w:val="00E157B2"/>
    <w:rsid w:val="00E16055"/>
    <w:rsid w:val="00E171BC"/>
    <w:rsid w:val="00E2332D"/>
    <w:rsid w:val="00E23993"/>
    <w:rsid w:val="00E2574F"/>
    <w:rsid w:val="00E25951"/>
    <w:rsid w:val="00E25B8C"/>
    <w:rsid w:val="00E27C5F"/>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7640D"/>
    <w:rsid w:val="00E81724"/>
    <w:rsid w:val="00E819A4"/>
    <w:rsid w:val="00E82771"/>
    <w:rsid w:val="00E833FA"/>
    <w:rsid w:val="00E84B74"/>
    <w:rsid w:val="00E87066"/>
    <w:rsid w:val="00E966BF"/>
    <w:rsid w:val="00EA0C04"/>
    <w:rsid w:val="00EA3D42"/>
    <w:rsid w:val="00EA6B1B"/>
    <w:rsid w:val="00EB1CBD"/>
    <w:rsid w:val="00EB3A34"/>
    <w:rsid w:val="00EB3C3F"/>
    <w:rsid w:val="00EC04F1"/>
    <w:rsid w:val="00EC0F7A"/>
    <w:rsid w:val="00EC237F"/>
    <w:rsid w:val="00EC573A"/>
    <w:rsid w:val="00ED35C8"/>
    <w:rsid w:val="00ED3968"/>
    <w:rsid w:val="00ED7323"/>
    <w:rsid w:val="00EE2275"/>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313A"/>
    <w:rsid w:val="00F44B0A"/>
    <w:rsid w:val="00F47559"/>
    <w:rsid w:val="00F50B30"/>
    <w:rsid w:val="00F51F5F"/>
    <w:rsid w:val="00F52D75"/>
    <w:rsid w:val="00F55582"/>
    <w:rsid w:val="00F57647"/>
    <w:rsid w:val="00F62A14"/>
    <w:rsid w:val="00F636D6"/>
    <w:rsid w:val="00F644AB"/>
    <w:rsid w:val="00F64C7B"/>
    <w:rsid w:val="00F6579A"/>
    <w:rsid w:val="00F676DD"/>
    <w:rsid w:val="00F67AB6"/>
    <w:rsid w:val="00F70028"/>
    <w:rsid w:val="00F70434"/>
    <w:rsid w:val="00F75084"/>
    <w:rsid w:val="00F75A26"/>
    <w:rsid w:val="00F76706"/>
    <w:rsid w:val="00F77D6D"/>
    <w:rsid w:val="00F80206"/>
    <w:rsid w:val="00F822FA"/>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0F39"/>
    <w:rsid w:val="00FD17A3"/>
    <w:rsid w:val="00FD1D78"/>
    <w:rsid w:val="00FD3BE5"/>
    <w:rsid w:val="00FD3CCF"/>
    <w:rsid w:val="00FD5614"/>
    <w:rsid w:val="00FD5E78"/>
    <w:rsid w:val="00FE0BE1"/>
    <w:rsid w:val="00FE11BB"/>
    <w:rsid w:val="00FE1DE9"/>
    <w:rsid w:val="00FE36AF"/>
    <w:rsid w:val="00FE39C2"/>
    <w:rsid w:val="00FE3C32"/>
    <w:rsid w:val="00FE64AE"/>
    <w:rsid w:val="00FF16A1"/>
    <w:rsid w:val="00FF3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annotation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704CD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16708"/>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16708"/>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annotation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704CD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16708"/>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16708"/>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6487">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49160666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63917622">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cid:image001.png@01D0CF67.8C41FBA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B6B7FF-1340-4C1E-A1E0-C881CBA2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31</Pages>
  <Words>8156</Words>
  <Characters>46491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2016-05-20T07:38:00Z</dcterms:created>
  <dcterms:modified xsi:type="dcterms:W3CDTF">2016-05-20T07:39:00Z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8578078</vt:lpwstr>
  </property>
  <property fmtid="{D5CDD505-2E9C-101B-9397-08002B2CF9AE}" pid="3" name="_MarkAsFinal">
    <vt:bool>true</vt:bool>
  </property>
</Properties>
</file>