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56" w:rsidRDefault="00EF6E56" w:rsidP="00290C63">
      <w:pPr>
        <w:rPr>
          <w:rFonts w:eastAsiaTheme="majorEastAsia" w:cstheme="majorBidi"/>
          <w:noProof/>
          <w:sz w:val="36"/>
          <w:szCs w:val="36"/>
          <w:lang w:eastAsia="en-AU"/>
        </w:rPr>
      </w:pPr>
      <w:bookmarkStart w:id="0" w:name="_GoBack"/>
      <w:bookmarkEnd w:id="0"/>
      <w:r>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732CBD0" wp14:editId="62C1A6CE">
                <wp:simplePos x="0" y="0"/>
                <wp:positionH relativeFrom="column">
                  <wp:posOffset>-1102204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B1FC4">
            <w:t xml:space="preserve">FINAL </w:t>
          </w:r>
          <w:r w:rsidR="00DA4752">
            <w:t>DECISION</w:t>
          </w:r>
        </w:p>
        <w:p w:rsidR="00415F31" w:rsidRDefault="005C0A7F" w:rsidP="008F07A3">
          <w:pPr>
            <w:pStyle w:val="ReportSubtitle"/>
          </w:pPr>
          <w:r>
            <w:t>AusNet</w:t>
          </w:r>
          <w:r w:rsidR="002C0B13">
            <w:t xml:space="preserve"> Services</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3D3FB0" w:rsidP="00327A1E">
          <w:pPr>
            <w:pStyle w:val="ReportDate"/>
          </w:pPr>
          <w:r>
            <w:t>May</w:t>
          </w:r>
          <w:r w:rsidR="00CB1FC4">
            <w:t xml:space="preserve"> 2016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F4116C">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 xml:space="preserve">Melbourne </w:t>
      </w:r>
      <w:r w:rsidR="002E4BBC">
        <w:t xml:space="preserve"> </w:t>
      </w:r>
      <w:r>
        <w:t xml:space="preserve">Vic </w:t>
      </w:r>
      <w:r w:rsidR="002E4BBC">
        <w:t xml:space="preserve"> </w:t>
      </w:r>
      <w:r>
        <w:t>3001</w:t>
      </w:r>
    </w:p>
    <w:p w:rsidR="000A6C7B" w:rsidRDefault="000A6C7B" w:rsidP="00961A4A">
      <w:pPr>
        <w:pStyle w:val="Copyright"/>
      </w:pPr>
      <w:r>
        <w:t>Tel: (03) 9290 1444</w:t>
      </w:r>
      <w:r w:rsidR="00951978">
        <w:br/>
      </w:r>
      <w:r>
        <w:t>Fax: (03) 9290 1457</w:t>
      </w:r>
    </w:p>
    <w:p w:rsidR="005F419D" w:rsidRDefault="005F419D" w:rsidP="00B9562D">
      <w:pPr>
        <w:pStyle w:val="Copyright"/>
      </w:pP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528191"/>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B1FC4">
        <w:t xml:space="preserve">final </w:t>
      </w:r>
      <w:r w:rsidR="00415F31">
        <w:t xml:space="preserve">decision on </w:t>
      </w:r>
      <w:r w:rsidR="005C0A7F">
        <w:t>AusNet</w:t>
      </w:r>
      <w:r w:rsidR="002C0B13">
        <w:t xml:space="preserve"> Services'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CB1FC4">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B1FC4">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A57A0F" w:rsidRDefault="00A57A0F" w:rsidP="0070011E">
      <w:r w:rsidRPr="001663B6">
        <w:t>Attachment 1</w:t>
      </w:r>
      <w:r w:rsidR="00912E86">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5152819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A0E3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8191" w:history="1">
            <w:r w:rsidR="004A0E39" w:rsidRPr="00427B76">
              <w:rPr>
                <w:rStyle w:val="Hyperlink"/>
              </w:rPr>
              <w:t>Note</w:t>
            </w:r>
            <w:r w:rsidR="004A0E39">
              <w:rPr>
                <w:webHidden/>
              </w:rPr>
              <w:tab/>
            </w:r>
            <w:r w:rsidR="004A0E39">
              <w:rPr>
                <w:webHidden/>
              </w:rPr>
              <w:fldChar w:fldCharType="begin"/>
            </w:r>
            <w:r w:rsidR="004A0E39">
              <w:rPr>
                <w:webHidden/>
              </w:rPr>
              <w:instrText xml:space="preserve"> PAGEREF _Toc451528191 \h </w:instrText>
            </w:r>
            <w:r w:rsidR="004A0E39">
              <w:rPr>
                <w:webHidden/>
              </w:rPr>
            </w:r>
            <w:r w:rsidR="004A0E39">
              <w:rPr>
                <w:webHidden/>
              </w:rPr>
              <w:fldChar w:fldCharType="separate"/>
            </w:r>
            <w:r w:rsidR="004A0E39">
              <w:rPr>
                <w:webHidden/>
              </w:rPr>
              <w:t>13-3</w:t>
            </w:r>
            <w:r w:rsidR="004A0E39">
              <w:rPr>
                <w:webHidden/>
              </w:rPr>
              <w:fldChar w:fldCharType="end"/>
            </w:r>
          </w:hyperlink>
        </w:p>
        <w:p w:rsidR="004A0E39" w:rsidRDefault="004A0E39">
          <w:pPr>
            <w:pStyle w:val="TOC1"/>
            <w:rPr>
              <w:rFonts w:asciiTheme="minorHAnsi" w:eastAsiaTheme="minorEastAsia" w:hAnsiTheme="minorHAnsi"/>
              <w:b w:val="0"/>
              <w:color w:val="auto"/>
              <w:sz w:val="22"/>
              <w:lang w:val="en-AU" w:eastAsia="en-AU"/>
            </w:rPr>
          </w:pPr>
          <w:hyperlink w:anchor="_Toc451528192" w:history="1">
            <w:r w:rsidRPr="00427B76">
              <w:rPr>
                <w:rStyle w:val="Hyperlink"/>
              </w:rPr>
              <w:t>Contents</w:t>
            </w:r>
            <w:r>
              <w:rPr>
                <w:webHidden/>
              </w:rPr>
              <w:tab/>
            </w:r>
            <w:r>
              <w:rPr>
                <w:webHidden/>
              </w:rPr>
              <w:fldChar w:fldCharType="begin"/>
            </w:r>
            <w:r>
              <w:rPr>
                <w:webHidden/>
              </w:rPr>
              <w:instrText xml:space="preserve"> PAGEREF _Toc451528192 \h </w:instrText>
            </w:r>
            <w:r>
              <w:rPr>
                <w:webHidden/>
              </w:rPr>
            </w:r>
            <w:r>
              <w:rPr>
                <w:webHidden/>
              </w:rPr>
              <w:fldChar w:fldCharType="separate"/>
            </w:r>
            <w:r>
              <w:rPr>
                <w:webHidden/>
              </w:rPr>
              <w:t>13-4</w:t>
            </w:r>
            <w:r>
              <w:rPr>
                <w:webHidden/>
              </w:rPr>
              <w:fldChar w:fldCharType="end"/>
            </w:r>
          </w:hyperlink>
        </w:p>
        <w:p w:rsidR="004A0E39" w:rsidRDefault="004A0E39">
          <w:pPr>
            <w:pStyle w:val="TOC1"/>
            <w:rPr>
              <w:rFonts w:asciiTheme="minorHAnsi" w:eastAsiaTheme="minorEastAsia" w:hAnsiTheme="minorHAnsi"/>
              <w:b w:val="0"/>
              <w:color w:val="auto"/>
              <w:sz w:val="22"/>
              <w:lang w:val="en-AU" w:eastAsia="en-AU"/>
            </w:rPr>
          </w:pPr>
          <w:hyperlink w:anchor="_Toc451528193" w:history="1">
            <w:r w:rsidRPr="00427B76">
              <w:rPr>
                <w:rStyle w:val="Hyperlink"/>
              </w:rPr>
              <w:t>Shortened forms</w:t>
            </w:r>
            <w:r>
              <w:rPr>
                <w:webHidden/>
              </w:rPr>
              <w:tab/>
            </w:r>
            <w:r>
              <w:rPr>
                <w:webHidden/>
              </w:rPr>
              <w:fldChar w:fldCharType="begin"/>
            </w:r>
            <w:r>
              <w:rPr>
                <w:webHidden/>
              </w:rPr>
              <w:instrText xml:space="preserve"> PAGEREF _Toc451528193 \h </w:instrText>
            </w:r>
            <w:r>
              <w:rPr>
                <w:webHidden/>
              </w:rPr>
            </w:r>
            <w:r>
              <w:rPr>
                <w:webHidden/>
              </w:rPr>
              <w:fldChar w:fldCharType="separate"/>
            </w:r>
            <w:r>
              <w:rPr>
                <w:webHidden/>
              </w:rPr>
              <w:t>13-5</w:t>
            </w:r>
            <w:r>
              <w:rPr>
                <w:webHidden/>
              </w:rPr>
              <w:fldChar w:fldCharType="end"/>
            </w:r>
          </w:hyperlink>
        </w:p>
        <w:p w:rsidR="004A0E39" w:rsidRDefault="004A0E39">
          <w:pPr>
            <w:pStyle w:val="TOC1"/>
            <w:rPr>
              <w:rFonts w:asciiTheme="minorHAnsi" w:eastAsiaTheme="minorEastAsia" w:hAnsiTheme="minorHAnsi"/>
              <w:b w:val="0"/>
              <w:color w:val="auto"/>
              <w:sz w:val="22"/>
              <w:lang w:val="en-AU" w:eastAsia="en-AU"/>
            </w:rPr>
          </w:pPr>
          <w:hyperlink w:anchor="_Toc451528194" w:history="1">
            <w:r w:rsidRPr="00427B76">
              <w:rPr>
                <w:rStyle w:val="Hyperlink"/>
              </w:rPr>
              <w:t>13</w:t>
            </w:r>
            <w:r>
              <w:rPr>
                <w:rFonts w:asciiTheme="minorHAnsi" w:eastAsiaTheme="minorEastAsia" w:hAnsiTheme="minorHAnsi"/>
                <w:b w:val="0"/>
                <w:color w:val="auto"/>
                <w:sz w:val="22"/>
                <w:lang w:val="en-AU" w:eastAsia="en-AU"/>
              </w:rPr>
              <w:tab/>
            </w:r>
            <w:r w:rsidRPr="00427B76">
              <w:rPr>
                <w:rStyle w:val="Hyperlink"/>
              </w:rPr>
              <w:t>Classification of services</w:t>
            </w:r>
            <w:r>
              <w:rPr>
                <w:webHidden/>
              </w:rPr>
              <w:tab/>
            </w:r>
            <w:r>
              <w:rPr>
                <w:webHidden/>
              </w:rPr>
              <w:fldChar w:fldCharType="begin"/>
            </w:r>
            <w:r>
              <w:rPr>
                <w:webHidden/>
              </w:rPr>
              <w:instrText xml:space="preserve"> PAGEREF _Toc451528194 \h </w:instrText>
            </w:r>
            <w:r>
              <w:rPr>
                <w:webHidden/>
              </w:rPr>
            </w:r>
            <w:r>
              <w:rPr>
                <w:webHidden/>
              </w:rPr>
              <w:fldChar w:fldCharType="separate"/>
            </w:r>
            <w:r>
              <w:rPr>
                <w:webHidden/>
              </w:rPr>
              <w:t>13-7</w:t>
            </w:r>
            <w:r>
              <w:rPr>
                <w:webHidden/>
              </w:rPr>
              <w:fldChar w:fldCharType="end"/>
            </w:r>
          </w:hyperlink>
        </w:p>
        <w:p w:rsidR="004A0E39" w:rsidRDefault="004A0E39">
          <w:pPr>
            <w:pStyle w:val="TOC2"/>
            <w:tabs>
              <w:tab w:val="left" w:pos="1276"/>
            </w:tabs>
            <w:rPr>
              <w:rFonts w:asciiTheme="minorHAnsi" w:eastAsiaTheme="minorEastAsia" w:hAnsiTheme="minorHAnsi"/>
              <w:b w:val="0"/>
              <w:color w:val="auto"/>
              <w:sz w:val="22"/>
              <w:lang w:eastAsia="en-AU"/>
            </w:rPr>
          </w:pPr>
          <w:hyperlink w:anchor="_Toc451528195" w:history="1">
            <w:r w:rsidRPr="00427B76">
              <w:rPr>
                <w:rStyle w:val="Hyperlink"/>
              </w:rPr>
              <w:t>13.1</w:t>
            </w:r>
            <w:r>
              <w:rPr>
                <w:rFonts w:asciiTheme="minorHAnsi" w:eastAsiaTheme="minorEastAsia" w:hAnsiTheme="minorHAnsi"/>
                <w:b w:val="0"/>
                <w:color w:val="auto"/>
                <w:sz w:val="22"/>
                <w:lang w:eastAsia="en-AU"/>
              </w:rPr>
              <w:tab/>
            </w:r>
            <w:r w:rsidRPr="00427B76">
              <w:rPr>
                <w:rStyle w:val="Hyperlink"/>
              </w:rPr>
              <w:t>Final decision</w:t>
            </w:r>
            <w:r>
              <w:rPr>
                <w:webHidden/>
              </w:rPr>
              <w:tab/>
            </w:r>
            <w:r>
              <w:rPr>
                <w:webHidden/>
              </w:rPr>
              <w:fldChar w:fldCharType="begin"/>
            </w:r>
            <w:r>
              <w:rPr>
                <w:webHidden/>
              </w:rPr>
              <w:instrText xml:space="preserve"> PAGEREF _Toc451528195 \h </w:instrText>
            </w:r>
            <w:r>
              <w:rPr>
                <w:webHidden/>
              </w:rPr>
            </w:r>
            <w:r>
              <w:rPr>
                <w:webHidden/>
              </w:rPr>
              <w:fldChar w:fldCharType="separate"/>
            </w:r>
            <w:r>
              <w:rPr>
                <w:webHidden/>
              </w:rPr>
              <w:t>13-7</w:t>
            </w:r>
            <w:r>
              <w:rPr>
                <w:webHidden/>
              </w:rPr>
              <w:fldChar w:fldCharType="end"/>
            </w:r>
          </w:hyperlink>
        </w:p>
        <w:p w:rsidR="004A0E39" w:rsidRDefault="004A0E39">
          <w:pPr>
            <w:pStyle w:val="TOC2"/>
            <w:tabs>
              <w:tab w:val="left" w:pos="1276"/>
            </w:tabs>
            <w:rPr>
              <w:rFonts w:asciiTheme="minorHAnsi" w:eastAsiaTheme="minorEastAsia" w:hAnsiTheme="minorHAnsi"/>
              <w:b w:val="0"/>
              <w:color w:val="auto"/>
              <w:sz w:val="22"/>
              <w:lang w:eastAsia="en-AU"/>
            </w:rPr>
          </w:pPr>
          <w:hyperlink w:anchor="_Toc451528196" w:history="1">
            <w:r w:rsidRPr="00427B76">
              <w:rPr>
                <w:rStyle w:val="Hyperlink"/>
              </w:rPr>
              <w:t>13.2</w:t>
            </w:r>
            <w:r>
              <w:rPr>
                <w:rFonts w:asciiTheme="minorHAnsi" w:eastAsiaTheme="minorEastAsia" w:hAnsiTheme="minorHAnsi"/>
                <w:b w:val="0"/>
                <w:color w:val="auto"/>
                <w:sz w:val="22"/>
                <w:lang w:eastAsia="en-AU"/>
              </w:rPr>
              <w:tab/>
            </w:r>
            <w:r w:rsidRPr="00427B76">
              <w:rPr>
                <w:rStyle w:val="Hyperlink"/>
              </w:rPr>
              <w:t>AusNet Services' revised proposal</w:t>
            </w:r>
            <w:r>
              <w:rPr>
                <w:webHidden/>
              </w:rPr>
              <w:tab/>
            </w:r>
            <w:r>
              <w:rPr>
                <w:webHidden/>
              </w:rPr>
              <w:fldChar w:fldCharType="begin"/>
            </w:r>
            <w:r>
              <w:rPr>
                <w:webHidden/>
              </w:rPr>
              <w:instrText xml:space="preserve"> PAGEREF _Toc451528196 \h </w:instrText>
            </w:r>
            <w:r>
              <w:rPr>
                <w:webHidden/>
              </w:rPr>
            </w:r>
            <w:r>
              <w:rPr>
                <w:webHidden/>
              </w:rPr>
              <w:fldChar w:fldCharType="separate"/>
            </w:r>
            <w:r>
              <w:rPr>
                <w:webHidden/>
              </w:rPr>
              <w:t>13-9</w:t>
            </w:r>
            <w:r>
              <w:rPr>
                <w:webHidden/>
              </w:rPr>
              <w:fldChar w:fldCharType="end"/>
            </w:r>
          </w:hyperlink>
        </w:p>
        <w:p w:rsidR="004A0E39" w:rsidRDefault="004A0E39">
          <w:pPr>
            <w:pStyle w:val="TOC3"/>
            <w:rPr>
              <w:rFonts w:asciiTheme="minorHAnsi" w:eastAsiaTheme="minorEastAsia" w:hAnsiTheme="minorHAnsi"/>
              <w:lang w:eastAsia="en-AU"/>
            </w:rPr>
          </w:pPr>
          <w:hyperlink w:anchor="_Toc451528197" w:history="1">
            <w:r w:rsidRPr="00427B76">
              <w:rPr>
                <w:rStyle w:val="Hyperlink"/>
              </w:rPr>
              <w:t>New customer connections requiring augmentation</w:t>
            </w:r>
            <w:r>
              <w:rPr>
                <w:webHidden/>
              </w:rPr>
              <w:tab/>
            </w:r>
            <w:r>
              <w:rPr>
                <w:webHidden/>
              </w:rPr>
              <w:fldChar w:fldCharType="begin"/>
            </w:r>
            <w:r>
              <w:rPr>
                <w:webHidden/>
              </w:rPr>
              <w:instrText xml:space="preserve"> PAGEREF _Toc451528197 \h </w:instrText>
            </w:r>
            <w:r>
              <w:rPr>
                <w:webHidden/>
              </w:rPr>
            </w:r>
            <w:r>
              <w:rPr>
                <w:webHidden/>
              </w:rPr>
              <w:fldChar w:fldCharType="separate"/>
            </w:r>
            <w:r>
              <w:rPr>
                <w:webHidden/>
              </w:rPr>
              <w:t>13-9</w:t>
            </w:r>
            <w:r>
              <w:rPr>
                <w:webHidden/>
              </w:rPr>
              <w:fldChar w:fldCharType="end"/>
            </w:r>
          </w:hyperlink>
        </w:p>
        <w:p w:rsidR="004A0E39" w:rsidRDefault="004A0E39">
          <w:pPr>
            <w:pStyle w:val="TOC2"/>
            <w:tabs>
              <w:tab w:val="left" w:pos="1276"/>
            </w:tabs>
            <w:rPr>
              <w:rFonts w:asciiTheme="minorHAnsi" w:eastAsiaTheme="minorEastAsia" w:hAnsiTheme="minorHAnsi"/>
              <w:b w:val="0"/>
              <w:color w:val="auto"/>
              <w:sz w:val="22"/>
              <w:lang w:eastAsia="en-AU"/>
            </w:rPr>
          </w:pPr>
          <w:hyperlink w:anchor="_Toc451528198" w:history="1">
            <w:r w:rsidRPr="00427B76">
              <w:rPr>
                <w:rStyle w:val="Hyperlink"/>
              </w:rPr>
              <w:t>13.3</w:t>
            </w:r>
            <w:r>
              <w:rPr>
                <w:rFonts w:asciiTheme="minorHAnsi" w:eastAsiaTheme="minorEastAsia" w:hAnsiTheme="minorHAnsi"/>
                <w:b w:val="0"/>
                <w:color w:val="auto"/>
                <w:sz w:val="22"/>
                <w:lang w:eastAsia="en-AU"/>
              </w:rPr>
              <w:tab/>
            </w:r>
            <w:r w:rsidRPr="00427B76">
              <w:rPr>
                <w:rStyle w:val="Hyperlink"/>
              </w:rPr>
              <w:t>AER’s assessment approach</w:t>
            </w:r>
            <w:r>
              <w:rPr>
                <w:webHidden/>
              </w:rPr>
              <w:tab/>
            </w:r>
            <w:r>
              <w:rPr>
                <w:webHidden/>
              </w:rPr>
              <w:fldChar w:fldCharType="begin"/>
            </w:r>
            <w:r>
              <w:rPr>
                <w:webHidden/>
              </w:rPr>
              <w:instrText xml:space="preserve"> PAGEREF _Toc451528198 \h </w:instrText>
            </w:r>
            <w:r>
              <w:rPr>
                <w:webHidden/>
              </w:rPr>
            </w:r>
            <w:r>
              <w:rPr>
                <w:webHidden/>
              </w:rPr>
              <w:fldChar w:fldCharType="separate"/>
            </w:r>
            <w:r>
              <w:rPr>
                <w:webHidden/>
              </w:rPr>
              <w:t>13-10</w:t>
            </w:r>
            <w:r>
              <w:rPr>
                <w:webHidden/>
              </w:rPr>
              <w:fldChar w:fldCharType="end"/>
            </w:r>
          </w:hyperlink>
        </w:p>
        <w:p w:rsidR="004A0E39" w:rsidRDefault="004A0E39">
          <w:pPr>
            <w:pStyle w:val="TOC3"/>
            <w:rPr>
              <w:rFonts w:asciiTheme="minorHAnsi" w:eastAsiaTheme="minorEastAsia" w:hAnsiTheme="minorHAnsi"/>
              <w:lang w:eastAsia="en-AU"/>
            </w:rPr>
          </w:pPr>
          <w:hyperlink w:anchor="_Toc451528199" w:history="1">
            <w:r w:rsidRPr="00427B76">
              <w:rPr>
                <w:rStyle w:val="Hyperlink"/>
              </w:rPr>
              <w:t>13.3.1</w:t>
            </w:r>
            <w:r>
              <w:rPr>
                <w:rFonts w:asciiTheme="minorHAnsi" w:eastAsiaTheme="minorEastAsia" w:hAnsiTheme="minorHAnsi"/>
                <w:lang w:eastAsia="en-AU"/>
              </w:rPr>
              <w:tab/>
            </w:r>
            <w:r w:rsidRPr="00427B76">
              <w:rPr>
                <w:rStyle w:val="Hyperlink"/>
              </w:rPr>
              <w:t>Interrelationships</w:t>
            </w:r>
            <w:r>
              <w:rPr>
                <w:webHidden/>
              </w:rPr>
              <w:tab/>
            </w:r>
            <w:r>
              <w:rPr>
                <w:webHidden/>
              </w:rPr>
              <w:fldChar w:fldCharType="begin"/>
            </w:r>
            <w:r>
              <w:rPr>
                <w:webHidden/>
              </w:rPr>
              <w:instrText xml:space="preserve"> PAGEREF _Toc451528199 \h </w:instrText>
            </w:r>
            <w:r>
              <w:rPr>
                <w:webHidden/>
              </w:rPr>
            </w:r>
            <w:r>
              <w:rPr>
                <w:webHidden/>
              </w:rPr>
              <w:fldChar w:fldCharType="separate"/>
            </w:r>
            <w:r>
              <w:rPr>
                <w:webHidden/>
              </w:rPr>
              <w:t>13-11</w:t>
            </w:r>
            <w:r>
              <w:rPr>
                <w:webHidden/>
              </w:rPr>
              <w:fldChar w:fldCharType="end"/>
            </w:r>
          </w:hyperlink>
        </w:p>
        <w:p w:rsidR="004A0E39" w:rsidRDefault="004A0E39">
          <w:pPr>
            <w:pStyle w:val="TOC2"/>
            <w:tabs>
              <w:tab w:val="left" w:pos="1276"/>
            </w:tabs>
            <w:rPr>
              <w:rFonts w:asciiTheme="minorHAnsi" w:eastAsiaTheme="minorEastAsia" w:hAnsiTheme="minorHAnsi"/>
              <w:b w:val="0"/>
              <w:color w:val="auto"/>
              <w:sz w:val="22"/>
              <w:lang w:eastAsia="en-AU"/>
            </w:rPr>
          </w:pPr>
          <w:hyperlink w:anchor="_Toc451528200" w:history="1">
            <w:r w:rsidRPr="00427B76">
              <w:rPr>
                <w:rStyle w:val="Hyperlink"/>
              </w:rPr>
              <w:t>13.4</w:t>
            </w:r>
            <w:r>
              <w:rPr>
                <w:rFonts w:asciiTheme="minorHAnsi" w:eastAsiaTheme="minorEastAsia" w:hAnsiTheme="minorHAnsi"/>
                <w:b w:val="0"/>
                <w:color w:val="auto"/>
                <w:sz w:val="22"/>
                <w:lang w:eastAsia="en-AU"/>
              </w:rPr>
              <w:tab/>
            </w:r>
            <w:r w:rsidRPr="00427B76">
              <w:rPr>
                <w:rStyle w:val="Hyperlink"/>
              </w:rPr>
              <w:t>Reasons for final decision</w:t>
            </w:r>
            <w:r>
              <w:rPr>
                <w:webHidden/>
              </w:rPr>
              <w:tab/>
            </w:r>
            <w:r>
              <w:rPr>
                <w:webHidden/>
              </w:rPr>
              <w:fldChar w:fldCharType="begin"/>
            </w:r>
            <w:r>
              <w:rPr>
                <w:webHidden/>
              </w:rPr>
              <w:instrText xml:space="preserve"> PAGEREF _Toc451528200 \h </w:instrText>
            </w:r>
            <w:r>
              <w:rPr>
                <w:webHidden/>
              </w:rPr>
            </w:r>
            <w:r>
              <w:rPr>
                <w:webHidden/>
              </w:rPr>
              <w:fldChar w:fldCharType="separate"/>
            </w:r>
            <w:r>
              <w:rPr>
                <w:webHidden/>
              </w:rPr>
              <w:t>13-11</w:t>
            </w:r>
            <w:r>
              <w:rPr>
                <w:webHidden/>
              </w:rPr>
              <w:fldChar w:fldCharType="end"/>
            </w:r>
          </w:hyperlink>
        </w:p>
        <w:p w:rsidR="004A0E39" w:rsidRDefault="004A0E39">
          <w:pPr>
            <w:pStyle w:val="TOC3"/>
            <w:rPr>
              <w:rFonts w:asciiTheme="minorHAnsi" w:eastAsiaTheme="minorEastAsia" w:hAnsiTheme="minorHAnsi"/>
              <w:lang w:eastAsia="en-AU"/>
            </w:rPr>
          </w:pPr>
          <w:hyperlink w:anchor="_Toc451528201" w:history="1">
            <w:r w:rsidRPr="00427B76">
              <w:rPr>
                <w:rStyle w:val="Hyperlink"/>
              </w:rPr>
              <w:t>13.4.1</w:t>
            </w:r>
            <w:r>
              <w:rPr>
                <w:rFonts w:asciiTheme="minorHAnsi" w:eastAsiaTheme="minorEastAsia" w:hAnsiTheme="minorHAnsi"/>
                <w:lang w:eastAsia="en-AU"/>
              </w:rPr>
              <w:tab/>
            </w:r>
            <w:r w:rsidRPr="00427B76">
              <w:rPr>
                <w:rStyle w:val="Hyperlink"/>
              </w:rPr>
              <w:t>Classification of dedicated public lighting services</w:t>
            </w:r>
            <w:r>
              <w:rPr>
                <w:webHidden/>
              </w:rPr>
              <w:tab/>
            </w:r>
            <w:r>
              <w:rPr>
                <w:webHidden/>
              </w:rPr>
              <w:fldChar w:fldCharType="begin"/>
            </w:r>
            <w:r>
              <w:rPr>
                <w:webHidden/>
              </w:rPr>
              <w:instrText xml:space="preserve"> PAGEREF _Toc451528201 \h </w:instrText>
            </w:r>
            <w:r>
              <w:rPr>
                <w:webHidden/>
              </w:rPr>
            </w:r>
            <w:r>
              <w:rPr>
                <w:webHidden/>
              </w:rPr>
              <w:fldChar w:fldCharType="separate"/>
            </w:r>
            <w:r>
              <w:rPr>
                <w:webHidden/>
              </w:rPr>
              <w:t>13-12</w:t>
            </w:r>
            <w:r>
              <w:rPr>
                <w:webHidden/>
              </w:rPr>
              <w:fldChar w:fldCharType="end"/>
            </w:r>
          </w:hyperlink>
        </w:p>
        <w:p w:rsidR="004A0E39" w:rsidRDefault="004A0E39">
          <w:pPr>
            <w:pStyle w:val="TOC3"/>
            <w:rPr>
              <w:rFonts w:asciiTheme="minorHAnsi" w:eastAsiaTheme="minorEastAsia" w:hAnsiTheme="minorHAnsi"/>
              <w:lang w:eastAsia="en-AU"/>
            </w:rPr>
          </w:pPr>
          <w:hyperlink w:anchor="_Toc451528202" w:history="1">
            <w:r w:rsidRPr="00427B76">
              <w:rPr>
                <w:rStyle w:val="Hyperlink"/>
              </w:rPr>
              <w:t>13.4.2</w:t>
            </w:r>
            <w:r>
              <w:rPr>
                <w:rFonts w:asciiTheme="minorHAnsi" w:eastAsiaTheme="minorEastAsia" w:hAnsiTheme="minorHAnsi"/>
                <w:lang w:eastAsia="en-AU"/>
              </w:rPr>
              <w:tab/>
            </w:r>
            <w:r w:rsidRPr="00427B76">
              <w:rPr>
                <w:rStyle w:val="Hyperlink"/>
              </w:rPr>
              <w:t xml:space="preserve">Metering </w:t>
            </w:r>
            <w:r w:rsidRPr="00427B76">
              <w:rPr>
                <w:rStyle w:val="Hyperlink"/>
                <w:rFonts w:cs="Arial"/>
              </w:rPr>
              <w:t>−</w:t>
            </w:r>
            <w:r w:rsidRPr="00427B76">
              <w:rPr>
                <w:rStyle w:val="Hyperlink"/>
              </w:rPr>
              <w:t xml:space="preserve"> transition to regulation under the NER</w:t>
            </w:r>
            <w:r>
              <w:rPr>
                <w:webHidden/>
              </w:rPr>
              <w:tab/>
            </w:r>
            <w:r>
              <w:rPr>
                <w:webHidden/>
              </w:rPr>
              <w:fldChar w:fldCharType="begin"/>
            </w:r>
            <w:r>
              <w:rPr>
                <w:webHidden/>
              </w:rPr>
              <w:instrText xml:space="preserve"> PAGEREF _Toc451528202 \h </w:instrText>
            </w:r>
            <w:r>
              <w:rPr>
                <w:webHidden/>
              </w:rPr>
            </w:r>
            <w:r>
              <w:rPr>
                <w:webHidden/>
              </w:rPr>
              <w:fldChar w:fldCharType="separate"/>
            </w:r>
            <w:r>
              <w:rPr>
                <w:webHidden/>
              </w:rPr>
              <w:t>13-13</w:t>
            </w:r>
            <w:r>
              <w:rPr>
                <w:webHidden/>
              </w:rPr>
              <w:fldChar w:fldCharType="end"/>
            </w:r>
          </w:hyperlink>
        </w:p>
        <w:p w:rsidR="004A0E39" w:rsidRDefault="004A0E39">
          <w:pPr>
            <w:pStyle w:val="TOC3"/>
            <w:rPr>
              <w:rFonts w:asciiTheme="minorHAnsi" w:eastAsiaTheme="minorEastAsia" w:hAnsiTheme="minorHAnsi"/>
              <w:lang w:eastAsia="en-AU"/>
            </w:rPr>
          </w:pPr>
          <w:hyperlink w:anchor="_Toc451528203" w:history="1">
            <w:r w:rsidRPr="00427B76">
              <w:rPr>
                <w:rStyle w:val="Hyperlink"/>
              </w:rPr>
              <w:t>13.4.3</w:t>
            </w:r>
            <w:r>
              <w:rPr>
                <w:rFonts w:asciiTheme="minorHAnsi" w:eastAsiaTheme="minorEastAsia" w:hAnsiTheme="minorHAnsi"/>
                <w:lang w:eastAsia="en-AU"/>
              </w:rPr>
              <w:tab/>
            </w:r>
            <w:r w:rsidRPr="00427B76">
              <w:rPr>
                <w:rStyle w:val="Hyperlink"/>
              </w:rPr>
              <w:t>Exit fees</w:t>
            </w:r>
            <w:r>
              <w:rPr>
                <w:webHidden/>
              </w:rPr>
              <w:tab/>
            </w:r>
            <w:r>
              <w:rPr>
                <w:webHidden/>
              </w:rPr>
              <w:fldChar w:fldCharType="begin"/>
            </w:r>
            <w:r>
              <w:rPr>
                <w:webHidden/>
              </w:rPr>
              <w:instrText xml:space="preserve"> PAGEREF _Toc451528203 \h </w:instrText>
            </w:r>
            <w:r>
              <w:rPr>
                <w:webHidden/>
              </w:rPr>
            </w:r>
            <w:r>
              <w:rPr>
                <w:webHidden/>
              </w:rPr>
              <w:fldChar w:fldCharType="separate"/>
            </w:r>
            <w:r>
              <w:rPr>
                <w:webHidden/>
              </w:rPr>
              <w:t>13-17</w:t>
            </w:r>
            <w:r>
              <w:rPr>
                <w:webHidden/>
              </w:rPr>
              <w:fldChar w:fldCharType="end"/>
            </w:r>
          </w:hyperlink>
        </w:p>
        <w:p w:rsidR="004A0E39" w:rsidRDefault="004A0E39">
          <w:pPr>
            <w:pStyle w:val="TOC3"/>
            <w:rPr>
              <w:rFonts w:asciiTheme="minorHAnsi" w:eastAsiaTheme="minorEastAsia" w:hAnsiTheme="minorHAnsi"/>
              <w:lang w:eastAsia="en-AU"/>
            </w:rPr>
          </w:pPr>
          <w:hyperlink w:anchor="_Toc451528204" w:history="1">
            <w:r w:rsidRPr="00427B76">
              <w:rPr>
                <w:rStyle w:val="Hyperlink"/>
              </w:rPr>
              <w:t>13.4.4</w:t>
            </w:r>
            <w:r>
              <w:rPr>
                <w:rFonts w:asciiTheme="minorHAnsi" w:eastAsiaTheme="minorEastAsia" w:hAnsiTheme="minorHAnsi"/>
                <w:lang w:eastAsia="en-AU"/>
              </w:rPr>
              <w:tab/>
            </w:r>
            <w:r w:rsidRPr="00427B76">
              <w:rPr>
                <w:rStyle w:val="Hyperlink"/>
              </w:rPr>
              <w:t>New customer connections requiring augmentation</w:t>
            </w:r>
            <w:r>
              <w:rPr>
                <w:webHidden/>
              </w:rPr>
              <w:tab/>
            </w:r>
            <w:r>
              <w:rPr>
                <w:webHidden/>
              </w:rPr>
              <w:fldChar w:fldCharType="begin"/>
            </w:r>
            <w:r>
              <w:rPr>
                <w:webHidden/>
              </w:rPr>
              <w:instrText xml:space="preserve"> PAGEREF _Toc451528204 \h </w:instrText>
            </w:r>
            <w:r>
              <w:rPr>
                <w:webHidden/>
              </w:rPr>
            </w:r>
            <w:r>
              <w:rPr>
                <w:webHidden/>
              </w:rPr>
              <w:fldChar w:fldCharType="separate"/>
            </w:r>
            <w:r>
              <w:rPr>
                <w:webHidden/>
              </w:rPr>
              <w:t>13-18</w:t>
            </w:r>
            <w:r>
              <w:rPr>
                <w:webHidden/>
              </w:rPr>
              <w:fldChar w:fldCharType="end"/>
            </w:r>
          </w:hyperlink>
        </w:p>
        <w:p w:rsidR="004A0E39" w:rsidRDefault="004A0E39">
          <w:pPr>
            <w:pStyle w:val="TOC1"/>
            <w:rPr>
              <w:rFonts w:asciiTheme="minorHAnsi" w:eastAsiaTheme="minorEastAsia" w:hAnsiTheme="minorHAnsi"/>
              <w:b w:val="0"/>
              <w:color w:val="auto"/>
              <w:sz w:val="22"/>
              <w:lang w:val="en-AU" w:eastAsia="en-AU"/>
            </w:rPr>
          </w:pPr>
          <w:hyperlink w:anchor="_Toc451528205" w:history="1">
            <w:r w:rsidRPr="00427B76">
              <w:rPr>
                <w:rStyle w:val="Hyperlink"/>
              </w:rPr>
              <w:t>A</w:t>
            </w:r>
            <w:r>
              <w:rPr>
                <w:rFonts w:asciiTheme="minorHAnsi" w:eastAsiaTheme="minorEastAsia" w:hAnsiTheme="minorHAnsi"/>
                <w:b w:val="0"/>
                <w:color w:val="auto"/>
                <w:sz w:val="22"/>
                <w:lang w:val="en-AU" w:eastAsia="en-AU"/>
              </w:rPr>
              <w:tab/>
            </w:r>
            <w:r w:rsidRPr="00427B76">
              <w:rPr>
                <w:rStyle w:val="Hyperlink"/>
              </w:rPr>
              <w:t>AER final decision on classification of distribution services in Victoria</w:t>
            </w:r>
            <w:r>
              <w:rPr>
                <w:webHidden/>
              </w:rPr>
              <w:tab/>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5152819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AEMC</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AEMO</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Market Operator</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AER</w:t>
            </w:r>
          </w:p>
        </w:tc>
        <w:tc>
          <w:tcPr>
            <w:tcW w:w="4344" w:type="dxa"/>
          </w:tcPr>
          <w:p w:rsidR="005C4C9C" w:rsidRPr="00A84D0B" w:rsidRDefault="005C4C9C" w:rsidP="005C4C9C">
            <w:pPr>
              <w:numPr>
                <w:ilvl w:val="0"/>
                <w:numId w:val="24"/>
              </w:numPr>
              <w:rPr>
                <w:rStyle w:val="AERtextsize8"/>
              </w:rPr>
            </w:pPr>
            <w:r w:rsidRPr="00A84D0B">
              <w:rPr>
                <w:rStyle w:val="AERtextsize8"/>
              </w:rPr>
              <w:t>Australian Energy Regulator</w:t>
            </w:r>
          </w:p>
        </w:tc>
      </w:tr>
      <w:tr w:rsidR="00125597"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25597" w:rsidRPr="00A84D0B" w:rsidRDefault="00125597" w:rsidP="005C4C9C">
            <w:pPr>
              <w:numPr>
                <w:ilvl w:val="0"/>
                <w:numId w:val="24"/>
              </w:numPr>
              <w:rPr>
                <w:rStyle w:val="AERtextsize8"/>
              </w:rPr>
            </w:pPr>
            <w:r>
              <w:rPr>
                <w:rStyle w:val="AERtextsize8"/>
              </w:rPr>
              <w:t>AMI</w:t>
            </w:r>
          </w:p>
        </w:tc>
        <w:tc>
          <w:tcPr>
            <w:tcW w:w="4344" w:type="dxa"/>
          </w:tcPr>
          <w:p w:rsidR="00125597" w:rsidRPr="00A84D0B" w:rsidRDefault="00125597" w:rsidP="005C4C9C">
            <w:pPr>
              <w:numPr>
                <w:ilvl w:val="0"/>
                <w:numId w:val="24"/>
              </w:numPr>
              <w:rPr>
                <w:rStyle w:val="AERtextsize8"/>
              </w:rPr>
            </w:pPr>
            <w:r>
              <w:rPr>
                <w:rStyle w:val="AERtextsize8"/>
              </w:rPr>
              <w:t>advanced metering infrastructure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augex</w:t>
            </w:r>
          </w:p>
        </w:tc>
        <w:tc>
          <w:tcPr>
            <w:tcW w:w="4344" w:type="dxa"/>
          </w:tcPr>
          <w:p w:rsidR="005C4C9C" w:rsidRPr="00A84D0B" w:rsidRDefault="005C4C9C" w:rsidP="005C4C9C">
            <w:pPr>
              <w:numPr>
                <w:ilvl w:val="0"/>
                <w:numId w:val="24"/>
              </w:numPr>
              <w:rPr>
                <w:rStyle w:val="AERtextsize8"/>
              </w:rPr>
            </w:pPr>
            <w:r w:rsidRPr="00A84D0B">
              <w:rPr>
                <w:rStyle w:val="AERtextsize8"/>
              </w:rPr>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capex</w:t>
            </w:r>
          </w:p>
        </w:tc>
        <w:tc>
          <w:tcPr>
            <w:tcW w:w="4344" w:type="dxa"/>
          </w:tcPr>
          <w:p w:rsidR="005C4C9C" w:rsidRPr="00A84D0B" w:rsidRDefault="005C4C9C" w:rsidP="005C4C9C">
            <w:pPr>
              <w:numPr>
                <w:ilvl w:val="0"/>
                <w:numId w:val="24"/>
              </w:numPr>
              <w:rPr>
                <w:rStyle w:val="AERtextsize8"/>
              </w:rPr>
            </w:pPr>
            <w:r w:rsidRPr="00A84D0B">
              <w:rPr>
                <w:rStyle w:val="AERtextsize8"/>
              </w:rPr>
              <w:t>capital expenditure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CCP</w:t>
            </w:r>
          </w:p>
        </w:tc>
        <w:tc>
          <w:tcPr>
            <w:tcW w:w="4344" w:type="dxa"/>
          </w:tcPr>
          <w:p w:rsidR="005C4C9C" w:rsidRPr="00A84D0B" w:rsidRDefault="005C4C9C" w:rsidP="005C4C9C">
            <w:pPr>
              <w:numPr>
                <w:ilvl w:val="0"/>
                <w:numId w:val="24"/>
              </w:numPr>
              <w:rPr>
                <w:rStyle w:val="AERtextsize8"/>
              </w:rPr>
            </w:pPr>
            <w:r w:rsidRPr="00A84D0B">
              <w:rPr>
                <w:rStyle w:val="AERtextsize8"/>
              </w:rPr>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CESS</w:t>
            </w:r>
          </w:p>
        </w:tc>
        <w:tc>
          <w:tcPr>
            <w:tcW w:w="4344" w:type="dxa"/>
          </w:tcPr>
          <w:p w:rsidR="005C4C9C" w:rsidRPr="00A84D0B" w:rsidRDefault="005C4C9C" w:rsidP="005C4C9C">
            <w:pPr>
              <w:numPr>
                <w:ilvl w:val="0"/>
                <w:numId w:val="24"/>
              </w:numPr>
              <w:rPr>
                <w:rStyle w:val="AERtextsize8"/>
              </w:rPr>
            </w:pPr>
            <w:r w:rsidRPr="00A84D0B">
              <w:rPr>
                <w:rStyle w:val="AERtextsize8"/>
              </w:rPr>
              <w:t>capital expenditure sharing scheme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CPI</w:t>
            </w:r>
          </w:p>
        </w:tc>
        <w:tc>
          <w:tcPr>
            <w:tcW w:w="4344" w:type="dxa"/>
          </w:tcPr>
          <w:p w:rsidR="005C4C9C" w:rsidRPr="00A84D0B" w:rsidRDefault="005C4C9C" w:rsidP="005C4C9C">
            <w:pPr>
              <w:numPr>
                <w:ilvl w:val="0"/>
                <w:numId w:val="24"/>
              </w:numPr>
              <w:rPr>
                <w:rStyle w:val="AERtextsize8"/>
              </w:rPr>
            </w:pPr>
            <w:r w:rsidRPr="00A84D0B">
              <w:rPr>
                <w:rStyle w:val="AERtextsize8"/>
              </w:rPr>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DRP</w:t>
            </w:r>
          </w:p>
        </w:tc>
        <w:tc>
          <w:tcPr>
            <w:tcW w:w="4344" w:type="dxa"/>
          </w:tcPr>
          <w:p w:rsidR="005C4C9C" w:rsidRPr="00A84D0B" w:rsidRDefault="005C4C9C" w:rsidP="005C4C9C">
            <w:pPr>
              <w:numPr>
                <w:ilvl w:val="0"/>
                <w:numId w:val="24"/>
              </w:numPr>
              <w:rPr>
                <w:rStyle w:val="AERtextsize8"/>
              </w:rPr>
            </w:pPr>
            <w:r w:rsidRPr="00A84D0B">
              <w:rPr>
                <w:rStyle w:val="AERtextsize8"/>
              </w:rPr>
              <w:t>debt risk premium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DMIA</w:t>
            </w:r>
          </w:p>
        </w:tc>
        <w:tc>
          <w:tcPr>
            <w:tcW w:w="4344" w:type="dxa"/>
          </w:tcPr>
          <w:p w:rsidR="005C4C9C" w:rsidRPr="00A84D0B" w:rsidRDefault="005C4C9C" w:rsidP="005C4C9C">
            <w:pPr>
              <w:numPr>
                <w:ilvl w:val="0"/>
                <w:numId w:val="24"/>
              </w:numPr>
              <w:rPr>
                <w:rStyle w:val="AERtextsize8"/>
              </w:rPr>
            </w:pPr>
            <w:r w:rsidRPr="00A84D0B">
              <w:rPr>
                <w:rStyle w:val="AERtextsize8"/>
              </w:rPr>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DMIS</w:t>
            </w:r>
          </w:p>
        </w:tc>
        <w:tc>
          <w:tcPr>
            <w:tcW w:w="4344" w:type="dxa"/>
          </w:tcPr>
          <w:p w:rsidR="005C4C9C" w:rsidRPr="00A84D0B" w:rsidRDefault="005C4C9C" w:rsidP="005C4C9C">
            <w:pPr>
              <w:numPr>
                <w:ilvl w:val="0"/>
                <w:numId w:val="24"/>
              </w:numPr>
              <w:rPr>
                <w:rStyle w:val="AERtextsize8"/>
              </w:rPr>
            </w:pPr>
            <w:r w:rsidRPr="00A84D0B">
              <w:rPr>
                <w:rStyle w:val="AERtextsize8"/>
              </w:rPr>
              <w:t>demand management incentive scheme</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distributor</w:t>
            </w:r>
          </w:p>
        </w:tc>
        <w:tc>
          <w:tcPr>
            <w:tcW w:w="4344" w:type="dxa"/>
          </w:tcPr>
          <w:p w:rsidR="005C4C9C" w:rsidRPr="00A84D0B" w:rsidRDefault="005C4C9C" w:rsidP="005C4C9C">
            <w:pPr>
              <w:numPr>
                <w:ilvl w:val="0"/>
                <w:numId w:val="24"/>
              </w:numPr>
              <w:rPr>
                <w:rStyle w:val="AERtextsize8"/>
              </w:rPr>
            </w:pPr>
            <w:r w:rsidRPr="00A84D0B">
              <w:rPr>
                <w:rStyle w:val="AERtextsize8"/>
              </w:rPr>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DUoS</w:t>
            </w:r>
          </w:p>
        </w:tc>
        <w:tc>
          <w:tcPr>
            <w:tcW w:w="4344" w:type="dxa"/>
          </w:tcPr>
          <w:p w:rsidR="005C4C9C" w:rsidRPr="00A84D0B" w:rsidRDefault="005C4C9C" w:rsidP="005C4C9C">
            <w:pPr>
              <w:numPr>
                <w:ilvl w:val="0"/>
                <w:numId w:val="24"/>
              </w:numPr>
              <w:rPr>
                <w:rStyle w:val="AERtextsize8"/>
              </w:rPr>
            </w:pPr>
            <w:r w:rsidRPr="00A84D0B">
              <w:rPr>
                <w:rStyle w:val="AERtextsize8"/>
              </w:rPr>
              <w:t>distribution use of system</w:t>
            </w:r>
          </w:p>
        </w:tc>
      </w:tr>
      <w:tr w:rsidR="005C4C9C" w:rsidTr="005C4C9C">
        <w:tc>
          <w:tcPr>
            <w:tcW w:w="4349" w:type="dxa"/>
          </w:tcPr>
          <w:p w:rsidR="005C4C9C" w:rsidRPr="00A84D0B" w:rsidRDefault="005C4C9C" w:rsidP="005C4C9C">
            <w:pPr>
              <w:numPr>
                <w:ilvl w:val="0"/>
                <w:numId w:val="24"/>
              </w:numPr>
              <w:rPr>
                <w:rStyle w:val="AERtextsize8"/>
              </w:rPr>
            </w:pPr>
            <w:r w:rsidRPr="00A84D0B">
              <w:rPr>
                <w:rStyle w:val="AERtextsize8"/>
              </w:rPr>
              <w:t>EBSS</w:t>
            </w:r>
          </w:p>
        </w:tc>
        <w:tc>
          <w:tcPr>
            <w:tcW w:w="4344" w:type="dxa"/>
          </w:tcPr>
          <w:p w:rsidR="005C4C9C" w:rsidRPr="00A84D0B" w:rsidRDefault="005C4C9C" w:rsidP="005C4C9C">
            <w:pPr>
              <w:numPr>
                <w:ilvl w:val="0"/>
                <w:numId w:val="24"/>
              </w:numPr>
              <w:rPr>
                <w:rStyle w:val="AERtextsize8"/>
              </w:rPr>
            </w:pPr>
            <w:r w:rsidRPr="00A84D0B">
              <w:rPr>
                <w:rStyle w:val="AERtextsize8"/>
              </w:rPr>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A84D0B" w:rsidRDefault="005C4C9C" w:rsidP="005C4C9C">
            <w:pPr>
              <w:numPr>
                <w:ilvl w:val="0"/>
                <w:numId w:val="24"/>
              </w:numPr>
              <w:rPr>
                <w:rStyle w:val="AERtextsize8"/>
              </w:rPr>
            </w:pPr>
            <w:r w:rsidRPr="00A84D0B">
              <w:rPr>
                <w:rStyle w:val="AERtextsize8"/>
              </w:rPr>
              <w:t>ERP</w:t>
            </w:r>
          </w:p>
        </w:tc>
        <w:tc>
          <w:tcPr>
            <w:tcW w:w="4344" w:type="dxa"/>
          </w:tcPr>
          <w:p w:rsidR="005C4C9C" w:rsidRPr="00A84D0B" w:rsidRDefault="005C4C9C" w:rsidP="005C4C9C">
            <w:pPr>
              <w:numPr>
                <w:ilvl w:val="0"/>
                <w:numId w:val="24"/>
              </w:numPr>
              <w:rPr>
                <w:rStyle w:val="AERtextsize8"/>
              </w:rPr>
            </w:pPr>
            <w:r w:rsidRPr="00A84D0B">
              <w:rPr>
                <w:rStyle w:val="AERtextsize8"/>
              </w:rPr>
              <w:t>equity risk premium</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Expenditure Assessment Guideline</w:t>
            </w:r>
          </w:p>
        </w:tc>
        <w:tc>
          <w:tcPr>
            <w:tcW w:w="4344" w:type="dxa"/>
          </w:tcPr>
          <w:p w:rsidR="005C4C9C" w:rsidRPr="00E737B1" w:rsidRDefault="00F72832" w:rsidP="00F72832">
            <w:pPr>
              <w:numPr>
                <w:ilvl w:val="0"/>
                <w:numId w:val="24"/>
              </w:numPr>
              <w:rPr>
                <w:rStyle w:val="AERtextsize8"/>
              </w:rPr>
            </w:pPr>
            <w:r w:rsidRPr="00E737B1">
              <w:rPr>
                <w:rStyle w:val="AERtextsize8"/>
              </w:rPr>
              <w:t>E</w:t>
            </w:r>
            <w:r w:rsidR="005C0A7F" w:rsidRPr="00E737B1">
              <w:rPr>
                <w:rStyle w:val="AERtextsize8"/>
              </w:rPr>
              <w:t xml:space="preserve">xpenditure </w:t>
            </w:r>
            <w:r w:rsidRPr="00E737B1">
              <w:rPr>
                <w:rStyle w:val="AERtextsize8"/>
              </w:rPr>
              <w:t>F</w:t>
            </w:r>
            <w:r w:rsidR="00383727" w:rsidRPr="00E737B1">
              <w:rPr>
                <w:rStyle w:val="AERtextsize8"/>
              </w:rPr>
              <w:t xml:space="preserve">orecast </w:t>
            </w:r>
            <w:r w:rsidRPr="00E737B1">
              <w:rPr>
                <w:rStyle w:val="AERtextsize8"/>
              </w:rPr>
              <w:t>A</w:t>
            </w:r>
            <w:r w:rsidR="005C4C9C" w:rsidRPr="00E737B1">
              <w:rPr>
                <w:rStyle w:val="AERtextsize8"/>
              </w:rPr>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F&amp;A</w:t>
            </w:r>
          </w:p>
        </w:tc>
        <w:tc>
          <w:tcPr>
            <w:tcW w:w="4344" w:type="dxa"/>
          </w:tcPr>
          <w:p w:rsidR="005C4C9C" w:rsidRPr="00E737B1" w:rsidRDefault="005C4C9C" w:rsidP="005C4C9C">
            <w:pPr>
              <w:numPr>
                <w:ilvl w:val="0"/>
                <w:numId w:val="24"/>
              </w:numPr>
              <w:rPr>
                <w:rStyle w:val="AERtextsize8"/>
              </w:rPr>
            </w:pPr>
            <w:r w:rsidRPr="00E737B1">
              <w:rPr>
                <w:rStyle w:val="AERtextsize8"/>
              </w:rPr>
              <w:t>framework and approach</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MRP</w:t>
            </w:r>
          </w:p>
        </w:tc>
        <w:tc>
          <w:tcPr>
            <w:tcW w:w="4344" w:type="dxa"/>
          </w:tcPr>
          <w:p w:rsidR="005C4C9C" w:rsidRPr="00E737B1" w:rsidRDefault="005C4C9C" w:rsidP="005C4C9C">
            <w:pPr>
              <w:numPr>
                <w:ilvl w:val="0"/>
                <w:numId w:val="24"/>
              </w:numPr>
              <w:rPr>
                <w:rStyle w:val="AERtextsize8"/>
              </w:rPr>
            </w:pPr>
            <w:r w:rsidRPr="00E737B1">
              <w:rPr>
                <w:rStyle w:val="AERtextsize8"/>
              </w:rPr>
              <w:t>market risk premium</w:t>
            </w:r>
          </w:p>
        </w:tc>
      </w:tr>
      <w:tr w:rsidR="00FC60FB"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FC60FB" w:rsidRPr="00E737B1" w:rsidRDefault="00FC60FB" w:rsidP="005C4C9C">
            <w:pPr>
              <w:numPr>
                <w:ilvl w:val="0"/>
                <w:numId w:val="24"/>
              </w:numPr>
              <w:rPr>
                <w:rStyle w:val="AERtextsize8"/>
              </w:rPr>
            </w:pPr>
            <w:r>
              <w:rPr>
                <w:rStyle w:val="AERtextsize8"/>
              </w:rPr>
              <w:t>NECF</w:t>
            </w:r>
          </w:p>
        </w:tc>
        <w:tc>
          <w:tcPr>
            <w:tcW w:w="4344" w:type="dxa"/>
          </w:tcPr>
          <w:p w:rsidR="00FC60FB" w:rsidRPr="00E737B1" w:rsidRDefault="00FC60FB" w:rsidP="00093C30">
            <w:pPr>
              <w:numPr>
                <w:ilvl w:val="0"/>
                <w:numId w:val="24"/>
              </w:numPr>
              <w:rPr>
                <w:rStyle w:val="AERtextsize8"/>
              </w:rPr>
            </w:pPr>
            <w:r>
              <w:rPr>
                <w:rStyle w:val="AERtextsize8"/>
              </w:rPr>
              <w:t xml:space="preserve">national </w:t>
            </w:r>
            <w:r w:rsidR="00093C30">
              <w:rPr>
                <w:rStyle w:val="AERtextsize8"/>
              </w:rPr>
              <w:t>electricity</w:t>
            </w:r>
            <w:r>
              <w:rPr>
                <w:rStyle w:val="AERtextsize8"/>
              </w:rPr>
              <w:t xml:space="preserve"> customer framework</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NEL</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NEM</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market</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NEO</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NER</w:t>
            </w:r>
          </w:p>
        </w:tc>
        <w:tc>
          <w:tcPr>
            <w:tcW w:w="4344" w:type="dxa"/>
          </w:tcPr>
          <w:p w:rsidR="005C4C9C" w:rsidRPr="00E737B1" w:rsidRDefault="005C4C9C" w:rsidP="005C4C9C">
            <w:pPr>
              <w:numPr>
                <w:ilvl w:val="0"/>
                <w:numId w:val="24"/>
              </w:numPr>
              <w:rPr>
                <w:rStyle w:val="AERtextsize8"/>
              </w:rPr>
            </w:pPr>
            <w:r w:rsidRPr="00E737B1">
              <w:rPr>
                <w:rStyle w:val="AERtextsize8"/>
              </w:rPr>
              <w:t>national electricity rules</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NSP</w:t>
            </w:r>
          </w:p>
        </w:tc>
        <w:tc>
          <w:tcPr>
            <w:tcW w:w="4344" w:type="dxa"/>
          </w:tcPr>
          <w:p w:rsidR="005C4C9C" w:rsidRPr="00E737B1" w:rsidRDefault="005C4C9C" w:rsidP="005C4C9C">
            <w:pPr>
              <w:numPr>
                <w:ilvl w:val="0"/>
                <w:numId w:val="24"/>
              </w:numPr>
              <w:rPr>
                <w:rStyle w:val="AERtextsize8"/>
              </w:rPr>
            </w:pPr>
            <w:r w:rsidRPr="00E737B1">
              <w:rPr>
                <w:rStyle w:val="AERtextsize8"/>
              </w:rPr>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opex</w:t>
            </w:r>
          </w:p>
        </w:tc>
        <w:tc>
          <w:tcPr>
            <w:tcW w:w="4344" w:type="dxa"/>
          </w:tcPr>
          <w:p w:rsidR="005C4C9C" w:rsidRPr="00E737B1" w:rsidRDefault="005C4C9C" w:rsidP="005C4C9C">
            <w:pPr>
              <w:numPr>
                <w:ilvl w:val="0"/>
                <w:numId w:val="24"/>
              </w:numPr>
              <w:rPr>
                <w:rStyle w:val="AERtextsize8"/>
              </w:rPr>
            </w:pPr>
            <w:r w:rsidRPr="00E737B1">
              <w:rPr>
                <w:rStyle w:val="AERtextsize8"/>
              </w:rPr>
              <w:t>operating expenditure</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PPI</w:t>
            </w:r>
          </w:p>
        </w:tc>
        <w:tc>
          <w:tcPr>
            <w:tcW w:w="4344" w:type="dxa"/>
          </w:tcPr>
          <w:p w:rsidR="005C4C9C" w:rsidRPr="00E737B1" w:rsidRDefault="005C4C9C" w:rsidP="005C4C9C">
            <w:pPr>
              <w:numPr>
                <w:ilvl w:val="0"/>
                <w:numId w:val="24"/>
              </w:numPr>
              <w:rPr>
                <w:rStyle w:val="AERtextsize8"/>
              </w:rPr>
            </w:pPr>
            <w:r w:rsidRPr="00E737B1">
              <w:rPr>
                <w:rStyle w:val="AERtextsize8"/>
              </w:rPr>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PTRM</w:t>
            </w:r>
          </w:p>
        </w:tc>
        <w:tc>
          <w:tcPr>
            <w:tcW w:w="4344" w:type="dxa"/>
          </w:tcPr>
          <w:p w:rsidR="005C4C9C" w:rsidRPr="00E737B1" w:rsidRDefault="005C4C9C" w:rsidP="005C4C9C">
            <w:pPr>
              <w:numPr>
                <w:ilvl w:val="0"/>
                <w:numId w:val="24"/>
              </w:numPr>
              <w:rPr>
                <w:rStyle w:val="AERtextsize8"/>
              </w:rPr>
            </w:pPr>
            <w:r w:rsidRPr="00E737B1">
              <w:rPr>
                <w:rStyle w:val="AERtextsize8"/>
              </w:rPr>
              <w:t>post-tax revenue model</w:t>
            </w:r>
          </w:p>
        </w:tc>
      </w:tr>
      <w:tr w:rsidR="005C4C9C" w:rsidTr="005C4C9C">
        <w:tc>
          <w:tcPr>
            <w:tcW w:w="4349" w:type="dxa"/>
          </w:tcPr>
          <w:p w:rsidR="005C4C9C" w:rsidRPr="00E737B1" w:rsidRDefault="005C4C9C" w:rsidP="005C4C9C">
            <w:pPr>
              <w:numPr>
                <w:ilvl w:val="0"/>
                <w:numId w:val="24"/>
              </w:numPr>
            </w:pPr>
            <w:r w:rsidRPr="00E737B1">
              <w:t>RAB</w:t>
            </w:r>
          </w:p>
        </w:tc>
        <w:tc>
          <w:tcPr>
            <w:tcW w:w="4344" w:type="dxa"/>
          </w:tcPr>
          <w:p w:rsidR="005C4C9C" w:rsidRPr="00E737B1" w:rsidRDefault="005C4C9C" w:rsidP="005C4C9C">
            <w:pPr>
              <w:numPr>
                <w:ilvl w:val="0"/>
                <w:numId w:val="24"/>
              </w:numPr>
            </w:pPr>
            <w:r w:rsidRPr="00E737B1">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RBA</w:t>
            </w:r>
          </w:p>
        </w:tc>
        <w:tc>
          <w:tcPr>
            <w:tcW w:w="4344" w:type="dxa"/>
          </w:tcPr>
          <w:p w:rsidR="005C4C9C" w:rsidRPr="00E737B1" w:rsidRDefault="005C4C9C" w:rsidP="005C4C9C">
            <w:pPr>
              <w:numPr>
                <w:ilvl w:val="0"/>
                <w:numId w:val="24"/>
              </w:numPr>
              <w:rPr>
                <w:rStyle w:val="AERtextsize8"/>
              </w:rPr>
            </w:pPr>
            <w:r w:rsidRPr="00E737B1">
              <w:rPr>
                <w:rStyle w:val="AERtextsize8"/>
              </w:rPr>
              <w:t>Reserve Bank of Australia</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lastRenderedPageBreak/>
              <w:t>repex</w:t>
            </w:r>
          </w:p>
        </w:tc>
        <w:tc>
          <w:tcPr>
            <w:tcW w:w="4344" w:type="dxa"/>
          </w:tcPr>
          <w:p w:rsidR="005C4C9C" w:rsidRPr="00E737B1" w:rsidRDefault="005C4C9C" w:rsidP="005C4C9C">
            <w:pPr>
              <w:numPr>
                <w:ilvl w:val="0"/>
                <w:numId w:val="24"/>
              </w:numPr>
              <w:rPr>
                <w:rStyle w:val="AERtextsize8"/>
              </w:rPr>
            </w:pPr>
            <w:r w:rsidRPr="00E737B1">
              <w:rPr>
                <w:rStyle w:val="AERtextsize8"/>
              </w:rPr>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RFM</w:t>
            </w:r>
          </w:p>
        </w:tc>
        <w:tc>
          <w:tcPr>
            <w:tcW w:w="4344" w:type="dxa"/>
          </w:tcPr>
          <w:p w:rsidR="005C4C9C" w:rsidRPr="00E737B1" w:rsidRDefault="005C4C9C" w:rsidP="005C4C9C">
            <w:pPr>
              <w:numPr>
                <w:ilvl w:val="0"/>
                <w:numId w:val="24"/>
              </w:numPr>
              <w:rPr>
                <w:rStyle w:val="AERtextsize8"/>
              </w:rPr>
            </w:pPr>
            <w:r w:rsidRPr="00E737B1">
              <w:rPr>
                <w:rStyle w:val="AERtextsize8"/>
              </w:rPr>
              <w:t>roll forward model</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RIN</w:t>
            </w:r>
          </w:p>
        </w:tc>
        <w:tc>
          <w:tcPr>
            <w:tcW w:w="4344" w:type="dxa"/>
          </w:tcPr>
          <w:p w:rsidR="005C4C9C" w:rsidRPr="00E737B1" w:rsidRDefault="005C4C9C" w:rsidP="005C4C9C">
            <w:pPr>
              <w:numPr>
                <w:ilvl w:val="0"/>
                <w:numId w:val="24"/>
              </w:numPr>
              <w:rPr>
                <w:rStyle w:val="AERtextsize8"/>
              </w:rPr>
            </w:pPr>
            <w:r w:rsidRPr="00E737B1">
              <w:rPr>
                <w:rStyle w:val="AERtextsize8"/>
              </w:rPr>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RPP</w:t>
            </w:r>
          </w:p>
        </w:tc>
        <w:tc>
          <w:tcPr>
            <w:tcW w:w="4344" w:type="dxa"/>
          </w:tcPr>
          <w:p w:rsidR="005C4C9C" w:rsidRPr="00E737B1" w:rsidRDefault="005C4C9C" w:rsidP="005C4C9C">
            <w:pPr>
              <w:numPr>
                <w:ilvl w:val="0"/>
                <w:numId w:val="24"/>
              </w:numPr>
              <w:rPr>
                <w:rStyle w:val="AERtextsize8"/>
              </w:rPr>
            </w:pPr>
            <w:r w:rsidRPr="00E737B1">
              <w:rPr>
                <w:rStyle w:val="AERtextsize8"/>
              </w:rPr>
              <w:t>revenue and pricing principles</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SAIDI</w:t>
            </w:r>
          </w:p>
        </w:tc>
        <w:tc>
          <w:tcPr>
            <w:tcW w:w="4344" w:type="dxa"/>
          </w:tcPr>
          <w:p w:rsidR="005C4C9C" w:rsidRPr="00E737B1" w:rsidRDefault="005C4C9C" w:rsidP="005C4C9C">
            <w:pPr>
              <w:numPr>
                <w:ilvl w:val="0"/>
                <w:numId w:val="24"/>
              </w:numPr>
              <w:rPr>
                <w:rStyle w:val="AERtextsize8"/>
              </w:rPr>
            </w:pPr>
            <w:r w:rsidRPr="00E737B1">
              <w:rPr>
                <w:rStyle w:val="AERtextsize8"/>
              </w:rPr>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SAIFI</w:t>
            </w:r>
          </w:p>
        </w:tc>
        <w:tc>
          <w:tcPr>
            <w:tcW w:w="4344" w:type="dxa"/>
          </w:tcPr>
          <w:p w:rsidR="005C4C9C" w:rsidRPr="00E737B1" w:rsidRDefault="005C4C9C" w:rsidP="005C4C9C">
            <w:pPr>
              <w:numPr>
                <w:ilvl w:val="0"/>
                <w:numId w:val="24"/>
              </w:numPr>
              <w:rPr>
                <w:rStyle w:val="AERtextsize8"/>
              </w:rPr>
            </w:pPr>
            <w:r w:rsidRPr="00E737B1">
              <w:rPr>
                <w:rStyle w:val="AERtextsize8"/>
              </w:rPr>
              <w:t>system average interruption frequency index</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SLCAPM</w:t>
            </w:r>
          </w:p>
        </w:tc>
        <w:tc>
          <w:tcPr>
            <w:tcW w:w="4344" w:type="dxa"/>
          </w:tcPr>
          <w:p w:rsidR="005C4C9C" w:rsidRPr="00E737B1" w:rsidRDefault="005C4C9C" w:rsidP="005C4C9C">
            <w:pPr>
              <w:numPr>
                <w:ilvl w:val="0"/>
                <w:numId w:val="24"/>
              </w:numPr>
              <w:rPr>
                <w:rStyle w:val="AERtextsize8"/>
              </w:rPr>
            </w:pPr>
            <w:r w:rsidRPr="00E737B1">
              <w:rPr>
                <w:rStyle w:val="AERtextsize8"/>
              </w:rPr>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E737B1" w:rsidRDefault="005C4C9C" w:rsidP="005C4C9C">
            <w:pPr>
              <w:numPr>
                <w:ilvl w:val="0"/>
                <w:numId w:val="24"/>
              </w:numPr>
              <w:rPr>
                <w:rStyle w:val="AERtextsize8"/>
              </w:rPr>
            </w:pPr>
            <w:r w:rsidRPr="00E737B1">
              <w:rPr>
                <w:rStyle w:val="AERtextsize8"/>
              </w:rPr>
              <w:t>STPIS</w:t>
            </w:r>
          </w:p>
        </w:tc>
        <w:tc>
          <w:tcPr>
            <w:tcW w:w="4344" w:type="dxa"/>
          </w:tcPr>
          <w:p w:rsidR="005C4C9C" w:rsidRPr="00E737B1" w:rsidRDefault="005C4C9C" w:rsidP="005C4C9C">
            <w:pPr>
              <w:numPr>
                <w:ilvl w:val="0"/>
                <w:numId w:val="24"/>
              </w:numPr>
              <w:rPr>
                <w:rStyle w:val="AERtextsize8"/>
              </w:rPr>
            </w:pPr>
            <w:r w:rsidRPr="00E737B1">
              <w:rPr>
                <w:rStyle w:val="AERtextsize8"/>
              </w:rPr>
              <w:t>service target performance incentive scheme</w:t>
            </w:r>
          </w:p>
        </w:tc>
      </w:tr>
      <w:tr w:rsidR="005C4C9C" w:rsidTr="005C4C9C">
        <w:tc>
          <w:tcPr>
            <w:tcW w:w="4349" w:type="dxa"/>
          </w:tcPr>
          <w:p w:rsidR="005C4C9C" w:rsidRPr="00E737B1" w:rsidRDefault="005C4C9C" w:rsidP="005C4C9C">
            <w:pPr>
              <w:numPr>
                <w:ilvl w:val="0"/>
                <w:numId w:val="24"/>
              </w:numPr>
              <w:rPr>
                <w:rStyle w:val="AERtextsize8"/>
              </w:rPr>
            </w:pPr>
            <w:r w:rsidRPr="00E737B1">
              <w:rPr>
                <w:rStyle w:val="AERtextsize8"/>
              </w:rPr>
              <w:t>WACC</w:t>
            </w:r>
          </w:p>
        </w:tc>
        <w:tc>
          <w:tcPr>
            <w:tcW w:w="4344" w:type="dxa"/>
          </w:tcPr>
          <w:p w:rsidR="005C4C9C" w:rsidRPr="00E737B1" w:rsidRDefault="005C4C9C" w:rsidP="005C4C9C">
            <w:pPr>
              <w:numPr>
                <w:ilvl w:val="0"/>
                <w:numId w:val="24"/>
              </w:numPr>
              <w:rPr>
                <w:rStyle w:val="AERtextsize8"/>
              </w:rPr>
            </w:pPr>
            <w:r w:rsidRPr="00E737B1">
              <w:rPr>
                <w:rStyle w:val="AERtextsize8"/>
              </w:rPr>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51528194"/>
      <w:r>
        <w:lastRenderedPageBreak/>
        <w:t>Classification of services</w:t>
      </w:r>
      <w:bookmarkEnd w:id="10"/>
    </w:p>
    <w:p w:rsidR="00673A2B" w:rsidRPr="0087281D" w:rsidRDefault="00673A2B" w:rsidP="00673A2B">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673A2B" w:rsidRPr="0087281D" w:rsidRDefault="00673A2B" w:rsidP="00BD6195">
      <w:pPr>
        <w:rPr>
          <w:rStyle w:val="AERbody"/>
        </w:rPr>
      </w:pPr>
      <w:r w:rsidRPr="0087281D">
        <w:rPr>
          <w:rStyle w:val="AERbody"/>
        </w:rPr>
        <w:t>We make a decision on the classification of each distributor's distribution services</w:t>
      </w:r>
      <w:r w:rsidR="006202AD">
        <w:rPr>
          <w:rStyle w:val="AERbody"/>
        </w:rPr>
        <w:t xml:space="preserve"> in accordance with the NER</w:t>
      </w:r>
      <w:r w:rsidRPr="0087281D">
        <w:rPr>
          <w:rStyle w:val="AERbody"/>
        </w:rPr>
        <w:t>.</w:t>
      </w:r>
      <w:r w:rsidRPr="003E02D4">
        <w:rPr>
          <w:rStyle w:val="AERsuperscript"/>
          <w:sz w:val="22"/>
        </w:rPr>
        <w:footnoteReference w:id="1"/>
      </w:r>
      <w:r w:rsidRPr="00356E67">
        <w:rPr>
          <w:rStyle w:val="AERsuperscript"/>
        </w:rPr>
        <w:t xml:space="preserve"> </w:t>
      </w:r>
      <w:r w:rsidR="00384982">
        <w:rPr>
          <w:rStyle w:val="AERbody"/>
        </w:rPr>
        <w:t xml:space="preserve">Our </w:t>
      </w:r>
      <w:r w:rsidR="00CB1FC4">
        <w:rPr>
          <w:rStyle w:val="AERbody"/>
        </w:rPr>
        <w:t>final decision</w:t>
      </w:r>
      <w:r w:rsidR="00384982">
        <w:rPr>
          <w:rStyle w:val="AERbody"/>
        </w:rPr>
        <w:t xml:space="preserve"> is to classify services</w:t>
      </w:r>
      <w:r>
        <w:rPr>
          <w:rStyle w:val="AERbody"/>
        </w:rPr>
        <w:t xml:space="preserve"> consistently for </w:t>
      </w:r>
      <w:r w:rsidR="009D3A61">
        <w:rPr>
          <w:rStyle w:val="AERbody"/>
        </w:rPr>
        <w:t xml:space="preserve">all Victorian </w:t>
      </w:r>
      <w:r w:rsidR="00657562">
        <w:rPr>
          <w:rStyle w:val="AERbody"/>
        </w:rPr>
        <w:t>e</w:t>
      </w:r>
      <w:r w:rsidR="009D3A61">
        <w:rPr>
          <w:rStyle w:val="AERbody"/>
        </w:rPr>
        <w:t xml:space="preserve">lectricity </w:t>
      </w:r>
      <w:r w:rsidR="00657562">
        <w:rPr>
          <w:rStyle w:val="AERbody"/>
        </w:rPr>
        <w:t>d</w:t>
      </w:r>
      <w:r w:rsidR="009D3A61">
        <w:rPr>
          <w:rStyle w:val="AERbody"/>
        </w:rPr>
        <w:t>istributors</w:t>
      </w:r>
      <w:r w:rsidR="00384982">
        <w:rPr>
          <w:rStyle w:val="AERbody"/>
        </w:rPr>
        <w:t>, namely AusNet Services, CitiPower, Jemena, Powercor and United Energy</w:t>
      </w:r>
      <w:r w:rsidRPr="0087281D">
        <w:rPr>
          <w:rStyle w:val="AERbody"/>
        </w:rPr>
        <w:t xml:space="preserve">. As a result, our reasoning in regard to classification is the same for each of the </w:t>
      </w:r>
      <w:r w:rsidR="009D3A61">
        <w:rPr>
          <w:rStyle w:val="AERbody"/>
        </w:rPr>
        <w:t xml:space="preserve">five Victorian </w:t>
      </w:r>
      <w:r w:rsidRPr="0087281D">
        <w:rPr>
          <w:rStyle w:val="AERbody"/>
        </w:rPr>
        <w:t>distributors</w:t>
      </w:r>
      <w:r>
        <w:rPr>
          <w:rStyle w:val="AERbody"/>
        </w:rPr>
        <w:t xml:space="preserve">. We refer to the </w:t>
      </w:r>
      <w:r w:rsidR="009D3A61">
        <w:rPr>
          <w:rStyle w:val="AERbody"/>
        </w:rPr>
        <w:t xml:space="preserve">Victorian </w:t>
      </w:r>
      <w:r w:rsidRPr="0087281D">
        <w:rPr>
          <w:rStyle w:val="AERbody"/>
        </w:rPr>
        <w:t xml:space="preserve">distributors collectively in this attachment. </w:t>
      </w:r>
    </w:p>
    <w:p w:rsidR="00673A2B" w:rsidRPr="0087281D" w:rsidRDefault="00673A2B" w:rsidP="00673A2B">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384982">
        <w:rPr>
          <w:rStyle w:val="AERbody"/>
        </w:rPr>
        <w:t xml:space="preserve"> in our determination</w:t>
      </w:r>
      <w:r w:rsidRPr="0087281D">
        <w:rPr>
          <w:rStyle w:val="AERbody"/>
        </w:rPr>
        <w:t>.</w:t>
      </w:r>
      <w:r w:rsidRPr="00CC5AB5">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w:t>
      </w:r>
      <w:r w:rsidR="009D3A61">
        <w:rPr>
          <w:rStyle w:val="AERbody"/>
        </w:rPr>
        <w:t>Victorian</w:t>
      </w:r>
      <w:r>
        <w:rPr>
          <w:rStyle w:val="AERbody"/>
        </w:rPr>
        <w:t xml:space="preserve"> distributors in our </w:t>
      </w:r>
      <w:r w:rsidR="002741D5">
        <w:rPr>
          <w:rStyle w:val="AERbody"/>
        </w:rPr>
        <w:t xml:space="preserve">final </w:t>
      </w:r>
      <w:r w:rsidRPr="0087281D">
        <w:rPr>
          <w:rStyle w:val="AERbody"/>
        </w:rPr>
        <w:t>F&amp;A</w:t>
      </w:r>
      <w:r w:rsidR="00384982">
        <w:rPr>
          <w:rStyle w:val="AERbody"/>
        </w:rPr>
        <w:t xml:space="preserve"> paper published in October 2014</w:t>
      </w:r>
      <w:r w:rsidRPr="0087281D">
        <w:rPr>
          <w:rStyle w:val="AERbody"/>
        </w:rPr>
        <w:t>.</w:t>
      </w:r>
      <w:r w:rsidRPr="00DE282E">
        <w:rPr>
          <w:rStyle w:val="AERsuperscript"/>
          <w:sz w:val="22"/>
        </w:rPr>
        <w:footnoteReference w:id="3"/>
      </w:r>
      <w:r w:rsidRPr="00E4302E">
        <w:rPr>
          <w:rStyle w:val="AERsuperscript"/>
        </w:rPr>
        <w:t xml:space="preserve"> </w:t>
      </w:r>
      <w:r>
        <w:rPr>
          <w:rStyle w:val="AERsuperscript"/>
        </w:rPr>
        <w:t xml:space="preserve"> </w:t>
      </w:r>
      <w:r w:rsidR="00384982">
        <w:rPr>
          <w:rStyle w:val="AERbody"/>
        </w:rPr>
        <w:t xml:space="preserve">In that paper, we </w:t>
      </w:r>
      <w:r w:rsidRPr="0087281D">
        <w:rPr>
          <w:rStyle w:val="AERbody"/>
        </w:rPr>
        <w:t xml:space="preserve"> proposed to group </w:t>
      </w:r>
      <w:r>
        <w:rPr>
          <w:rStyle w:val="AERbody"/>
        </w:rPr>
        <w:t xml:space="preserve">the </w:t>
      </w:r>
      <w:r w:rsidR="00657562">
        <w:rPr>
          <w:rStyle w:val="AERbody"/>
        </w:rPr>
        <w:t>Victorian</w:t>
      </w:r>
      <w:r w:rsidRPr="0087281D">
        <w:rPr>
          <w:rStyle w:val="AERbody"/>
        </w:rPr>
        <w:t xml:space="preserve"> distribution services as follows: </w:t>
      </w:r>
    </w:p>
    <w:p w:rsidR="00673A2B" w:rsidRPr="0087281D" w:rsidRDefault="00673A2B" w:rsidP="00673A2B">
      <w:pPr>
        <w:pStyle w:val="AERbulletlistfirststyle"/>
      </w:pPr>
      <w:r w:rsidRPr="0087281D">
        <w:t>network services</w:t>
      </w:r>
    </w:p>
    <w:p w:rsidR="00673A2B" w:rsidRPr="0087281D" w:rsidRDefault="00673A2B" w:rsidP="00673A2B">
      <w:pPr>
        <w:pStyle w:val="AERbulletlistfirststyle"/>
      </w:pPr>
      <w:r w:rsidRPr="0087281D">
        <w:t>connection services</w:t>
      </w:r>
    </w:p>
    <w:p w:rsidR="00673A2B" w:rsidRDefault="00673A2B" w:rsidP="00673A2B">
      <w:pPr>
        <w:pStyle w:val="AERbulletlistfirststyle"/>
      </w:pPr>
      <w:r w:rsidRPr="0087281D">
        <w:t>metering services</w:t>
      </w:r>
    </w:p>
    <w:p w:rsidR="009D3A61" w:rsidRPr="0087281D" w:rsidRDefault="009D3A61" w:rsidP="00673A2B">
      <w:pPr>
        <w:pStyle w:val="AERbulletlistfirststyle"/>
      </w:pPr>
      <w:r>
        <w:t>ancillary network services</w:t>
      </w:r>
    </w:p>
    <w:p w:rsidR="00673A2B" w:rsidRPr="00673A2B" w:rsidRDefault="00673A2B" w:rsidP="009D3A61">
      <w:pPr>
        <w:pStyle w:val="AERbulletlistfirststyle"/>
      </w:pPr>
      <w:r w:rsidRPr="0087281D">
        <w:t>public lighting services</w:t>
      </w:r>
      <w:r w:rsidR="009D3A61">
        <w:t>.</w:t>
      </w:r>
    </w:p>
    <w:p w:rsidR="009A5113" w:rsidRDefault="00CB1FC4" w:rsidP="009A5113">
      <w:pPr>
        <w:pStyle w:val="Heading2"/>
      </w:pPr>
      <w:bookmarkStart w:id="11" w:name="_Toc408404320"/>
      <w:bookmarkStart w:id="12" w:name="_Toc451528195"/>
      <w:r>
        <w:t>Final</w:t>
      </w:r>
      <w:r w:rsidR="009A5113" w:rsidRPr="0074565D">
        <w:t xml:space="preserve"> decision</w:t>
      </w:r>
      <w:bookmarkEnd w:id="11"/>
      <w:bookmarkEnd w:id="12"/>
    </w:p>
    <w:p w:rsidR="00673A2B" w:rsidRDefault="00673A2B" w:rsidP="00673A2B">
      <w:pPr>
        <w:rPr>
          <w:rStyle w:val="AERbody"/>
        </w:rPr>
      </w:pPr>
      <w:r>
        <w:rPr>
          <w:rStyle w:val="AERbody"/>
        </w:rPr>
        <w:t xml:space="preserve">Our </w:t>
      </w:r>
      <w:r w:rsidR="00CB1FC4">
        <w:rPr>
          <w:rStyle w:val="AERbody"/>
        </w:rPr>
        <w:t>final</w:t>
      </w:r>
      <w:r w:rsidRPr="003E7844">
        <w:rPr>
          <w:rStyle w:val="AERbody"/>
        </w:rPr>
        <w:t xml:space="preserve"> decision is to retain the </w:t>
      </w:r>
      <w:r w:rsidR="006F1BEF">
        <w:rPr>
          <w:rStyle w:val="AERbody"/>
        </w:rPr>
        <w:t xml:space="preserve">proposed </w:t>
      </w:r>
      <w:r w:rsidRPr="003E7844">
        <w:rPr>
          <w:rStyle w:val="AERbody"/>
        </w:rPr>
        <w:t xml:space="preserve">classification </w:t>
      </w:r>
      <w:r w:rsidR="009D4283">
        <w:rPr>
          <w:rStyle w:val="AERbody"/>
        </w:rPr>
        <w:t xml:space="preserve">of </w:t>
      </w:r>
      <w:r w:rsidR="00CB1FC4">
        <w:rPr>
          <w:rStyle w:val="AERbody"/>
        </w:rPr>
        <w:t>AusNet Services' distribution services according to the classification and reasons set out in our preliminary decision.</w:t>
      </w:r>
      <w:r w:rsidR="00CB1FC4">
        <w:rPr>
          <w:rStyle w:val="FootnoteReference"/>
        </w:rPr>
        <w:footnoteReference w:id="4"/>
      </w:r>
      <w:r>
        <w:rPr>
          <w:rStyle w:val="AERbody"/>
        </w:rPr>
        <w:t xml:space="preserve"> </w:t>
      </w:r>
      <w:r w:rsidR="00CB1FC4">
        <w:rPr>
          <w:rStyle w:val="AERbody"/>
        </w:rPr>
        <w:t>As set out in our preliminary decision, this includes:</w:t>
      </w:r>
    </w:p>
    <w:p w:rsidR="002741D5" w:rsidRPr="00352E66" w:rsidRDefault="008D23C2" w:rsidP="00352E66">
      <w:pPr>
        <w:pStyle w:val="AERbulletlistfirststyle"/>
        <w:rPr>
          <w:shd w:val="clear" w:color="auto" w:fill="FFFF00"/>
        </w:rPr>
      </w:pPr>
      <w:r>
        <w:t>classify</w:t>
      </w:r>
      <w:r w:rsidR="00CB1FC4">
        <w:t>ing</w:t>
      </w:r>
      <w:r>
        <w:t xml:space="preserve"> dedicated</w:t>
      </w:r>
      <w:r w:rsidRPr="00C03EF2">
        <w:t xml:space="preserve"> public lighting</w:t>
      </w:r>
      <w:r>
        <w:t xml:space="preserve"> services</w:t>
      </w:r>
      <w:r w:rsidRPr="00C03EF2">
        <w:t xml:space="preserve"> as an alternative control service for 2016–</w:t>
      </w:r>
      <w:r>
        <w:t>20.</w:t>
      </w:r>
      <w:r w:rsidR="00932597">
        <w:rPr>
          <w:rStyle w:val="FootnoteReference"/>
        </w:rPr>
        <w:footnoteReference w:id="5"/>
      </w:r>
      <w:r>
        <w:t xml:space="preserve"> </w:t>
      </w:r>
      <w:r w:rsidR="00F37CFC">
        <w:t xml:space="preserve">This is a departure </w:t>
      </w:r>
      <w:r w:rsidR="00AD084E">
        <w:t>from our final F&amp;A</w:t>
      </w:r>
      <w:r w:rsidR="00384982">
        <w:t xml:space="preserve"> in relation to these services</w:t>
      </w:r>
      <w:r w:rsidR="00F37CFC">
        <w:t xml:space="preserve">. This </w:t>
      </w:r>
      <w:r w:rsidR="00F37CFC">
        <w:lastRenderedPageBreak/>
        <w:t>means</w:t>
      </w:r>
      <w:r w:rsidR="00AD084E">
        <w:t xml:space="preserve"> </w:t>
      </w:r>
      <w:r w:rsidR="00DD649A">
        <w:t>that our</w:t>
      </w:r>
      <w:r w:rsidRPr="00C03EF2">
        <w:t xml:space="preserve"> approach to classification </w:t>
      </w:r>
      <w:r>
        <w:t xml:space="preserve">of public lighting services in Victoria </w:t>
      </w:r>
      <w:r w:rsidRPr="00C03EF2">
        <w:t xml:space="preserve">between </w:t>
      </w:r>
      <w:r w:rsidR="00EA249F">
        <w:t xml:space="preserve">the </w:t>
      </w:r>
      <w:r w:rsidRPr="00C03EF2">
        <w:t>2011–15 and 2016–20</w:t>
      </w:r>
      <w:r>
        <w:t xml:space="preserve"> regulatory control periods</w:t>
      </w:r>
      <w:r w:rsidRPr="00C03EF2">
        <w:t xml:space="preserve"> remain</w:t>
      </w:r>
      <w:r w:rsidR="00651F5B">
        <w:t>s</w:t>
      </w:r>
      <w:r w:rsidRPr="00C03EF2">
        <w:t xml:space="preserve"> the same</w:t>
      </w:r>
      <w:r>
        <w:t>.</w:t>
      </w:r>
      <w:r w:rsidR="00AD084E">
        <w:rPr>
          <w:rStyle w:val="FootnoteReference"/>
        </w:rPr>
        <w:footnoteReference w:id="6"/>
      </w:r>
    </w:p>
    <w:p w:rsidR="00673A2B" w:rsidRDefault="00EE2F74" w:rsidP="00673A2B">
      <w:r>
        <w:fldChar w:fldCharType="begin"/>
      </w:r>
      <w:r>
        <w:instrText xml:space="preserve"> REF _Ref403479680 \h </w:instrText>
      </w:r>
      <w:r>
        <w:fldChar w:fldCharType="separate"/>
      </w:r>
      <w:r w:rsidR="008762BE">
        <w:t xml:space="preserve">Figure </w:t>
      </w:r>
      <w:r w:rsidR="008762BE">
        <w:rPr>
          <w:noProof/>
        </w:rPr>
        <w:t>13</w:t>
      </w:r>
      <w:r w:rsidR="008762BE">
        <w:t>.</w:t>
      </w:r>
      <w:r w:rsidR="008762BE">
        <w:rPr>
          <w:noProof/>
        </w:rPr>
        <w:t>1</w:t>
      </w:r>
      <w:r>
        <w:fldChar w:fldCharType="end"/>
      </w:r>
      <w:r>
        <w:t xml:space="preserve"> </w:t>
      </w:r>
      <w:r w:rsidR="00673A2B">
        <w:t>summarises</w:t>
      </w:r>
      <w:r w:rsidR="00673A2B" w:rsidRPr="005850E2">
        <w:t xml:space="preserve"> our </w:t>
      </w:r>
      <w:r w:rsidR="00F37CFC">
        <w:t xml:space="preserve">final </w:t>
      </w:r>
      <w:r w:rsidR="00D96F7E">
        <w:t>d</w:t>
      </w:r>
      <w:r w:rsidR="00673A2B" w:rsidRPr="005850E2">
        <w:t xml:space="preserve">ecision on service classifications for </w:t>
      </w:r>
      <w:r w:rsidR="00035C29">
        <w:t>the Victorian distributors for the 2016–20 regulatory control period.</w:t>
      </w:r>
    </w:p>
    <w:p w:rsidR="00673A2B" w:rsidRPr="005850E2" w:rsidRDefault="00673A2B" w:rsidP="00673A2B">
      <w:r>
        <w:t xml:space="preserve">Appendix A sets out our detailed </w:t>
      </w:r>
      <w:r w:rsidR="007B2E17">
        <w:t xml:space="preserve">service </w:t>
      </w:r>
      <w:r>
        <w:t xml:space="preserve">classification decisions. </w:t>
      </w:r>
      <w:r w:rsidR="007B2E17">
        <w:t xml:space="preserve">We have developed one table to apply to all Victorian distributors. We have noted in the table any instances where a specific distributor does not provide a service. </w:t>
      </w:r>
    </w:p>
    <w:p w:rsidR="00673A2B" w:rsidRDefault="00EE2F74" w:rsidP="00EE2F74">
      <w:pPr>
        <w:pStyle w:val="Caption"/>
      </w:pPr>
      <w:bookmarkStart w:id="13" w:name="_Ref403479680"/>
      <w:r>
        <w:t xml:space="preserve">Figure </w:t>
      </w:r>
      <w:r w:rsidR="00BA5E8B">
        <w:fldChar w:fldCharType="begin"/>
      </w:r>
      <w:r w:rsidR="00BA5E8B">
        <w:instrText xml:space="preserve"> STYLEREF 1 \s </w:instrText>
      </w:r>
      <w:r w:rsidR="00BA5E8B">
        <w:fldChar w:fldCharType="separate"/>
      </w:r>
      <w:r w:rsidR="008762BE">
        <w:rPr>
          <w:noProof/>
        </w:rPr>
        <w:t>13</w:t>
      </w:r>
      <w:r w:rsidR="00BA5E8B">
        <w:rPr>
          <w:noProof/>
        </w:rPr>
        <w:fldChar w:fldCharType="end"/>
      </w:r>
      <w:r w:rsidR="006F1BEF">
        <w:t>.</w:t>
      </w:r>
      <w:r w:rsidR="00FD685A">
        <w:fldChar w:fldCharType="begin"/>
      </w:r>
      <w:r w:rsidR="00FD685A">
        <w:instrText xml:space="preserve"> SEQ Figure \* ARABIC \s 1 </w:instrText>
      </w:r>
      <w:r w:rsidR="00FD685A">
        <w:fldChar w:fldCharType="separate"/>
      </w:r>
      <w:r w:rsidR="008762BE">
        <w:rPr>
          <w:noProof/>
        </w:rPr>
        <w:t>1</w:t>
      </w:r>
      <w:r w:rsidR="00FD685A">
        <w:rPr>
          <w:noProof/>
        </w:rPr>
        <w:fldChar w:fldCharType="end"/>
      </w:r>
      <w:bookmarkEnd w:id="13"/>
      <w:r>
        <w:tab/>
      </w:r>
      <w:r w:rsidR="00673A2B" w:rsidRPr="005850E2">
        <w:tab/>
        <w:t xml:space="preserve">AER </w:t>
      </w:r>
      <w:r w:rsidR="00F37CFC">
        <w:t>final</w:t>
      </w:r>
      <w:r w:rsidR="00F37CFC" w:rsidRPr="005850E2">
        <w:t xml:space="preserve"> </w:t>
      </w:r>
      <w:r w:rsidR="00673A2B" w:rsidRPr="005850E2">
        <w:t>decision on 201</w:t>
      </w:r>
      <w:r w:rsidR="00035C29">
        <w:t>6</w:t>
      </w:r>
      <w:r w:rsidR="00673A2B" w:rsidRPr="005850E2">
        <w:t xml:space="preserve">–20 service classifications for </w:t>
      </w:r>
      <w:r w:rsidR="00035C29">
        <w:t>the Vic</w:t>
      </w:r>
      <w:r w:rsidR="00F72832">
        <w:t>torian</w:t>
      </w:r>
      <w:r w:rsidR="00035C29">
        <w:t xml:space="preserve"> distributors</w:t>
      </w:r>
    </w:p>
    <w:p w:rsidR="00907782" w:rsidRDefault="00E3176A" w:rsidP="00907782">
      <w:pPr>
        <w:pStyle w:val="AERtablesource"/>
      </w:pPr>
      <w:r w:rsidRPr="00E3176A">
        <w:rPr>
          <w:noProof/>
          <w:lang w:eastAsia="en-AU"/>
        </w:rPr>
        <w:drawing>
          <wp:inline distT="0" distB="0" distL="0" distR="0" wp14:anchorId="41D0374E" wp14:editId="6BE67D88">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5B1ED2" w:rsidRDefault="00E3176A" w:rsidP="00673A2B">
      <w:pPr>
        <w:rPr>
          <w:rStyle w:val="AERbody"/>
        </w:rPr>
      </w:pPr>
      <w:r>
        <w:rPr>
          <w:rStyle w:val="AERbody"/>
        </w:rPr>
        <w:t>O</w:t>
      </w:r>
      <w:r w:rsidR="00673A2B" w:rsidRPr="00F27714">
        <w:rPr>
          <w:rStyle w:val="AERbody"/>
        </w:rPr>
        <w:t xml:space="preserve">ur </w:t>
      </w:r>
      <w:r w:rsidR="002741D5">
        <w:rPr>
          <w:rStyle w:val="AERbody"/>
        </w:rPr>
        <w:t xml:space="preserve">assessment of the </w:t>
      </w:r>
      <w:r w:rsidR="00673A2B" w:rsidRPr="00F27714">
        <w:rPr>
          <w:rStyle w:val="AERbody"/>
        </w:rPr>
        <w:t>classification of services determines</w:t>
      </w:r>
      <w:r w:rsidR="002741D5">
        <w:rPr>
          <w:rStyle w:val="AERbody"/>
        </w:rPr>
        <w:t xml:space="preserve"> how costs associated with the services will be recovered </w:t>
      </w:r>
      <w:r w:rsidR="00673A2B">
        <w:rPr>
          <w:rStyle w:val="AERbody"/>
        </w:rPr>
        <w:t xml:space="preserve">at a very high level. </w:t>
      </w:r>
      <w:r w:rsidR="002741D5">
        <w:rPr>
          <w:rStyle w:val="AERbody"/>
        </w:rPr>
        <w:t xml:space="preserve">That is, whether the costs of a </w:t>
      </w:r>
      <w:r w:rsidR="002741D5">
        <w:rPr>
          <w:rStyle w:val="AERbody"/>
        </w:rPr>
        <w:lastRenderedPageBreak/>
        <w:t xml:space="preserve">particular service will be recovered from basic </w:t>
      </w:r>
      <w:r w:rsidR="00F30A11">
        <w:rPr>
          <w:rStyle w:val="AERbody"/>
        </w:rPr>
        <w:t>electricity charges, as an additional charge</w:t>
      </w:r>
      <w:r w:rsidR="007A69CB">
        <w:rPr>
          <w:rStyle w:val="AERbody"/>
        </w:rPr>
        <w:t>,</w:t>
      </w:r>
      <w:r w:rsidR="00F30A11">
        <w:rPr>
          <w:rStyle w:val="AERbody"/>
        </w:rPr>
        <w:t xml:space="preserve"> or </w:t>
      </w:r>
      <w:r w:rsidR="002357FB">
        <w:rPr>
          <w:rStyle w:val="AERbody"/>
        </w:rPr>
        <w:t>recovered through an unregulated charge (i.e. not set by us)</w:t>
      </w:r>
      <w:r w:rsidR="00F30A11">
        <w:rPr>
          <w:rStyle w:val="AERbody"/>
        </w:rPr>
        <w:t xml:space="preserve">. However, the detailed prescription of how service charges are set is not </w:t>
      </w:r>
      <w:r w:rsidR="00673A2B" w:rsidRPr="00F27714">
        <w:rPr>
          <w:rStyle w:val="AERbody"/>
        </w:rPr>
        <w:t xml:space="preserve">determined as part of classification. </w:t>
      </w:r>
      <w:r w:rsidR="00F30A11">
        <w:rPr>
          <w:rStyle w:val="AERbody"/>
        </w:rPr>
        <w:t>Instead, t</w:t>
      </w:r>
      <w:r w:rsidR="00673A2B" w:rsidRPr="00F27714">
        <w:rPr>
          <w:rStyle w:val="AERbody"/>
        </w:rPr>
        <w:t>hat detail is discussed in the control mechanism attachments.</w:t>
      </w:r>
      <w:r w:rsidR="00673A2B">
        <w:rPr>
          <w:rStyle w:val="FootnoteReference"/>
        </w:rPr>
        <w:footnoteReference w:id="7"/>
      </w:r>
      <w:r w:rsidR="00673A2B" w:rsidRPr="00F27714">
        <w:rPr>
          <w:rStyle w:val="AERbody"/>
        </w:rPr>
        <w:t xml:space="preserve"> </w:t>
      </w:r>
    </w:p>
    <w:p w:rsidR="009A5113" w:rsidRDefault="005C0A7F" w:rsidP="009A5113">
      <w:pPr>
        <w:pStyle w:val="Heading2"/>
      </w:pPr>
      <w:bookmarkStart w:id="14" w:name="_Toc451528196"/>
      <w:r>
        <w:t>AusNet</w:t>
      </w:r>
      <w:r w:rsidR="002C0B13">
        <w:t xml:space="preserve"> Services</w:t>
      </w:r>
      <w:r w:rsidR="006A06BC">
        <w:t>'</w:t>
      </w:r>
      <w:r>
        <w:t xml:space="preserve"> </w:t>
      </w:r>
      <w:r w:rsidR="00F37CFC">
        <w:t xml:space="preserve">revised </w:t>
      </w:r>
      <w:r>
        <w:t>proposal</w:t>
      </w:r>
      <w:bookmarkEnd w:id="14"/>
    </w:p>
    <w:p w:rsidR="0085444A" w:rsidRDefault="0085444A" w:rsidP="00673A2B">
      <w:r>
        <w:t>AusNet Services stated in its revised regulatory proposal that it accepts our proposed classification as set out in our final F&amp;A.</w:t>
      </w:r>
      <w:r>
        <w:rPr>
          <w:rStyle w:val="FootnoteReference"/>
        </w:rPr>
        <w:footnoteReference w:id="8"/>
      </w:r>
      <w:r>
        <w:t xml:space="preserve"> We </w:t>
      </w:r>
      <w:r w:rsidR="00444C07">
        <w:t xml:space="preserve">consider </w:t>
      </w:r>
      <w:r>
        <w:t xml:space="preserve">that AusNet </w:t>
      </w:r>
      <w:r w:rsidR="00BD596E">
        <w:t>Services</w:t>
      </w:r>
      <w:r>
        <w:t xml:space="preserve"> meant to refer to our preliminary decision. This is because as part of its revised regulatory proposal, AusNet Services accepted our preliminary decision to classify dedicated</w:t>
      </w:r>
      <w:r w:rsidR="007D5A97">
        <w:rPr>
          <w:rStyle w:val="FootnoteReference"/>
        </w:rPr>
        <w:footnoteReference w:id="9"/>
      </w:r>
      <w:r>
        <w:t xml:space="preserve"> public lighting services as an alternative control service</w:t>
      </w:r>
      <w:r w:rsidR="009D4283">
        <w:t>.</w:t>
      </w:r>
      <w:r w:rsidR="009D4283">
        <w:rPr>
          <w:rStyle w:val="FootnoteReference"/>
        </w:rPr>
        <w:footnoteReference w:id="10"/>
      </w:r>
      <w:r w:rsidR="009D4283">
        <w:t xml:space="preserve"> </w:t>
      </w:r>
      <w:r w:rsidR="007D5A97">
        <w:t>In our final F&amp;A we had proposed to classify</w:t>
      </w:r>
      <w:r w:rsidR="00D17E52">
        <w:t xml:space="preserve"> dedicated</w:t>
      </w:r>
      <w:r w:rsidR="007D5A97">
        <w:t xml:space="preserve"> public lighting </w:t>
      </w:r>
      <w:r w:rsidR="00D17E52">
        <w:t xml:space="preserve">services </w:t>
      </w:r>
      <w:r w:rsidR="007D5A97">
        <w:t xml:space="preserve">as </w:t>
      </w:r>
      <w:r w:rsidR="00B92738">
        <w:t xml:space="preserve">a </w:t>
      </w:r>
      <w:r w:rsidR="00D17E52">
        <w:t xml:space="preserve">negotiated service. </w:t>
      </w:r>
      <w:r>
        <w:t xml:space="preserve">This was the </w:t>
      </w:r>
      <w:r w:rsidR="002E36EB">
        <w:t xml:space="preserve">only </w:t>
      </w:r>
      <w:r>
        <w:t xml:space="preserve">change in our proposed classification of services between our final F&amp;A and our preliminary decision. </w:t>
      </w:r>
    </w:p>
    <w:p w:rsidR="00DF6874" w:rsidRPr="001064AE" w:rsidRDefault="009461F6" w:rsidP="001064AE">
      <w:pPr>
        <w:pStyle w:val="HeadingBoldBlue"/>
      </w:pPr>
      <w:bookmarkStart w:id="15" w:name="_Toc451528197"/>
      <w:r>
        <w:t>New c</w:t>
      </w:r>
      <w:r w:rsidR="00A84D0B" w:rsidRPr="001064AE">
        <w:t>ustomer</w:t>
      </w:r>
      <w:r w:rsidR="00DF6874" w:rsidRPr="001064AE">
        <w:t xml:space="preserve"> connections</w:t>
      </w:r>
      <w:r>
        <w:t xml:space="preserve"> requiring augmentation</w:t>
      </w:r>
      <w:bookmarkEnd w:id="15"/>
    </w:p>
    <w:p w:rsidR="00DF6874" w:rsidRDefault="00DF6874" w:rsidP="00DF6874">
      <w:r w:rsidRPr="00DF6874">
        <w:t xml:space="preserve">In its </w:t>
      </w:r>
      <w:r w:rsidR="0085444A">
        <w:t xml:space="preserve">revised </w:t>
      </w:r>
      <w:r w:rsidRPr="00DF6874">
        <w:t>regulatory proposal AusNet Services</w:t>
      </w:r>
      <w:r w:rsidR="0085444A">
        <w:t xml:space="preserve"> </w:t>
      </w:r>
      <w:r w:rsidR="00BD596E">
        <w:t>noted that</w:t>
      </w:r>
      <w:r w:rsidRPr="00DF6874">
        <w:t xml:space="preserve"> the Victorian Government </w:t>
      </w:r>
      <w:r w:rsidR="000B2DEA">
        <w:t>wa</w:t>
      </w:r>
      <w:r w:rsidRPr="00DF6874">
        <w:t xml:space="preserve">s </w:t>
      </w:r>
      <w:r w:rsidR="001064AE">
        <w:t xml:space="preserve"> </w:t>
      </w:r>
      <w:r w:rsidR="000B2DEA">
        <w:t xml:space="preserve">considering whether </w:t>
      </w:r>
      <w:r w:rsidR="001064AE">
        <w:t>to adopt</w:t>
      </w:r>
      <w:r w:rsidRPr="00DF6874">
        <w:t xml:space="preserve"> </w:t>
      </w:r>
      <w:r w:rsidR="000B2DEA">
        <w:t xml:space="preserve">elements of </w:t>
      </w:r>
      <w:r w:rsidRPr="00DF6874">
        <w:t>the National Electricity Customer Framework (NECF)</w:t>
      </w:r>
      <w:r w:rsidR="0085444A">
        <w:t xml:space="preserve"> during the 2016</w:t>
      </w:r>
      <w:r w:rsidR="0085444A">
        <w:rPr>
          <w:rFonts w:cs="Arial"/>
        </w:rPr>
        <w:t>−</w:t>
      </w:r>
      <w:r w:rsidR="0085444A">
        <w:t>20 regulatory control period</w:t>
      </w:r>
      <w:r w:rsidRPr="00DF6874">
        <w:t xml:space="preserve">. </w:t>
      </w:r>
      <w:r w:rsidR="000B2DEA">
        <w:t>On 8 December 2015 the Victorian Government introduced legislation to the Victorian Parliament to apply the electricity distribution connection framework set out by chapter 5A of the NER.</w:t>
      </w:r>
      <w:r w:rsidR="000B2DEA">
        <w:rPr>
          <w:rStyle w:val="FootnoteReference"/>
        </w:rPr>
        <w:footnoteReference w:id="11"/>
      </w:r>
      <w:r w:rsidR="000B2DEA">
        <w:t xml:space="preserve"> </w:t>
      </w:r>
      <w:r w:rsidR="0085444A">
        <w:t>This means that AusNet</w:t>
      </w:r>
      <w:r w:rsidRPr="00DF6874">
        <w:t xml:space="preserve"> Services</w:t>
      </w:r>
      <w:r w:rsidR="005E20B0">
        <w:t>, along with the other Victorian distributors,</w:t>
      </w:r>
      <w:r w:rsidRPr="00DF6874">
        <w:t xml:space="preserve"> w</w:t>
      </w:r>
      <w:r w:rsidR="0085444A">
        <w:t>ill</w:t>
      </w:r>
      <w:r w:rsidRPr="00DF6874">
        <w:t xml:space="preserve"> become subject to the relevant parts of Chapter 5A of the N</w:t>
      </w:r>
      <w:r w:rsidR="00317E66">
        <w:t>ER</w:t>
      </w:r>
      <w:r w:rsidRPr="00DF6874">
        <w:t xml:space="preserve"> and the AER’s National Electricity Connection Charge Guidelines</w:t>
      </w:r>
      <w:r w:rsidR="0085444A">
        <w:t xml:space="preserve"> during the next regulatory control period</w:t>
      </w:r>
      <w:r w:rsidRPr="00DF6874">
        <w:t xml:space="preserve">. </w:t>
      </w:r>
      <w:r w:rsidR="001064AE">
        <w:t>AusNet Services submitted that this</w:t>
      </w:r>
      <w:r w:rsidRPr="00DF6874">
        <w:t xml:space="preserve"> change would require a reconsideration of service classification </w:t>
      </w:r>
      <w:r w:rsidR="001064AE">
        <w:t>of customer connections</w:t>
      </w:r>
      <w:r w:rsidRPr="00DF6874">
        <w:t>.</w:t>
      </w:r>
      <w:r>
        <w:rPr>
          <w:rStyle w:val="FootnoteReference"/>
        </w:rPr>
        <w:footnoteReference w:id="12"/>
      </w:r>
      <w:r w:rsidR="005E20B0">
        <w:t xml:space="preserve"> However</w:t>
      </w:r>
      <w:r w:rsidR="00983691">
        <w:t>,</w:t>
      </w:r>
      <w:r w:rsidR="005E20B0">
        <w:t xml:space="preserve"> AusNet Services </w:t>
      </w:r>
      <w:r w:rsidR="00ED4DEA">
        <w:t>did</w:t>
      </w:r>
      <w:r w:rsidR="005E20B0">
        <w:t xml:space="preserve"> not provide any further material on a proposed classification of customer connections</w:t>
      </w:r>
      <w:r w:rsidR="00ED4DEA">
        <w:t>, citing</w:t>
      </w:r>
      <w:r w:rsidR="005E20B0">
        <w:t xml:space="preserve"> insufficient time to consider and consult on this issue.</w:t>
      </w:r>
      <w:r w:rsidR="005E20B0">
        <w:rPr>
          <w:rStyle w:val="FootnoteReference"/>
        </w:rPr>
        <w:footnoteReference w:id="13"/>
      </w:r>
      <w:r w:rsidR="00C57524">
        <w:t xml:space="preserve"> In response to an AER information request, AusNet Services confirmed that it does not propose any change to service classifications at the present time:</w:t>
      </w:r>
      <w:r w:rsidR="00983691">
        <w:rPr>
          <w:rStyle w:val="FootnoteReference"/>
        </w:rPr>
        <w:footnoteReference w:id="14"/>
      </w:r>
    </w:p>
    <w:p w:rsidR="00C57524" w:rsidRPr="00C57524" w:rsidRDefault="00C57524" w:rsidP="00444C07">
      <w:pPr>
        <w:pStyle w:val="AERquoteindent1"/>
      </w:pPr>
      <w:r w:rsidRPr="00C57524">
        <w:t>AusNet Services is not amending its relevant service classifications for the 2016-20 regulatory period</w:t>
      </w:r>
      <w:r>
        <w:t>…</w:t>
      </w:r>
      <w:r w:rsidRPr="00C57524">
        <w:t xml:space="preserve"> the potential reclassification of services is a matter which AusNet Services intends to address in the next (2021-25) regulatory reset, in consultation with its stakeholders. </w:t>
      </w:r>
    </w:p>
    <w:p w:rsidR="009A5113" w:rsidRDefault="009A5113" w:rsidP="009A5113">
      <w:pPr>
        <w:pStyle w:val="Heading2"/>
      </w:pPr>
      <w:bookmarkStart w:id="16" w:name="_Toc408404322"/>
      <w:bookmarkStart w:id="17" w:name="_Toc451528198"/>
      <w:r w:rsidRPr="0074565D">
        <w:lastRenderedPageBreak/>
        <w:t>AER’s assessment approach</w:t>
      </w:r>
      <w:bookmarkEnd w:id="16"/>
      <w:bookmarkEnd w:id="17"/>
    </w:p>
    <w:p w:rsidR="00673A2B" w:rsidRPr="008B4174" w:rsidRDefault="00673A2B" w:rsidP="00673A2B">
      <w:r w:rsidRPr="008B4174">
        <w:t>The NER allow us to group distribution services when classifying them</w:t>
      </w:r>
      <w:r w:rsidR="002357FB">
        <w:t xml:space="preserve"> rather than treating them as individual services</w:t>
      </w:r>
      <w:r w:rsidRPr="008B4174">
        <w:t>.</w:t>
      </w:r>
      <w:r w:rsidRPr="007E6836">
        <w:rPr>
          <w:rStyle w:val="AERsuperscript"/>
        </w:rPr>
        <w:footnoteReference w:id="15"/>
      </w:r>
      <w:r w:rsidRPr="00057FEA">
        <w:rPr>
          <w:rStyle w:val="AERsuperscript"/>
        </w:rPr>
        <w:t xml:space="preserve">  </w:t>
      </w:r>
    </w:p>
    <w:p w:rsidR="00673A2B" w:rsidRPr="008B4174" w:rsidRDefault="00673A2B" w:rsidP="00673A2B">
      <w:r w:rsidRPr="008B4174">
        <w:t>In making our classification decisions, we may:</w:t>
      </w:r>
    </w:p>
    <w:p w:rsidR="00673A2B" w:rsidRPr="008B4174" w:rsidRDefault="00673A2B" w:rsidP="00673A2B">
      <w:pPr>
        <w:pStyle w:val="AERbulletlistfirststyle"/>
      </w:pPr>
      <w:r>
        <w:t xml:space="preserve">classify a service so </w:t>
      </w:r>
      <w:r w:rsidRPr="008B4174">
        <w:t>the distributor may recover related costs from all customers (direct control – standard control</w:t>
      </w:r>
      <w:r>
        <w:t xml:space="preserve"> service</w:t>
      </w:r>
      <w:r w:rsidRPr="008B4174">
        <w:t>)</w:t>
      </w:r>
    </w:p>
    <w:p w:rsidR="00673A2B" w:rsidRPr="008B4174" w:rsidRDefault="00673A2B" w:rsidP="00673A2B">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673A2B" w:rsidRPr="008B4174" w:rsidRDefault="00673A2B" w:rsidP="00673A2B">
      <w:pPr>
        <w:pStyle w:val="AERbulletlistfirststyle"/>
      </w:pPr>
      <w:r w:rsidRPr="008B4174">
        <w:t>allow customers and distributors to negotiate the provision and price of some services – we will arbitrate should negotiations stall (negotiated distribution service)</w:t>
      </w:r>
    </w:p>
    <w:p w:rsidR="00673A2B" w:rsidRPr="008B4174" w:rsidRDefault="00673A2B" w:rsidP="00673A2B">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673A2B" w:rsidRPr="003C764A" w:rsidRDefault="00673A2B" w:rsidP="00673A2B">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6"/>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D85883">
        <w:rPr>
          <w:rStyle w:val="AERsuperscript"/>
          <w:sz w:val="22"/>
        </w:rPr>
        <w:footnoteReference w:id="17"/>
      </w:r>
    </w:p>
    <w:p w:rsidR="00673A2B" w:rsidRPr="003C764A" w:rsidRDefault="00673A2B" w:rsidP="00673A2B">
      <w:pPr>
        <w:rPr>
          <w:rStyle w:val="AERbody"/>
        </w:rPr>
      </w:pPr>
      <w:r w:rsidRPr="003C764A">
        <w:rPr>
          <w:rStyle w:val="AERbody"/>
        </w:rPr>
        <w:t>For services we intend to classify as direct control, the NER require us to have regard to a further range of factors.</w:t>
      </w:r>
      <w:r w:rsidRPr="003C764A">
        <w:rPr>
          <w:rStyle w:val="AERsuperscript"/>
        </w:rPr>
        <w:footnoteReference w:id="18"/>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FF7FC4">
        <w:rPr>
          <w:rStyle w:val="AERbody"/>
        </w:rPr>
        <w:t>,</w:t>
      </w:r>
      <w:r w:rsidR="00FF7FC4" w:rsidRPr="003C764A">
        <w:rPr>
          <w:rStyle w:val="AERbody"/>
        </w:rPr>
        <w:t xml:space="preserve"> </w:t>
      </w:r>
      <w:r w:rsidRPr="003C764A">
        <w:rPr>
          <w:rStyle w:val="AERbody"/>
        </w:rPr>
        <w:t>whether the costs of providing the service are attributable to a specific person</w:t>
      </w:r>
      <w:r w:rsidR="00FF7FC4">
        <w:rPr>
          <w:rStyle w:val="AERbody"/>
        </w:rPr>
        <w:t>,</w:t>
      </w:r>
      <w:r w:rsidR="00FF7FC4" w:rsidRPr="003C764A">
        <w:rPr>
          <w:rStyle w:val="AERbody"/>
        </w:rPr>
        <w:t xml:space="preserve"> </w:t>
      </w:r>
      <w:r w:rsidRPr="003C764A">
        <w:rPr>
          <w:rStyle w:val="AERbody"/>
        </w:rPr>
        <w:t xml:space="preserve">and the possible effect of the classification on administrative costs. </w:t>
      </w:r>
    </w:p>
    <w:p w:rsidR="00673A2B" w:rsidRPr="003C764A" w:rsidRDefault="00673A2B" w:rsidP="00673A2B">
      <w:pPr>
        <w:rPr>
          <w:rStyle w:val="AERbody"/>
        </w:rPr>
      </w:pPr>
      <w:r w:rsidRPr="003C764A">
        <w:rPr>
          <w:rStyle w:val="AERbody"/>
        </w:rPr>
        <w:t xml:space="preserve">The NER also </w:t>
      </w:r>
      <w:r w:rsidR="003070F8" w:rsidRPr="003C764A">
        <w:rPr>
          <w:rStyle w:val="AERbody"/>
        </w:rPr>
        <w:t>specif</w:t>
      </w:r>
      <w:r w:rsidR="003070F8">
        <w:rPr>
          <w:rStyle w:val="AERbody"/>
        </w:rPr>
        <w:t>y</w:t>
      </w:r>
      <w:r w:rsidR="003070F8" w:rsidRPr="003C764A">
        <w:rPr>
          <w:rStyle w:val="AERbody"/>
        </w:rPr>
        <w:t xml:space="preserve"> </w:t>
      </w:r>
      <w:r w:rsidRPr="003C764A">
        <w:rPr>
          <w:rStyle w:val="AERbody"/>
        </w:rPr>
        <w:t>that for a service regulated previously, unless a different classification is clearly more appropriate, we must:</w:t>
      </w:r>
      <w:r w:rsidRPr="00D85883">
        <w:rPr>
          <w:rStyle w:val="AERsuperscript"/>
          <w:sz w:val="22"/>
        </w:rPr>
        <w:footnoteReference w:id="19"/>
      </w:r>
    </w:p>
    <w:p w:rsidR="00673A2B" w:rsidRPr="005F06C5" w:rsidRDefault="00673A2B" w:rsidP="00673A2B">
      <w:pPr>
        <w:pStyle w:val="AERbulletlistfirststyle"/>
      </w:pPr>
      <w:r w:rsidRPr="00550280">
        <w:t>not depart from a previous classification (if the services have been previously classified), and</w:t>
      </w:r>
    </w:p>
    <w:p w:rsidR="00673A2B" w:rsidRPr="005F06C5" w:rsidRDefault="00673A2B" w:rsidP="00673A2B">
      <w:pPr>
        <w:pStyle w:val="AERbulletlistfirststyle"/>
      </w:pPr>
      <w:r w:rsidRPr="00550280">
        <w:t>if there has been no previous classification</w:t>
      </w:r>
      <w:r w:rsidRPr="005F06C5">
        <w:t xml:space="preserve"> the classification should be consistent with the previously applicable regulatory approach. </w:t>
      </w:r>
    </w:p>
    <w:p w:rsidR="005C0A7F" w:rsidRPr="00C24D6C" w:rsidRDefault="005C0A7F" w:rsidP="004A0E39">
      <w:pPr>
        <w:pStyle w:val="Heading3"/>
        <w:keepNext/>
      </w:pPr>
      <w:bookmarkStart w:id="18" w:name="_Toc451528199"/>
      <w:r w:rsidRPr="00C24D6C">
        <w:lastRenderedPageBreak/>
        <w:t>Interrelationships</w:t>
      </w:r>
      <w:bookmarkEnd w:id="18"/>
    </w:p>
    <w:p w:rsidR="00673A2B" w:rsidRDefault="00673A2B" w:rsidP="00673A2B">
      <w:pPr>
        <w:rPr>
          <w:rStyle w:val="AERbody"/>
        </w:rPr>
      </w:pPr>
      <w:r w:rsidRPr="003C764A">
        <w:rPr>
          <w:rStyle w:val="AERbody"/>
        </w:rPr>
        <w:t xml:space="preserve">In assessing what services we classify, we are setting the basis for </w:t>
      </w:r>
      <w:r w:rsidR="000116BD">
        <w:rPr>
          <w:rStyle w:val="AERbody"/>
        </w:rPr>
        <w:t>the</w:t>
      </w:r>
      <w:r w:rsidR="000116BD" w:rsidRPr="003C764A">
        <w:rPr>
          <w:rStyle w:val="AERbody"/>
        </w:rPr>
        <w:t xml:space="preserve"> </w:t>
      </w:r>
      <w:r>
        <w:rPr>
          <w:rStyle w:val="AERbody"/>
        </w:rPr>
        <w:t xml:space="preserve">charges </w:t>
      </w:r>
      <w:r w:rsidR="000116BD">
        <w:rPr>
          <w:rStyle w:val="AERbody"/>
        </w:rPr>
        <w:t xml:space="preserve">that </w:t>
      </w:r>
      <w:r>
        <w:rPr>
          <w:rStyle w:val="AERbody"/>
        </w:rPr>
        <w:t xml:space="preserve">can be </w:t>
      </w:r>
      <w:r w:rsidR="00013528">
        <w:rPr>
          <w:rStyle w:val="AERbody"/>
        </w:rPr>
        <w:t xml:space="preserve">levied </w:t>
      </w:r>
      <w:r>
        <w:rPr>
          <w:rStyle w:val="AERbody"/>
        </w:rPr>
        <w:t xml:space="preserve">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B852B7">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673A2B" w:rsidRDefault="00673A2B" w:rsidP="00673A2B">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B852B7">
        <w:rPr>
          <w:rStyle w:val="AERbody"/>
        </w:rPr>
        <w:t xml:space="preserve">standard control </w:t>
      </w:r>
      <w:r>
        <w:rPr>
          <w:rStyle w:val="AERbody"/>
        </w:rPr>
        <w:t>service</w:t>
      </w:r>
      <w:r w:rsidR="00004A76">
        <w:rPr>
          <w:rStyle w:val="AERbody"/>
        </w:rPr>
        <w:t>,</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673A2B" w:rsidRDefault="00673A2B" w:rsidP="00673A2B">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673A2B" w:rsidRPr="00673A2B" w:rsidRDefault="00673A2B" w:rsidP="00673A2B">
      <w:r>
        <w:rPr>
          <w:rStyle w:val="AERbody"/>
        </w:rPr>
        <w:t xml:space="preserve">The incentive schemes do not apply to services classified </w:t>
      </w:r>
      <w:r w:rsidR="00A45432">
        <w:rPr>
          <w:rStyle w:val="AERbody"/>
        </w:rPr>
        <w:t xml:space="preserve">as </w:t>
      </w:r>
      <w:r>
        <w:rPr>
          <w:rStyle w:val="AERbody"/>
        </w:rPr>
        <w:t>alternative control</w:t>
      </w:r>
      <w:r w:rsidR="00CB1132">
        <w:rPr>
          <w:rStyle w:val="AERbody"/>
        </w:rPr>
        <w:t xml:space="preserve"> services</w:t>
      </w:r>
      <w:r>
        <w:rPr>
          <w:rStyle w:val="AERbody"/>
        </w:rPr>
        <w:t xml:space="preserve">. </w:t>
      </w:r>
      <w:r w:rsidR="00C746F9">
        <w:rPr>
          <w:rStyle w:val="AERbody"/>
        </w:rPr>
        <w:t xml:space="preserve">Therefore, incentive schemes will not apply to the </w:t>
      </w:r>
      <w:r w:rsidR="00AF5849" w:rsidRPr="00AF5849">
        <w:rPr>
          <w:rStyle w:val="AERbody"/>
        </w:rPr>
        <w:t xml:space="preserve">type 5 and 6 and smart metering services </w:t>
      </w:r>
      <w:r w:rsidR="00C746F9">
        <w:rPr>
          <w:rStyle w:val="AERbody"/>
        </w:rPr>
        <w:t xml:space="preserve">(regulated) </w:t>
      </w:r>
      <w:r w:rsidR="00AF5849">
        <w:rPr>
          <w:rStyle w:val="AERbody"/>
        </w:rPr>
        <w:t xml:space="preserve">as </w:t>
      </w:r>
      <w:r w:rsidRPr="003C764A">
        <w:rPr>
          <w:rStyle w:val="AERbody"/>
        </w:rPr>
        <w:t xml:space="preserve">alternative control </w:t>
      </w:r>
      <w:r w:rsidR="00C746F9">
        <w:rPr>
          <w:rStyle w:val="AERbody"/>
        </w:rPr>
        <w:t>services, or</w:t>
      </w:r>
      <w:r>
        <w:rPr>
          <w:rStyle w:val="AERbody"/>
        </w:rPr>
        <w:t xml:space="preserve"> expenditure associated with</w:t>
      </w:r>
      <w:r w:rsidRPr="003C764A">
        <w:rPr>
          <w:rStyle w:val="AERbody"/>
        </w:rPr>
        <w:t xml:space="preserve"> these services.</w:t>
      </w:r>
    </w:p>
    <w:p w:rsidR="00936C41" w:rsidRDefault="009A5113" w:rsidP="009A5113">
      <w:pPr>
        <w:pStyle w:val="Heading2"/>
      </w:pPr>
      <w:bookmarkStart w:id="19" w:name="_Toc408404324"/>
      <w:bookmarkStart w:id="20" w:name="_Toc451528200"/>
      <w:r w:rsidRPr="0074565D">
        <w:t xml:space="preserve">Reasons for </w:t>
      </w:r>
      <w:r w:rsidR="00F37CFC">
        <w:t>final</w:t>
      </w:r>
      <w:r w:rsidR="00F37CFC" w:rsidRPr="0074565D">
        <w:t xml:space="preserve"> </w:t>
      </w:r>
      <w:r w:rsidRPr="0074565D">
        <w:t>decision</w:t>
      </w:r>
      <w:bookmarkEnd w:id="19"/>
      <w:bookmarkEnd w:id="20"/>
      <w:r w:rsidRPr="0074565D">
        <w:t xml:space="preserve"> </w:t>
      </w:r>
    </w:p>
    <w:p w:rsidR="000C0643" w:rsidRDefault="00673A2B" w:rsidP="00FB01AB">
      <w:r w:rsidRPr="00624EFF">
        <w:t>This section se</w:t>
      </w:r>
      <w:r>
        <w:t xml:space="preserve">ts out </w:t>
      </w:r>
      <w:r w:rsidR="002E327E">
        <w:t xml:space="preserve">the </w:t>
      </w:r>
      <w:r>
        <w:t xml:space="preserve">reasons for our </w:t>
      </w:r>
      <w:r w:rsidR="00F37CFC">
        <w:t>final</w:t>
      </w:r>
      <w:r w:rsidR="00F37CFC" w:rsidRPr="00624EFF">
        <w:t xml:space="preserve"> </w:t>
      </w:r>
      <w:r w:rsidRPr="00624EFF">
        <w:t xml:space="preserve">decision on the distribution service classifications for the </w:t>
      </w:r>
      <w:r w:rsidR="00FA3004">
        <w:t>Victorian</w:t>
      </w:r>
      <w:r>
        <w:t xml:space="preserve"> </w:t>
      </w:r>
      <w:r w:rsidRPr="00624EFF">
        <w:t>distributors.</w:t>
      </w:r>
      <w:r>
        <w:t xml:space="preserve"> </w:t>
      </w:r>
      <w:r w:rsidR="00F37CFC">
        <w:t xml:space="preserve">Consistent with our preliminary decision, our final decision is to depart from the classifications set out in our F&amp;A </w:t>
      </w:r>
      <w:r w:rsidR="00470E1E">
        <w:t>by</w:t>
      </w:r>
      <w:r w:rsidR="00510534">
        <w:t xml:space="preserve"> classify</w:t>
      </w:r>
      <w:r w:rsidR="00470E1E">
        <w:t>ing</w:t>
      </w:r>
      <w:r w:rsidR="00510534">
        <w:t xml:space="preserve"> dedicated public lighting services as </w:t>
      </w:r>
      <w:r w:rsidR="00470E1E">
        <w:t xml:space="preserve">alternative control services rather than </w:t>
      </w:r>
      <w:r w:rsidR="00510534">
        <w:t>negotiated distribution services</w:t>
      </w:r>
      <w:r w:rsidR="00FB01AB">
        <w:t xml:space="preserve">. </w:t>
      </w:r>
    </w:p>
    <w:p w:rsidR="009461F6" w:rsidRDefault="000C0643" w:rsidP="00015B19">
      <w:r>
        <w:t>Second</w:t>
      </w:r>
      <w:r w:rsidR="00FB01AB">
        <w:t>, w</w:t>
      </w:r>
      <w:r w:rsidR="009461F6" w:rsidRPr="00FB01AB">
        <w:t xml:space="preserve">hile our </w:t>
      </w:r>
      <w:r w:rsidR="00470E1E">
        <w:t>final</w:t>
      </w:r>
      <w:r w:rsidR="00470E1E" w:rsidRPr="00FB01AB">
        <w:t xml:space="preserve"> </w:t>
      </w:r>
      <w:r w:rsidR="009461F6" w:rsidRPr="00FB01AB">
        <w:t>decision</w:t>
      </w:r>
      <w:r w:rsidR="00DD6096" w:rsidRPr="00FB01AB">
        <w:t xml:space="preserve">, and our reasoning, </w:t>
      </w:r>
      <w:r w:rsidR="009461F6" w:rsidRPr="00FB01AB">
        <w:t xml:space="preserve">on classification of services </w:t>
      </w:r>
      <w:r w:rsidR="00510534">
        <w:t>are otherwise unchanged from our</w:t>
      </w:r>
      <w:r w:rsidR="00470E1E">
        <w:t xml:space="preserve"> preliminary decision and </w:t>
      </w:r>
      <w:r w:rsidR="00510534">
        <w:t>final</w:t>
      </w:r>
      <w:r w:rsidR="009461F6" w:rsidRPr="00FB01AB">
        <w:t xml:space="preserve"> F&amp;A, it is useful to restate, at a high level, our approach to metering. This is because metering in Victoria differs to other NEM jurisdictions, which have </w:t>
      </w:r>
      <w:r w:rsidR="00A45432" w:rsidRPr="00FB01AB">
        <w:t xml:space="preserve">also </w:t>
      </w:r>
      <w:r w:rsidR="009461F6" w:rsidRPr="00FB01AB">
        <w:t xml:space="preserve">been subject to </w:t>
      </w:r>
      <w:r>
        <w:t xml:space="preserve">recent classification </w:t>
      </w:r>
      <w:r w:rsidR="009461F6" w:rsidRPr="00FB01AB">
        <w:t xml:space="preserve">changes. </w:t>
      </w:r>
      <w:r w:rsidR="009461F6">
        <w:t xml:space="preserve">The key </w:t>
      </w:r>
      <w:r w:rsidR="00DD6096">
        <w:t>reasons</w:t>
      </w:r>
      <w:r w:rsidR="009461F6">
        <w:t xml:space="preserve"> we will restate </w:t>
      </w:r>
      <w:r w:rsidR="00BE5240">
        <w:t>include</w:t>
      </w:r>
      <w:r w:rsidR="009461F6">
        <w:t>:</w:t>
      </w:r>
    </w:p>
    <w:p w:rsidR="009461F6" w:rsidRDefault="009461F6" w:rsidP="009461F6">
      <w:pPr>
        <w:pStyle w:val="AERbulletlistfirststyle"/>
      </w:pPr>
      <w:r>
        <w:t xml:space="preserve">classification of metering services to address the transition from the </w:t>
      </w:r>
      <w:r w:rsidR="00CF3437">
        <w:t>Advanced Metering Infrastruc</w:t>
      </w:r>
      <w:r w:rsidR="00F14080">
        <w:t>tu</w:t>
      </w:r>
      <w:r w:rsidR="00CF3437">
        <w:t>re (</w:t>
      </w:r>
      <w:r>
        <w:t>AMI</w:t>
      </w:r>
      <w:r w:rsidR="00CF3437">
        <w:t>)</w:t>
      </w:r>
      <w:r>
        <w:t xml:space="preserve"> </w:t>
      </w:r>
      <w:r w:rsidR="00306BF2">
        <w:t xml:space="preserve">Order in Council </w:t>
      </w:r>
      <w:r w:rsidR="0039130C">
        <w:t xml:space="preserve">(OIC) </w:t>
      </w:r>
      <w:r>
        <w:t>to regulation under the NER</w:t>
      </w:r>
    </w:p>
    <w:p w:rsidR="009461F6" w:rsidRDefault="002E327E" w:rsidP="009461F6">
      <w:pPr>
        <w:pStyle w:val="AERbulletlistfirststyle"/>
      </w:pPr>
      <w:r>
        <w:t xml:space="preserve">a different determination of metering </w:t>
      </w:r>
      <w:r w:rsidR="009461F6">
        <w:t>exit fees</w:t>
      </w:r>
      <w:r>
        <w:t xml:space="preserve"> for the Victorian distributors than what we decided for distributors in other </w:t>
      </w:r>
      <w:r w:rsidR="00760A18">
        <w:t>jurisdictions</w:t>
      </w:r>
      <w:r>
        <w:t>.</w:t>
      </w:r>
    </w:p>
    <w:p w:rsidR="009461F6" w:rsidRDefault="000C0643" w:rsidP="00673A2B">
      <w:r>
        <w:lastRenderedPageBreak/>
        <w:t>Finally, w</w:t>
      </w:r>
      <w:r w:rsidR="009461F6">
        <w:t xml:space="preserve">e also </w:t>
      </w:r>
      <w:r w:rsidR="00A45432">
        <w:t>address</w:t>
      </w:r>
      <w:r w:rsidR="00BE5240">
        <w:t xml:space="preserve"> AusNet Service</w:t>
      </w:r>
      <w:r w:rsidR="009461F6">
        <w:t>s</w:t>
      </w:r>
      <w:r w:rsidR="0039641F">
        <w:t>’</w:t>
      </w:r>
      <w:r w:rsidR="009461F6">
        <w:t xml:space="preserve"> concerns </w:t>
      </w:r>
      <w:r w:rsidR="00BC12C9">
        <w:t>on</w:t>
      </w:r>
      <w:r w:rsidR="009461F6">
        <w:t xml:space="preserve"> the classification of new customer connections requiring augmentation should the Victorian Government adopt NECF during the 2016</w:t>
      </w:r>
      <w:r w:rsidR="009461F6">
        <w:rPr>
          <w:rFonts w:cs="Arial"/>
        </w:rPr>
        <w:t>−</w:t>
      </w:r>
      <w:r w:rsidR="009461F6">
        <w:t xml:space="preserve">20 regulatory control period. </w:t>
      </w:r>
    </w:p>
    <w:p w:rsidR="00FE440D" w:rsidRDefault="00937D59" w:rsidP="00673A2B">
      <w:pPr>
        <w:pStyle w:val="Heading3"/>
      </w:pPr>
      <w:bookmarkStart w:id="21" w:name="_Toc451528201"/>
      <w:r>
        <w:t xml:space="preserve">Classification of dedicated </w:t>
      </w:r>
      <w:r w:rsidR="00FE440D">
        <w:t>public lighting</w:t>
      </w:r>
      <w:r>
        <w:t xml:space="preserve"> services</w:t>
      </w:r>
      <w:bookmarkEnd w:id="21"/>
    </w:p>
    <w:p w:rsidR="00E03346" w:rsidRDefault="00E22380" w:rsidP="00E22380">
      <w:r>
        <w:t>In our final F&amp;A, our proposed approach was to classify dedicated public lighting services as negotiated services rather than alternative control services.</w:t>
      </w:r>
      <w:r w:rsidR="00510534">
        <w:rPr>
          <w:rStyle w:val="FootnoteReference"/>
        </w:rPr>
        <w:footnoteReference w:id="20"/>
      </w:r>
      <w:r>
        <w:t xml:space="preserve"> </w:t>
      </w:r>
      <w:r w:rsidR="00FC320A">
        <w:t>A dedicated public lighting service is defined as a public lighting service that is a stand</w:t>
      </w:r>
      <w:r w:rsidR="0039641F">
        <w:t>-</w:t>
      </w:r>
      <w:r w:rsidR="00FC320A">
        <w:t>alone lighting pole with no other electricity infrastructure attached to it.</w:t>
      </w:r>
      <w:r w:rsidR="000B54AD">
        <w:rPr>
          <w:rStyle w:val="FootnoteReference"/>
        </w:rPr>
        <w:footnoteReference w:id="21"/>
      </w:r>
      <w:r w:rsidR="00FC320A">
        <w:t xml:space="preserve"> In maki</w:t>
      </w:r>
      <w:r w:rsidR="00510534">
        <w:t>ng this decision in the final F</w:t>
      </w:r>
      <w:r w:rsidR="00FC320A">
        <w:t>&amp;</w:t>
      </w:r>
      <w:r w:rsidR="00510534">
        <w:t>A</w:t>
      </w:r>
      <w:r w:rsidR="00FC320A">
        <w:t xml:space="preserve">, we received </w:t>
      </w:r>
      <w:r w:rsidR="00510534">
        <w:t xml:space="preserve">a small number of submissions </w:t>
      </w:r>
      <w:r w:rsidR="00FC320A">
        <w:t>support</w:t>
      </w:r>
      <w:r w:rsidR="00510534">
        <w:t>ing</w:t>
      </w:r>
      <w:r w:rsidR="00FC320A">
        <w:t xml:space="preserve"> such a change.</w:t>
      </w:r>
      <w:r w:rsidR="00510534">
        <w:rPr>
          <w:rStyle w:val="FootnoteReference"/>
        </w:rPr>
        <w:footnoteReference w:id="22"/>
      </w:r>
      <w:r w:rsidR="00FC320A">
        <w:t xml:space="preserve"> </w:t>
      </w:r>
      <w:r w:rsidR="00D93984">
        <w:t>Our decision aligned with United Energy's submission</w:t>
      </w:r>
      <w:r w:rsidR="00D93984">
        <w:rPr>
          <w:rStyle w:val="FootnoteReference"/>
        </w:rPr>
        <w:footnoteReference w:id="23"/>
      </w:r>
      <w:r w:rsidR="00D93984">
        <w:t xml:space="preserve"> and the approach advocated by the Trans Tasman Energy Group </w:t>
      </w:r>
      <w:r w:rsidR="00E03346">
        <w:t xml:space="preserve">(TTEG) </w:t>
      </w:r>
      <w:r w:rsidR="00D93984">
        <w:t>on behalf of the Streetlight Group of Councils.</w:t>
      </w:r>
      <w:r w:rsidR="00FF4A89">
        <w:rPr>
          <w:rStyle w:val="FootnoteReference"/>
        </w:rPr>
        <w:footnoteReference w:id="24"/>
      </w:r>
      <w:r w:rsidR="00D93984">
        <w:t xml:space="preserve"> </w:t>
      </w:r>
    </w:p>
    <w:p w:rsidR="00EB1060" w:rsidRDefault="00FC320A" w:rsidP="00E22380">
      <w:r>
        <w:t xml:space="preserve">However, in response to the Victorian distributors' </w:t>
      </w:r>
      <w:r w:rsidR="007308FA">
        <w:t xml:space="preserve">initial </w:t>
      </w:r>
      <w:r>
        <w:t>regulatory proposal</w:t>
      </w:r>
      <w:r w:rsidR="00E50B4D">
        <w:t>s</w:t>
      </w:r>
      <w:r>
        <w:t xml:space="preserve">, we received numerous submissions opposing this change. </w:t>
      </w:r>
    </w:p>
    <w:p w:rsidR="00E22380" w:rsidRDefault="00A63F50" w:rsidP="00E22380">
      <w:r>
        <w:t>O</w:t>
      </w:r>
      <w:r w:rsidR="00FC320A">
        <w:t>ur preliminary decision</w:t>
      </w:r>
      <w:r>
        <w:t>, which sets out our reasons in full, was</w:t>
      </w:r>
      <w:r w:rsidR="00FC320A">
        <w:t xml:space="preserve"> to depart from our final F&amp;A position and retain the current classification to public lighting services in Victoria</w:t>
      </w:r>
      <w:r w:rsidR="007D7717">
        <w:t xml:space="preserve"> for the 2016</w:t>
      </w:r>
      <w:r w:rsidR="007D7717">
        <w:rPr>
          <w:rFonts w:cs="Arial"/>
        </w:rPr>
        <w:t>−</w:t>
      </w:r>
      <w:r w:rsidR="007D7717">
        <w:t>20 regulatory control period</w:t>
      </w:r>
      <w:r w:rsidR="00FC320A">
        <w:t>. That is:</w:t>
      </w:r>
    </w:p>
    <w:p w:rsidR="00FC320A" w:rsidRDefault="00AD084E" w:rsidP="00297179">
      <w:pPr>
        <w:pStyle w:val="AERbulletlistfirststyle"/>
      </w:pPr>
      <w:r>
        <w:t>operation, repair, replacement and maintenance of distributor</w:t>
      </w:r>
      <w:r w:rsidR="00BE7434">
        <w:t>-</w:t>
      </w:r>
      <w:r>
        <w:t>owned public lighting services</w:t>
      </w:r>
      <w:r w:rsidR="00297179">
        <w:t xml:space="preserve"> remain classified as alternative control services</w:t>
      </w:r>
      <w:r>
        <w:rPr>
          <w:rStyle w:val="FootnoteReference"/>
        </w:rPr>
        <w:footnoteReference w:id="25"/>
      </w:r>
    </w:p>
    <w:p w:rsidR="00297179" w:rsidRPr="00E22380" w:rsidRDefault="006862DD" w:rsidP="00297179">
      <w:pPr>
        <w:pStyle w:val="AERbulletlistfirststyle"/>
      </w:pPr>
      <w:r>
        <w:t>n</w:t>
      </w:r>
      <w:r w:rsidR="00297179">
        <w:t>ew public lighting services, including public lights constructed by developers in greenfield sites and then gifted to the distributors</w:t>
      </w:r>
      <w:r w:rsidR="00BE7434">
        <w:t>,</w:t>
      </w:r>
      <w:r w:rsidR="00297179">
        <w:t xml:space="preserve"> </w:t>
      </w:r>
      <w:r w:rsidR="00EA41AA">
        <w:t>and alteration and relocation of distributor</w:t>
      </w:r>
      <w:r w:rsidR="00BE7434">
        <w:t>-</w:t>
      </w:r>
      <w:r w:rsidR="00EA41AA">
        <w:t xml:space="preserve">owned public lighting assets </w:t>
      </w:r>
      <w:r w:rsidR="00297179">
        <w:t>remain classified as negotiated services.</w:t>
      </w:r>
      <w:r w:rsidR="00AD084E">
        <w:rPr>
          <w:rStyle w:val="FootnoteReference"/>
        </w:rPr>
        <w:footnoteReference w:id="26"/>
      </w:r>
      <w:r w:rsidR="00297179">
        <w:t xml:space="preserve"> </w:t>
      </w:r>
    </w:p>
    <w:p w:rsidR="00A63F50" w:rsidRDefault="00A63F50" w:rsidP="00673A2B">
      <w:r>
        <w:t>Each of the Victorian distributors</w:t>
      </w:r>
      <w:r w:rsidR="0098375C">
        <w:t xml:space="preserve">, in their revised proposals, </w:t>
      </w:r>
      <w:r w:rsidR="00693200">
        <w:t>accepted</w:t>
      </w:r>
      <w:r w:rsidR="0098375C">
        <w:t xml:space="preserve"> our preliminary decision to classify dedicated public lighting services as alternative control services.</w:t>
      </w:r>
      <w:r w:rsidR="00693200">
        <w:rPr>
          <w:rStyle w:val="FootnoteReference"/>
        </w:rPr>
        <w:footnoteReference w:id="27"/>
      </w:r>
      <w:r w:rsidR="0098375C">
        <w:t xml:space="preserve"> </w:t>
      </w:r>
      <w:r w:rsidR="0098375C">
        <w:lastRenderedPageBreak/>
        <w:t xml:space="preserve">We also received submissions from </w:t>
      </w:r>
      <w:r w:rsidR="00693200">
        <w:t xml:space="preserve">Eastern Alliance for </w:t>
      </w:r>
      <w:r w:rsidR="0098375C">
        <w:t>Greenhouse A</w:t>
      </w:r>
      <w:r w:rsidR="00693200">
        <w:t>ction</w:t>
      </w:r>
      <w:r w:rsidR="00693200">
        <w:rPr>
          <w:rStyle w:val="FootnoteReference"/>
        </w:rPr>
        <w:footnoteReference w:id="28"/>
      </w:r>
      <w:r w:rsidR="0098375C">
        <w:t xml:space="preserve"> and Trans Tasman Energy Group on behalf of the Street Light Group</w:t>
      </w:r>
      <w:r w:rsidR="007F1064">
        <w:rPr>
          <w:rStyle w:val="FootnoteReference"/>
        </w:rPr>
        <w:footnoteReference w:id="29"/>
      </w:r>
      <w:r w:rsidR="0098375C">
        <w:t xml:space="preserve">, supporting our preliminary decision in this regard. </w:t>
      </w:r>
    </w:p>
    <w:p w:rsidR="003F5F9B" w:rsidRDefault="00615E11" w:rsidP="003F5F9B">
      <w:r>
        <w:t>Several submissions</w:t>
      </w:r>
      <w:r w:rsidR="00AD1592">
        <w:t xml:space="preserve"> on the distributors' initial </w:t>
      </w:r>
      <w:r w:rsidR="00306BF2">
        <w:t xml:space="preserve">regulatory </w:t>
      </w:r>
      <w:r w:rsidR="00AD1592">
        <w:t>proposals</w:t>
      </w:r>
      <w:r>
        <w:t xml:space="preserve"> call</w:t>
      </w:r>
      <w:r w:rsidR="00AD1592">
        <w:t>ed</w:t>
      </w:r>
      <w:r>
        <w:t xml:space="preserve"> on us to undertake further consultation during the 2016</w:t>
      </w:r>
      <w:r>
        <w:rPr>
          <w:rFonts w:cs="Arial"/>
        </w:rPr>
        <w:t>−</w:t>
      </w:r>
      <w:r>
        <w:t>20 regulatory control period to allow more detailed consideration of a negotiated services classification for public lighting services.</w:t>
      </w:r>
      <w:r>
        <w:rPr>
          <w:rStyle w:val="FootnoteReference"/>
        </w:rPr>
        <w:footnoteReference w:id="30"/>
      </w:r>
      <w:r>
        <w:t xml:space="preserve"> We encourage interested parties to engage with relevant bodies like Energy Safe Victoria, Essential Services Commission of Victoria, the Victorian Government, public lighting consultants and third party providers to conduct a </w:t>
      </w:r>
      <w:r w:rsidR="007D026B">
        <w:t xml:space="preserve">further </w:t>
      </w:r>
      <w:r>
        <w:t xml:space="preserve">evaluation of this issue. There may be safety and other non-economic legislation and regulations that require </w:t>
      </w:r>
      <w:r w:rsidR="002650CD">
        <w:t>further consideration</w:t>
      </w:r>
      <w:r>
        <w:t xml:space="preserve"> </w:t>
      </w:r>
      <w:r w:rsidR="00583954">
        <w:t xml:space="preserve">and </w:t>
      </w:r>
      <w:r>
        <w:t xml:space="preserve">the </w:t>
      </w:r>
      <w:r w:rsidR="00333ABD">
        <w:t xml:space="preserve">classification </w:t>
      </w:r>
      <w:r>
        <w:t xml:space="preserve">issue can be revisited as part of the 2021 Victorian reset. </w:t>
      </w:r>
    </w:p>
    <w:p w:rsidR="009461F6" w:rsidRDefault="00FB01AB" w:rsidP="009461F6">
      <w:pPr>
        <w:pStyle w:val="Heading3"/>
      </w:pPr>
      <w:bookmarkStart w:id="22" w:name="_Toc451528202"/>
      <w:r>
        <w:t xml:space="preserve">Metering </w:t>
      </w:r>
      <w:r>
        <w:rPr>
          <w:rFonts w:cs="Arial"/>
        </w:rPr>
        <w:t>−</w:t>
      </w:r>
      <w:r>
        <w:t xml:space="preserve"> t</w:t>
      </w:r>
      <w:r w:rsidR="009461F6">
        <w:t>ransition to regulation under the NER</w:t>
      </w:r>
      <w:bookmarkEnd w:id="22"/>
    </w:p>
    <w:p w:rsidR="009461F6" w:rsidRDefault="007D026B" w:rsidP="00673A2B">
      <w:r>
        <w:t xml:space="preserve">In 2006, </w:t>
      </w:r>
      <w:r w:rsidR="00F34555">
        <w:t>t</w:t>
      </w:r>
      <w:r w:rsidR="0036666B">
        <w:t xml:space="preserve">he Victorian Government </w:t>
      </w:r>
      <w:r w:rsidR="001A5284">
        <w:t xml:space="preserve">mandated the </w:t>
      </w:r>
      <w:r w:rsidR="0036666B">
        <w:t xml:space="preserve">roll out </w:t>
      </w:r>
      <w:r w:rsidR="001A5284">
        <w:t xml:space="preserve">of </w:t>
      </w:r>
      <w:r w:rsidR="00594603">
        <w:t>AMI to Victorian residential and small business customers using up to 160 MWh of electricity per annum.</w:t>
      </w:r>
      <w:r>
        <w:rPr>
          <w:rStyle w:val="FootnoteReference"/>
        </w:rPr>
        <w:footnoteReference w:id="31"/>
      </w:r>
      <w:r w:rsidR="00594603">
        <w:t xml:space="preserve"> </w:t>
      </w:r>
      <w:r w:rsidR="0036666B">
        <w:t>The meter selected for the roll-out was a type 4 'smart meter' which the Victorian Government deemed under a derogation to be a type 5</w:t>
      </w:r>
      <w:r w:rsidR="00C82DAC">
        <w:t xml:space="preserve"> or </w:t>
      </w:r>
      <w:r w:rsidR="0036666B">
        <w:t>6 meter.</w:t>
      </w:r>
      <w:r w:rsidR="0036666B">
        <w:rPr>
          <w:rStyle w:val="FootnoteReference"/>
        </w:rPr>
        <w:footnoteReference w:id="32"/>
      </w:r>
      <w:r w:rsidR="0036666B">
        <w:t xml:space="preserve"> The</w:t>
      </w:r>
      <w:r w:rsidR="00594603">
        <w:t xml:space="preserve"> derogation from the NER expires on or before 31 December 2016. This derogation appoints the Victorian distributors as the monopoly supplier</w:t>
      </w:r>
      <w:r w:rsidR="00BE5240">
        <w:t>s</w:t>
      </w:r>
      <w:r w:rsidR="00594603">
        <w:t xml:space="preserve"> of type 5 and 6 metering services</w:t>
      </w:r>
      <w:r w:rsidR="0036666B">
        <w:t xml:space="preserve"> (which also encompasses type 4 meters</w:t>
      </w:r>
      <w:r w:rsidR="002070E1">
        <w:t xml:space="preserve"> when deemed to be a type 5 or 6</w:t>
      </w:r>
      <w:r w:rsidR="00013528">
        <w:t xml:space="preserve"> meter</w:t>
      </w:r>
      <w:r w:rsidR="0036666B">
        <w:t>)</w:t>
      </w:r>
      <w:r w:rsidR="00594603">
        <w:t xml:space="preserve">. </w:t>
      </w:r>
      <w:r w:rsidR="00BB54AC">
        <w:t>The AMI Order issued by the Victorian Government provides that for the 2016</w:t>
      </w:r>
      <w:r w:rsidR="00C26456" w:rsidRPr="002D7252">
        <w:t>−</w:t>
      </w:r>
      <w:r w:rsidR="00BB54AC">
        <w:t xml:space="preserve">20 </w:t>
      </w:r>
      <w:r w:rsidR="00C26456">
        <w:t>d</w:t>
      </w:r>
      <w:r w:rsidR="00BB54AC">
        <w:t xml:space="preserve">istribution </w:t>
      </w:r>
      <w:r w:rsidR="00C26456">
        <w:t>d</w:t>
      </w:r>
      <w:r w:rsidR="00BB54AC">
        <w:t>etermination</w:t>
      </w:r>
      <w:r w:rsidR="00C82DAC">
        <w:t>,</w:t>
      </w:r>
      <w:r w:rsidR="00BB54AC">
        <w:t xml:space="preserve"> these services are regulated by the AER pursuant to the NEL and NER</w:t>
      </w:r>
      <w:r w:rsidR="00D9364E">
        <w:t>,</w:t>
      </w:r>
      <w:r w:rsidR="00BB54AC">
        <w:t xml:space="preserve"> subject to certain modifications.</w:t>
      </w:r>
      <w:r w:rsidR="00BB54AC">
        <w:rPr>
          <w:rStyle w:val="FootnoteReference"/>
        </w:rPr>
        <w:footnoteReference w:id="33"/>
      </w:r>
      <w:r w:rsidR="00BB54AC">
        <w:t xml:space="preserve"> Aspects of the AMI Order will continue to apply until 1 January 2021.</w:t>
      </w:r>
      <w:r w:rsidR="00BB54AC">
        <w:rPr>
          <w:rStyle w:val="FootnoteReference"/>
        </w:rPr>
        <w:footnoteReference w:id="34"/>
      </w:r>
    </w:p>
    <w:p w:rsidR="00594603" w:rsidRDefault="00594603" w:rsidP="00673A2B">
      <w:r>
        <w:lastRenderedPageBreak/>
        <w:t xml:space="preserve">As competition </w:t>
      </w:r>
      <w:r w:rsidR="009F241F">
        <w:t xml:space="preserve">in </w:t>
      </w:r>
      <w:r w:rsidR="00D453DE">
        <w:t xml:space="preserve">metering </w:t>
      </w:r>
      <w:r w:rsidR="001A5284">
        <w:t xml:space="preserve">will </w:t>
      </w:r>
      <w:r>
        <w:t>be introduced during the 2016</w:t>
      </w:r>
      <w:r>
        <w:rPr>
          <w:rFonts w:cs="Arial"/>
        </w:rPr>
        <w:t>−</w:t>
      </w:r>
      <w:r>
        <w:t>20 regulatory control period (following expiry of the derogation)</w:t>
      </w:r>
      <w:r w:rsidR="00202E7D">
        <w:t>,</w:t>
      </w:r>
      <w:r>
        <w:t xml:space="preserve"> it was necessary for two </w:t>
      </w:r>
      <w:r w:rsidR="00D453DE">
        <w:t>metering</w:t>
      </w:r>
      <w:r>
        <w:t xml:space="preserve"> services to be classified</w:t>
      </w:r>
      <w:r w:rsidR="00D453DE">
        <w:t>. This was</w:t>
      </w:r>
      <w:r w:rsidR="00717C44">
        <w:t xml:space="preserve"> to </w:t>
      </w:r>
      <w:r w:rsidR="0036666B">
        <w:t>minimise barriers to develop</w:t>
      </w:r>
      <w:r w:rsidR="00E43E8B">
        <w:t>ing</w:t>
      </w:r>
      <w:r w:rsidR="0036666B">
        <w:t xml:space="preserve"> competition</w:t>
      </w:r>
      <w:r w:rsidR="00D453DE">
        <w:t xml:space="preserve"> and reduce confusion around the regulation of these meters </w:t>
      </w:r>
      <w:r w:rsidR="00872650">
        <w:t>during the</w:t>
      </w:r>
      <w:r w:rsidR="00D453DE">
        <w:t xml:space="preserve"> transition to regulation under the NER. </w:t>
      </w:r>
      <w:r>
        <w:t xml:space="preserve"> </w:t>
      </w:r>
    </w:p>
    <w:p w:rsidR="00717C44" w:rsidRDefault="00D453DE" w:rsidP="00E67313">
      <w:r>
        <w:t>First, m</w:t>
      </w:r>
      <w:r w:rsidR="00717C44">
        <w:t xml:space="preserve">etering services provided to residential and small business customers by the distributor under the AMI </w:t>
      </w:r>
      <w:r w:rsidR="003E5C70">
        <w:t xml:space="preserve">Order </w:t>
      </w:r>
      <w:r w:rsidR="00717C44">
        <w:t xml:space="preserve">and which continue to be supplied </w:t>
      </w:r>
      <w:r>
        <w:t xml:space="preserve">by the distributor </w:t>
      </w:r>
      <w:r w:rsidR="00717C44">
        <w:t>until replaced by a competitively supplied meter will be classified as alternative control. The AEMC, in its consultations on introducing metering competition in Victoria, stated that:</w:t>
      </w:r>
      <w:r w:rsidR="000837F1" w:rsidRPr="000837F1">
        <w:rPr>
          <w:rStyle w:val="FootnoteReference"/>
        </w:rPr>
        <w:t xml:space="preserve"> </w:t>
      </w:r>
      <w:r w:rsidR="000837F1">
        <w:rPr>
          <w:rStyle w:val="FootnoteReference"/>
        </w:rPr>
        <w:footnoteReference w:id="35"/>
      </w:r>
    </w:p>
    <w:p w:rsidR="00717C44" w:rsidRDefault="00717C44" w:rsidP="00354B3B">
      <w:pPr>
        <w:pStyle w:val="AERquote"/>
      </w:pPr>
      <w:r>
        <w:t>The NER mandates that smart metering in Victoria be classified as an alternative control service in the 2016</w:t>
      </w:r>
      <w:r>
        <w:rPr>
          <w:rFonts w:cs="Arial"/>
        </w:rPr>
        <w:t>−</w:t>
      </w:r>
      <w:r>
        <w:t>20 regulatory control period…</w:t>
      </w:r>
    </w:p>
    <w:p w:rsidR="00717C44" w:rsidRDefault="00D453DE" w:rsidP="00E67313">
      <w:r>
        <w:t>Second, t</w:t>
      </w:r>
      <w:r w:rsidR="00354B3B">
        <w:t>o facilitate the transition to a fully competitive market, type 5 and 6 metering services supplied on a competitive basis by third parties to new residential and small business customers up to 160 MWh will be unclassified.</w:t>
      </w:r>
      <w:r w:rsidR="00354B3B">
        <w:rPr>
          <w:rStyle w:val="FootnoteReference"/>
        </w:rPr>
        <w:footnoteReference w:id="36"/>
      </w:r>
      <w:r>
        <w:t xml:space="preserve"> This unclassified service will only be offered once metering becomes fully competitive. </w:t>
      </w:r>
    </w:p>
    <w:p w:rsidR="0079098B" w:rsidRPr="00444C07" w:rsidRDefault="0079098B" w:rsidP="00E67313">
      <w:pPr>
        <w:rPr>
          <w:rStyle w:val="Strong"/>
        </w:rPr>
      </w:pPr>
      <w:r w:rsidRPr="00444C07">
        <w:rPr>
          <w:rStyle w:val="Strong"/>
        </w:rPr>
        <w:t>Classification of smart meters</w:t>
      </w:r>
    </w:p>
    <w:p w:rsidR="00CA04F0" w:rsidRPr="00CA04F0" w:rsidRDefault="007F48AF" w:rsidP="00CA04F0">
      <w:r>
        <w:t>All Victorian distributors</w:t>
      </w:r>
      <w:r w:rsidR="00BD596E">
        <w:t xml:space="preserve"> adopted</w:t>
      </w:r>
      <w:r w:rsidR="00453B17">
        <w:t xml:space="preserve"> our </w:t>
      </w:r>
      <w:r w:rsidR="007308FA">
        <w:t>preliminary decision on the</w:t>
      </w:r>
      <w:r w:rsidR="00453B17">
        <w:t xml:space="preserve"> classification of metering services</w:t>
      </w:r>
      <w:r w:rsidR="007716F6" w:rsidRPr="007716F6">
        <w:t xml:space="preserve"> </w:t>
      </w:r>
      <w:r w:rsidR="007716F6">
        <w:t>in their revised proposals</w:t>
      </w:r>
      <w:r w:rsidR="00453B17">
        <w:t>.</w:t>
      </w:r>
      <w:r w:rsidR="00C76952">
        <w:rPr>
          <w:rStyle w:val="FootnoteReference"/>
        </w:rPr>
        <w:footnoteReference w:id="37"/>
      </w:r>
      <w:r w:rsidR="00453B17">
        <w:t xml:space="preserve">  </w:t>
      </w:r>
      <w:r w:rsidR="00A801CC" w:rsidRPr="00CA04F0">
        <w:t>However, Jemena</w:t>
      </w:r>
      <w:r w:rsidR="00CA04F0" w:rsidRPr="00CA04F0">
        <w:t xml:space="preserve"> </w:t>
      </w:r>
      <w:r w:rsidR="00735808">
        <w:t>submitted that the Victorian Government's derogation that type 5 and 6 meters rolled out under the AMI OIC be classified as a type 4 or 'smart meter' is problematic. Specifically, Jemena submitted that:</w:t>
      </w:r>
      <w:r w:rsidR="007437EA">
        <w:rPr>
          <w:rStyle w:val="FootnoteReference"/>
        </w:rPr>
        <w:footnoteReference w:id="38"/>
      </w:r>
    </w:p>
    <w:p w:rsidR="00CA04F0" w:rsidRPr="00CA04F0" w:rsidRDefault="00CA04F0" w:rsidP="007437EA">
      <w:pPr>
        <w:pStyle w:val="AERbulletlistfirststyle"/>
      </w:pPr>
      <w:r w:rsidRPr="00CA04F0">
        <w:t>The metering services for smart meters rolled out under the AMI OIC will be classified as alternative control service</w:t>
      </w:r>
      <w:r w:rsidR="0039130C">
        <w:t>.</w:t>
      </w:r>
      <w:r w:rsidR="007437EA">
        <w:rPr>
          <w:rStyle w:val="FootnoteReference"/>
        </w:rPr>
        <w:footnoteReference w:id="39"/>
      </w:r>
      <w:r w:rsidRPr="00CA04F0">
        <w:t xml:space="preserve"> </w:t>
      </w:r>
      <w:r w:rsidR="007716F6">
        <w:t>H</w:t>
      </w:r>
      <w:r w:rsidRPr="00CA04F0">
        <w:t>owever</w:t>
      </w:r>
      <w:r w:rsidR="00EF6E56">
        <w:t>,</w:t>
      </w:r>
      <w:r w:rsidRPr="00CA04F0">
        <w:t xml:space="preserve"> the </w:t>
      </w:r>
      <w:r w:rsidR="0039130C">
        <w:t xml:space="preserve">AER's </w:t>
      </w:r>
      <w:r w:rsidRPr="00CA04F0">
        <w:t xml:space="preserve">preliminary decision classifies metering services for type 1-4 </w:t>
      </w:r>
      <w:r w:rsidR="0039130C">
        <w:t xml:space="preserve">meters </w:t>
      </w:r>
      <w:r w:rsidRPr="00CA04F0">
        <w:t>as unregulated services</w:t>
      </w:r>
      <w:r w:rsidR="00EF6E56">
        <w:t>.</w:t>
      </w:r>
      <w:r w:rsidRPr="00CA04F0">
        <w:t xml:space="preserve"> </w:t>
      </w:r>
    </w:p>
    <w:p w:rsidR="00CA04F0" w:rsidRPr="00CA04F0" w:rsidRDefault="00CA04F0" w:rsidP="00444C07">
      <w:pPr>
        <w:pStyle w:val="AERbulletlistfirststyle"/>
      </w:pPr>
      <w:r w:rsidRPr="00CA04F0">
        <w:t>Even though the AMI OIC requires the service for smart meters to be classified as an alternative control service, the absence of a service (and corresponding regulated price) means that J</w:t>
      </w:r>
      <w:r w:rsidR="007437EA">
        <w:t>emena</w:t>
      </w:r>
      <w:r w:rsidRPr="00CA04F0">
        <w:t xml:space="preserve"> is not able to recover its efficient cost for providing this service</w:t>
      </w:r>
      <w:r w:rsidR="00E90C9F">
        <w:t>.</w:t>
      </w:r>
      <w:r w:rsidRPr="00CA04F0">
        <w:t xml:space="preserve"> </w:t>
      </w:r>
    </w:p>
    <w:p w:rsidR="00CA04F0" w:rsidRPr="00CA04F0" w:rsidRDefault="003E1A76" w:rsidP="00444C07">
      <w:pPr>
        <w:pStyle w:val="AERbulletlistfirststyle"/>
      </w:pPr>
      <w:r>
        <w:t>W</w:t>
      </w:r>
      <w:r w:rsidR="00CA04F0" w:rsidRPr="00CA04F0">
        <w:t>ithin the grouping of ‘type 5 and 6 and smart meter’</w:t>
      </w:r>
      <w:r w:rsidR="00E90C9F">
        <w:t>,</w:t>
      </w:r>
      <w:r w:rsidR="00CA04F0" w:rsidRPr="00CA04F0">
        <w:t xml:space="preserve"> the smart meter is not a defined term in the NER and therefore in the absence of clarification, a possible </w:t>
      </w:r>
      <w:r w:rsidR="00CA04F0" w:rsidRPr="00CA04F0">
        <w:lastRenderedPageBreak/>
        <w:t xml:space="preserve">interpretation is to classify metering services for smart meters rolled out under AMI OIC as type 4 and therefore be unregulated services. </w:t>
      </w:r>
    </w:p>
    <w:p w:rsidR="00CA04F0" w:rsidRPr="00CA04F0" w:rsidRDefault="007437EA" w:rsidP="00CA04F0">
      <w:r>
        <w:t>Jemena submitted that i</w:t>
      </w:r>
      <w:r w:rsidR="00CA04F0" w:rsidRPr="00CA04F0">
        <w:t xml:space="preserve">deally this issue would be </w:t>
      </w:r>
      <w:r w:rsidR="004102C7" w:rsidRPr="00CA04F0">
        <w:t>resolved by</w:t>
      </w:r>
      <w:r w:rsidR="00CA04F0" w:rsidRPr="00CA04F0">
        <w:t xml:space="preserve"> creating a new meter type for the smart meters rolled out under AMI OIC as the Victorian distribut</w:t>
      </w:r>
      <w:r w:rsidR="00601452">
        <w:t>ors</w:t>
      </w:r>
      <w:r>
        <w:t xml:space="preserve"> proposed</w:t>
      </w:r>
      <w:r w:rsidR="00CA04F0" w:rsidRPr="00CA04F0">
        <w:t xml:space="preserve"> to the </w:t>
      </w:r>
      <w:r>
        <w:t xml:space="preserve">AEMC's </w:t>
      </w:r>
      <w:r w:rsidR="00CA04F0" w:rsidRPr="00CA04F0">
        <w:t xml:space="preserve">consultation on </w:t>
      </w:r>
      <w:r>
        <w:t>expanding competition in</w:t>
      </w:r>
      <w:r w:rsidR="00CA04F0" w:rsidRPr="00CA04F0">
        <w:t xml:space="preserve"> metering</w:t>
      </w:r>
      <w:r w:rsidR="00E90C9F">
        <w:t>;</w:t>
      </w:r>
      <w:r w:rsidR="00E90C9F" w:rsidRPr="00CA04F0">
        <w:t xml:space="preserve"> </w:t>
      </w:r>
      <w:r w:rsidR="00CA04F0" w:rsidRPr="00CA04F0">
        <w:t>however</w:t>
      </w:r>
      <w:r w:rsidR="00E90C9F">
        <w:t>,</w:t>
      </w:r>
      <w:r w:rsidR="00CA04F0" w:rsidRPr="00CA04F0">
        <w:t xml:space="preserve"> this recommendation was not adopted.</w:t>
      </w:r>
      <w:r w:rsidR="00601452">
        <w:rPr>
          <w:rStyle w:val="FootnoteReference"/>
        </w:rPr>
        <w:footnoteReference w:id="40"/>
      </w:r>
      <w:r w:rsidR="00CA04F0" w:rsidRPr="00CA04F0">
        <w:t xml:space="preserve"> </w:t>
      </w:r>
      <w:r w:rsidR="0039130C">
        <w:t>Jemena submitted t</w:t>
      </w:r>
      <w:r w:rsidR="00CA04F0" w:rsidRPr="00CA04F0">
        <w:t xml:space="preserve">he next best alternative is for the AER to define ‘smart meter’ as those meters deployed under the AMI OIC to ensure the grand-fathering of this fleet of meters and for the avoidance of doubt in the </w:t>
      </w:r>
      <w:r>
        <w:t>final decision for the 2016</w:t>
      </w:r>
      <w:r>
        <w:rPr>
          <w:rFonts w:cs="Arial"/>
        </w:rPr>
        <w:t>−</w:t>
      </w:r>
      <w:r>
        <w:t>20 regulatory control period</w:t>
      </w:r>
      <w:r w:rsidR="00CA04F0" w:rsidRPr="00CA04F0">
        <w:t xml:space="preserve">. </w:t>
      </w:r>
    </w:p>
    <w:p w:rsidR="008C3453" w:rsidRPr="00444C07" w:rsidRDefault="008C3453" w:rsidP="003250FE">
      <w:pPr>
        <w:rPr>
          <w:rStyle w:val="AERbody"/>
        </w:rPr>
      </w:pPr>
      <w:r w:rsidRPr="00444C07">
        <w:rPr>
          <w:rStyle w:val="AERbody"/>
        </w:rPr>
        <w:t xml:space="preserve">In </w:t>
      </w:r>
      <w:r w:rsidR="00601452" w:rsidRPr="00444C07">
        <w:rPr>
          <w:rStyle w:val="AERbody"/>
        </w:rPr>
        <w:t>our Final F</w:t>
      </w:r>
      <w:r w:rsidRPr="00444C07">
        <w:rPr>
          <w:rStyle w:val="AERbody"/>
        </w:rPr>
        <w:t>ramework and Approach</w:t>
      </w:r>
      <w:r w:rsidR="00601452" w:rsidRPr="00444C07">
        <w:rPr>
          <w:rStyle w:val="AERbody"/>
        </w:rPr>
        <w:t xml:space="preserve"> for Vic</w:t>
      </w:r>
      <w:r w:rsidRPr="00444C07">
        <w:rPr>
          <w:rStyle w:val="AERbody"/>
        </w:rPr>
        <w:t xml:space="preserve">toria </w:t>
      </w:r>
      <w:r w:rsidR="00601452" w:rsidRPr="00444C07">
        <w:rPr>
          <w:rStyle w:val="AERbody"/>
        </w:rPr>
        <w:t>we said</w:t>
      </w:r>
      <w:r w:rsidRPr="00444C07">
        <w:rPr>
          <w:rStyle w:val="AERbody"/>
        </w:rPr>
        <w:t>:</w:t>
      </w:r>
      <w:r w:rsidR="008D31AB" w:rsidRPr="008D31AB">
        <w:rPr>
          <w:rStyle w:val="FootnoteReference"/>
        </w:rPr>
        <w:t xml:space="preserve"> </w:t>
      </w:r>
      <w:r w:rsidR="008D31AB" w:rsidRPr="008D31AB">
        <w:rPr>
          <w:rStyle w:val="FootnoteReference"/>
        </w:rPr>
        <w:footnoteReference w:id="41"/>
      </w:r>
      <w:r w:rsidR="008D31AB" w:rsidRPr="008D31AB">
        <w:rPr>
          <w:rStyle w:val="AERsuperscript"/>
        </w:rPr>
        <w:t>,</w:t>
      </w:r>
      <w:r w:rsidR="008D31AB" w:rsidRPr="008D31AB">
        <w:rPr>
          <w:rStyle w:val="FootnoteReference"/>
        </w:rPr>
        <w:footnoteReference w:id="42"/>
      </w:r>
    </w:p>
    <w:p w:rsidR="002D0CDC" w:rsidRPr="00220BA8" w:rsidRDefault="002D0CDC" w:rsidP="008D31AB">
      <w:pPr>
        <w:pStyle w:val="AERquote"/>
        <w:rPr>
          <w:rStyle w:val="AERbody"/>
          <w:color w:val="000000"/>
          <w:sz w:val="20"/>
        </w:rPr>
      </w:pPr>
      <w:r w:rsidRPr="00D93ED1">
        <w:rPr>
          <w:rStyle w:val="AERbody"/>
          <w:color w:val="000000"/>
          <w:sz w:val="20"/>
        </w:rPr>
        <w:t>Because Victoria has had a roll-out of Advanced Metering Infrastructure (AMI), we must first introduce a new defined term — 'smart meter'.</w:t>
      </w:r>
      <w:r w:rsidRPr="00E90C9F">
        <w:rPr>
          <w:rStyle w:val="AERsuperscript"/>
        </w:rPr>
        <w:t>93</w:t>
      </w:r>
      <w:r w:rsidRPr="00004A76">
        <w:rPr>
          <w:rStyle w:val="AERbody"/>
          <w:color w:val="000000"/>
          <w:sz w:val="20"/>
        </w:rPr>
        <w:t xml:space="preserve"> In plain language, a smart meter is an electronic meter that replaces an older technology m</w:t>
      </w:r>
      <w:r w:rsidRPr="00220BA8">
        <w:rPr>
          <w:rStyle w:val="AERbody"/>
          <w:color w:val="000000"/>
          <w:sz w:val="20"/>
        </w:rPr>
        <w:t>eter. Its special advantage is that it can be read remotely and (in Victoria) has the capacity to be turned on or off remotely. Although smart meters are, technically speaking, a type 4 meter they were deemed by a Victorian Government derogation contained in clause 9.9C of the NER to be type 5-6.</w:t>
      </w:r>
    </w:p>
    <w:p w:rsidR="008C3453" w:rsidRPr="003250FE" w:rsidRDefault="00EA2E83" w:rsidP="00E67313">
      <w:pPr>
        <w:rPr>
          <w:rStyle w:val="AERbody"/>
        </w:rPr>
      </w:pPr>
      <w:r>
        <w:rPr>
          <w:rStyle w:val="AERbody"/>
        </w:rPr>
        <w:t xml:space="preserve">We think Jemena's characterisation of the rollout of types 5 and 6 meters as type 4 is reversed. Jemena's characterisation is true </w:t>
      </w:r>
      <w:r w:rsidRPr="003250FE">
        <w:rPr>
          <w:rStyle w:val="Emphasis"/>
        </w:rPr>
        <w:t>after</w:t>
      </w:r>
      <w:r>
        <w:rPr>
          <w:rStyle w:val="AERbody"/>
        </w:rPr>
        <w:t xml:space="preserve"> the effect of Victorian Government derogation is applied. Our </w:t>
      </w:r>
      <w:r w:rsidR="008C3453" w:rsidRPr="003250FE">
        <w:rPr>
          <w:rStyle w:val="AERbody"/>
        </w:rPr>
        <w:t xml:space="preserve">definition </w:t>
      </w:r>
      <w:r w:rsidRPr="003250FE">
        <w:rPr>
          <w:rStyle w:val="AERbody"/>
        </w:rPr>
        <w:t>of 'smart meter' adopts the definitions of metering types tha</w:t>
      </w:r>
      <w:r>
        <w:rPr>
          <w:rStyle w:val="AERbody"/>
        </w:rPr>
        <w:t xml:space="preserve">t </w:t>
      </w:r>
      <w:r w:rsidRPr="003250FE">
        <w:rPr>
          <w:rStyle w:val="AERbody"/>
        </w:rPr>
        <w:t xml:space="preserve">apply in the NEM </w:t>
      </w:r>
      <w:r w:rsidR="000C06F1" w:rsidRPr="003250FE">
        <w:rPr>
          <w:rStyle w:val="Emphasis"/>
        </w:rPr>
        <w:t>before</w:t>
      </w:r>
      <w:r w:rsidR="000C06F1">
        <w:rPr>
          <w:rStyle w:val="AERbody"/>
        </w:rPr>
        <w:t xml:space="preserve"> </w:t>
      </w:r>
      <w:r w:rsidRPr="003250FE">
        <w:rPr>
          <w:rStyle w:val="AERbody"/>
        </w:rPr>
        <w:t xml:space="preserve">the </w:t>
      </w:r>
      <w:r w:rsidR="003250FE">
        <w:rPr>
          <w:rStyle w:val="AERbody"/>
        </w:rPr>
        <w:t xml:space="preserve">effect of the </w:t>
      </w:r>
      <w:r w:rsidRPr="003250FE">
        <w:rPr>
          <w:rStyle w:val="AERbody"/>
        </w:rPr>
        <w:t>Victorian Government derogation</w:t>
      </w:r>
      <w:r w:rsidR="000C06F1">
        <w:rPr>
          <w:rStyle w:val="AERbody"/>
        </w:rPr>
        <w:t xml:space="preserve"> is applied</w:t>
      </w:r>
      <w:r>
        <w:rPr>
          <w:rStyle w:val="AERbody"/>
        </w:rPr>
        <w:t>. Our definition</w:t>
      </w:r>
      <w:r w:rsidRPr="003250FE">
        <w:rPr>
          <w:rStyle w:val="AERbody"/>
        </w:rPr>
        <w:t xml:space="preserve"> </w:t>
      </w:r>
      <w:r w:rsidR="008C3453" w:rsidRPr="003250FE">
        <w:rPr>
          <w:rStyle w:val="AERbody"/>
        </w:rPr>
        <w:t xml:space="preserve">is intended to </w:t>
      </w:r>
      <w:r w:rsidRPr="003250FE">
        <w:rPr>
          <w:rStyle w:val="AERbody"/>
        </w:rPr>
        <w:t>specifically identify advanced meters deployed under the AMI program</w:t>
      </w:r>
      <w:r>
        <w:rPr>
          <w:rStyle w:val="AERbody"/>
        </w:rPr>
        <w:t xml:space="preserve"> are subject to classification as an alternative control service</w:t>
      </w:r>
      <w:r w:rsidR="000C06F1">
        <w:rPr>
          <w:rStyle w:val="AERbody"/>
        </w:rPr>
        <w:t xml:space="preserve"> as set out in the Final </w:t>
      </w:r>
      <w:r w:rsidR="00D60818">
        <w:rPr>
          <w:rStyle w:val="AERbody"/>
        </w:rPr>
        <w:t>F&amp;A</w:t>
      </w:r>
      <w:r w:rsidR="000C06F1">
        <w:rPr>
          <w:rStyle w:val="AERbody"/>
        </w:rPr>
        <w:t xml:space="preserve">. </w:t>
      </w:r>
      <w:r w:rsidR="003250FE">
        <w:rPr>
          <w:rStyle w:val="AERbody"/>
        </w:rPr>
        <w:t xml:space="preserve">These metering installations do not fall into the unregulated classification of metering types 1-4. Our definition </w:t>
      </w:r>
      <w:r w:rsidR="000C06F1">
        <w:rPr>
          <w:rStyle w:val="AERbody"/>
        </w:rPr>
        <w:t>corresponds with the 'next best alternative' as submitted by Jemena</w:t>
      </w:r>
      <w:r w:rsidR="003250FE">
        <w:rPr>
          <w:rStyle w:val="AERbody"/>
        </w:rPr>
        <w:t xml:space="preserve"> and has been accepted by all the other Victorian distributors</w:t>
      </w:r>
      <w:r w:rsidR="000C06F1">
        <w:rPr>
          <w:rStyle w:val="AERbody"/>
        </w:rPr>
        <w:t>.</w:t>
      </w:r>
    </w:p>
    <w:p w:rsidR="008D31AB" w:rsidRDefault="0079098B" w:rsidP="009C34AC">
      <w:pPr>
        <w:rPr>
          <w:rStyle w:val="Strong"/>
        </w:rPr>
      </w:pPr>
      <w:r w:rsidRPr="00444C07">
        <w:rPr>
          <w:rStyle w:val="Strong"/>
        </w:rPr>
        <w:t>Cost allocation between metering and standard control services</w:t>
      </w:r>
    </w:p>
    <w:p w:rsidR="00CB438C" w:rsidRDefault="00A801CC" w:rsidP="009C34AC">
      <w:r>
        <w:t>E</w:t>
      </w:r>
      <w:r w:rsidR="00C21C43">
        <w:t>ac</w:t>
      </w:r>
      <w:r w:rsidR="009F241F">
        <w:t xml:space="preserve">h of the Victorian distributors </w:t>
      </w:r>
      <w:r w:rsidR="00C21C43">
        <w:t xml:space="preserve">proposed to allocate the costs of some metering services as though </w:t>
      </w:r>
      <w:r w:rsidR="00CF3617">
        <w:t>these were</w:t>
      </w:r>
      <w:r w:rsidR="00C21C43">
        <w:t xml:space="preserve"> standard control services. </w:t>
      </w:r>
      <w:r w:rsidR="00A42657">
        <w:t xml:space="preserve">This would </w:t>
      </w:r>
      <w:r w:rsidR="009C34AC">
        <w:t xml:space="preserve">spread the cost </w:t>
      </w:r>
      <w:r w:rsidR="00A42657">
        <w:t xml:space="preserve">of those services </w:t>
      </w:r>
      <w:r w:rsidR="009C34AC">
        <w:t xml:space="preserve">across all customers. As the proportion of advanced metering costs re-allocated to standard control services </w:t>
      </w:r>
      <w:r w:rsidR="009F241F">
        <w:t>by some distributors appears relatively high</w:t>
      </w:r>
      <w:r w:rsidR="009C34AC">
        <w:t xml:space="preserve">, there is a risk that this approach may create barriers to entry once metering </w:t>
      </w:r>
      <w:r w:rsidR="00627402">
        <w:t>is</w:t>
      </w:r>
      <w:r w:rsidR="009C34AC">
        <w:t xml:space="preserve"> subject </w:t>
      </w:r>
      <w:r w:rsidR="009C34AC">
        <w:lastRenderedPageBreak/>
        <w:t xml:space="preserve">to competition. Different cost allocation approaches </w:t>
      </w:r>
      <w:r w:rsidR="00F52FCA">
        <w:t xml:space="preserve">by distributors </w:t>
      </w:r>
      <w:r w:rsidR="009C34AC">
        <w:t xml:space="preserve">for metering services </w:t>
      </w:r>
      <w:r w:rsidR="00796423">
        <w:t xml:space="preserve">may </w:t>
      </w:r>
      <w:r w:rsidR="009C34AC">
        <w:t>also ha</w:t>
      </w:r>
      <w:r w:rsidR="00796423">
        <w:t>ve</w:t>
      </w:r>
      <w:r w:rsidR="009C34AC">
        <w:t xml:space="preserve"> implications for the transparency of opex benchmarking.</w:t>
      </w:r>
    </w:p>
    <w:p w:rsidR="009C34AC" w:rsidRDefault="0079098B" w:rsidP="009C34AC">
      <w:r>
        <w:t>We received submissions on this issue from t</w:t>
      </w:r>
      <w:r w:rsidR="00CB438C">
        <w:t>he Victorian Government</w:t>
      </w:r>
      <w:r>
        <w:t>, Vector Limited, CitiPower, Powercor and Jemena</w:t>
      </w:r>
      <w:r w:rsidR="00F435BC">
        <w:t>.</w:t>
      </w:r>
      <w:r w:rsidR="00F435BC">
        <w:rPr>
          <w:rStyle w:val="FootnoteReference"/>
        </w:rPr>
        <w:footnoteReference w:id="43"/>
      </w:r>
      <w:r w:rsidR="00CB438C">
        <w:t xml:space="preserve"> </w:t>
      </w:r>
      <w:r>
        <w:t xml:space="preserve"> </w:t>
      </w:r>
      <w:r w:rsidR="004A580B">
        <w:t>We consider this classificatio</w:t>
      </w:r>
      <w:r>
        <w:t>n attachment</w:t>
      </w:r>
      <w:r w:rsidR="004A580B">
        <w:t xml:space="preserve"> is not the appropriate place for a detailed discussion of cost allocation issues. </w:t>
      </w:r>
      <w:r w:rsidR="00405BA2">
        <w:t xml:space="preserve">Once services have been classified, cost allocation determines the sharing of costs amongst the classified services and therefore determines prices paid for those services. In this case, the classification of metering and standard control services is not at issue. Rather, it is the allocation of costs to services which is at issue. </w:t>
      </w:r>
      <w:r w:rsidR="009C34AC">
        <w:t xml:space="preserve">A detailed discussion of this issue is </w:t>
      </w:r>
      <w:r w:rsidR="00796423">
        <w:t xml:space="preserve">provided </w:t>
      </w:r>
      <w:r w:rsidR="009C34AC">
        <w:t xml:space="preserve">in attachment </w:t>
      </w:r>
      <w:r w:rsidR="00D453DE">
        <w:t>7</w:t>
      </w:r>
      <w:r w:rsidR="009C34AC">
        <w:t xml:space="preserve"> (opex).</w:t>
      </w:r>
    </w:p>
    <w:p w:rsidR="005A2F10" w:rsidRPr="00444C07" w:rsidRDefault="005A2F10" w:rsidP="009C34AC">
      <w:pPr>
        <w:rPr>
          <w:rStyle w:val="Strong"/>
        </w:rPr>
      </w:pPr>
      <w:r w:rsidRPr="00444C07">
        <w:rPr>
          <w:rStyle w:val="Strong"/>
        </w:rPr>
        <w:t>Service classification summary</w:t>
      </w:r>
    </w:p>
    <w:p w:rsidR="00354B3B" w:rsidRDefault="00354B3B" w:rsidP="00354B3B">
      <w:r>
        <w:fldChar w:fldCharType="begin"/>
      </w:r>
      <w:r>
        <w:instrText xml:space="preserve"> REF _Ref422742457 \h </w:instrText>
      </w:r>
      <w:r>
        <w:fldChar w:fldCharType="separate"/>
      </w:r>
      <w:r w:rsidR="008E3CF9" w:rsidRPr="00E67313">
        <w:t xml:space="preserve">Table </w:t>
      </w:r>
      <w:r w:rsidR="008E3CF9">
        <w:rPr>
          <w:noProof/>
        </w:rPr>
        <w:t>13</w:t>
      </w:r>
      <w:r w:rsidR="008E3CF9">
        <w:t>.</w:t>
      </w:r>
      <w:r w:rsidR="008E3CF9">
        <w:rPr>
          <w:noProof/>
        </w:rPr>
        <w:t>1</w:t>
      </w:r>
      <w:r>
        <w:fldChar w:fldCharType="end"/>
      </w:r>
      <w:r>
        <w:t xml:space="preserve"> </w:t>
      </w:r>
      <w:r w:rsidRPr="00BB3ADB">
        <w:t xml:space="preserve">summarises the current classification and our </w:t>
      </w:r>
      <w:r w:rsidR="00470E1E">
        <w:t xml:space="preserve">final </w:t>
      </w:r>
      <w:r w:rsidR="009C34AC">
        <w:t xml:space="preserve">decision on the </w:t>
      </w:r>
      <w:r w:rsidRPr="00BB3ADB">
        <w:t>classification of metering services</w:t>
      </w:r>
      <w:r>
        <w:t xml:space="preserve"> in Victoria</w:t>
      </w:r>
      <w:r w:rsidRPr="00BB3ADB">
        <w:t>.</w:t>
      </w:r>
    </w:p>
    <w:p w:rsidR="00354B3B" w:rsidRPr="00E67313" w:rsidRDefault="00354B3B" w:rsidP="00354B3B">
      <w:pPr>
        <w:pStyle w:val="Caption"/>
      </w:pPr>
      <w:bookmarkStart w:id="23" w:name="_Ref422742457"/>
      <w:r w:rsidRPr="00E67313">
        <w:t xml:space="preserve">Table </w:t>
      </w:r>
      <w:r w:rsidR="00FD685A">
        <w:fldChar w:fldCharType="begin"/>
      </w:r>
      <w:r w:rsidR="00FD685A">
        <w:instrText xml:space="preserve"> STYLEREF 1 \s </w:instrText>
      </w:r>
      <w:r w:rsidR="00FD685A">
        <w:fldChar w:fldCharType="separate"/>
      </w:r>
      <w:r w:rsidR="008E3CF9">
        <w:rPr>
          <w:noProof/>
        </w:rPr>
        <w:t>13</w:t>
      </w:r>
      <w:r w:rsidR="00FD685A">
        <w:rPr>
          <w:noProof/>
        </w:rPr>
        <w:fldChar w:fldCharType="end"/>
      </w:r>
      <w:r w:rsidR="00CF16BE">
        <w:t>.</w:t>
      </w:r>
      <w:r w:rsidR="00FD685A">
        <w:fldChar w:fldCharType="begin"/>
      </w:r>
      <w:r w:rsidR="00FD685A">
        <w:instrText xml:space="preserve"> SEQ Table \* ARABIC \s 1 </w:instrText>
      </w:r>
      <w:r w:rsidR="00FD685A">
        <w:fldChar w:fldCharType="separate"/>
      </w:r>
      <w:r w:rsidR="008E3CF9">
        <w:rPr>
          <w:noProof/>
        </w:rPr>
        <w:t>1</w:t>
      </w:r>
      <w:r w:rsidR="00FD685A">
        <w:rPr>
          <w:noProof/>
        </w:rPr>
        <w:fldChar w:fldCharType="end"/>
      </w:r>
      <w:bookmarkEnd w:id="23"/>
      <w:r w:rsidRPr="00E67313">
        <w:t xml:space="preserve">  AER's current and </w:t>
      </w:r>
      <w:r w:rsidR="00470E1E">
        <w:t xml:space="preserve">final </w:t>
      </w:r>
      <w:r w:rsidR="009C34AC">
        <w:t>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354B3B" w:rsidRPr="0082367D" w:rsidTr="00105B47">
        <w:trPr>
          <w:cnfStyle w:val="100000000000" w:firstRow="1" w:lastRow="0" w:firstColumn="0" w:lastColumn="0" w:oddVBand="0" w:evenVBand="0" w:oddHBand="0" w:evenHBand="0" w:firstRowFirstColumn="0" w:firstRowLastColumn="0" w:lastRowFirstColumn="0" w:lastRowLastColumn="0"/>
          <w:tblHeader/>
        </w:trPr>
        <w:tc>
          <w:tcPr>
            <w:tcW w:w="2518" w:type="dxa"/>
          </w:tcPr>
          <w:p w:rsidR="00354B3B" w:rsidRPr="00354B3B" w:rsidRDefault="00354B3B" w:rsidP="00354B3B">
            <w:pPr>
              <w:pStyle w:val="AERtabletextleft"/>
            </w:pPr>
            <w:r>
              <w:t>Current classification</w:t>
            </w:r>
          </w:p>
        </w:tc>
        <w:tc>
          <w:tcPr>
            <w:tcW w:w="6175" w:type="dxa"/>
          </w:tcPr>
          <w:p w:rsidR="00354B3B" w:rsidRPr="00354B3B" w:rsidRDefault="00354B3B" w:rsidP="00470E1E">
            <w:pPr>
              <w:pStyle w:val="AERtabletextleft"/>
            </w:pPr>
            <w:r>
              <w:t xml:space="preserve">AER's </w:t>
            </w:r>
            <w:r w:rsidR="00470E1E">
              <w:t>final</w:t>
            </w:r>
            <w:r w:rsidR="00470E1E" w:rsidRPr="00354B3B">
              <w:t xml:space="preserve"> </w:t>
            </w:r>
            <w:r w:rsidRPr="00354B3B">
              <w:t>decision on metering classification</w:t>
            </w:r>
          </w:p>
        </w:tc>
      </w:tr>
      <w:tr w:rsidR="00354B3B" w:rsidRPr="0082367D" w:rsidTr="00105B47">
        <w:tc>
          <w:tcPr>
            <w:tcW w:w="2518" w:type="dxa"/>
          </w:tcPr>
          <w:p w:rsidR="00354B3B" w:rsidRPr="00E67313" w:rsidRDefault="00354B3B" w:rsidP="00354B3B">
            <w:pPr>
              <w:pStyle w:val="AERtabletextleft"/>
              <w:rPr>
                <w:rStyle w:val="AERtextsize8"/>
              </w:rPr>
            </w:pPr>
            <w:r w:rsidRPr="00E67313">
              <w:rPr>
                <w:rStyle w:val="AERtextsize8"/>
              </w:rPr>
              <w:t>Metering types 1 to 4 – unclassified</w:t>
            </w:r>
          </w:p>
        </w:tc>
        <w:tc>
          <w:tcPr>
            <w:tcW w:w="6175" w:type="dxa"/>
          </w:tcPr>
          <w:p w:rsidR="00354B3B" w:rsidRPr="00E67313" w:rsidRDefault="00354B3B" w:rsidP="00354B3B">
            <w:pPr>
              <w:pStyle w:val="AERtabletextleft"/>
              <w:rPr>
                <w:rStyle w:val="AERtextsize8"/>
              </w:rPr>
            </w:pPr>
            <w:r w:rsidRPr="00E67313">
              <w:rPr>
                <w:rStyle w:val="AERtextsize8"/>
              </w:rPr>
              <w:t>Metering types 1 to 4 (excluding smart meters) – unclassified</w:t>
            </w:r>
          </w:p>
        </w:tc>
      </w:tr>
      <w:tr w:rsidR="00354B3B" w:rsidRPr="0082367D" w:rsidTr="00105B47">
        <w:trPr>
          <w:cnfStyle w:val="000000010000" w:firstRow="0" w:lastRow="0" w:firstColumn="0" w:lastColumn="0" w:oddVBand="0" w:evenVBand="0" w:oddHBand="0" w:evenHBand="1" w:firstRowFirstColumn="0" w:firstRowLastColumn="0" w:lastRowFirstColumn="0" w:lastRowLastColumn="0"/>
        </w:trPr>
        <w:tc>
          <w:tcPr>
            <w:tcW w:w="2518" w:type="dxa"/>
          </w:tcPr>
          <w:p w:rsidR="00354B3B" w:rsidRPr="00E67313" w:rsidRDefault="00354B3B" w:rsidP="00526345">
            <w:pPr>
              <w:pStyle w:val="AERtabletextleft"/>
              <w:rPr>
                <w:rStyle w:val="AERtextsize8"/>
              </w:rPr>
            </w:pPr>
            <w:r w:rsidRPr="00E67313">
              <w:rPr>
                <w:rStyle w:val="AERtextsize8"/>
              </w:rPr>
              <w:t xml:space="preserve">Metering types 5 and 6 and smart meters - regulated service – </w:t>
            </w:r>
            <w:r w:rsidR="00526345">
              <w:rPr>
                <w:rStyle w:val="AERtextsize8"/>
              </w:rPr>
              <w:t>alternative control</w:t>
            </w:r>
            <w:r w:rsidR="00526345" w:rsidRPr="00E67313">
              <w:rPr>
                <w:rStyle w:val="AERtextsize8"/>
              </w:rPr>
              <w:t xml:space="preserve"> </w:t>
            </w:r>
            <w:r w:rsidRPr="00E67313">
              <w:rPr>
                <w:rStyle w:val="AERtextsize8"/>
              </w:rPr>
              <w:t xml:space="preserve">(subject to AMI </w:t>
            </w:r>
            <w:r w:rsidR="00627402">
              <w:rPr>
                <w:rStyle w:val="AERtextsize8"/>
              </w:rPr>
              <w:t>Order in Council</w:t>
            </w:r>
            <w:r w:rsidRPr="00E67313">
              <w:rPr>
                <w:rStyle w:val="AERtextsize8"/>
              </w:rPr>
              <w:t>)</w:t>
            </w:r>
          </w:p>
        </w:tc>
        <w:tc>
          <w:tcPr>
            <w:tcW w:w="6175" w:type="dxa"/>
          </w:tcPr>
          <w:p w:rsidR="00354B3B" w:rsidRPr="00E67313" w:rsidRDefault="00354B3B" w:rsidP="00354B3B">
            <w:pPr>
              <w:pStyle w:val="AERtabletextleft"/>
              <w:rPr>
                <w:rStyle w:val="AERtextsize8"/>
              </w:rPr>
            </w:pPr>
            <w:r w:rsidRPr="00E67313">
              <w:rPr>
                <w:rStyle w:val="AERtextsize8"/>
              </w:rPr>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354B3B" w:rsidRPr="0082367D" w:rsidTr="00105B47">
        <w:tc>
          <w:tcPr>
            <w:tcW w:w="2518" w:type="dxa"/>
          </w:tcPr>
          <w:p w:rsidR="00354B3B" w:rsidRPr="00E67313" w:rsidRDefault="00354B3B" w:rsidP="00354B3B">
            <w:pPr>
              <w:pStyle w:val="AERtabletextleft"/>
              <w:rPr>
                <w:rStyle w:val="AERtextsize8"/>
              </w:rPr>
            </w:pPr>
            <w:r w:rsidRPr="00E67313">
              <w:rPr>
                <w:rStyle w:val="AERtextsize8"/>
              </w:rPr>
              <w:t>Metering types 5 and 6 and smart meters - unregulated service – unclassified (service not currently provided)</w:t>
            </w:r>
          </w:p>
        </w:tc>
        <w:tc>
          <w:tcPr>
            <w:tcW w:w="6175" w:type="dxa"/>
          </w:tcPr>
          <w:p w:rsidR="00796423" w:rsidRDefault="00796423" w:rsidP="00354B3B">
            <w:pPr>
              <w:pStyle w:val="AERtabletextleft"/>
              <w:rPr>
                <w:rStyle w:val="AERtextsize8"/>
              </w:rPr>
            </w:pPr>
            <w:r>
              <w:rPr>
                <w:rStyle w:val="AERtextsize8"/>
              </w:rPr>
              <w:t>Service description as above</w:t>
            </w:r>
            <w:r w:rsidR="00444539">
              <w:rPr>
                <w:rStyle w:val="AERtextsize8"/>
              </w:rPr>
              <w:t xml:space="preserve">; </w:t>
            </w:r>
            <w:r>
              <w:rPr>
                <w:rStyle w:val="AERtextsize8"/>
              </w:rPr>
              <w:t>however</w:t>
            </w:r>
            <w:r w:rsidR="00444539">
              <w:rPr>
                <w:rStyle w:val="AERtextsize8"/>
              </w:rPr>
              <w:t>,</w:t>
            </w:r>
            <w:r>
              <w:rPr>
                <w:rStyle w:val="AERtextsize8"/>
              </w:rPr>
              <w:t xml:space="preserve"> th</w:t>
            </w:r>
            <w:r w:rsidR="00140B42">
              <w:rPr>
                <w:rStyle w:val="AERtextsize8"/>
              </w:rPr>
              <w:t>e</w:t>
            </w:r>
            <w:r>
              <w:rPr>
                <w:rStyle w:val="AERtextsize8"/>
              </w:rPr>
              <w:t xml:space="preserve"> provision of this service only commences when competition </w:t>
            </w:r>
            <w:r w:rsidR="00E97FAB">
              <w:rPr>
                <w:rStyle w:val="AERtextsize8"/>
              </w:rPr>
              <w:t xml:space="preserve">in metering </w:t>
            </w:r>
            <w:r>
              <w:rPr>
                <w:rStyle w:val="AERtextsize8"/>
              </w:rPr>
              <w:t xml:space="preserve">is introduced. </w:t>
            </w:r>
          </w:p>
          <w:p w:rsidR="00354B3B" w:rsidRPr="00354B3B" w:rsidRDefault="00354B3B" w:rsidP="00354B3B">
            <w:pPr>
              <w:pStyle w:val="AERtabletextleft"/>
              <w:rPr>
                <w:rStyle w:val="AERtextsize8"/>
              </w:rPr>
            </w:pPr>
            <w:r w:rsidRPr="00E67313">
              <w:rPr>
                <w:rStyle w:val="AERtextsize8"/>
              </w:rPr>
              <w:t>Metering types 5 and 6 and smart meters - unregulated service –</w:t>
            </w:r>
            <w:r w:rsidRPr="00354B3B">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354B3B" w:rsidRPr="0082367D" w:rsidTr="00105B47">
        <w:trPr>
          <w:cnfStyle w:val="000000010000" w:firstRow="0" w:lastRow="0" w:firstColumn="0" w:lastColumn="0" w:oddVBand="0" w:evenVBand="0" w:oddHBand="0" w:evenHBand="1" w:firstRowFirstColumn="0" w:firstRowLastColumn="0" w:lastRowFirstColumn="0" w:lastRowLastColumn="0"/>
        </w:trPr>
        <w:tc>
          <w:tcPr>
            <w:tcW w:w="2518" w:type="dxa"/>
          </w:tcPr>
          <w:p w:rsidR="00354B3B" w:rsidRPr="00E67313" w:rsidRDefault="00354B3B" w:rsidP="00354B3B">
            <w:pPr>
              <w:pStyle w:val="AERtabletextleft"/>
              <w:rPr>
                <w:rStyle w:val="AERtextsize8"/>
              </w:rPr>
            </w:pPr>
            <w:r w:rsidRPr="00E67313">
              <w:rPr>
                <w:rStyle w:val="AERtextsize8"/>
              </w:rPr>
              <w:t xml:space="preserve">Meter type 7 – Alternative </w:t>
            </w:r>
            <w:r w:rsidRPr="00E67313">
              <w:rPr>
                <w:rStyle w:val="AERtextsize8"/>
              </w:rPr>
              <w:lastRenderedPageBreak/>
              <w:t>control</w:t>
            </w:r>
          </w:p>
        </w:tc>
        <w:tc>
          <w:tcPr>
            <w:tcW w:w="6175" w:type="dxa"/>
          </w:tcPr>
          <w:p w:rsidR="00354B3B" w:rsidRPr="00E67313" w:rsidRDefault="00354B3B" w:rsidP="00354B3B">
            <w:pPr>
              <w:pStyle w:val="AERtabletextleft"/>
              <w:rPr>
                <w:rStyle w:val="AERtextsize8"/>
              </w:rPr>
            </w:pPr>
            <w:r w:rsidRPr="00E67313">
              <w:rPr>
                <w:rStyle w:val="AERtextsize8"/>
              </w:rPr>
              <w:lastRenderedPageBreak/>
              <w:t>Meter type 7 – Alternative control</w:t>
            </w:r>
          </w:p>
        </w:tc>
      </w:tr>
      <w:tr w:rsidR="00354B3B" w:rsidRPr="0082367D" w:rsidTr="00105B47">
        <w:tc>
          <w:tcPr>
            <w:tcW w:w="2518" w:type="dxa"/>
          </w:tcPr>
          <w:p w:rsidR="00354B3B" w:rsidRPr="00E67313" w:rsidRDefault="00354B3B" w:rsidP="00354B3B">
            <w:pPr>
              <w:pStyle w:val="AERtabletextleft"/>
              <w:rPr>
                <w:rStyle w:val="AERtextsize8"/>
              </w:rPr>
            </w:pPr>
            <w:r w:rsidRPr="00E67313">
              <w:rPr>
                <w:rStyle w:val="AERtextsize8"/>
              </w:rPr>
              <w:lastRenderedPageBreak/>
              <w:t>Auxiliary metering services – alternative control</w:t>
            </w:r>
          </w:p>
        </w:tc>
        <w:tc>
          <w:tcPr>
            <w:tcW w:w="6175" w:type="dxa"/>
          </w:tcPr>
          <w:p w:rsidR="00354B3B" w:rsidRPr="00E67313" w:rsidRDefault="00354B3B" w:rsidP="00354B3B">
            <w:pPr>
              <w:pStyle w:val="AERtabletextleft"/>
              <w:rPr>
                <w:rStyle w:val="AERtextsize8"/>
              </w:rPr>
            </w:pPr>
            <w:r w:rsidRPr="00E67313">
              <w:rPr>
                <w:rStyle w:val="AERtextsize8"/>
              </w:rPr>
              <w:t>Auxiliary metering services – Alternative control</w:t>
            </w:r>
          </w:p>
        </w:tc>
      </w:tr>
    </w:tbl>
    <w:p w:rsidR="00354B3B" w:rsidRDefault="00354B3B" w:rsidP="00453B17">
      <w:pPr>
        <w:pStyle w:val="AERtablesource"/>
        <w:rPr>
          <w:rStyle w:val="AERtextsize10"/>
        </w:rPr>
      </w:pPr>
      <w:r w:rsidRPr="00453B17">
        <w:rPr>
          <w:rStyle w:val="AERtextsize10"/>
          <w:sz w:val="16"/>
        </w:rPr>
        <w:t xml:space="preserve">Source: </w:t>
      </w:r>
      <w:r w:rsidR="008E3CF9">
        <w:rPr>
          <w:rStyle w:val="AERtextsize10"/>
          <w:sz w:val="16"/>
        </w:rPr>
        <w:tab/>
      </w:r>
      <w:r w:rsidRPr="00453B17">
        <w:rPr>
          <w:rStyle w:val="AERtextsize10"/>
          <w:sz w:val="16"/>
        </w:rPr>
        <w:t xml:space="preserve">AER </w:t>
      </w:r>
      <w:r w:rsidR="008E3CF9">
        <w:rPr>
          <w:rStyle w:val="AERtextsize10"/>
          <w:sz w:val="16"/>
        </w:rPr>
        <w:t>analysis.</w:t>
      </w:r>
    </w:p>
    <w:p w:rsidR="00673A2B" w:rsidRDefault="00673A2B" w:rsidP="00673A2B">
      <w:pPr>
        <w:pStyle w:val="Heading3"/>
      </w:pPr>
      <w:bookmarkStart w:id="24" w:name="_Toc416787191"/>
      <w:bookmarkStart w:id="25" w:name="_Toc451528203"/>
      <w:r>
        <w:t>Exit fees</w:t>
      </w:r>
      <w:bookmarkEnd w:id="24"/>
      <w:bookmarkEnd w:id="25"/>
    </w:p>
    <w:p w:rsidR="00F50FCD" w:rsidRDefault="00796423" w:rsidP="00A42657">
      <w:r>
        <w:t>In developing the rules with respect to competition in metering, t</w:t>
      </w:r>
      <w:r w:rsidR="009B2E07" w:rsidRPr="00105A51">
        <w:t>he AEMC recognise</w:t>
      </w:r>
      <w:r w:rsidR="00D93ED1">
        <w:t>d</w:t>
      </w:r>
      <w:r w:rsidR="009B2E07" w:rsidRPr="00105A51">
        <w:t xml:space="preserve"> that large exit fees for customers wishing to switch to alternative meter providers </w:t>
      </w:r>
      <w:r w:rsidR="009B2E07">
        <w:t>may</w:t>
      </w:r>
      <w:r w:rsidR="009B2E07" w:rsidRPr="00105A51">
        <w:t xml:space="preserve"> hinder development of a competitive market for metering services.</w:t>
      </w:r>
      <w:r w:rsidR="009B2E07">
        <w:rPr>
          <w:rStyle w:val="FootnoteReference"/>
        </w:rPr>
        <w:footnoteReference w:id="44"/>
      </w:r>
      <w:r w:rsidR="009B2E07" w:rsidRPr="00105A51">
        <w:t xml:space="preserve"> </w:t>
      </w:r>
      <w:r w:rsidR="00230285">
        <w:t xml:space="preserve">The AEMC issued its final rule determination on expanding </w:t>
      </w:r>
      <w:r w:rsidR="004102C7">
        <w:t>competition</w:t>
      </w:r>
      <w:r w:rsidR="00230285">
        <w:t xml:space="preserve"> in metering on 26 November 2015. As part of its determination, it stated that until 31 December 2020, the exit fee payable will be determined by the AER in accordance with the AMI Cost Recovery Order. After 2020, the AER will determine the level of any exit fee in accordance with the regulatory framework in Chapter 6 of the NER that applies to other jurisdictions.</w:t>
      </w:r>
      <w:r w:rsidR="00230285">
        <w:rPr>
          <w:rStyle w:val="FootnoteReference"/>
        </w:rPr>
        <w:footnoteReference w:id="45"/>
      </w:r>
      <w:r w:rsidR="00230285">
        <w:t xml:space="preserve"> </w:t>
      </w:r>
      <w:r w:rsidR="004E02E1" w:rsidRPr="00105A51" w:rsidDel="004E02E1">
        <w:t xml:space="preserve"> </w:t>
      </w:r>
      <w:r w:rsidR="00230285">
        <w:t>T</w:t>
      </w:r>
      <w:r w:rsidR="00F50FCD">
        <w:t xml:space="preserve">he </w:t>
      </w:r>
      <w:r>
        <w:t xml:space="preserve">Victorian </w:t>
      </w:r>
      <w:r w:rsidR="00F50FCD">
        <w:t xml:space="preserve">AMI </w:t>
      </w:r>
      <w:r w:rsidR="003E5C70">
        <w:t xml:space="preserve">Order </w:t>
      </w:r>
      <w:r>
        <w:t xml:space="preserve">states </w:t>
      </w:r>
      <w:r w:rsidR="00F50FCD">
        <w:t xml:space="preserve">that an exit fee must be </w:t>
      </w:r>
      <w:r w:rsidR="00A95525">
        <w:t xml:space="preserve">paid </w:t>
      </w:r>
      <w:r w:rsidR="00F50FCD">
        <w:t>to each distributor where a residential or small business customer switches to an alternative metering provider.</w:t>
      </w:r>
      <w:r w:rsidR="0018773D">
        <w:t xml:space="preserve"> </w:t>
      </w:r>
      <w:r w:rsidR="00F50FCD">
        <w:t xml:space="preserve">The AMI </w:t>
      </w:r>
      <w:r w:rsidR="003E5C70">
        <w:t>Order</w:t>
      </w:r>
      <w:r w:rsidR="00F50FCD">
        <w:t xml:space="preserve"> </w:t>
      </w:r>
      <w:r w:rsidR="00A765D6">
        <w:t>states</w:t>
      </w:r>
      <w:r w:rsidR="00C21C43">
        <w:t xml:space="preserve"> and</w:t>
      </w:r>
      <w:r w:rsidR="00F50FCD">
        <w:t xml:space="preserve"> clause 11.17.6(b) of the NER </w:t>
      </w:r>
      <w:r w:rsidR="00C21C43">
        <w:t>state</w:t>
      </w:r>
      <w:r w:rsidR="002070E1">
        <w:t>s</w:t>
      </w:r>
      <w:r w:rsidR="00F50FCD">
        <w:t>:</w:t>
      </w:r>
    </w:p>
    <w:p w:rsidR="00F03B56" w:rsidRDefault="00F50FCD" w:rsidP="0018773D">
      <w:pPr>
        <w:pStyle w:val="AERquote"/>
      </w:pPr>
      <w:r w:rsidRPr="00F50FCD">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F50FCD" w:rsidRPr="00F50FCD" w:rsidRDefault="00230285" w:rsidP="0018773D">
      <w:r>
        <w:t>The AEMC's final rule determination and the above</w:t>
      </w:r>
      <w:r w:rsidR="0018773D">
        <w:t xml:space="preserve"> clause limit our discretion</w:t>
      </w:r>
      <w:r w:rsidR="00624FA5">
        <w:t xml:space="preserve">, but </w:t>
      </w:r>
      <w:r w:rsidR="00796423">
        <w:t xml:space="preserve">we </w:t>
      </w:r>
      <w:r w:rsidR="00624FA5">
        <w:t xml:space="preserve">acknowledge Vector Limited's submission </w:t>
      </w:r>
      <w:r w:rsidR="00D93ED1">
        <w:t xml:space="preserve">that </w:t>
      </w:r>
      <w:r>
        <w:t>allowing exi</w:t>
      </w:r>
      <w:r w:rsidR="00457EE0">
        <w:t xml:space="preserve">t fees to remain until 2020 </w:t>
      </w:r>
      <w:r>
        <w:t>create</w:t>
      </w:r>
      <w:r w:rsidR="00457EE0">
        <w:t>s a barrier to increasing</w:t>
      </w:r>
      <w:r>
        <w:t xml:space="preserve"> competition</w:t>
      </w:r>
      <w:r w:rsidR="00624FA5">
        <w:t>.</w:t>
      </w:r>
      <w:r w:rsidR="00624FA5">
        <w:rPr>
          <w:rStyle w:val="FootnoteReference"/>
        </w:rPr>
        <w:footnoteReference w:id="46"/>
      </w:r>
      <w:r w:rsidR="0018773D">
        <w:t xml:space="preserve"> Any fee determined will need to comply with this clause in calculating an exit fee</w:t>
      </w:r>
      <w:r w:rsidR="00554FB6">
        <w:t xml:space="preserve"> or a restoration fee</w:t>
      </w:r>
      <w:r w:rsidR="0018773D">
        <w:t>.</w:t>
      </w:r>
      <w:r w:rsidR="00677C7A">
        <w:rPr>
          <w:rStyle w:val="FootnoteReference"/>
        </w:rPr>
        <w:footnoteReference w:id="47"/>
      </w:r>
      <w:r w:rsidR="0018773D">
        <w:t xml:space="preserve"> As stated above, metering services provided to residential and small business customers by the distribut</w:t>
      </w:r>
      <w:r w:rsidR="00C17A55">
        <w:t>o</w:t>
      </w:r>
      <w:r w:rsidR="0018773D">
        <w:t xml:space="preserve">r under the AMI </w:t>
      </w:r>
      <w:r w:rsidR="003E5C70">
        <w:t xml:space="preserve">Order </w:t>
      </w:r>
      <w:r w:rsidR="0018773D">
        <w:t>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0B0CF0">
        <w:t>s</w:t>
      </w:r>
      <w:r w:rsidR="0018773D">
        <w:t xml:space="preserve"> will </w:t>
      </w:r>
      <w:r w:rsidR="00114406">
        <w:t>face an exit fee</w:t>
      </w:r>
      <w:r w:rsidR="0018773D">
        <w:t>.</w:t>
      </w:r>
      <w:r w:rsidR="00D2218D">
        <w:rPr>
          <w:rStyle w:val="FootnoteReference"/>
        </w:rPr>
        <w:footnoteReference w:id="48"/>
      </w:r>
      <w:r w:rsidR="0018773D">
        <w:t xml:space="preserve"> </w:t>
      </w:r>
    </w:p>
    <w:p w:rsidR="0018773D" w:rsidRPr="005D5366" w:rsidRDefault="00D96B89" w:rsidP="002D4501">
      <w:r>
        <w:lastRenderedPageBreak/>
        <w:t>Specifically, the Vic</w:t>
      </w:r>
      <w:r w:rsidR="002D4501">
        <w:t>torian</w:t>
      </w:r>
      <w:r>
        <w:t xml:space="preserve"> distributors </w:t>
      </w:r>
      <w:r w:rsidR="00457EE0">
        <w:t xml:space="preserve">in their initial </w:t>
      </w:r>
      <w:r w:rsidR="004102C7">
        <w:t>proposals</w:t>
      </w:r>
      <w:r w:rsidR="00457EE0">
        <w:t xml:space="preserve"> submitted</w:t>
      </w:r>
      <w:r w:rsidR="0018773D">
        <w:t xml:space="preserve"> that a</w:t>
      </w:r>
      <w:r w:rsidR="0018773D" w:rsidRPr="005D5366">
        <w:t xml:space="preserve"> meter exit fee is to be paid by a retailer to</w:t>
      </w:r>
      <w:r w:rsidR="002D4501">
        <w:t xml:space="preserve"> the respective distributor</w:t>
      </w:r>
      <w:r w:rsidR="0018773D" w:rsidRPr="005D5366">
        <w:t xml:space="preserve"> where:</w:t>
      </w:r>
      <w:r w:rsidR="0018773D">
        <w:rPr>
          <w:rStyle w:val="FootnoteReference"/>
        </w:rPr>
        <w:footnoteReference w:id="49"/>
      </w:r>
    </w:p>
    <w:p w:rsidR="0018773D" w:rsidRPr="005D5366" w:rsidRDefault="0018773D" w:rsidP="0018773D">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rsidR="002D4501">
        <w:t>a Victorian distributor</w:t>
      </w:r>
    </w:p>
    <w:p w:rsidR="0018773D" w:rsidRDefault="0018773D" w:rsidP="0018773D">
      <w:pPr>
        <w:pStyle w:val="AERbulletlistfirststyle"/>
      </w:pPr>
      <w:r w:rsidRPr="005D5366">
        <w:t xml:space="preserve">the responsible person in respect of that metering installation immediately prior to that time was </w:t>
      </w:r>
      <w:r w:rsidR="002D4501">
        <w:t>a Victorian distributor</w:t>
      </w:r>
      <w:r w:rsidRPr="005D5366">
        <w:t>.</w:t>
      </w:r>
    </w:p>
    <w:p w:rsidR="00485778" w:rsidRDefault="00D96B89" w:rsidP="00A42657">
      <w:r>
        <w:t>The retailer would charge th</w:t>
      </w:r>
      <w:r w:rsidR="002D4501">
        <w:t xml:space="preserve">e exit fee back to the customer </w:t>
      </w:r>
      <w:r w:rsidR="00554FB6">
        <w:t xml:space="preserve">who has elected to </w:t>
      </w:r>
      <w:r w:rsidR="002D4501">
        <w:t>switch metering provider</w:t>
      </w:r>
      <w:r w:rsidR="000B0CF0">
        <w:t>s</w:t>
      </w:r>
      <w:r w:rsidR="00416B98">
        <w:t xml:space="preserve"> or, for commercial reasons, may elect to absorb the cost themselves</w:t>
      </w:r>
      <w:r w:rsidR="002D4501">
        <w:t>.</w:t>
      </w:r>
    </w:p>
    <w:p w:rsidR="00911CA8" w:rsidRDefault="008E0D16" w:rsidP="00911CA8">
      <w:r>
        <w:rPr>
          <w:rStyle w:val="AERbody"/>
        </w:rPr>
        <w:t xml:space="preserve">We </w:t>
      </w:r>
      <w:r w:rsidR="00911CA8">
        <w:rPr>
          <w:rStyle w:val="AERbody"/>
        </w:rPr>
        <w:t>acknowledge</w:t>
      </w:r>
      <w:r w:rsidRPr="005B06FC">
        <w:rPr>
          <w:rStyle w:val="AERbody"/>
        </w:rPr>
        <w:t xml:space="preserve"> that exit fees will impact the rate of transition to a fully competitive market in metering services. However, clause 11.17.6 (b) </w:t>
      </w:r>
      <w:r w:rsidR="0003418D">
        <w:rPr>
          <w:rStyle w:val="AERbody"/>
        </w:rPr>
        <w:t xml:space="preserve">of the NER and the AMI Order </w:t>
      </w:r>
      <w:r w:rsidR="00627402">
        <w:rPr>
          <w:rStyle w:val="AERbody"/>
        </w:rPr>
        <w:t xml:space="preserve">make it clear that </w:t>
      </w:r>
      <w:r w:rsidRPr="005B06FC">
        <w:rPr>
          <w:rStyle w:val="AERbody"/>
        </w:rPr>
        <w:t>an exit</w:t>
      </w:r>
      <w:r w:rsidR="00114406">
        <w:rPr>
          <w:rStyle w:val="AERbody"/>
        </w:rPr>
        <w:t xml:space="preserve"> fee</w:t>
      </w:r>
      <w:r w:rsidR="0003418D">
        <w:rPr>
          <w:rStyle w:val="AERbody"/>
        </w:rPr>
        <w:t xml:space="preserve"> is payable</w:t>
      </w:r>
      <w:r w:rsidRPr="005B06FC">
        <w:rPr>
          <w:rStyle w:val="AERbody"/>
        </w:rPr>
        <w:t xml:space="preserve">. In determining the components of those fees, </w:t>
      </w:r>
      <w:r w:rsidR="00624FA5">
        <w:rPr>
          <w:rStyle w:val="AERbody"/>
        </w:rPr>
        <w:t>we</w:t>
      </w:r>
      <w:r w:rsidRPr="005B06FC">
        <w:rPr>
          <w:rStyle w:val="AERbody"/>
        </w:rPr>
        <w:t xml:space="preserve"> will have regard to minimising the negative effects on competition</w:t>
      </w:r>
      <w:r w:rsidR="00911CA8">
        <w:rPr>
          <w:rStyle w:val="AERbody"/>
        </w:rPr>
        <w:t xml:space="preserve"> and barriers to customers switching to an alternative metering provider</w:t>
      </w:r>
      <w:r w:rsidRPr="005B06FC">
        <w:rPr>
          <w:rStyle w:val="AERbody"/>
        </w:rPr>
        <w:t>.</w:t>
      </w:r>
      <w:r>
        <w:rPr>
          <w:rStyle w:val="FootnoteReference"/>
        </w:rPr>
        <w:footnoteReference w:id="50"/>
      </w:r>
      <w:r w:rsidR="00624FA5">
        <w:rPr>
          <w:rStyle w:val="AERbody"/>
        </w:rPr>
        <w:t xml:space="preserve"> </w:t>
      </w:r>
      <w:r w:rsidR="00911CA8">
        <w:t xml:space="preserve">The method and cost inputs used to derive the exit fees proposed by each of the Victorian distributors are considered in attachment </w:t>
      </w:r>
      <w:r w:rsidR="00624FA5">
        <w:t>16</w:t>
      </w:r>
      <w:r w:rsidR="00ED5329">
        <w:t xml:space="preserve"> – </w:t>
      </w:r>
      <w:r w:rsidR="00846A51">
        <w:t>a</w:t>
      </w:r>
      <w:r w:rsidR="00ED5329">
        <w:t>lternative control services</w:t>
      </w:r>
      <w:r w:rsidR="00911CA8">
        <w:t xml:space="preserve">. </w:t>
      </w:r>
    </w:p>
    <w:p w:rsidR="006F50D9" w:rsidRDefault="009461F6" w:rsidP="006F50D9">
      <w:pPr>
        <w:pStyle w:val="Heading3"/>
      </w:pPr>
      <w:bookmarkStart w:id="26" w:name="_Toc451528204"/>
      <w:r>
        <w:t>New c</w:t>
      </w:r>
      <w:r w:rsidR="006F50D9">
        <w:t>ustomer connection</w:t>
      </w:r>
      <w:r w:rsidR="00C746F9">
        <w:t>s</w:t>
      </w:r>
      <w:r>
        <w:t xml:space="preserve"> requiring augmentation</w:t>
      </w:r>
      <w:bookmarkEnd w:id="26"/>
    </w:p>
    <w:p w:rsidR="00293EB0" w:rsidRPr="00615F52" w:rsidRDefault="00293EB0" w:rsidP="00615F52">
      <w:r w:rsidRPr="00615F52">
        <w:t>The Victorian distributors, in their revised proposals, noted that the Victorian Government will adopt NECF during the 2016−20 regulatory control period</w:t>
      </w:r>
      <w:r w:rsidR="00E90C9F">
        <w:t>.</w:t>
      </w:r>
      <w:r w:rsidR="00615F52" w:rsidRPr="00615F52">
        <w:rPr>
          <w:rStyle w:val="AERsuperscript"/>
        </w:rPr>
        <w:footnoteReference w:id="51"/>
      </w:r>
      <w:r w:rsidRPr="00615F52">
        <w:t xml:space="preserve"> </w:t>
      </w:r>
      <w:r w:rsidR="00E90C9F">
        <w:t>H</w:t>
      </w:r>
      <w:r w:rsidRPr="00615F52">
        <w:t>owever</w:t>
      </w:r>
      <w:r w:rsidR="00E90C9F">
        <w:t>,</w:t>
      </w:r>
      <w:r w:rsidRPr="00615F52">
        <w:t xml:space="preserve"> the timing remains unclear. </w:t>
      </w:r>
    </w:p>
    <w:p w:rsidR="0062420A" w:rsidRDefault="00605FD4" w:rsidP="000A77C0">
      <w:r>
        <w:t xml:space="preserve">We regulate new customer connections requiring augmentation as standard control services. However, </w:t>
      </w:r>
      <w:r w:rsidR="00647206">
        <w:t>the Essential Service</w:t>
      </w:r>
      <w:r w:rsidR="00526345">
        <w:t>s</w:t>
      </w:r>
      <w:r w:rsidR="00647206">
        <w:t xml:space="preserve"> Commission of Victoria oversees Victorian Electricity Industry Guideline 14 relating to new connections requiring augmentation. </w:t>
      </w:r>
    </w:p>
    <w:p w:rsidR="00E47049" w:rsidRDefault="00605FD4" w:rsidP="000A77C0">
      <w:r>
        <w:t xml:space="preserve">AusNet </w:t>
      </w:r>
      <w:r w:rsidR="0068596C">
        <w:t xml:space="preserve">Services </w:t>
      </w:r>
      <w:r>
        <w:t xml:space="preserve">submitted </w:t>
      </w:r>
      <w:r w:rsidR="00E47049">
        <w:t xml:space="preserve">that </w:t>
      </w:r>
      <w:r w:rsidR="00114406">
        <w:t>a shift from Guideline 14 to NECF will</w:t>
      </w:r>
      <w:r>
        <w:t xml:space="preserve"> require a </w:t>
      </w:r>
      <w:r w:rsidR="00625DF5">
        <w:t>re</w:t>
      </w:r>
      <w:r>
        <w:t>consideration of the service classification.</w:t>
      </w:r>
      <w:r w:rsidR="00625DF5">
        <w:rPr>
          <w:rStyle w:val="FootnoteReference"/>
        </w:rPr>
        <w:footnoteReference w:id="52"/>
      </w:r>
      <w:r>
        <w:t xml:space="preserve"> </w:t>
      </w:r>
      <w:r w:rsidR="00E47049">
        <w:t xml:space="preserve">However, AusNet Services did not specify what changes may be required. </w:t>
      </w:r>
    </w:p>
    <w:p w:rsidR="002E0868" w:rsidRDefault="002E0868" w:rsidP="000A77C0">
      <w:r>
        <w:t>In response to an AER information request, AusNet Services stated:</w:t>
      </w:r>
      <w:r>
        <w:rPr>
          <w:rStyle w:val="FootnoteReference"/>
        </w:rPr>
        <w:footnoteReference w:id="53"/>
      </w:r>
    </w:p>
    <w:p w:rsidR="002E0868" w:rsidRDefault="002E0868" w:rsidP="006D3676">
      <w:pPr>
        <w:pStyle w:val="AERquoteindent1"/>
      </w:pPr>
      <w:r w:rsidRPr="002E0868">
        <w:lastRenderedPageBreak/>
        <w:t>AusNet Services is not amending its relevant service classifications for the 2016-20 regulatory period. While the AER’s Connection Charge Guideline leaves flexibility for the reclassification of connection services there was insufficient time available for AusNet Services to properly consider and consult its customers on this issue before submitting its Revised Proposal. As such, the potential reclassification of services is a matter which AusNet Services intends to address in the next (2021-25) regulatory reset, in consultation with its stakeholders.</w:t>
      </w:r>
    </w:p>
    <w:p w:rsidR="007F51AE" w:rsidRDefault="00114406" w:rsidP="00AC2F49">
      <w:r>
        <w:t xml:space="preserve">Our </w:t>
      </w:r>
      <w:r w:rsidR="00615F52">
        <w:t xml:space="preserve">final </w:t>
      </w:r>
      <w:r>
        <w:t>decision is</w:t>
      </w:r>
      <w:r w:rsidR="00605FD4">
        <w:t xml:space="preserve"> to continue classifying new connections requiring augmentation as direct control and standard control services</w:t>
      </w:r>
      <w:r w:rsidR="00B7486E">
        <w:t>. This is because</w:t>
      </w:r>
      <w:r w:rsidR="00625DF5">
        <w:t xml:space="preserve"> they will continue to be subject to Guideline 14 or, if the Victorian Government adopts NECF</w:t>
      </w:r>
      <w:r w:rsidR="00416B98">
        <w:t>, the AER's Connection Guideline</w:t>
      </w:r>
      <w:r w:rsidR="00625DF5">
        <w:t>.</w:t>
      </w:r>
      <w:r w:rsidR="00625DF5">
        <w:rPr>
          <w:rStyle w:val="FootnoteReference"/>
        </w:rPr>
        <w:footnoteReference w:id="54"/>
      </w:r>
      <w:r w:rsidR="007F51AE">
        <w:t xml:space="preserve"> N</w:t>
      </w:r>
      <w:r w:rsidR="0076208B" w:rsidRPr="0076208B">
        <w:t xml:space="preserve">ew connections requiring augmentation are subject to limited contestability under Guideline 14. If </w:t>
      </w:r>
      <w:r w:rsidR="00625DF5">
        <w:t>this</w:t>
      </w:r>
      <w:r w:rsidR="0076208B" w:rsidRPr="0076208B">
        <w:t xml:space="preserve"> service </w:t>
      </w:r>
      <w:r w:rsidR="0056778B">
        <w:t>were</w:t>
      </w:r>
      <w:r w:rsidR="0056778B" w:rsidRPr="0076208B">
        <w:t xml:space="preserve"> </w:t>
      </w:r>
      <w:r w:rsidR="0076208B" w:rsidRPr="0076208B">
        <w:t xml:space="preserve">classified as </w:t>
      </w:r>
      <w:r w:rsidR="00625DF5">
        <w:t xml:space="preserve">an </w:t>
      </w:r>
      <w:r w:rsidR="0076208B" w:rsidRPr="0076208B">
        <w:t xml:space="preserve">alternative control or negotiated service, new customers </w:t>
      </w:r>
      <w:r w:rsidR="0056778B">
        <w:t>would</w:t>
      </w:r>
      <w:r w:rsidR="0056778B" w:rsidRPr="0076208B">
        <w:t xml:space="preserve"> </w:t>
      </w:r>
      <w:r w:rsidR="0076208B" w:rsidRPr="0076208B">
        <w:t xml:space="preserve">pay more for the connection service because the expected incremental network revenue </w:t>
      </w:r>
      <w:r w:rsidR="00890677">
        <w:t>would</w:t>
      </w:r>
      <w:r w:rsidR="00890677" w:rsidRPr="0076208B">
        <w:t xml:space="preserve"> </w:t>
      </w:r>
      <w:r w:rsidR="0076208B" w:rsidRPr="0076208B">
        <w:t xml:space="preserve">not be taken into consideration to offset the incremental cost for connection. This was the rationale </w:t>
      </w:r>
      <w:r w:rsidR="00890677">
        <w:t>for</w:t>
      </w:r>
      <w:r w:rsidR="00890677" w:rsidRPr="0076208B">
        <w:t xml:space="preserve"> </w:t>
      </w:r>
      <w:r w:rsidR="0076208B" w:rsidRPr="0076208B">
        <w:t>the current service classification.</w:t>
      </w:r>
      <w:r w:rsidR="007834DB">
        <w:rPr>
          <w:rStyle w:val="FootnoteReference"/>
        </w:rPr>
        <w:footnoteReference w:id="55"/>
      </w:r>
      <w:r w:rsidR="00416B98">
        <w:t xml:space="preserve"> </w:t>
      </w:r>
    </w:p>
    <w:p w:rsidR="00B127D7" w:rsidRDefault="00B127D7" w:rsidP="00B127D7"/>
    <w:p w:rsidR="00B127D7" w:rsidRPr="00B127D7" w:rsidRDefault="00B127D7" w:rsidP="00B127D7">
      <w:pPr>
        <w:sectPr w:rsidR="00B127D7" w:rsidRPr="00B127D7" w:rsidSect="004A0E39">
          <w:footerReference w:type="default" r:id="rId13"/>
          <w:pgSz w:w="11906" w:h="16838" w:code="9"/>
          <w:pgMar w:top="1440" w:right="1700" w:bottom="1582" w:left="1729" w:header="720" w:footer="0" w:gutter="0"/>
          <w:pgNumType w:chapStyle="1"/>
          <w:cols w:space="720"/>
          <w:docGrid w:linePitch="326"/>
        </w:sectPr>
      </w:pPr>
    </w:p>
    <w:p w:rsidR="00AC2F49" w:rsidRDefault="00AC2F49" w:rsidP="00AC2F49">
      <w:pPr>
        <w:pStyle w:val="Heading7"/>
      </w:pPr>
      <w:bookmarkStart w:id="27" w:name="_Toc416787194"/>
      <w:bookmarkStart w:id="28" w:name="_Toc451528205"/>
      <w:r>
        <w:lastRenderedPageBreak/>
        <w:t xml:space="preserve">AER </w:t>
      </w:r>
      <w:r w:rsidR="00065C83">
        <w:t xml:space="preserve">final </w:t>
      </w:r>
      <w:r>
        <w:t xml:space="preserve">decision on classification of </w:t>
      </w:r>
      <w:r w:rsidR="008213DA">
        <w:t xml:space="preserve">distribution </w:t>
      </w:r>
      <w:r>
        <w:t>services</w:t>
      </w:r>
      <w:bookmarkEnd w:id="27"/>
      <w:r w:rsidR="00DC0DD5">
        <w:t xml:space="preserve"> in Victoria</w:t>
      </w:r>
      <w:bookmarkEnd w:id="28"/>
    </w:p>
    <w:tbl>
      <w:tblPr>
        <w:tblStyle w:val="AERtable-text0"/>
        <w:tblW w:w="0" w:type="auto"/>
        <w:tblLook w:val="01E0" w:firstRow="1" w:lastRow="1" w:firstColumn="1" w:lastColumn="1" w:noHBand="0" w:noVBand="0"/>
      </w:tblPr>
      <w:tblGrid>
        <w:gridCol w:w="4165"/>
        <w:gridCol w:w="2770"/>
        <w:gridCol w:w="3402"/>
        <w:gridCol w:w="2835"/>
      </w:tblGrid>
      <w:tr w:rsidR="00D02B94" w:rsidRPr="00016553" w:rsidTr="00D02B94">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D02B94" w:rsidRPr="00D02B94" w:rsidRDefault="00D02B94" w:rsidP="00D02B94">
            <w:r w:rsidRPr="00016553">
              <w:t>Service group</w:t>
            </w:r>
          </w:p>
        </w:tc>
        <w:tc>
          <w:tcPr>
            <w:tcW w:w="3402" w:type="dxa"/>
          </w:tcPr>
          <w:p w:rsidR="00D02B94" w:rsidRPr="00D02B94" w:rsidRDefault="00D02B94" w:rsidP="00065C83">
            <w:r w:rsidRPr="00016553">
              <w:t xml:space="preserve">AER's </w:t>
            </w:r>
            <w:r w:rsidR="00065C83">
              <w:t xml:space="preserve">final </w:t>
            </w:r>
            <w:r w:rsidR="00FB4C43">
              <w:t>decision –</w:t>
            </w:r>
            <w:r w:rsidR="00FB4C43" w:rsidRPr="00016553">
              <w:t xml:space="preserve"> </w:t>
            </w:r>
            <w:r w:rsidRPr="00016553">
              <w:t>classification 2016</w:t>
            </w:r>
            <w:r>
              <w:rPr>
                <w:rFonts w:cs="Arial"/>
              </w:rPr>
              <w:t>−</w:t>
            </w:r>
            <w:r>
              <w:t>2</w:t>
            </w:r>
            <w:r w:rsidRPr="00D02B94">
              <w:t>0</w:t>
            </w:r>
          </w:p>
        </w:tc>
        <w:tc>
          <w:tcPr>
            <w:tcW w:w="2835" w:type="dxa"/>
          </w:tcPr>
          <w:p w:rsidR="00D02B94" w:rsidRPr="00D02B94" w:rsidRDefault="00D02B94" w:rsidP="00D02B94">
            <w:r w:rsidRPr="00016553">
              <w:t>Current classification 2011</w:t>
            </w:r>
            <w:r>
              <w:rPr>
                <w:rFonts w:cs="Arial"/>
              </w:rPr>
              <w:t>−</w:t>
            </w:r>
            <w:r w:rsidRPr="00D02B94">
              <w:t>15</w:t>
            </w:r>
          </w:p>
        </w:tc>
      </w:tr>
      <w:tr w:rsidR="00D02B94" w:rsidRPr="00016553" w:rsidTr="00D02B94">
        <w:tc>
          <w:tcPr>
            <w:tcW w:w="6935" w:type="dxa"/>
            <w:gridSpan w:val="2"/>
          </w:tcPr>
          <w:p w:rsidR="00D02B94" w:rsidRPr="00D02B94" w:rsidRDefault="00D02B94" w:rsidP="00D02B94">
            <w:pPr>
              <w:rPr>
                <w:rStyle w:val="Strong"/>
              </w:rPr>
            </w:pPr>
            <w:r w:rsidRPr="00016553">
              <w:rPr>
                <w:rStyle w:val="Strong"/>
              </w:rPr>
              <w:t>AER service group—network services</w:t>
            </w:r>
          </w:p>
        </w:tc>
        <w:tc>
          <w:tcPr>
            <w:tcW w:w="3402" w:type="dxa"/>
          </w:tcPr>
          <w:p w:rsidR="00D02B94" w:rsidRPr="00D02B94" w:rsidRDefault="00D02B94" w:rsidP="00D02B94">
            <w:pPr>
              <w:numPr>
                <w:ilvl w:val="0"/>
                <w:numId w:val="24"/>
              </w:numPr>
              <w:rPr>
                <w:rStyle w:val="Strong"/>
              </w:rPr>
            </w:pPr>
          </w:p>
        </w:tc>
        <w:tc>
          <w:tcPr>
            <w:tcW w:w="2835" w:type="dxa"/>
          </w:tcPr>
          <w:p w:rsidR="00D02B94" w:rsidRPr="00D02B94" w:rsidRDefault="00D02B94" w:rsidP="00D02B94">
            <w:pPr>
              <w:numPr>
                <w:ilvl w:val="0"/>
                <w:numId w:val="24"/>
              </w:numPr>
              <w:rPr>
                <w:rStyle w:val="Strong"/>
              </w:rPr>
            </w:pP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Planning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Designing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Constructing the distribution network</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 xml:space="preserve">Maintaining the distribution </w:t>
            </w:r>
            <w:r w:rsidRPr="00D02B94">
              <w:t>network and connection assets</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Operating the distribution network and connection assets for DNSP purposes</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Administrative support (call centre, billing, etc</w:t>
            </w:r>
            <w:r w:rsidR="001D3926">
              <w:t>.</w:t>
            </w:r>
            <w:r w:rsidRPr="00016553">
              <w:t>)</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016553">
              <w:t>Emergency response</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016553" w:rsidTr="00D02B94">
        <w:tc>
          <w:tcPr>
            <w:tcW w:w="6935" w:type="dxa"/>
            <w:gridSpan w:val="2"/>
          </w:tcPr>
          <w:p w:rsidR="00D02B94" w:rsidRPr="00D02B94" w:rsidRDefault="00D02B94" w:rsidP="00D02B94">
            <w:r w:rsidRPr="00016553">
              <w:t>Location of underground cables (dial before you dig)</w:t>
            </w:r>
          </w:p>
        </w:tc>
        <w:tc>
          <w:tcPr>
            <w:tcW w:w="3402" w:type="dxa"/>
          </w:tcPr>
          <w:p w:rsidR="00D02B94" w:rsidRPr="00D02B94" w:rsidRDefault="00D02B94" w:rsidP="00D02B94">
            <w:pPr>
              <w:numPr>
                <w:ilvl w:val="0"/>
                <w:numId w:val="24"/>
              </w:numPr>
            </w:pPr>
            <w:r w:rsidRPr="00016553">
              <w:t>Standard control</w:t>
            </w:r>
          </w:p>
        </w:tc>
        <w:tc>
          <w:tcPr>
            <w:tcW w:w="2835" w:type="dxa"/>
          </w:tcPr>
          <w:p w:rsidR="00D02B94" w:rsidRPr="00D02B94" w:rsidRDefault="00D02B94" w:rsidP="00D02B94">
            <w:pPr>
              <w:numPr>
                <w:ilvl w:val="0"/>
                <w:numId w:val="24"/>
              </w:numPr>
            </w:pPr>
            <w:r w:rsidRPr="00016553">
              <w:t>Standard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group—connection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02B94">
            <w:r w:rsidRPr="00AA60D2">
              <w:t>Routine connections - customers up to 100 amps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Routine connections - customers above 100 amps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New connections requiring augmentation</w:t>
            </w:r>
          </w:p>
        </w:tc>
        <w:tc>
          <w:tcPr>
            <w:tcW w:w="3402" w:type="dxa"/>
          </w:tcPr>
          <w:p w:rsidR="00D02B94" w:rsidRPr="00AA60D2" w:rsidRDefault="00D02B94" w:rsidP="00D02B94">
            <w:pPr>
              <w:numPr>
                <w:ilvl w:val="0"/>
                <w:numId w:val="24"/>
              </w:numPr>
            </w:pPr>
            <w:r w:rsidRPr="00AA60D2">
              <w:t>Standard control</w:t>
            </w:r>
          </w:p>
        </w:tc>
        <w:tc>
          <w:tcPr>
            <w:tcW w:w="2835" w:type="dxa"/>
          </w:tcPr>
          <w:p w:rsidR="00D02B94" w:rsidRPr="00AA60D2" w:rsidRDefault="00D02B94" w:rsidP="00D02B94">
            <w:pPr>
              <w:numPr>
                <w:ilvl w:val="0"/>
                <w:numId w:val="24"/>
              </w:numPr>
            </w:pPr>
            <w:r w:rsidRPr="00AA60D2">
              <w:t>Standard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Repair and replacement </w:t>
            </w:r>
            <w:r w:rsidRPr="00D02B94">
              <w:t>of routine connection</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(fee-based)</w:t>
            </w:r>
          </w:p>
        </w:tc>
        <w:tc>
          <w:tcPr>
            <w:tcW w:w="2835" w:type="dxa"/>
          </w:tcPr>
          <w:p w:rsidR="00D02B94" w:rsidRPr="00AA60D2" w:rsidRDefault="00D02B94" w:rsidP="00D02B94">
            <w:pPr>
              <w:numPr>
                <w:ilvl w:val="0"/>
                <w:numId w:val="24"/>
              </w:numPr>
            </w:pPr>
            <w:r w:rsidRPr="00AA60D2">
              <w:t>Alternative control (fee based)</w:t>
            </w:r>
          </w:p>
        </w:tc>
      </w:tr>
      <w:tr w:rsidR="00D02B94" w:rsidRPr="00AA60D2" w:rsidTr="00D02B94">
        <w:tc>
          <w:tcPr>
            <w:tcW w:w="6935" w:type="dxa"/>
            <w:gridSpan w:val="2"/>
          </w:tcPr>
          <w:p w:rsidR="00D02B94" w:rsidRPr="00D02B94" w:rsidRDefault="00D02B94" w:rsidP="00D02B94">
            <w:r w:rsidRPr="00AA60D2">
              <w:lastRenderedPageBreak/>
              <w:t>Supply enhancement at customer request</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Customer initiated undergrounding and/or rearrangement of distribution assets serving that customer</w:t>
            </w:r>
            <w:r w:rsidRPr="00D02B94">
              <w:rPr>
                <w:rStyle w:val="FootnoteReference"/>
              </w:rPr>
              <w:footnoteReference w:id="56"/>
            </w:r>
          </w:p>
        </w:tc>
        <w:tc>
          <w:tcPr>
            <w:tcW w:w="3402" w:type="dxa"/>
          </w:tcPr>
          <w:p w:rsidR="00D02B94" w:rsidRPr="00AA60D2" w:rsidRDefault="00D02B94" w:rsidP="00D02B94">
            <w:pPr>
              <w:numPr>
                <w:ilvl w:val="0"/>
                <w:numId w:val="24"/>
              </w:numPr>
              <w:rPr>
                <w:rStyle w:val="AERtextsize8"/>
              </w:rPr>
            </w:pPr>
            <w:r w:rsidRPr="00AA60D2">
              <w:rPr>
                <w:rStyle w:val="AERtextsize8"/>
              </w:rPr>
              <w:t>Standard control</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Supply abolishment (&gt;100 amps)</w:t>
            </w:r>
          </w:p>
        </w:tc>
        <w:tc>
          <w:tcPr>
            <w:tcW w:w="3402" w:type="dxa"/>
          </w:tcPr>
          <w:p w:rsidR="00D02B94" w:rsidRPr="00AA60D2" w:rsidRDefault="00D02B94" w:rsidP="00D02B94">
            <w:pPr>
              <w:numPr>
                <w:ilvl w:val="0"/>
                <w:numId w:val="24"/>
              </w:numPr>
              <w:rPr>
                <w:rStyle w:val="AERtextsize8"/>
              </w:r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Supply abolishment (up to 100amps)</w:t>
            </w:r>
          </w:p>
        </w:tc>
        <w:tc>
          <w:tcPr>
            <w:tcW w:w="3402" w:type="dxa"/>
          </w:tcPr>
          <w:p w:rsidR="00D02B94" w:rsidRPr="00AA60D2" w:rsidRDefault="00D02B94" w:rsidP="00D02B94">
            <w:pPr>
              <w:numPr>
                <w:ilvl w:val="0"/>
                <w:numId w:val="24"/>
              </w:numPr>
              <w:rPr>
                <w:rStyle w:val="AERtextsize8"/>
              </w:rPr>
            </w:pPr>
            <w:r w:rsidRPr="00AA60D2">
              <w:rPr>
                <w:rStyle w:val="AERtextsize8"/>
              </w:rPr>
              <w:t>Standard control</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 xml:space="preserve">Temporary </w:t>
            </w:r>
            <w:r w:rsidRPr="00D02B94">
              <w:t>disconnect/reconnect services</w:t>
            </w:r>
            <w:r w:rsidR="00391032">
              <w:rPr>
                <w:rStyle w:val="FootnoteReference"/>
              </w:rPr>
              <w:footnoteReference w:id="57"/>
            </w:r>
          </w:p>
        </w:tc>
        <w:tc>
          <w:tcPr>
            <w:tcW w:w="3402" w:type="dxa"/>
          </w:tcPr>
          <w:p w:rsidR="00D02B94" w:rsidRPr="00AA60D2" w:rsidRDefault="00D02B94" w:rsidP="00D02B94">
            <w:pPr>
              <w:numPr>
                <w:ilvl w:val="0"/>
                <w:numId w:val="24"/>
              </w:numPr>
            </w:pPr>
            <w:r w:rsidRPr="00AA60D2">
              <w:t>Alternative control (fee-based)</w:t>
            </w:r>
            <w:r w:rsidR="006949FF">
              <w:rPr>
                <w:rStyle w:val="FootnoteReference"/>
              </w:rPr>
              <w:footnoteReference w:id="58"/>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De-energisation of existing connections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Energisation of existing connections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PV &amp; small generator installation pre-approval (up to 5 kW)</w:t>
            </w:r>
            <w:r w:rsidR="00391032">
              <w:rPr>
                <w:rStyle w:val="FootnoteReference"/>
              </w:rPr>
              <w:footnoteReference w:id="59"/>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trHeight w:val="617"/>
        </w:trPr>
        <w:tc>
          <w:tcPr>
            <w:tcW w:w="6935" w:type="dxa"/>
            <w:gridSpan w:val="2"/>
          </w:tcPr>
          <w:p w:rsidR="00D02B94" w:rsidRPr="00D02B94" w:rsidRDefault="00D02B94" w:rsidP="00D02B94">
            <w:pPr>
              <w:pStyle w:val="AERtablesource"/>
              <w:rPr>
                <w:rStyle w:val="AERtextsize8"/>
              </w:rPr>
            </w:pPr>
            <w:r w:rsidRPr="0098097F">
              <w:rPr>
                <w:rStyle w:val="AERtextsize8"/>
              </w:rPr>
              <w:t>PV &amp; small generator installation pre-approval (&gt;5kW)</w:t>
            </w:r>
            <w:r w:rsidR="00391032">
              <w:rPr>
                <w:rStyle w:val="FootnoteReference"/>
              </w:rPr>
              <w:footnoteReference w:id="60"/>
            </w:r>
            <w:r w:rsidRPr="0098097F">
              <w:rPr>
                <w:rStyle w:val="AERtextsize8"/>
              </w:rPr>
              <w:t xml:space="preserve"> </w:t>
            </w:r>
          </w:p>
        </w:tc>
        <w:tc>
          <w:tcPr>
            <w:tcW w:w="3402" w:type="dxa"/>
          </w:tcPr>
          <w:p w:rsidR="00D02B94" w:rsidRPr="00AA60D2" w:rsidRDefault="00D02B94" w:rsidP="00D02B94">
            <w:pPr>
              <w:numPr>
                <w:ilvl w:val="0"/>
                <w:numId w:val="24"/>
              </w:numPr>
              <w:rPr>
                <w:rStyle w:val="Strong"/>
              </w:rPr>
            </w:pPr>
            <w:r w:rsidRPr="00AA60D2">
              <w:t>Alternative control (fee-based)</w:t>
            </w:r>
          </w:p>
        </w:tc>
        <w:tc>
          <w:tcPr>
            <w:tcW w:w="2835" w:type="dxa"/>
          </w:tcPr>
          <w:p w:rsidR="00D02B94" w:rsidRPr="00AA60D2" w:rsidRDefault="00D02B94" w:rsidP="00D02B94">
            <w:pPr>
              <w:numPr>
                <w:ilvl w:val="0"/>
                <w:numId w:val="24"/>
              </w:numPr>
              <w:rPr>
                <w:rStyle w:val="Strong"/>
              </w:r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lastRenderedPageBreak/>
              <w:t>AER service group—metering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02B94">
            <w:r w:rsidRPr="00AA60D2">
              <w:t>Installation, operation, repair &amp; maintenance, and replacement of type 1-4 metering installations (excluding smart meters)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Collection of meter data, </w:t>
            </w:r>
            <w:r w:rsidRPr="00D02B94">
              <w:t>processing and storage of meter data, and provision of access to meter data for type 1-4 metering installations (excluding smart meters)</w:t>
            </w:r>
          </w:p>
        </w:tc>
        <w:tc>
          <w:tcPr>
            <w:tcW w:w="3402" w:type="dxa"/>
          </w:tcPr>
          <w:p w:rsidR="00D02B94" w:rsidRPr="00D02B94" w:rsidRDefault="00D02B94" w:rsidP="00D02B94">
            <w:r w:rsidRPr="00AA60D2">
              <w:t>Unclassified</w:t>
            </w:r>
          </w:p>
        </w:tc>
        <w:tc>
          <w:tcPr>
            <w:tcW w:w="2835" w:type="dxa"/>
          </w:tcPr>
          <w:p w:rsidR="00D02B94" w:rsidRPr="00D02B94" w:rsidRDefault="00D02B94" w:rsidP="00D02B94">
            <w:r w:rsidRPr="00AA60D2">
              <w:t>Unclassified</w:t>
            </w:r>
          </w:p>
        </w:tc>
      </w:tr>
      <w:tr w:rsidR="00D02B94" w:rsidRPr="00AA60D2" w:rsidTr="00D02B94">
        <w:tc>
          <w:tcPr>
            <w:tcW w:w="6935" w:type="dxa"/>
            <w:gridSpan w:val="2"/>
          </w:tcPr>
          <w:p w:rsidR="00D02B94" w:rsidRPr="00D02B94" w:rsidRDefault="00D02B94" w:rsidP="00D02B94">
            <w:r w:rsidRPr="00AA60D2">
              <w:t>Operation of type 7 metering installations</w:t>
            </w:r>
          </w:p>
        </w:tc>
        <w:tc>
          <w:tcPr>
            <w:tcW w:w="3402" w:type="dxa"/>
          </w:tcPr>
          <w:p w:rsidR="00D02B94" w:rsidRPr="00D02B94" w:rsidRDefault="00D02B94" w:rsidP="00D02B94">
            <w:r w:rsidRPr="00AA60D2">
              <w:t>Alternate control</w:t>
            </w:r>
          </w:p>
        </w:tc>
        <w:tc>
          <w:tcPr>
            <w:tcW w:w="2835" w:type="dxa"/>
          </w:tcPr>
          <w:p w:rsidR="00D02B94" w:rsidRPr="00D02B94" w:rsidRDefault="00D02B94" w:rsidP="00D02B94">
            <w:r w:rsidRPr="00AA60D2">
              <w:t>Alternate control</w:t>
            </w:r>
          </w:p>
        </w:tc>
      </w:tr>
      <w:tr w:rsidR="00AE204D" w:rsidRPr="00AE204D"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AE204D" w:rsidRPr="00AE204D" w:rsidRDefault="00AE204D" w:rsidP="00D02B94">
            <w:pPr>
              <w:rPr>
                <w:rStyle w:val="AERtextorange"/>
              </w:rPr>
            </w:pPr>
            <w:r w:rsidRPr="00AE204D">
              <w:rPr>
                <w:rStyle w:val="AERtextorange"/>
              </w:rPr>
              <w:t>Prescribed metering services (public lighting) ─ a charge for reading meter data for a type 7 meter</w:t>
            </w:r>
          </w:p>
        </w:tc>
        <w:tc>
          <w:tcPr>
            <w:tcW w:w="3402" w:type="dxa"/>
          </w:tcPr>
          <w:p w:rsidR="00AE204D" w:rsidRPr="00AE204D" w:rsidRDefault="00AE204D" w:rsidP="00D02B94">
            <w:pPr>
              <w:rPr>
                <w:rStyle w:val="AERtextorange"/>
              </w:rPr>
            </w:pPr>
            <w:r>
              <w:rPr>
                <w:rStyle w:val="AERtextorange"/>
              </w:rPr>
              <w:t>Alternative control</w:t>
            </w:r>
          </w:p>
        </w:tc>
        <w:tc>
          <w:tcPr>
            <w:tcW w:w="2835" w:type="dxa"/>
          </w:tcPr>
          <w:p w:rsidR="00AE204D" w:rsidRPr="00AE204D" w:rsidRDefault="00AE204D" w:rsidP="00D02B94">
            <w:pPr>
              <w:rPr>
                <w:rStyle w:val="AERtextorange"/>
              </w:rPr>
            </w:pPr>
            <w:r>
              <w:rPr>
                <w:rStyle w:val="AERtextorange"/>
              </w:rPr>
              <w:t>Alternative control</w:t>
            </w:r>
          </w:p>
        </w:tc>
      </w:tr>
      <w:tr w:rsidR="00D02B94" w:rsidRPr="00AA60D2" w:rsidTr="00D02B94">
        <w:tc>
          <w:tcPr>
            <w:tcW w:w="6935" w:type="dxa"/>
            <w:gridSpan w:val="2"/>
          </w:tcPr>
          <w:p w:rsidR="00D02B94" w:rsidRPr="00D02B94" w:rsidRDefault="00D02B94" w:rsidP="00D02B94">
            <w:pPr>
              <w:rPr>
                <w:rStyle w:val="Strong"/>
              </w:rPr>
            </w:pPr>
            <w:r w:rsidRPr="00AA60D2">
              <w:rPr>
                <w:rStyle w:val="Strong"/>
              </w:rPr>
              <w:t xml:space="preserve">AER service </w:t>
            </w:r>
            <w:r w:rsidRPr="00D02B94">
              <w:rPr>
                <w:rStyle w:val="Strong"/>
              </w:rPr>
              <w:t>sub-group—regulated metering services</w:t>
            </w:r>
            <w:r w:rsidRPr="00D02B94">
              <w:t xml:space="preserve"> </w:t>
            </w:r>
            <w:r w:rsidRPr="00D02B94">
              <w:rPr>
                <w:rStyle w:val="Strong"/>
              </w:rPr>
              <w:t>for type 5, 6 and smart meters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Installation, operation, repair &amp; maintenance, and replacement of type 5-6 metering installations (including smart meters) </w:t>
            </w:r>
          </w:p>
        </w:tc>
        <w:tc>
          <w:tcPr>
            <w:tcW w:w="3402" w:type="dxa"/>
          </w:tcPr>
          <w:p w:rsidR="00D02B94" w:rsidRPr="00AA60D2" w:rsidRDefault="00D02B94" w:rsidP="00D02B94">
            <w:pPr>
              <w:numPr>
                <w:ilvl w:val="0"/>
                <w:numId w:val="24"/>
              </w:numPr>
            </w:pPr>
            <w:r w:rsidRPr="00AA60D2">
              <w:t>Alternative control (revenue cap)</w:t>
            </w:r>
          </w:p>
        </w:tc>
        <w:tc>
          <w:tcPr>
            <w:tcW w:w="2835" w:type="dxa"/>
          </w:tcPr>
          <w:p w:rsidR="00D02B94" w:rsidRPr="00AA60D2" w:rsidRDefault="00576046" w:rsidP="00D02B94">
            <w:pPr>
              <w:numPr>
                <w:ilvl w:val="0"/>
                <w:numId w:val="24"/>
              </w:numPr>
            </w:pPr>
            <w:r>
              <w:t>New service for 2016</w:t>
            </w:r>
            <w:r>
              <w:rPr>
                <w:rFonts w:cs="Arial"/>
              </w:rPr>
              <w:t>─</w:t>
            </w:r>
            <w:r>
              <w:t>20</w:t>
            </w:r>
          </w:p>
        </w:tc>
      </w:tr>
      <w:tr w:rsidR="00D02B94" w:rsidRPr="00AA60D2" w:rsidTr="00D02B94">
        <w:tc>
          <w:tcPr>
            <w:tcW w:w="6935" w:type="dxa"/>
            <w:gridSpan w:val="2"/>
          </w:tcPr>
          <w:p w:rsidR="00D02B94" w:rsidRPr="00D02B94" w:rsidRDefault="00D02B94" w:rsidP="00D02B94">
            <w:r w:rsidRPr="00AA60D2">
              <w:t xml:space="preserve">Collection of meter data, processing and storage of meter data, and provision of access to meter data for type 5-6 metering installations (including smart meters) </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Meter exit services</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r w:rsidR="00576046">
              <w:rPr>
                <w:rStyle w:val="FootnoteReference"/>
              </w:rPr>
              <w:footnoteReference w:id="61"/>
            </w:r>
          </w:p>
        </w:tc>
      </w:tr>
      <w:tr w:rsidR="00D02B94" w:rsidRPr="00AA60D2" w:rsidTr="00D02B94">
        <w:tc>
          <w:tcPr>
            <w:tcW w:w="6935" w:type="dxa"/>
            <w:gridSpan w:val="2"/>
          </w:tcPr>
          <w:p w:rsidR="00D02B94" w:rsidRPr="00D02B94" w:rsidRDefault="00D02B94" w:rsidP="00D02B94">
            <w:r w:rsidRPr="00AA60D2">
              <w:t>Meter restoration services</w:t>
            </w:r>
          </w:p>
        </w:tc>
        <w:tc>
          <w:tcPr>
            <w:tcW w:w="3402" w:type="dxa"/>
          </w:tcPr>
          <w:p w:rsidR="00D02B94" w:rsidRPr="00AA60D2" w:rsidRDefault="00D02B94" w:rsidP="00D02B94">
            <w:pPr>
              <w:numPr>
                <w:ilvl w:val="0"/>
                <w:numId w:val="24"/>
              </w:numPr>
            </w:pPr>
            <w:r w:rsidRPr="00AA60D2">
              <w:t>Alternative control</w:t>
            </w:r>
          </w:p>
        </w:tc>
        <w:tc>
          <w:tcPr>
            <w:tcW w:w="2835" w:type="dxa"/>
          </w:tcPr>
          <w:p w:rsidR="00D02B94" w:rsidRPr="00AA60D2" w:rsidRDefault="00D02B94" w:rsidP="00D02B94">
            <w:pPr>
              <w:numPr>
                <w:ilvl w:val="0"/>
                <w:numId w:val="24"/>
              </w:numPr>
            </w:pPr>
            <w:r w:rsidRPr="00AA60D2">
              <w:t>Unclassified</w:t>
            </w:r>
            <w:r w:rsidR="00576046">
              <w:rPr>
                <w:rStyle w:val="FootnoteReference"/>
              </w:rPr>
              <w:footnoteReference w:id="62"/>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Meter investigation</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lastRenderedPageBreak/>
              <w:t>Special meter read</w:t>
            </w:r>
            <w:r w:rsidR="00AE204D">
              <w:t xml:space="preserve"> </w:t>
            </w:r>
            <w:r w:rsidR="00AE204D" w:rsidRPr="00AE204D">
              <w:rPr>
                <w:rStyle w:val="AERtextorange"/>
              </w:rPr>
              <w:t>(including a manual meter read)</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 xml:space="preserve">Re-test of type 5 and 6 </w:t>
            </w:r>
            <w:r w:rsidRPr="00D02B94">
              <w:t>metering installations (including smart meters) for first tier customers with annual consumption greater than 160 MWh</w:t>
            </w:r>
            <w:r w:rsidR="00391032">
              <w:rPr>
                <w:rStyle w:val="FootnoteReference"/>
              </w:rPr>
              <w:footnoteReference w:id="63"/>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AE204D" w:rsidRPr="00AA60D2" w:rsidTr="00D02B94">
        <w:tc>
          <w:tcPr>
            <w:tcW w:w="6935" w:type="dxa"/>
            <w:gridSpan w:val="2"/>
          </w:tcPr>
          <w:p w:rsidR="00AE204D" w:rsidRPr="00AE204D" w:rsidRDefault="000871A9" w:rsidP="00AE204D">
            <w:pPr>
              <w:rPr>
                <w:rStyle w:val="AERtextorange"/>
              </w:rPr>
            </w:pPr>
            <w:r>
              <w:rPr>
                <w:rStyle w:val="AERtextorange"/>
              </w:rPr>
              <w:t>Customer to access metering data</w:t>
            </w:r>
          </w:p>
        </w:tc>
        <w:tc>
          <w:tcPr>
            <w:tcW w:w="3402" w:type="dxa"/>
          </w:tcPr>
          <w:p w:rsidR="00AE204D" w:rsidRPr="000871A9" w:rsidRDefault="000871A9" w:rsidP="00D02B94">
            <w:pPr>
              <w:numPr>
                <w:ilvl w:val="0"/>
                <w:numId w:val="24"/>
              </w:numPr>
              <w:rPr>
                <w:rStyle w:val="AERtextorange"/>
              </w:rPr>
            </w:pPr>
            <w:r w:rsidRPr="000871A9">
              <w:rPr>
                <w:rStyle w:val="AERtextorange"/>
              </w:rPr>
              <w:t>Alternative control</w:t>
            </w:r>
          </w:p>
        </w:tc>
        <w:tc>
          <w:tcPr>
            <w:tcW w:w="2835" w:type="dxa"/>
          </w:tcPr>
          <w:p w:rsidR="00AE204D" w:rsidRPr="00AA60D2" w:rsidRDefault="000871A9" w:rsidP="00D02B94">
            <w:pPr>
              <w:numPr>
                <w:ilvl w:val="0"/>
                <w:numId w:val="24"/>
              </w:numPr>
            </w:pPr>
            <w:r>
              <w:t>Alternative control</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sub-group—unregulated metering services for type 5, 6 and smart meters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8853A8" w:rsidTr="00D02B94">
        <w:tc>
          <w:tcPr>
            <w:tcW w:w="6935" w:type="dxa"/>
            <w:gridSpan w:val="2"/>
          </w:tcPr>
          <w:p w:rsidR="00D02B94" w:rsidRPr="00D02B94" w:rsidRDefault="00D02B94" w:rsidP="00D02B94">
            <w:r w:rsidRPr="00AA60D2">
              <w:t>Installation, operation, repair &amp; maintenance, and replacement of type 5-6 metering installations (including smart meters) to new customers</w:t>
            </w:r>
            <w:r w:rsidRPr="00D02B94">
              <w:rPr>
                <w:rStyle w:val="FootnoteReference"/>
              </w:rPr>
              <w:footnoteReference w:id="64"/>
            </w:r>
            <w:r w:rsidRPr="00D02B94">
              <w:t xml:space="preserve"> </w:t>
            </w:r>
          </w:p>
        </w:tc>
        <w:tc>
          <w:tcPr>
            <w:tcW w:w="3402" w:type="dxa"/>
          </w:tcPr>
          <w:p w:rsidR="00D02B94" w:rsidRPr="00D02B94" w:rsidRDefault="00D02B94" w:rsidP="00D02B94">
            <w:pPr>
              <w:pStyle w:val="FootnoteText"/>
            </w:pPr>
            <w:r w:rsidRPr="00AA60D2">
              <w:t>Unclassified</w:t>
            </w:r>
            <w:r w:rsidRPr="00D02B94">
              <w:t xml:space="preserve"> </w:t>
            </w:r>
          </w:p>
        </w:tc>
        <w:tc>
          <w:tcPr>
            <w:tcW w:w="2835" w:type="dxa"/>
          </w:tcPr>
          <w:p w:rsidR="00D02B94" w:rsidRPr="00D02B94" w:rsidRDefault="00576046" w:rsidP="00911CA8">
            <w:r>
              <w:t>New service for 2016</w:t>
            </w:r>
            <w:r w:rsidRPr="00576046">
              <w:t>─20</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Strong"/>
              </w:rPr>
            </w:pPr>
            <w:r w:rsidRPr="00AA60D2">
              <w:rPr>
                <w:rStyle w:val="Strong"/>
              </w:rPr>
              <w:t>AER service group—public lighting services</w:t>
            </w:r>
          </w:p>
        </w:tc>
        <w:tc>
          <w:tcPr>
            <w:tcW w:w="3402" w:type="dxa"/>
          </w:tcPr>
          <w:p w:rsidR="00D02B94" w:rsidRPr="00AA60D2" w:rsidRDefault="00D02B94" w:rsidP="00D02B94">
            <w:pPr>
              <w:numPr>
                <w:ilvl w:val="0"/>
                <w:numId w:val="24"/>
              </w:numPr>
              <w:rPr>
                <w:rStyle w:val="Strong"/>
              </w:rPr>
            </w:pPr>
          </w:p>
        </w:tc>
        <w:tc>
          <w:tcPr>
            <w:tcW w:w="2835" w:type="dxa"/>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D2218D">
            <w:pPr>
              <w:pStyle w:val="AERtabletextleft"/>
              <w:rPr>
                <w:rStyle w:val="AERtextsize8"/>
              </w:rPr>
            </w:pPr>
            <w:r w:rsidRPr="00AA60D2">
              <w:rPr>
                <w:rStyle w:val="AERtextsize8"/>
              </w:rPr>
              <w:t xml:space="preserve">Operation, maintenance, repair and replacement </w:t>
            </w:r>
            <w:r w:rsidR="00D2218D">
              <w:rPr>
                <w:rStyle w:val="AERtextsize8"/>
              </w:rPr>
              <w:t xml:space="preserve">- </w:t>
            </w:r>
            <w:r w:rsidRPr="00AA60D2">
              <w:rPr>
                <w:rStyle w:val="AERtextsize8"/>
              </w:rPr>
              <w:t xml:space="preserve">public lighting assets </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(fee-based)</w:t>
            </w:r>
          </w:p>
        </w:tc>
        <w:tc>
          <w:tcPr>
            <w:tcW w:w="2835" w:type="dxa"/>
          </w:tcPr>
          <w:p w:rsidR="00D02B94" w:rsidRPr="00AA60D2" w:rsidRDefault="00D02B94" w:rsidP="00D02B94">
            <w:pPr>
              <w:numPr>
                <w:ilvl w:val="0"/>
                <w:numId w:val="24"/>
              </w:numPr>
              <w:rPr>
                <w:rStyle w:val="AERtexthighlight"/>
              </w:rPr>
            </w:pPr>
            <w:r w:rsidRPr="00AA60D2">
              <w:t>Alternative control (fee 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3B1184">
            <w:r w:rsidRPr="00AA60D2">
              <w:t xml:space="preserve">Alteration and relocation of </w:t>
            </w:r>
            <w:r w:rsidR="003B1184">
              <w:t>distributor</w:t>
            </w:r>
            <w:r w:rsidRPr="00AA60D2">
              <w:t xml:space="preserve"> public lighting assets</w:t>
            </w:r>
          </w:p>
        </w:tc>
        <w:tc>
          <w:tcPr>
            <w:tcW w:w="3402" w:type="dxa"/>
          </w:tcPr>
          <w:p w:rsidR="00D02B94" w:rsidRPr="00AA60D2" w:rsidRDefault="00D02B94" w:rsidP="00D02B94">
            <w:pPr>
              <w:numPr>
                <w:ilvl w:val="0"/>
                <w:numId w:val="24"/>
              </w:numPr>
            </w:pPr>
            <w:r w:rsidRPr="00AA60D2">
              <w:t>Negotiated</w:t>
            </w:r>
          </w:p>
        </w:tc>
        <w:tc>
          <w:tcPr>
            <w:tcW w:w="2835" w:type="dxa"/>
          </w:tcPr>
          <w:p w:rsidR="00D02B94" w:rsidRPr="00AA60D2" w:rsidRDefault="00D02B94" w:rsidP="00D02B94">
            <w:pPr>
              <w:numPr>
                <w:ilvl w:val="0"/>
                <w:numId w:val="24"/>
              </w:numPr>
            </w:pPr>
            <w:r w:rsidRPr="00AA60D2">
              <w:t>Negotiated</w:t>
            </w:r>
          </w:p>
        </w:tc>
      </w:tr>
      <w:tr w:rsidR="00D02B94" w:rsidRPr="00AA60D2" w:rsidTr="00D02B94">
        <w:tc>
          <w:tcPr>
            <w:tcW w:w="6935" w:type="dxa"/>
            <w:gridSpan w:val="2"/>
          </w:tcPr>
          <w:p w:rsidR="00D02B94" w:rsidRPr="00D02B94" w:rsidRDefault="00D02B94" w:rsidP="00D02B94">
            <w:r w:rsidRPr="00AA60D2">
              <w:t xml:space="preserve">New public lights (that is, new lighting types not subject to a regulated charge </w:t>
            </w:r>
            <w:r w:rsidRPr="00D02B94">
              <w:t>and new public lighting at greenfield sites)</w:t>
            </w:r>
          </w:p>
        </w:tc>
        <w:tc>
          <w:tcPr>
            <w:tcW w:w="3402" w:type="dxa"/>
          </w:tcPr>
          <w:p w:rsidR="00D02B94" w:rsidRPr="00AA60D2" w:rsidRDefault="00D02B94" w:rsidP="00D02B94">
            <w:pPr>
              <w:numPr>
                <w:ilvl w:val="0"/>
                <w:numId w:val="24"/>
              </w:numPr>
            </w:pPr>
            <w:r w:rsidRPr="00AA60D2">
              <w:t>Negotiated</w:t>
            </w:r>
          </w:p>
        </w:tc>
        <w:tc>
          <w:tcPr>
            <w:tcW w:w="2835" w:type="dxa"/>
          </w:tcPr>
          <w:p w:rsidR="00D02B94" w:rsidRPr="00AA60D2" w:rsidRDefault="00D02B94" w:rsidP="00D02B94">
            <w:pPr>
              <w:numPr>
                <w:ilvl w:val="0"/>
                <w:numId w:val="24"/>
              </w:numPr>
            </w:pPr>
            <w:r w:rsidRPr="00AA60D2">
              <w:t>Negotiated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4165" w:type="dxa"/>
          </w:tcPr>
          <w:p w:rsidR="00D02B94" w:rsidRPr="00AA60D2" w:rsidRDefault="00D02B94" w:rsidP="00D02B94">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D02B94" w:rsidRPr="00AA60D2" w:rsidRDefault="00D02B94" w:rsidP="00D02B94">
            <w:pPr>
              <w:numPr>
                <w:ilvl w:val="0"/>
                <w:numId w:val="24"/>
              </w:numPr>
              <w:rPr>
                <w:rStyle w:val="Strong"/>
              </w:rPr>
            </w:pPr>
          </w:p>
        </w:tc>
      </w:tr>
      <w:tr w:rsidR="00D02B94" w:rsidRPr="00AA60D2" w:rsidTr="00D02B94">
        <w:tc>
          <w:tcPr>
            <w:tcW w:w="6935" w:type="dxa"/>
            <w:gridSpan w:val="2"/>
          </w:tcPr>
          <w:p w:rsidR="00D02B94" w:rsidRPr="00D02B94" w:rsidRDefault="00D02B94" w:rsidP="003B1184">
            <w:r w:rsidRPr="00AA60D2">
              <w:t xml:space="preserve">Fault response - not </w:t>
            </w:r>
            <w:r w:rsidR="003B1184">
              <w:t>distributor</w:t>
            </w:r>
            <w:r w:rsidRPr="00AA60D2">
              <w:t xml:space="preserve"> fault</w:t>
            </w:r>
            <w:r w:rsidR="00391032">
              <w:rPr>
                <w:rStyle w:val="FootnoteReference"/>
              </w:rPr>
              <w:footnoteReference w:id="65"/>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3B1184">
            <w:r w:rsidRPr="00AA60D2">
              <w:t xml:space="preserve">Wasted attendance - not </w:t>
            </w:r>
            <w:r w:rsidR="003B1184">
              <w:t>distributor</w:t>
            </w:r>
            <w:r w:rsidRPr="00AA60D2">
              <w:t xml:space="preserve"> fault</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r w:rsidRPr="00AA60D2">
              <w:t>Service truck visits</w:t>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AERtextsize8"/>
              </w:rPr>
            </w:pPr>
            <w:r w:rsidRPr="00AA60D2">
              <w:rPr>
                <w:rStyle w:val="AERtextsize8"/>
              </w:rPr>
              <w:lastRenderedPageBreak/>
              <w:t xml:space="preserve">Reserve feeder construction </w:t>
            </w:r>
          </w:p>
        </w:tc>
        <w:tc>
          <w:tcPr>
            <w:tcW w:w="3402" w:type="dxa"/>
          </w:tcPr>
          <w:p w:rsidR="00D02B94" w:rsidRPr="00AA60D2" w:rsidRDefault="00D02B94" w:rsidP="00D02B94">
            <w:pPr>
              <w:numPr>
                <w:ilvl w:val="0"/>
                <w:numId w:val="24"/>
              </w:numPr>
              <w:rPr>
                <w:rStyle w:val="AERtextsize8"/>
              </w:rPr>
            </w:pPr>
            <w:r w:rsidRPr="00AA60D2">
              <w:rPr>
                <w:rStyle w:val="AERtextsize8"/>
              </w:rPr>
              <w:t>Negotiated service</w:t>
            </w:r>
          </w:p>
        </w:tc>
        <w:tc>
          <w:tcPr>
            <w:tcW w:w="2835" w:type="dxa"/>
          </w:tcPr>
          <w:p w:rsidR="00D02B94" w:rsidRPr="00AA60D2" w:rsidRDefault="00D02B94" w:rsidP="00D02B94">
            <w:pPr>
              <w:numPr>
                <w:ilvl w:val="0"/>
                <w:numId w:val="24"/>
              </w:numPr>
              <w:rPr>
                <w:rStyle w:val="AERtextsize8"/>
              </w:rPr>
            </w:pPr>
            <w:r w:rsidRPr="00AA60D2">
              <w:rPr>
                <w:rStyle w:val="AERtextsize8"/>
              </w:rPr>
              <w:t>Alternative control (fee-based)</w:t>
            </w:r>
          </w:p>
        </w:tc>
      </w:tr>
      <w:tr w:rsidR="00D02B94" w:rsidRPr="00AA60D2" w:rsidTr="00D02B94">
        <w:tc>
          <w:tcPr>
            <w:tcW w:w="6935" w:type="dxa"/>
            <w:gridSpan w:val="2"/>
          </w:tcPr>
          <w:p w:rsidR="00D02B94" w:rsidRPr="00D02B94" w:rsidRDefault="00D02B94" w:rsidP="00D02B94">
            <w:pPr>
              <w:rPr>
                <w:rStyle w:val="AERtextsize8"/>
              </w:rPr>
            </w:pPr>
            <w:r w:rsidRPr="00AA60D2">
              <w:rPr>
                <w:rStyle w:val="AERtextsize8"/>
              </w:rPr>
              <w:t>Reserve feeder maintenance</w:t>
            </w:r>
          </w:p>
        </w:tc>
        <w:tc>
          <w:tcPr>
            <w:tcW w:w="3402" w:type="dxa"/>
          </w:tcPr>
          <w:p w:rsidR="00D02B94" w:rsidRPr="00AA60D2" w:rsidRDefault="00D02B94" w:rsidP="00D02B94">
            <w:pPr>
              <w:numPr>
                <w:ilvl w:val="0"/>
                <w:numId w:val="24"/>
              </w:numPr>
              <w:rPr>
                <w:rStyle w:val="AERtextsize8"/>
              </w:rPr>
            </w:pPr>
            <w:r w:rsidRPr="00AA60D2">
              <w:rPr>
                <w:rStyle w:val="AERtextsize8"/>
              </w:rPr>
              <w:t>Alternative control (quoted)</w:t>
            </w:r>
          </w:p>
        </w:tc>
        <w:tc>
          <w:tcPr>
            <w:tcW w:w="2835" w:type="dxa"/>
          </w:tcPr>
          <w:p w:rsidR="00D02B94" w:rsidRPr="00AA60D2" w:rsidRDefault="00D02B94" w:rsidP="00D02B94">
            <w:pPr>
              <w:numPr>
                <w:ilvl w:val="0"/>
                <w:numId w:val="24"/>
              </w:numPr>
              <w:rPr>
                <w:rStyle w:val="AERtextsize8"/>
              </w:rPr>
            </w:pPr>
            <w:r w:rsidRPr="00AA60D2">
              <w:rPr>
                <w:rStyle w:val="AERtextsize8"/>
              </w:rPr>
              <w:t>Alternative control (fee-based)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Temporary supply services</w:t>
            </w:r>
            <w:r w:rsidR="00391032">
              <w:rPr>
                <w:rStyle w:val="FootnoteReference"/>
              </w:rPr>
              <w:footnoteReference w:id="66"/>
            </w:r>
          </w:p>
        </w:tc>
        <w:tc>
          <w:tcPr>
            <w:tcW w:w="3402" w:type="dxa"/>
          </w:tcPr>
          <w:p w:rsidR="00D02B94" w:rsidRPr="00AA60D2" w:rsidRDefault="00D02B94" w:rsidP="00D02B94">
            <w:pPr>
              <w:numPr>
                <w:ilvl w:val="0"/>
                <w:numId w:val="24"/>
              </w:numPr>
            </w:pPr>
            <w:r w:rsidRPr="00AA60D2">
              <w:t>Alternative control (fee-based)</w:t>
            </w:r>
          </w:p>
        </w:tc>
        <w:tc>
          <w:tcPr>
            <w:tcW w:w="2835" w:type="dxa"/>
          </w:tcPr>
          <w:p w:rsidR="00D02B94" w:rsidRPr="00AA60D2" w:rsidRDefault="00D02B94" w:rsidP="00D02B94">
            <w:pPr>
              <w:numPr>
                <w:ilvl w:val="0"/>
                <w:numId w:val="24"/>
              </w:numPr>
            </w:pPr>
            <w:r w:rsidRPr="00AA60D2">
              <w:t>Alternative control (fee-based)</w:t>
            </w:r>
          </w:p>
        </w:tc>
      </w:tr>
      <w:tr w:rsidR="00D02B94" w:rsidRPr="00AA60D2" w:rsidTr="00D02B94">
        <w:tc>
          <w:tcPr>
            <w:tcW w:w="6935" w:type="dxa"/>
            <w:gridSpan w:val="2"/>
          </w:tcPr>
          <w:p w:rsidR="00D02B94" w:rsidRPr="00D02B94" w:rsidRDefault="00D02B94" w:rsidP="00D02B94">
            <w:pPr>
              <w:rPr>
                <w:rStyle w:val="AERtextsize8"/>
              </w:rPr>
            </w:pPr>
            <w:r w:rsidRPr="00AA60D2">
              <w:rPr>
                <w:rStyle w:val="AERtextsize8"/>
              </w:rPr>
              <w:t>Rearrangement of network assets at customer request, excluding alteration and relocation of public lighting assets</w:t>
            </w:r>
          </w:p>
        </w:tc>
        <w:tc>
          <w:tcPr>
            <w:tcW w:w="3402" w:type="dxa"/>
          </w:tcPr>
          <w:p w:rsidR="00D02B94" w:rsidRPr="00AA60D2" w:rsidRDefault="00D02B94" w:rsidP="00D02B94">
            <w:pPr>
              <w:numPr>
                <w:ilvl w:val="0"/>
                <w:numId w:val="24"/>
              </w:numPr>
              <w:rPr>
                <w:rStyle w:val="AERtextsize8"/>
              </w:rPr>
            </w:pPr>
            <w:r w:rsidRPr="003E68FC">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Auditing design and construction</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Specification and design enquiry fees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pPr>
              <w:rPr>
                <w:rStyle w:val="AERtextsize8"/>
              </w:rPr>
            </w:pPr>
            <w:r w:rsidRPr="00AA60D2">
              <w:rPr>
                <w:rStyle w:val="AERtextsize8"/>
              </w:rPr>
              <w:t>Elective undergrounding where above ground service currently exists</w:t>
            </w:r>
          </w:p>
        </w:tc>
        <w:tc>
          <w:tcPr>
            <w:tcW w:w="3402" w:type="dxa"/>
          </w:tcPr>
          <w:p w:rsidR="00D02B94" w:rsidRPr="00AA60D2" w:rsidRDefault="00D02B94" w:rsidP="00D02B94">
            <w:pPr>
              <w:numPr>
                <w:ilvl w:val="0"/>
                <w:numId w:val="24"/>
              </w:numPr>
              <w:rPr>
                <w:rStyle w:val="AERtextsize8"/>
              </w:rPr>
            </w:pPr>
            <w:r w:rsidRPr="0098097F">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Damage to overhead service cables caused by high load vehicles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High load escorts - lifting overhead lines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Covering of low voltage lines for safety reasons</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After hours truck by appointment</w:t>
            </w:r>
          </w:p>
        </w:tc>
        <w:tc>
          <w:tcPr>
            <w:tcW w:w="3402" w:type="dxa"/>
          </w:tcPr>
          <w:p w:rsidR="00D02B94" w:rsidRPr="00AA60D2" w:rsidRDefault="00D02B94" w:rsidP="00D02B94">
            <w:pPr>
              <w:numPr>
                <w:ilvl w:val="0"/>
                <w:numId w:val="24"/>
              </w:numPr>
            </w:pPr>
            <w:r w:rsidRPr="00AA60D2">
              <w:t>Alternative control (quoted)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c>
          <w:tcPr>
            <w:tcW w:w="6935" w:type="dxa"/>
            <w:gridSpan w:val="2"/>
          </w:tcPr>
          <w:p w:rsidR="00D02B94" w:rsidRPr="00D02B94" w:rsidRDefault="00D02B94" w:rsidP="00D02B94">
            <w:r w:rsidRPr="00AA60D2">
              <w:t>Emergency recoverable works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Alternative control (quoted)</w:t>
            </w:r>
          </w:p>
        </w:tc>
      </w:tr>
      <w:tr w:rsidR="00D02B94" w:rsidRPr="00AA60D2" w:rsidTr="00D02B9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D02B94" w:rsidRPr="00D02B94" w:rsidRDefault="00D02B94" w:rsidP="00D02B94">
            <w:r w:rsidRPr="00AA60D2">
              <w:t>Provision of possum guards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r w:rsidR="00D02B94" w:rsidRPr="00AA60D2" w:rsidTr="00D02B94">
        <w:tc>
          <w:tcPr>
            <w:tcW w:w="6935" w:type="dxa"/>
            <w:gridSpan w:val="2"/>
          </w:tcPr>
          <w:p w:rsidR="00D02B94" w:rsidRPr="00D02B94" w:rsidRDefault="00D02B94" w:rsidP="00D02B94">
            <w:r w:rsidRPr="00AA60D2">
              <w:t>Installation, repair, and maintenance of watchman lights</w:t>
            </w:r>
          </w:p>
        </w:tc>
        <w:tc>
          <w:tcPr>
            <w:tcW w:w="3402" w:type="dxa"/>
          </w:tcPr>
          <w:p w:rsidR="00D02B94" w:rsidRPr="00AA60D2" w:rsidRDefault="00D02B94" w:rsidP="00D02B94">
            <w:pPr>
              <w:numPr>
                <w:ilvl w:val="0"/>
                <w:numId w:val="24"/>
              </w:numPr>
            </w:pPr>
            <w:r w:rsidRPr="00AA60D2">
              <w:t>Unclassified</w:t>
            </w:r>
          </w:p>
        </w:tc>
        <w:tc>
          <w:tcPr>
            <w:tcW w:w="2835" w:type="dxa"/>
          </w:tcPr>
          <w:p w:rsidR="00D02B94" w:rsidRPr="00AA60D2" w:rsidRDefault="00D02B94" w:rsidP="00D02B94">
            <w:pPr>
              <w:numPr>
                <w:ilvl w:val="0"/>
                <w:numId w:val="24"/>
              </w:numPr>
            </w:pPr>
            <w:r w:rsidRPr="00AA60D2">
              <w:t>Unclassified</w:t>
            </w:r>
          </w:p>
        </w:tc>
      </w:tr>
    </w:tbl>
    <w:p w:rsidR="001A4FDF" w:rsidRPr="00474EC7" w:rsidRDefault="001A4FDF" w:rsidP="001A4FDF">
      <w:pPr>
        <w:pStyle w:val="AERbulletlistfirststyle"/>
        <w:numPr>
          <w:ilvl w:val="0"/>
          <w:numId w:val="0"/>
        </w:numPr>
        <w:ind w:left="357" w:hanging="357"/>
      </w:pPr>
    </w:p>
    <w:sectPr w:rsidR="001A4FDF" w:rsidRPr="00474EC7" w:rsidSect="00657562">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A4" w:rsidRPr="00290C63" w:rsidRDefault="004415A4" w:rsidP="00290C63">
      <w:r>
        <w:separator/>
      </w:r>
    </w:p>
    <w:p w:rsidR="004415A4" w:rsidRDefault="004415A4"/>
  </w:endnote>
  <w:endnote w:type="continuationSeparator" w:id="0">
    <w:p w:rsidR="004415A4" w:rsidRPr="00290C63" w:rsidRDefault="004415A4" w:rsidP="00290C63">
      <w:r>
        <w:continuationSeparator/>
      </w:r>
    </w:p>
    <w:p w:rsidR="004415A4" w:rsidRDefault="00441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4415A4" w:rsidRPr="00CA52A2" w:rsidRDefault="004415A4" w:rsidP="00112D83">
        <w:pPr>
          <w:pStyle w:val="Footer"/>
        </w:pPr>
        <w:r w:rsidRPr="00CA52A2">
          <w:fldChar w:fldCharType="begin"/>
        </w:r>
        <w:r>
          <w:instrText xml:space="preserve"> PAGE   \* MERGEFORMAT </w:instrText>
        </w:r>
        <w:r w:rsidRPr="00CA52A2">
          <w:fldChar w:fldCharType="separate"/>
        </w:r>
        <w:r w:rsidR="00CE6CF1">
          <w:rPr>
            <w:noProof/>
          </w:rPr>
          <w:t>13-1</w:t>
        </w:r>
        <w:r w:rsidRPr="00CA52A2">
          <w:fldChar w:fldCharType="end"/>
        </w:r>
        <w:r w:rsidRPr="00CA52A2">
          <w:t xml:space="preserve">          Attachment 1</w:t>
        </w:r>
        <w:r>
          <w:t>3</w:t>
        </w:r>
        <w:r w:rsidRPr="00CA52A2">
          <w:t xml:space="preserve"> – </w:t>
        </w:r>
        <w:r>
          <w:t xml:space="preserve">Classification </w:t>
        </w:r>
        <w:r w:rsidRPr="00CA52A2">
          <w:t xml:space="preserve">| </w:t>
        </w:r>
        <w:r>
          <w:t>AusNet</w:t>
        </w:r>
        <w:r w:rsidRPr="00CA52A2">
          <w:t xml:space="preserve"> </w:t>
        </w:r>
        <w:r>
          <w:t xml:space="preserve">Services </w:t>
        </w:r>
        <w:r w:rsidR="004A0E39">
          <w:t>distribution determination f</w:t>
        </w:r>
        <w:r>
          <w:t>inal decision 2016</w:t>
        </w:r>
        <w:r w:rsidRPr="00CA52A2">
          <w:t>–</w:t>
        </w:r>
        <w:r>
          <w:t>20</w:t>
        </w:r>
      </w:p>
    </w:sdtContent>
  </w:sdt>
  <w:p w:rsidR="004415A4" w:rsidRPr="00112D83" w:rsidRDefault="004415A4" w:rsidP="0011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A4" w:rsidRPr="00290C63" w:rsidRDefault="004415A4" w:rsidP="00290C63">
      <w:r>
        <w:separator/>
      </w:r>
    </w:p>
    <w:p w:rsidR="004415A4" w:rsidRDefault="004415A4"/>
  </w:footnote>
  <w:footnote w:type="continuationSeparator" w:id="0">
    <w:p w:rsidR="004415A4" w:rsidRPr="00290C63" w:rsidRDefault="004415A4" w:rsidP="00290C63">
      <w:r>
        <w:continuationSeparator/>
      </w:r>
    </w:p>
    <w:p w:rsidR="004415A4" w:rsidRDefault="004415A4"/>
  </w:footnote>
  <w:footnote w:id="1">
    <w:p w:rsidR="004415A4" w:rsidRDefault="004415A4" w:rsidP="00673A2B">
      <w:pPr>
        <w:pStyle w:val="FootnoteText"/>
      </w:pPr>
      <w:r>
        <w:rPr>
          <w:rStyle w:val="FootnoteReference"/>
        </w:rPr>
        <w:footnoteRef/>
      </w:r>
      <w:r>
        <w:t xml:space="preserve"> </w:t>
      </w:r>
      <w:r>
        <w:tab/>
        <w:t>NER, cl. 6.12.1(1).</w:t>
      </w:r>
    </w:p>
  </w:footnote>
  <w:footnote w:id="2">
    <w:p w:rsidR="004415A4" w:rsidRDefault="004415A4" w:rsidP="00673A2B">
      <w:pPr>
        <w:pStyle w:val="FootnoteText"/>
      </w:pPr>
      <w:r>
        <w:rPr>
          <w:rStyle w:val="FootnoteReference"/>
        </w:rPr>
        <w:footnoteRef/>
      </w:r>
      <w:r>
        <w:t xml:space="preserve"> </w:t>
      </w:r>
      <w:r>
        <w:tab/>
        <w:t>NER, cl. 6.12.3(b).</w:t>
      </w:r>
    </w:p>
  </w:footnote>
  <w:footnote w:id="3">
    <w:p w:rsidR="004415A4" w:rsidRDefault="004415A4" w:rsidP="00673A2B">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4415A4" w:rsidRDefault="004415A4">
      <w:pPr>
        <w:pStyle w:val="FootnoteText"/>
      </w:pPr>
      <w:r>
        <w:rPr>
          <w:rStyle w:val="FootnoteReference"/>
        </w:rPr>
        <w:footnoteRef/>
      </w:r>
      <w:r>
        <w:t xml:space="preserve"> </w:t>
      </w:r>
      <w:r>
        <w:tab/>
        <w:t xml:space="preserve">AER, </w:t>
      </w:r>
      <w:r w:rsidRPr="00CB1FC4">
        <w:rPr>
          <w:rStyle w:val="AERtextitalic"/>
        </w:rPr>
        <w:t>Preliminary decision AusNet Services, Attachment 13 Classification of services</w:t>
      </w:r>
      <w:r>
        <w:t xml:space="preserve">, October 2015. </w:t>
      </w:r>
    </w:p>
  </w:footnote>
  <w:footnote w:id="5">
    <w:p w:rsidR="004415A4" w:rsidRDefault="004415A4">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4415A4" w:rsidRDefault="004415A4">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4415A4" w:rsidRDefault="004415A4" w:rsidP="00673A2B">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4415A4" w:rsidRDefault="004415A4">
      <w:pPr>
        <w:pStyle w:val="FootnoteText"/>
      </w:pPr>
      <w:r>
        <w:rPr>
          <w:rStyle w:val="FootnoteReference"/>
        </w:rPr>
        <w:footnoteRef/>
      </w:r>
      <w:r>
        <w:t xml:space="preserve"> </w:t>
      </w:r>
      <w:r>
        <w:tab/>
        <w:t xml:space="preserve">AusNet Services, </w:t>
      </w:r>
      <w:r w:rsidRPr="004A0E39">
        <w:rPr>
          <w:rStyle w:val="Emphasis"/>
        </w:rPr>
        <w:t>Revised regulatory proposal, Appendix 2A</w:t>
      </w:r>
      <w:r>
        <w:t>, January 2016, p. 1.</w:t>
      </w:r>
    </w:p>
  </w:footnote>
  <w:footnote w:id="9">
    <w:p w:rsidR="004415A4" w:rsidRDefault="004415A4">
      <w:pPr>
        <w:pStyle w:val="FootnoteText"/>
      </w:pPr>
      <w:r>
        <w:rPr>
          <w:rStyle w:val="FootnoteReference"/>
        </w:rPr>
        <w:footnoteRef/>
      </w:r>
      <w:r>
        <w:t xml:space="preserve"> </w:t>
      </w:r>
      <w:r>
        <w:tab/>
        <w:t>"Dedicated" meaning specific to one customer, as opposed to shared amongst a number of customers or by the general public.</w:t>
      </w:r>
    </w:p>
  </w:footnote>
  <w:footnote w:id="10">
    <w:p w:rsidR="004415A4" w:rsidRDefault="004415A4" w:rsidP="009D4283">
      <w:pPr>
        <w:pStyle w:val="FootnoteText"/>
      </w:pPr>
      <w:r>
        <w:rPr>
          <w:rStyle w:val="FootnoteReference"/>
        </w:rPr>
        <w:footnoteRef/>
      </w:r>
      <w:r>
        <w:t xml:space="preserve"> </w:t>
      </w:r>
      <w:r>
        <w:tab/>
        <w:t xml:space="preserve">AusNet Services, </w:t>
      </w:r>
      <w:r w:rsidRPr="009D4283">
        <w:rPr>
          <w:rStyle w:val="AERtextitalic"/>
        </w:rPr>
        <w:t>Revised regulatory proposal</w:t>
      </w:r>
      <w:r>
        <w:t>, January 2016, pp. xi and 12.3.</w:t>
      </w:r>
    </w:p>
  </w:footnote>
  <w:footnote w:id="11">
    <w:p w:rsidR="004415A4" w:rsidRDefault="004415A4">
      <w:pPr>
        <w:pStyle w:val="FootnoteText"/>
      </w:pPr>
      <w:r>
        <w:rPr>
          <w:rStyle w:val="FootnoteReference"/>
        </w:rPr>
        <w:footnoteRef/>
      </w:r>
      <w:r>
        <w:t xml:space="preserve"> </w:t>
      </w:r>
      <w:r>
        <w:tab/>
      </w:r>
      <w:r w:rsidRPr="000B2DEA">
        <w:t>National Electricity (Victoria) Further Amendment Bill 2015</w:t>
      </w:r>
      <w:r>
        <w:t>.</w:t>
      </w:r>
    </w:p>
  </w:footnote>
  <w:footnote w:id="12">
    <w:p w:rsidR="004415A4" w:rsidRDefault="004415A4">
      <w:pPr>
        <w:pStyle w:val="FootnoteText"/>
      </w:pPr>
      <w:r>
        <w:rPr>
          <w:rStyle w:val="FootnoteReference"/>
        </w:rPr>
        <w:footnoteRef/>
      </w:r>
      <w:r>
        <w:t xml:space="preserve"> </w:t>
      </w:r>
      <w:r>
        <w:tab/>
        <w:t xml:space="preserve">AusNet Services, </w:t>
      </w:r>
      <w:r w:rsidRPr="002E36EB">
        <w:rPr>
          <w:rStyle w:val="AERtextitalic"/>
        </w:rPr>
        <w:t xml:space="preserve">Revised </w:t>
      </w:r>
      <w:r w:rsidRPr="00C84003">
        <w:rPr>
          <w:rStyle w:val="AERtextitalic"/>
        </w:rPr>
        <w:t>Regulatory proposal</w:t>
      </w:r>
      <w:r>
        <w:t>, January 2016, pp. 3.29 and 3.30.</w:t>
      </w:r>
    </w:p>
  </w:footnote>
  <w:footnote w:id="13">
    <w:p w:rsidR="004415A4" w:rsidRDefault="004415A4">
      <w:pPr>
        <w:pStyle w:val="FootnoteText"/>
      </w:pPr>
      <w:r>
        <w:rPr>
          <w:rStyle w:val="FootnoteReference"/>
        </w:rPr>
        <w:footnoteRef/>
      </w:r>
      <w:r>
        <w:t xml:space="preserve"> </w:t>
      </w:r>
      <w:r>
        <w:tab/>
        <w:t xml:space="preserve">AusNet Services, </w:t>
      </w:r>
      <w:r w:rsidRPr="009D4283">
        <w:rPr>
          <w:rStyle w:val="AERtextitalic"/>
        </w:rPr>
        <w:t>Revised regulatory proposal</w:t>
      </w:r>
      <w:r>
        <w:t>, January 2016, p. 3.30.</w:t>
      </w:r>
    </w:p>
  </w:footnote>
  <w:footnote w:id="14">
    <w:p w:rsidR="004415A4" w:rsidRDefault="004415A4">
      <w:pPr>
        <w:pStyle w:val="FootnoteText"/>
      </w:pPr>
      <w:r>
        <w:rPr>
          <w:rStyle w:val="FootnoteReference"/>
        </w:rPr>
        <w:footnoteRef/>
      </w:r>
      <w:r>
        <w:t xml:space="preserve"> </w:t>
      </w:r>
      <w:r>
        <w:tab/>
        <w:t xml:space="preserve">AusNet Services, </w:t>
      </w:r>
      <w:r w:rsidRPr="004A0E39">
        <w:rPr>
          <w:rStyle w:val="Emphasis"/>
        </w:rPr>
        <w:t>Information request no. 47</w:t>
      </w:r>
      <w:r>
        <w:t xml:space="preserve">  </w:t>
      </w:r>
      <w:r w:rsidRPr="004A0E39">
        <w:rPr>
          <w:rStyle w:val="Emphasis"/>
        </w:rPr>
        <w:t xml:space="preserve">- service </w:t>
      </w:r>
      <w:r w:rsidRPr="009B06A3">
        <w:rPr>
          <w:rStyle w:val="Emphasis"/>
        </w:rPr>
        <w:t>classification</w:t>
      </w:r>
      <w:r>
        <w:t xml:space="preserve"> [email to AER], 7 March 2016.</w:t>
      </w:r>
    </w:p>
  </w:footnote>
  <w:footnote w:id="15">
    <w:p w:rsidR="004415A4" w:rsidRDefault="004415A4" w:rsidP="00673A2B">
      <w:pPr>
        <w:pStyle w:val="FootnoteText"/>
      </w:pPr>
      <w:r>
        <w:rPr>
          <w:rStyle w:val="FootnoteReference"/>
        </w:rPr>
        <w:footnoteRef/>
      </w:r>
      <w:r>
        <w:t xml:space="preserve"> </w:t>
      </w:r>
      <w:r>
        <w:tab/>
        <w:t>NER, cl. 6.2.1 (b).</w:t>
      </w:r>
    </w:p>
  </w:footnote>
  <w:footnote w:id="16">
    <w:p w:rsidR="004415A4" w:rsidRDefault="004415A4" w:rsidP="00673A2B">
      <w:pPr>
        <w:pStyle w:val="FootnoteText"/>
      </w:pPr>
      <w:r>
        <w:rPr>
          <w:rStyle w:val="FootnoteReference"/>
        </w:rPr>
        <w:footnoteRef/>
      </w:r>
      <w:r>
        <w:t xml:space="preserve"> </w:t>
      </w:r>
      <w:r>
        <w:tab/>
        <w:t>NER, cl. 6.2.1(c); NEL, s. 2F.</w:t>
      </w:r>
    </w:p>
  </w:footnote>
  <w:footnote w:id="17">
    <w:p w:rsidR="004415A4" w:rsidRDefault="004415A4" w:rsidP="00673A2B">
      <w:pPr>
        <w:pStyle w:val="FootnoteText"/>
      </w:pPr>
      <w:r>
        <w:rPr>
          <w:rStyle w:val="FootnoteReference"/>
        </w:rPr>
        <w:footnoteRef/>
      </w:r>
      <w:r>
        <w:t xml:space="preserve"> </w:t>
      </w:r>
      <w:r>
        <w:tab/>
        <w:t>NER, cl. 6.2.1(c).</w:t>
      </w:r>
    </w:p>
  </w:footnote>
  <w:footnote w:id="18">
    <w:p w:rsidR="004415A4" w:rsidRDefault="004415A4" w:rsidP="00673A2B">
      <w:pPr>
        <w:pStyle w:val="FootnoteText"/>
      </w:pPr>
      <w:r>
        <w:rPr>
          <w:rStyle w:val="FootnoteReference"/>
        </w:rPr>
        <w:footnoteRef/>
      </w:r>
      <w:r>
        <w:t xml:space="preserve"> </w:t>
      </w:r>
      <w:r>
        <w:tab/>
        <w:t>NER, cl. 6.2.2(c).</w:t>
      </w:r>
    </w:p>
  </w:footnote>
  <w:footnote w:id="19">
    <w:p w:rsidR="004415A4" w:rsidRDefault="004415A4" w:rsidP="00673A2B">
      <w:pPr>
        <w:pStyle w:val="FootnoteText"/>
      </w:pPr>
      <w:r>
        <w:rPr>
          <w:rStyle w:val="FootnoteReference"/>
        </w:rPr>
        <w:footnoteRef/>
      </w:r>
      <w:r>
        <w:t xml:space="preserve"> </w:t>
      </w:r>
      <w:r>
        <w:tab/>
        <w:t xml:space="preserve">NER, cll. 6.2.1(d) and 6.2.2(d). </w:t>
      </w:r>
    </w:p>
  </w:footnote>
  <w:footnote w:id="20">
    <w:p w:rsidR="004415A4" w:rsidRDefault="004415A4">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21">
    <w:p w:rsidR="004415A4" w:rsidRDefault="004415A4">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xml:space="preserve">, October 2014, p. 63. </w:t>
      </w:r>
    </w:p>
  </w:footnote>
  <w:footnote w:id="22">
    <w:p w:rsidR="004415A4" w:rsidRDefault="004415A4">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1 July 2014, p.</w:t>
      </w:r>
      <w:r w:rsidR="008E3CF9">
        <w:t xml:space="preserve"> </w:t>
      </w:r>
      <w:r>
        <w:t xml:space="preserve">5. </w:t>
      </w:r>
    </w:p>
  </w:footnote>
  <w:footnote w:id="23">
    <w:p w:rsidR="004415A4" w:rsidRDefault="004415A4">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24">
    <w:p w:rsidR="004415A4" w:rsidRDefault="004415A4">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25">
    <w:p w:rsidR="004415A4" w:rsidRDefault="004415A4">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6">
    <w:p w:rsidR="004415A4" w:rsidRDefault="004415A4">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7">
    <w:p w:rsidR="004415A4" w:rsidRDefault="004415A4">
      <w:pPr>
        <w:pStyle w:val="FootnoteText"/>
      </w:pPr>
      <w:r>
        <w:rPr>
          <w:rStyle w:val="FootnoteReference"/>
        </w:rPr>
        <w:footnoteRef/>
      </w:r>
      <w:r>
        <w:t xml:space="preserve"> </w:t>
      </w:r>
      <w:r>
        <w:tab/>
        <w:t xml:space="preserve">AusNet Services, </w:t>
      </w:r>
      <w:r w:rsidRPr="00693200">
        <w:rPr>
          <w:rStyle w:val="AERtextitalic"/>
        </w:rPr>
        <w:t>Revised regulatory proposal</w:t>
      </w:r>
      <w:r>
        <w:t xml:space="preserve">, January 2016, p. 12.3; CitiPower, </w:t>
      </w:r>
      <w:r w:rsidRPr="00693200">
        <w:rPr>
          <w:rStyle w:val="AERtextitalic"/>
        </w:rPr>
        <w:t>Revised regulatory proposal</w:t>
      </w:r>
      <w:r>
        <w:t xml:space="preserve">, January 2016, p. 464; Powercor, </w:t>
      </w:r>
      <w:r w:rsidRPr="00693200">
        <w:rPr>
          <w:rStyle w:val="AERtextitalic"/>
        </w:rPr>
        <w:t>Revised regulatory proposal</w:t>
      </w:r>
      <w:r>
        <w:t xml:space="preserve">, January 2016, p. 473; Jemena, </w:t>
      </w:r>
      <w:r w:rsidRPr="00693200">
        <w:rPr>
          <w:rStyle w:val="AERtextitalic"/>
        </w:rPr>
        <w:t>Revised regulatory</w:t>
      </w:r>
      <w:r>
        <w:t xml:space="preserve"> </w:t>
      </w:r>
      <w:r w:rsidRPr="00693200">
        <w:rPr>
          <w:rStyle w:val="AERtextitalic"/>
        </w:rPr>
        <w:t>proposal</w:t>
      </w:r>
      <w:r>
        <w:t xml:space="preserve">, January 2016, </w:t>
      </w:r>
      <w:r w:rsidRPr="00693200">
        <w:rPr>
          <w:rStyle w:val="AERtextitalic"/>
        </w:rPr>
        <w:t>Revised regulatory proposal</w:t>
      </w:r>
      <w:r>
        <w:t xml:space="preserve">, January 2016, p. 7; United Energy, </w:t>
      </w:r>
      <w:r w:rsidRPr="00693200">
        <w:rPr>
          <w:rStyle w:val="AERtextitalic"/>
        </w:rPr>
        <w:t>Revised regulatory proposal</w:t>
      </w:r>
      <w:r>
        <w:t>, January 2016, p. 5.</w:t>
      </w:r>
    </w:p>
  </w:footnote>
  <w:footnote w:id="28">
    <w:p w:rsidR="004415A4" w:rsidRDefault="004415A4">
      <w:pPr>
        <w:pStyle w:val="FootnoteText"/>
      </w:pPr>
      <w:r>
        <w:rPr>
          <w:rStyle w:val="FootnoteReference"/>
        </w:rPr>
        <w:footnoteRef/>
      </w:r>
      <w:r>
        <w:t xml:space="preserve"> </w:t>
      </w:r>
      <w:r>
        <w:tab/>
        <w:t xml:space="preserve">Eastern Alliance for Greenhouse Action. </w:t>
      </w:r>
      <w:r w:rsidRPr="007308FA">
        <w:rPr>
          <w:rStyle w:val="AERtextitalic"/>
        </w:rPr>
        <w:t>Submission on AER preliminary decision for VIC EDPR 2016−20</w:t>
      </w:r>
      <w:r>
        <w:t>, 6 January 2016.</w:t>
      </w:r>
    </w:p>
  </w:footnote>
  <w:footnote w:id="29">
    <w:p w:rsidR="004415A4" w:rsidRDefault="004415A4" w:rsidP="007F1064">
      <w:pPr>
        <w:pStyle w:val="FootnoteText"/>
      </w:pPr>
      <w:r>
        <w:rPr>
          <w:rStyle w:val="FootnoteReference"/>
        </w:rPr>
        <w:footnoteRef/>
      </w:r>
      <w:r>
        <w:t xml:space="preserve"> </w:t>
      </w:r>
      <w:r>
        <w:tab/>
        <w:t>Trans Tasman Energy Group on behalf of the Streetlight Group of Councils,</w:t>
      </w:r>
      <w:r w:rsidRPr="00444C07">
        <w:rPr>
          <w:rStyle w:val="AERtextitalic"/>
        </w:rPr>
        <w:t xml:space="preserve"> Response to AER's Preliminary Decision—Victorian Electricity distribution determination 2016 to 2020</w:t>
      </w:r>
      <w:r>
        <w:t>, January 2016, p. 9.</w:t>
      </w:r>
    </w:p>
  </w:footnote>
  <w:footnote w:id="30">
    <w:p w:rsidR="004415A4" w:rsidRDefault="004415A4">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31">
    <w:p w:rsidR="004415A4" w:rsidRDefault="004415A4">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32">
    <w:p w:rsidR="004415A4" w:rsidRDefault="004415A4" w:rsidP="0036666B">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33">
    <w:p w:rsidR="004415A4" w:rsidRDefault="004415A4" w:rsidP="00BB54AC">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34">
    <w:p w:rsidR="004415A4" w:rsidRDefault="004415A4" w:rsidP="00BB54AC">
      <w:pPr>
        <w:pStyle w:val="FootnoteText"/>
      </w:pPr>
      <w:r>
        <w:rPr>
          <w:rStyle w:val="FootnoteReference"/>
        </w:rPr>
        <w:footnoteRef/>
      </w:r>
      <w:r>
        <w:t xml:space="preserve"> </w:t>
      </w:r>
      <w:r>
        <w:tab/>
        <w:t>NER, cl. 11.17.6.</w:t>
      </w:r>
    </w:p>
  </w:footnote>
  <w:footnote w:id="35">
    <w:p w:rsidR="004415A4" w:rsidRDefault="004415A4" w:rsidP="000837F1">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w:t>
      </w:r>
      <w:r w:rsidR="008E3CF9">
        <w:t xml:space="preserve"> </w:t>
      </w:r>
      <w:r>
        <w:t>30.</w:t>
      </w:r>
    </w:p>
  </w:footnote>
  <w:footnote w:id="36">
    <w:p w:rsidR="004415A4" w:rsidRDefault="004415A4">
      <w:pPr>
        <w:pStyle w:val="FootnoteText"/>
      </w:pPr>
      <w:r>
        <w:rPr>
          <w:rStyle w:val="FootnoteReference"/>
        </w:rPr>
        <w:footnoteRef/>
      </w:r>
      <w:r>
        <w:t xml:space="preserve"> </w:t>
      </w:r>
      <w:r>
        <w:tab/>
        <w:t xml:space="preserve">A 'new customer' includes an existing customer who elects to replace an existing meter. </w:t>
      </w:r>
    </w:p>
  </w:footnote>
  <w:footnote w:id="37">
    <w:p w:rsidR="004415A4" w:rsidRDefault="004415A4">
      <w:pPr>
        <w:pStyle w:val="FootnoteText"/>
      </w:pPr>
      <w:r>
        <w:rPr>
          <w:rStyle w:val="FootnoteReference"/>
        </w:rPr>
        <w:footnoteRef/>
      </w:r>
      <w:r>
        <w:t xml:space="preserve"> </w:t>
      </w:r>
      <w:r>
        <w:tab/>
        <w:t>AusNet Services,</w:t>
      </w:r>
      <w:r w:rsidRPr="007308FA">
        <w:rPr>
          <w:rStyle w:val="AERtextitalic"/>
        </w:rPr>
        <w:t xml:space="preserve"> Revised regulatory proposal</w:t>
      </w:r>
      <w:r>
        <w:t xml:space="preserve">, January 2016; CitiPower, </w:t>
      </w:r>
      <w:r w:rsidRPr="007308FA">
        <w:rPr>
          <w:rStyle w:val="AERtextitalic"/>
        </w:rPr>
        <w:t>Revised regulatory proposal</w:t>
      </w:r>
      <w:r>
        <w:t>, January 2016,</w:t>
      </w:r>
      <w:r w:rsidR="008E3CF9">
        <w:t xml:space="preserve"> </w:t>
      </w:r>
      <w:r>
        <w:t xml:space="preserve">p. 17; Powercor, </w:t>
      </w:r>
      <w:r w:rsidRPr="007308FA">
        <w:rPr>
          <w:rStyle w:val="AERtextitalic"/>
        </w:rPr>
        <w:t>Revised regulatory proposal</w:t>
      </w:r>
      <w:r>
        <w:t xml:space="preserve">, January 2016, p. 16; Jemena, </w:t>
      </w:r>
      <w:r w:rsidRPr="007308FA">
        <w:rPr>
          <w:rStyle w:val="AERtextitalic"/>
        </w:rPr>
        <w:t>Revised regulatory proposal</w:t>
      </w:r>
      <w:r>
        <w:t xml:space="preserve">, January 2016, p. 7; United Energy, </w:t>
      </w:r>
      <w:r w:rsidRPr="007308FA">
        <w:rPr>
          <w:rStyle w:val="AERtextitalic"/>
        </w:rPr>
        <w:t>Revised regulatory proposal</w:t>
      </w:r>
      <w:r>
        <w:t>, January 2016, p. 5.</w:t>
      </w:r>
    </w:p>
  </w:footnote>
  <w:footnote w:id="38">
    <w:p w:rsidR="004415A4" w:rsidRDefault="004415A4">
      <w:pPr>
        <w:pStyle w:val="FootnoteText"/>
      </w:pPr>
      <w:r>
        <w:rPr>
          <w:rStyle w:val="FootnoteReference"/>
        </w:rPr>
        <w:footnoteRef/>
      </w:r>
      <w:r>
        <w:t xml:space="preserve"> </w:t>
      </w:r>
      <w:r>
        <w:tab/>
        <w:t xml:space="preserve">Jemena, </w:t>
      </w:r>
      <w:r w:rsidRPr="007437EA">
        <w:rPr>
          <w:rStyle w:val="AERtextitalic"/>
        </w:rPr>
        <w:t>Revised regulatory proposal, attachment 2.01 − Classification of services</w:t>
      </w:r>
      <w:r>
        <w:t>, January 2016, p. 5.</w:t>
      </w:r>
    </w:p>
  </w:footnote>
  <w:footnote w:id="39">
    <w:p w:rsidR="004415A4" w:rsidRDefault="004415A4">
      <w:pPr>
        <w:pStyle w:val="FootnoteText"/>
      </w:pPr>
      <w:r>
        <w:rPr>
          <w:rStyle w:val="FootnoteReference"/>
        </w:rPr>
        <w:footnoteRef/>
      </w:r>
      <w:r>
        <w:t xml:space="preserve"> </w:t>
      </w:r>
      <w:r>
        <w:tab/>
      </w:r>
      <w:r w:rsidRPr="007437EA">
        <w:t>Advanced Metering Infrastruct</w:t>
      </w:r>
      <w:r>
        <w:t>ure Order in Council, cl</w:t>
      </w:r>
      <w:r w:rsidR="008E3CF9">
        <w:t>.</w:t>
      </w:r>
      <w:r>
        <w:t xml:space="preserve"> 5K(a).</w:t>
      </w:r>
    </w:p>
  </w:footnote>
  <w:footnote w:id="40">
    <w:p w:rsidR="004415A4" w:rsidRDefault="004415A4" w:rsidP="00601452">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 528. The AEMC did not accept the Victorian distributors' recommendation as it was outside the scope of the rule change and would require a new jurisdictional derogation request from the relevant Minister.</w:t>
      </w:r>
    </w:p>
  </w:footnote>
  <w:footnote w:id="41">
    <w:p w:rsidR="004415A4" w:rsidRDefault="004415A4" w:rsidP="008D31AB">
      <w:pPr>
        <w:pStyle w:val="FootnoteText"/>
      </w:pPr>
      <w:r>
        <w:rPr>
          <w:rStyle w:val="FootnoteReference"/>
        </w:rPr>
        <w:footnoteRef/>
      </w:r>
      <w:r>
        <w:t xml:space="preserve"> </w:t>
      </w:r>
      <w:r>
        <w:tab/>
        <w:t>A derogation is a special class of rules that alter how the NER operates for a whole State (Jurisdictional derogation) or just the named market participant(s) (participant derogation).</w:t>
      </w:r>
    </w:p>
  </w:footnote>
  <w:footnote w:id="42">
    <w:p w:rsidR="004415A4" w:rsidRDefault="004415A4" w:rsidP="008D31AB">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October 2014, p. 48.</w:t>
      </w:r>
    </w:p>
  </w:footnote>
  <w:footnote w:id="43">
    <w:p w:rsidR="004415A4" w:rsidRPr="00444C07" w:rsidRDefault="004415A4" w:rsidP="00F435BC">
      <w:pPr>
        <w:pStyle w:val="FootnoteText"/>
        <w:rPr>
          <w:rStyle w:val="AERtextitalic"/>
        </w:rPr>
      </w:pPr>
      <w:r>
        <w:rPr>
          <w:rStyle w:val="FootnoteReference"/>
        </w:rPr>
        <w:footnoteRef/>
      </w:r>
      <w:r>
        <w:t xml:space="preserve"> </w:t>
      </w:r>
      <w:r>
        <w:tab/>
        <w:t>Victorian Government</w:t>
      </w:r>
      <w:r w:rsidRPr="00444C07">
        <w:rPr>
          <w:rStyle w:val="AERtextitalic"/>
        </w:rPr>
        <w:t>, Submission on the Victorian electricity distribution network service providers’ preliminary</w:t>
      </w:r>
    </w:p>
    <w:p w:rsidR="004415A4" w:rsidRDefault="004415A4" w:rsidP="00F435BC">
      <w:pPr>
        <w:pStyle w:val="FootnoteText"/>
      </w:pPr>
      <w:r>
        <w:rPr>
          <w:rStyle w:val="AERtextitalic"/>
        </w:rPr>
        <w:tab/>
      </w:r>
      <w:r w:rsidRPr="00444C07">
        <w:rPr>
          <w:rStyle w:val="AERtextitalic"/>
        </w:rPr>
        <w:t>distribution determinations for 2016-20</w:t>
      </w:r>
      <w:r>
        <w:rPr>
          <w:rStyle w:val="AERtextitalic"/>
        </w:rPr>
        <w:t>,</w:t>
      </w:r>
      <w:r>
        <w:t xml:space="preserve"> p. 10; CitiPower, </w:t>
      </w:r>
      <w:r w:rsidRPr="00377E64">
        <w:rPr>
          <w:rStyle w:val="AERtextitalic"/>
        </w:rPr>
        <w:t>Further submission to the AER regarding preliminary determination</w:t>
      </w:r>
      <w:r>
        <w:t xml:space="preserve">, February 2016, p. 17; Powercor, </w:t>
      </w:r>
      <w:r w:rsidRPr="00377E64">
        <w:rPr>
          <w:rStyle w:val="AERtextitalic"/>
        </w:rPr>
        <w:t>Further determination to the AER regarding preliminary determination</w:t>
      </w:r>
      <w:r>
        <w:t xml:space="preserve">, p. 23; Jemena, </w:t>
      </w:r>
      <w:r w:rsidRPr="00377E64">
        <w:rPr>
          <w:rStyle w:val="AERtextitalic"/>
        </w:rPr>
        <w:t>Submission to the Victorian EDPR process</w:t>
      </w:r>
      <w:r>
        <w:t>, February 2016, p. 21.</w:t>
      </w:r>
    </w:p>
  </w:footnote>
  <w:footnote w:id="44">
    <w:p w:rsidR="004415A4" w:rsidRDefault="004415A4" w:rsidP="009B2E07">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45">
    <w:p w:rsidR="004415A4" w:rsidRDefault="004415A4">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pp. xiv and 87.</w:t>
      </w:r>
    </w:p>
  </w:footnote>
  <w:footnote w:id="46">
    <w:p w:rsidR="004415A4" w:rsidRDefault="004415A4">
      <w:pPr>
        <w:pStyle w:val="FootnoteText"/>
      </w:pPr>
      <w:r>
        <w:rPr>
          <w:rStyle w:val="FootnoteReference"/>
        </w:rPr>
        <w:footnoteRef/>
      </w:r>
      <w:r>
        <w:t xml:space="preserve"> </w:t>
      </w:r>
      <w:r>
        <w:tab/>
        <w:t xml:space="preserve">Vector Limited, </w:t>
      </w:r>
      <w:r w:rsidRPr="00624FA5">
        <w:rPr>
          <w:rStyle w:val="AERtextitalic"/>
        </w:rPr>
        <w:t>Submission on the AER's</w:t>
      </w:r>
      <w:r>
        <w:rPr>
          <w:rStyle w:val="AERtextitalic"/>
        </w:rPr>
        <w:t xml:space="preserve"> preliminary decision</w:t>
      </w:r>
      <w:r w:rsidRPr="00457EE0">
        <w:rPr>
          <w:rStyle w:val="AERtextitalic"/>
        </w:rPr>
        <w:t xml:space="preserve"> </w:t>
      </w:r>
      <w:r>
        <w:rPr>
          <w:rStyle w:val="AERtextitalic"/>
        </w:rPr>
        <w:t>VIC EDPR, 2016</w:t>
      </w:r>
      <w:r w:rsidRPr="00457EE0">
        <w:rPr>
          <w:rStyle w:val="AERtextitalic"/>
        </w:rPr>
        <w:t>−</w:t>
      </w:r>
      <w:r>
        <w:rPr>
          <w:rStyle w:val="AERtextitalic"/>
        </w:rPr>
        <w:t xml:space="preserve">20, </w:t>
      </w:r>
      <w:r w:rsidRPr="00230285">
        <w:t xml:space="preserve">21 </w:t>
      </w:r>
      <w:r w:rsidRPr="00BD596E">
        <w:t>December</w:t>
      </w:r>
      <w:r w:rsidRPr="00230285">
        <w:t xml:space="preserve"> 2015</w:t>
      </w:r>
      <w:r>
        <w:t>, p. 2.</w:t>
      </w:r>
      <w:r w:rsidRPr="00624FA5">
        <w:rPr>
          <w:rStyle w:val="AERtextitalic"/>
        </w:rPr>
        <w:t xml:space="preserve"> </w:t>
      </w:r>
    </w:p>
  </w:footnote>
  <w:footnote w:id="47">
    <w:p w:rsidR="004415A4" w:rsidRDefault="004415A4">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48">
    <w:p w:rsidR="004415A4" w:rsidRDefault="004415A4">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49">
    <w:p w:rsidR="004415A4" w:rsidRDefault="004415A4" w:rsidP="0018773D">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50">
    <w:p w:rsidR="004415A4" w:rsidRDefault="004415A4" w:rsidP="008E0D1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128.</w:t>
      </w:r>
    </w:p>
  </w:footnote>
  <w:footnote w:id="51">
    <w:p w:rsidR="004415A4" w:rsidRDefault="004415A4">
      <w:pPr>
        <w:pStyle w:val="FootnoteText"/>
      </w:pPr>
      <w:r>
        <w:rPr>
          <w:rStyle w:val="FootnoteReference"/>
        </w:rPr>
        <w:footnoteRef/>
      </w:r>
      <w:r>
        <w:t xml:space="preserve"> </w:t>
      </w:r>
      <w:r>
        <w:tab/>
        <w:t xml:space="preserve">Jemena, </w:t>
      </w:r>
      <w:r w:rsidRPr="00615F52">
        <w:rPr>
          <w:rStyle w:val="Emphasis"/>
        </w:rPr>
        <w:t>Revised regulatory proposal attachment 2.01− Classification of services</w:t>
      </w:r>
      <w:r>
        <w:t xml:space="preserve">, January 2016, p. 4 refers to the </w:t>
      </w:r>
      <w:r w:rsidRPr="00615F52">
        <w:rPr>
          <w:rStyle w:val="Emphasis"/>
        </w:rPr>
        <w:t>Electricity Industry Act and National Electricity (Victoria) Act</w:t>
      </w:r>
      <w:r w:rsidRPr="00615F52">
        <w:t xml:space="preserve"> (NEVA) tabled before the Victorian parliament on 8 December 2015</w:t>
      </w:r>
      <w:r>
        <w:t>.</w:t>
      </w:r>
      <w:r w:rsidRPr="00615F52">
        <w:t xml:space="preserve"> </w:t>
      </w:r>
    </w:p>
  </w:footnote>
  <w:footnote w:id="52">
    <w:p w:rsidR="004415A4" w:rsidRDefault="004415A4">
      <w:pPr>
        <w:pStyle w:val="FootnoteText"/>
      </w:pPr>
      <w:r>
        <w:rPr>
          <w:rStyle w:val="FootnoteReference"/>
        </w:rPr>
        <w:footnoteRef/>
      </w:r>
      <w:r>
        <w:t xml:space="preserve"> </w:t>
      </w:r>
      <w:r>
        <w:tab/>
        <w:t xml:space="preserve">AusNet Services, </w:t>
      </w:r>
      <w:r w:rsidRPr="00615F52">
        <w:rPr>
          <w:rStyle w:val="Emphasis"/>
        </w:rPr>
        <w:t>Revised</w:t>
      </w:r>
      <w:r>
        <w:t xml:space="preserve"> </w:t>
      </w:r>
      <w:r>
        <w:rPr>
          <w:rStyle w:val="AERtextitalic"/>
        </w:rPr>
        <w:t>r</w:t>
      </w:r>
      <w:r w:rsidRPr="00C84003">
        <w:rPr>
          <w:rStyle w:val="AERtextitalic"/>
        </w:rPr>
        <w:t>egulatory proposal</w:t>
      </w:r>
      <w:r>
        <w:t>, January 2016, pp. 3.29 and 3.30.</w:t>
      </w:r>
    </w:p>
  </w:footnote>
  <w:footnote w:id="53">
    <w:p w:rsidR="004415A4" w:rsidRDefault="004415A4">
      <w:pPr>
        <w:pStyle w:val="FootnoteText"/>
      </w:pPr>
      <w:r>
        <w:rPr>
          <w:rStyle w:val="FootnoteReference"/>
        </w:rPr>
        <w:footnoteRef/>
      </w:r>
      <w:r>
        <w:t xml:space="preserve"> </w:t>
      </w:r>
      <w:r>
        <w:tab/>
        <w:t xml:space="preserve">AusNet Services, </w:t>
      </w:r>
      <w:r w:rsidRPr="004A0E39">
        <w:rPr>
          <w:rStyle w:val="Emphasis"/>
        </w:rPr>
        <w:t>Information request #047 - service classification</w:t>
      </w:r>
      <w:r>
        <w:t xml:space="preserve"> [email to AER], 7 March 2016.</w:t>
      </w:r>
    </w:p>
  </w:footnote>
  <w:footnote w:id="54">
    <w:p w:rsidR="004415A4" w:rsidRDefault="004415A4">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r w:rsidR="008E3CF9">
        <w:t>.</w:t>
      </w:r>
    </w:p>
  </w:footnote>
  <w:footnote w:id="55">
    <w:p w:rsidR="004415A4" w:rsidRDefault="004415A4" w:rsidP="007834DB">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56">
    <w:p w:rsidR="004415A4" w:rsidRDefault="004415A4" w:rsidP="00D02B94">
      <w:pPr>
        <w:pStyle w:val="FootnoteText"/>
      </w:pPr>
      <w:r>
        <w:rPr>
          <w:rStyle w:val="FootnoteReference"/>
        </w:rPr>
        <w:footnoteRef/>
      </w:r>
      <w:r>
        <w:t xml:space="preserve"> </w:t>
      </w:r>
      <w:r>
        <w:tab/>
      </w:r>
      <w:r w:rsidRPr="009B2C5E">
        <w:t xml:space="preserve">This classification applies where a customer contribution is calculated and applied in accordance with Essential Services Commission (ESCV) Guideline 14 or where a customer contribution is calculated and applied in accordance with any other relevant Victorian legislation or regulation, including regulations made under the </w:t>
      </w:r>
      <w:r w:rsidRPr="009B2C5E">
        <w:rPr>
          <w:rStyle w:val="Emphasis"/>
        </w:rPr>
        <w:t>National Electricity (Victoria) Act</w:t>
      </w:r>
      <w:r w:rsidRPr="009B2C5E">
        <w:t>, 2005. The party requesting such works under this classification must pay the net cost of the works, subject to any rebates specified in Guideline 14 or by any other relevant Victorian legislation or regulation</w:t>
      </w:r>
      <w:r>
        <w:t xml:space="preserve">. </w:t>
      </w:r>
    </w:p>
  </w:footnote>
  <w:footnote w:id="57">
    <w:p w:rsidR="004415A4" w:rsidRDefault="004415A4">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58">
    <w:p w:rsidR="004415A4" w:rsidRDefault="004415A4" w:rsidP="00576046">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59">
    <w:p w:rsidR="004415A4" w:rsidRDefault="004415A4">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60">
    <w:p w:rsidR="004415A4" w:rsidRDefault="004415A4">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61">
    <w:p w:rsidR="004415A4" w:rsidRDefault="004415A4">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62">
    <w:p w:rsidR="004415A4" w:rsidRDefault="004415A4">
      <w:pPr>
        <w:pStyle w:val="FootnoteText"/>
      </w:pPr>
      <w:r>
        <w:rPr>
          <w:rStyle w:val="FootnoteReference"/>
        </w:rPr>
        <w:footnoteRef/>
      </w:r>
      <w:r>
        <w:t xml:space="preserve"> </w:t>
      </w:r>
      <w:r>
        <w:tab/>
        <w:t>These services were not regulated by us during the 2011</w:t>
      </w:r>
      <w:r>
        <w:rPr>
          <w:rFonts w:cs="Arial"/>
        </w:rPr>
        <w:t>─</w:t>
      </w:r>
      <w:r>
        <w:t>15 regulatory control period, they were regulated under the AMI Order.</w:t>
      </w:r>
    </w:p>
  </w:footnote>
  <w:footnote w:id="63">
    <w:p w:rsidR="004415A4" w:rsidRDefault="004415A4">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64">
    <w:p w:rsidR="004415A4" w:rsidRDefault="004415A4" w:rsidP="00D02B94">
      <w:pPr>
        <w:pStyle w:val="FootnoteText"/>
      </w:pPr>
      <w:r>
        <w:rPr>
          <w:rStyle w:val="FootnoteReference"/>
        </w:rPr>
        <w:footnoteRef/>
      </w:r>
      <w:r>
        <w:t xml:space="preserve"> </w:t>
      </w:r>
      <w:r>
        <w:tab/>
        <w:t xml:space="preserve">A 'new customer' includes an existing customer who elects to replace an existing meter. </w:t>
      </w:r>
    </w:p>
  </w:footnote>
  <w:footnote w:id="65">
    <w:p w:rsidR="004415A4" w:rsidRDefault="004415A4">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66">
    <w:p w:rsidR="004415A4" w:rsidRDefault="004415A4">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4970" w:hanging="576"/>
      </w:pPr>
      <w:rPr>
        <w:rFonts w:hint="default"/>
      </w:rPr>
    </w:lvl>
    <w:lvl w:ilvl="2">
      <w:start w:val="1"/>
      <w:numFmt w:val="decimal"/>
      <w:pStyle w:val="Heading3"/>
      <w:lvlText w:val="%1.%2.%3"/>
      <w:lvlJc w:val="left"/>
      <w:pPr>
        <w:ind w:left="143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280\AER15 2586  AER - Preliminary decision AusNet distribution determination - Attachment 13 - Classification of services - October 2015.DOCX"/>
  </w:docVars>
  <w:rsids>
    <w:rsidRoot w:val="00961A4A"/>
    <w:rsid w:val="00001802"/>
    <w:rsid w:val="00001E2D"/>
    <w:rsid w:val="00004A76"/>
    <w:rsid w:val="0000632C"/>
    <w:rsid w:val="00006FED"/>
    <w:rsid w:val="000072B5"/>
    <w:rsid w:val="00010286"/>
    <w:rsid w:val="000116BD"/>
    <w:rsid w:val="000128B8"/>
    <w:rsid w:val="00013528"/>
    <w:rsid w:val="00015B19"/>
    <w:rsid w:val="00021202"/>
    <w:rsid w:val="00021C2B"/>
    <w:rsid w:val="0002517F"/>
    <w:rsid w:val="00026495"/>
    <w:rsid w:val="00031E6B"/>
    <w:rsid w:val="00032945"/>
    <w:rsid w:val="0003418D"/>
    <w:rsid w:val="0003442F"/>
    <w:rsid w:val="0003578C"/>
    <w:rsid w:val="00035C29"/>
    <w:rsid w:val="000401AF"/>
    <w:rsid w:val="0004512C"/>
    <w:rsid w:val="00045DDB"/>
    <w:rsid w:val="00063247"/>
    <w:rsid w:val="00064CB9"/>
    <w:rsid w:val="00065C83"/>
    <w:rsid w:val="00070F9F"/>
    <w:rsid w:val="0007137B"/>
    <w:rsid w:val="00072A05"/>
    <w:rsid w:val="000823E6"/>
    <w:rsid w:val="0008259C"/>
    <w:rsid w:val="00082D71"/>
    <w:rsid w:val="000837F1"/>
    <w:rsid w:val="00085663"/>
    <w:rsid w:val="00085EBF"/>
    <w:rsid w:val="000871A9"/>
    <w:rsid w:val="00091B15"/>
    <w:rsid w:val="0009209E"/>
    <w:rsid w:val="00093C30"/>
    <w:rsid w:val="000A2237"/>
    <w:rsid w:val="000A3020"/>
    <w:rsid w:val="000A36B9"/>
    <w:rsid w:val="000A6C7B"/>
    <w:rsid w:val="000A77C0"/>
    <w:rsid w:val="000B0CF0"/>
    <w:rsid w:val="000B2DEA"/>
    <w:rsid w:val="000B54AD"/>
    <w:rsid w:val="000B5EA0"/>
    <w:rsid w:val="000C0643"/>
    <w:rsid w:val="000C06F1"/>
    <w:rsid w:val="000C2B40"/>
    <w:rsid w:val="000C405E"/>
    <w:rsid w:val="000D0627"/>
    <w:rsid w:val="000D06C1"/>
    <w:rsid w:val="000D122C"/>
    <w:rsid w:val="000D3016"/>
    <w:rsid w:val="000D753B"/>
    <w:rsid w:val="000E04B5"/>
    <w:rsid w:val="000E1819"/>
    <w:rsid w:val="000E28C5"/>
    <w:rsid w:val="000E3B77"/>
    <w:rsid w:val="000E4821"/>
    <w:rsid w:val="000E6C72"/>
    <w:rsid w:val="000F05EF"/>
    <w:rsid w:val="000F0B2B"/>
    <w:rsid w:val="000F26AC"/>
    <w:rsid w:val="000F3E72"/>
    <w:rsid w:val="000F48B1"/>
    <w:rsid w:val="000F4A97"/>
    <w:rsid w:val="000F6FBB"/>
    <w:rsid w:val="00105B47"/>
    <w:rsid w:val="001064AE"/>
    <w:rsid w:val="00112D83"/>
    <w:rsid w:val="00114406"/>
    <w:rsid w:val="00114B8C"/>
    <w:rsid w:val="00116AA8"/>
    <w:rsid w:val="00116EB2"/>
    <w:rsid w:val="00120B51"/>
    <w:rsid w:val="00121153"/>
    <w:rsid w:val="00122A48"/>
    <w:rsid w:val="00123424"/>
    <w:rsid w:val="00124609"/>
    <w:rsid w:val="00125597"/>
    <w:rsid w:val="00126A4C"/>
    <w:rsid w:val="001329F4"/>
    <w:rsid w:val="00140B42"/>
    <w:rsid w:val="00142AB6"/>
    <w:rsid w:val="0014573B"/>
    <w:rsid w:val="00152C49"/>
    <w:rsid w:val="001573E4"/>
    <w:rsid w:val="00160756"/>
    <w:rsid w:val="00163C5A"/>
    <w:rsid w:val="0016436B"/>
    <w:rsid w:val="0017232E"/>
    <w:rsid w:val="0017297C"/>
    <w:rsid w:val="00174102"/>
    <w:rsid w:val="001754EE"/>
    <w:rsid w:val="00176868"/>
    <w:rsid w:val="00180157"/>
    <w:rsid w:val="00184BCF"/>
    <w:rsid w:val="00185CB9"/>
    <w:rsid w:val="00186F77"/>
    <w:rsid w:val="0018773D"/>
    <w:rsid w:val="001926A4"/>
    <w:rsid w:val="00192AD5"/>
    <w:rsid w:val="00193E89"/>
    <w:rsid w:val="00197493"/>
    <w:rsid w:val="00197C12"/>
    <w:rsid w:val="001A00E6"/>
    <w:rsid w:val="001A3AB2"/>
    <w:rsid w:val="001A4FDF"/>
    <w:rsid w:val="001A5284"/>
    <w:rsid w:val="001B011C"/>
    <w:rsid w:val="001B45A0"/>
    <w:rsid w:val="001B48BB"/>
    <w:rsid w:val="001B7D00"/>
    <w:rsid w:val="001C1F10"/>
    <w:rsid w:val="001C27A8"/>
    <w:rsid w:val="001C3576"/>
    <w:rsid w:val="001C4EA9"/>
    <w:rsid w:val="001D055E"/>
    <w:rsid w:val="001D3926"/>
    <w:rsid w:val="001D6FC5"/>
    <w:rsid w:val="001E7733"/>
    <w:rsid w:val="001F05A4"/>
    <w:rsid w:val="001F449F"/>
    <w:rsid w:val="001F492E"/>
    <w:rsid w:val="001F56BC"/>
    <w:rsid w:val="001F6DA3"/>
    <w:rsid w:val="001F7D4C"/>
    <w:rsid w:val="002008A4"/>
    <w:rsid w:val="002010BC"/>
    <w:rsid w:val="002016E7"/>
    <w:rsid w:val="00201F98"/>
    <w:rsid w:val="00202E03"/>
    <w:rsid w:val="00202E7D"/>
    <w:rsid w:val="0020478D"/>
    <w:rsid w:val="0020492C"/>
    <w:rsid w:val="002070E1"/>
    <w:rsid w:val="00220BA8"/>
    <w:rsid w:val="00221876"/>
    <w:rsid w:val="002240B9"/>
    <w:rsid w:val="00224DB9"/>
    <w:rsid w:val="00225221"/>
    <w:rsid w:val="00227DCE"/>
    <w:rsid w:val="00230285"/>
    <w:rsid w:val="0023276C"/>
    <w:rsid w:val="00233775"/>
    <w:rsid w:val="0023464D"/>
    <w:rsid w:val="002357FB"/>
    <w:rsid w:val="00241A64"/>
    <w:rsid w:val="0024310B"/>
    <w:rsid w:val="00251300"/>
    <w:rsid w:val="00251745"/>
    <w:rsid w:val="002533E9"/>
    <w:rsid w:val="00263AC0"/>
    <w:rsid w:val="00264264"/>
    <w:rsid w:val="002650CD"/>
    <w:rsid w:val="0026772D"/>
    <w:rsid w:val="00273DFE"/>
    <w:rsid w:val="002741D5"/>
    <w:rsid w:val="00275A75"/>
    <w:rsid w:val="002765CD"/>
    <w:rsid w:val="0028253D"/>
    <w:rsid w:val="002841DA"/>
    <w:rsid w:val="00285EA0"/>
    <w:rsid w:val="00286874"/>
    <w:rsid w:val="00290C63"/>
    <w:rsid w:val="002911AB"/>
    <w:rsid w:val="00293EB0"/>
    <w:rsid w:val="00296B65"/>
    <w:rsid w:val="00297179"/>
    <w:rsid w:val="002A25CC"/>
    <w:rsid w:val="002A2AE8"/>
    <w:rsid w:val="002A7AE4"/>
    <w:rsid w:val="002A7DEF"/>
    <w:rsid w:val="002B1003"/>
    <w:rsid w:val="002B5FBA"/>
    <w:rsid w:val="002C0B13"/>
    <w:rsid w:val="002C1F49"/>
    <w:rsid w:val="002C233C"/>
    <w:rsid w:val="002C37BC"/>
    <w:rsid w:val="002C38A1"/>
    <w:rsid w:val="002C4373"/>
    <w:rsid w:val="002C4470"/>
    <w:rsid w:val="002C76DB"/>
    <w:rsid w:val="002D0A1B"/>
    <w:rsid w:val="002D0CDC"/>
    <w:rsid w:val="002D4501"/>
    <w:rsid w:val="002D4C19"/>
    <w:rsid w:val="002D7252"/>
    <w:rsid w:val="002D72E8"/>
    <w:rsid w:val="002D7890"/>
    <w:rsid w:val="002E0868"/>
    <w:rsid w:val="002E327E"/>
    <w:rsid w:val="002E36EB"/>
    <w:rsid w:val="002E4BBC"/>
    <w:rsid w:val="002E7B22"/>
    <w:rsid w:val="002F7986"/>
    <w:rsid w:val="00301B40"/>
    <w:rsid w:val="003029EE"/>
    <w:rsid w:val="0030370B"/>
    <w:rsid w:val="00305CC8"/>
    <w:rsid w:val="00306BF2"/>
    <w:rsid w:val="003070F8"/>
    <w:rsid w:val="00307F6D"/>
    <w:rsid w:val="0031301A"/>
    <w:rsid w:val="00313331"/>
    <w:rsid w:val="00317374"/>
    <w:rsid w:val="00317543"/>
    <w:rsid w:val="003177A2"/>
    <w:rsid w:val="00317E66"/>
    <w:rsid w:val="003250FE"/>
    <w:rsid w:val="003271B5"/>
    <w:rsid w:val="00327A1E"/>
    <w:rsid w:val="00331264"/>
    <w:rsid w:val="0033327A"/>
    <w:rsid w:val="00333ABD"/>
    <w:rsid w:val="00334C8D"/>
    <w:rsid w:val="00334FC2"/>
    <w:rsid w:val="00336586"/>
    <w:rsid w:val="003370A6"/>
    <w:rsid w:val="0033757A"/>
    <w:rsid w:val="0034363E"/>
    <w:rsid w:val="00343A18"/>
    <w:rsid w:val="00344473"/>
    <w:rsid w:val="003518B3"/>
    <w:rsid w:val="00352E66"/>
    <w:rsid w:val="00354B3B"/>
    <w:rsid w:val="00361614"/>
    <w:rsid w:val="003634AE"/>
    <w:rsid w:val="00364B3A"/>
    <w:rsid w:val="0036666B"/>
    <w:rsid w:val="0037763E"/>
    <w:rsid w:val="00382E68"/>
    <w:rsid w:val="00383727"/>
    <w:rsid w:val="003838F8"/>
    <w:rsid w:val="003846F1"/>
    <w:rsid w:val="00384982"/>
    <w:rsid w:val="00385DC2"/>
    <w:rsid w:val="00387759"/>
    <w:rsid w:val="00391032"/>
    <w:rsid w:val="0039130C"/>
    <w:rsid w:val="003931A7"/>
    <w:rsid w:val="00393F43"/>
    <w:rsid w:val="0039641F"/>
    <w:rsid w:val="00396723"/>
    <w:rsid w:val="003B1184"/>
    <w:rsid w:val="003B24CA"/>
    <w:rsid w:val="003B3EF1"/>
    <w:rsid w:val="003B484F"/>
    <w:rsid w:val="003B7FBA"/>
    <w:rsid w:val="003D3FB0"/>
    <w:rsid w:val="003D4158"/>
    <w:rsid w:val="003D5C95"/>
    <w:rsid w:val="003E02D4"/>
    <w:rsid w:val="003E1A76"/>
    <w:rsid w:val="003E24F3"/>
    <w:rsid w:val="003E5C70"/>
    <w:rsid w:val="003F058D"/>
    <w:rsid w:val="003F174D"/>
    <w:rsid w:val="003F5F9B"/>
    <w:rsid w:val="003F6A37"/>
    <w:rsid w:val="003F7442"/>
    <w:rsid w:val="003F7D4E"/>
    <w:rsid w:val="004036F9"/>
    <w:rsid w:val="00404916"/>
    <w:rsid w:val="00405BA2"/>
    <w:rsid w:val="004079E4"/>
    <w:rsid w:val="004102C7"/>
    <w:rsid w:val="00413FAD"/>
    <w:rsid w:val="00414BBA"/>
    <w:rsid w:val="00415F31"/>
    <w:rsid w:val="00416B98"/>
    <w:rsid w:val="00423A77"/>
    <w:rsid w:val="00424BE0"/>
    <w:rsid w:val="004415A4"/>
    <w:rsid w:val="00444539"/>
    <w:rsid w:val="00444C07"/>
    <w:rsid w:val="00445429"/>
    <w:rsid w:val="00453730"/>
    <w:rsid w:val="00453B17"/>
    <w:rsid w:val="004550C6"/>
    <w:rsid w:val="0045777E"/>
    <w:rsid w:val="00457EE0"/>
    <w:rsid w:val="00470E1E"/>
    <w:rsid w:val="00474EC7"/>
    <w:rsid w:val="004766A0"/>
    <w:rsid w:val="0047737B"/>
    <w:rsid w:val="00480B4B"/>
    <w:rsid w:val="00485778"/>
    <w:rsid w:val="00485DC4"/>
    <w:rsid w:val="00487336"/>
    <w:rsid w:val="004946A4"/>
    <w:rsid w:val="004970A3"/>
    <w:rsid w:val="004A0E39"/>
    <w:rsid w:val="004A43D1"/>
    <w:rsid w:val="004A580B"/>
    <w:rsid w:val="004B4412"/>
    <w:rsid w:val="004C348C"/>
    <w:rsid w:val="004D216B"/>
    <w:rsid w:val="004D2C8C"/>
    <w:rsid w:val="004D2E0C"/>
    <w:rsid w:val="004D55BA"/>
    <w:rsid w:val="004E02E1"/>
    <w:rsid w:val="004E22EC"/>
    <w:rsid w:val="004E3068"/>
    <w:rsid w:val="004F6A0E"/>
    <w:rsid w:val="00510534"/>
    <w:rsid w:val="005150CA"/>
    <w:rsid w:val="00520229"/>
    <w:rsid w:val="00526345"/>
    <w:rsid w:val="00530128"/>
    <w:rsid w:val="0053111C"/>
    <w:rsid w:val="00531D03"/>
    <w:rsid w:val="00532467"/>
    <w:rsid w:val="005333EA"/>
    <w:rsid w:val="00533E1C"/>
    <w:rsid w:val="00537FD6"/>
    <w:rsid w:val="00540816"/>
    <w:rsid w:val="00547C41"/>
    <w:rsid w:val="00554FB6"/>
    <w:rsid w:val="00561D73"/>
    <w:rsid w:val="00563651"/>
    <w:rsid w:val="00563866"/>
    <w:rsid w:val="005639EC"/>
    <w:rsid w:val="00564A4D"/>
    <w:rsid w:val="00565767"/>
    <w:rsid w:val="0056588A"/>
    <w:rsid w:val="0056778B"/>
    <w:rsid w:val="00567BA5"/>
    <w:rsid w:val="00571B35"/>
    <w:rsid w:val="00571D57"/>
    <w:rsid w:val="00573B0A"/>
    <w:rsid w:val="00576046"/>
    <w:rsid w:val="00577A09"/>
    <w:rsid w:val="00577A4F"/>
    <w:rsid w:val="005829C2"/>
    <w:rsid w:val="00583954"/>
    <w:rsid w:val="00584D8F"/>
    <w:rsid w:val="00585AE7"/>
    <w:rsid w:val="00586819"/>
    <w:rsid w:val="00594603"/>
    <w:rsid w:val="0059704C"/>
    <w:rsid w:val="005A0B94"/>
    <w:rsid w:val="005A19B2"/>
    <w:rsid w:val="005A2F10"/>
    <w:rsid w:val="005A404D"/>
    <w:rsid w:val="005A7BB7"/>
    <w:rsid w:val="005B06FC"/>
    <w:rsid w:val="005B1E3C"/>
    <w:rsid w:val="005B1ED2"/>
    <w:rsid w:val="005B5705"/>
    <w:rsid w:val="005B62F0"/>
    <w:rsid w:val="005B7022"/>
    <w:rsid w:val="005B704A"/>
    <w:rsid w:val="005C0087"/>
    <w:rsid w:val="005C0A7F"/>
    <w:rsid w:val="005C26CC"/>
    <w:rsid w:val="005C4C9C"/>
    <w:rsid w:val="005C7166"/>
    <w:rsid w:val="005D0B4E"/>
    <w:rsid w:val="005D5366"/>
    <w:rsid w:val="005D7BA2"/>
    <w:rsid w:val="005E20B0"/>
    <w:rsid w:val="005E36C2"/>
    <w:rsid w:val="005F419D"/>
    <w:rsid w:val="006007DE"/>
    <w:rsid w:val="00601452"/>
    <w:rsid w:val="00601638"/>
    <w:rsid w:val="006058D2"/>
    <w:rsid w:val="00605FD4"/>
    <w:rsid w:val="00610EF9"/>
    <w:rsid w:val="00612F4F"/>
    <w:rsid w:val="00615C6B"/>
    <w:rsid w:val="00615E11"/>
    <w:rsid w:val="00615F52"/>
    <w:rsid w:val="006202AD"/>
    <w:rsid w:val="00621DCE"/>
    <w:rsid w:val="0062420A"/>
    <w:rsid w:val="00624D68"/>
    <w:rsid w:val="00624FA5"/>
    <w:rsid w:val="00625DF5"/>
    <w:rsid w:val="00627402"/>
    <w:rsid w:val="006279E0"/>
    <w:rsid w:val="00632D6D"/>
    <w:rsid w:val="0063467D"/>
    <w:rsid w:val="00637358"/>
    <w:rsid w:val="00642C3E"/>
    <w:rsid w:val="00646B1D"/>
    <w:rsid w:val="00647206"/>
    <w:rsid w:val="00651C3A"/>
    <w:rsid w:val="00651CB2"/>
    <w:rsid w:val="00651F5B"/>
    <w:rsid w:val="00654A50"/>
    <w:rsid w:val="00655884"/>
    <w:rsid w:val="006560CA"/>
    <w:rsid w:val="00656510"/>
    <w:rsid w:val="00657562"/>
    <w:rsid w:val="00657ED2"/>
    <w:rsid w:val="0066104A"/>
    <w:rsid w:val="00663DAD"/>
    <w:rsid w:val="00665649"/>
    <w:rsid w:val="00666431"/>
    <w:rsid w:val="006668BB"/>
    <w:rsid w:val="006672AA"/>
    <w:rsid w:val="00670308"/>
    <w:rsid w:val="00673A2B"/>
    <w:rsid w:val="00673AC8"/>
    <w:rsid w:val="00675E20"/>
    <w:rsid w:val="00676679"/>
    <w:rsid w:val="00677C7A"/>
    <w:rsid w:val="00683C89"/>
    <w:rsid w:val="0068596C"/>
    <w:rsid w:val="006862DD"/>
    <w:rsid w:val="00690D39"/>
    <w:rsid w:val="00691D9A"/>
    <w:rsid w:val="00693200"/>
    <w:rsid w:val="006949FF"/>
    <w:rsid w:val="006967E1"/>
    <w:rsid w:val="006A06BC"/>
    <w:rsid w:val="006A3CBB"/>
    <w:rsid w:val="006A5C49"/>
    <w:rsid w:val="006A723D"/>
    <w:rsid w:val="006B042A"/>
    <w:rsid w:val="006B2395"/>
    <w:rsid w:val="006B4CF9"/>
    <w:rsid w:val="006B785B"/>
    <w:rsid w:val="006B7AC8"/>
    <w:rsid w:val="006C0303"/>
    <w:rsid w:val="006C1736"/>
    <w:rsid w:val="006C4798"/>
    <w:rsid w:val="006D0180"/>
    <w:rsid w:val="006D204F"/>
    <w:rsid w:val="006D3133"/>
    <w:rsid w:val="006D3676"/>
    <w:rsid w:val="006D4462"/>
    <w:rsid w:val="006D550F"/>
    <w:rsid w:val="006E1DD4"/>
    <w:rsid w:val="006E7F3C"/>
    <w:rsid w:val="006F1BEF"/>
    <w:rsid w:val="006F3AD1"/>
    <w:rsid w:val="006F3FC8"/>
    <w:rsid w:val="006F50D9"/>
    <w:rsid w:val="006F56CE"/>
    <w:rsid w:val="006F7CA4"/>
    <w:rsid w:val="0070011E"/>
    <w:rsid w:val="0070080B"/>
    <w:rsid w:val="00701CAB"/>
    <w:rsid w:val="00705D9B"/>
    <w:rsid w:val="0070659E"/>
    <w:rsid w:val="0070694C"/>
    <w:rsid w:val="00707563"/>
    <w:rsid w:val="007077B1"/>
    <w:rsid w:val="00717C44"/>
    <w:rsid w:val="007203A6"/>
    <w:rsid w:val="0072348C"/>
    <w:rsid w:val="00724A37"/>
    <w:rsid w:val="00726332"/>
    <w:rsid w:val="007303C3"/>
    <w:rsid w:val="007308FA"/>
    <w:rsid w:val="00735397"/>
    <w:rsid w:val="00735808"/>
    <w:rsid w:val="00741E23"/>
    <w:rsid w:val="007429BE"/>
    <w:rsid w:val="00743223"/>
    <w:rsid w:val="007437EA"/>
    <w:rsid w:val="00746E01"/>
    <w:rsid w:val="00747EEA"/>
    <w:rsid w:val="007514C2"/>
    <w:rsid w:val="00752003"/>
    <w:rsid w:val="00754599"/>
    <w:rsid w:val="007561F3"/>
    <w:rsid w:val="00757364"/>
    <w:rsid w:val="00757BDF"/>
    <w:rsid w:val="007609D0"/>
    <w:rsid w:val="00760A18"/>
    <w:rsid w:val="0076208B"/>
    <w:rsid w:val="007629D1"/>
    <w:rsid w:val="00763E5D"/>
    <w:rsid w:val="00767740"/>
    <w:rsid w:val="007716F6"/>
    <w:rsid w:val="00777EE6"/>
    <w:rsid w:val="007816AD"/>
    <w:rsid w:val="00782065"/>
    <w:rsid w:val="00782EEA"/>
    <w:rsid w:val="007834DB"/>
    <w:rsid w:val="00786378"/>
    <w:rsid w:val="00786480"/>
    <w:rsid w:val="0079098B"/>
    <w:rsid w:val="00796423"/>
    <w:rsid w:val="007A19C7"/>
    <w:rsid w:val="007A3D18"/>
    <w:rsid w:val="007A3D7A"/>
    <w:rsid w:val="007A69CB"/>
    <w:rsid w:val="007A6FD6"/>
    <w:rsid w:val="007B02B5"/>
    <w:rsid w:val="007B08CD"/>
    <w:rsid w:val="007B186E"/>
    <w:rsid w:val="007B2C72"/>
    <w:rsid w:val="007B2E17"/>
    <w:rsid w:val="007C1C53"/>
    <w:rsid w:val="007C1F05"/>
    <w:rsid w:val="007C5C3E"/>
    <w:rsid w:val="007C5CC9"/>
    <w:rsid w:val="007C74BB"/>
    <w:rsid w:val="007D026B"/>
    <w:rsid w:val="007D05F2"/>
    <w:rsid w:val="007D0E73"/>
    <w:rsid w:val="007D1CEF"/>
    <w:rsid w:val="007D456E"/>
    <w:rsid w:val="007D5A97"/>
    <w:rsid w:val="007D76C8"/>
    <w:rsid w:val="007D7717"/>
    <w:rsid w:val="007E4904"/>
    <w:rsid w:val="007E4CB5"/>
    <w:rsid w:val="007F066B"/>
    <w:rsid w:val="007F1064"/>
    <w:rsid w:val="007F213A"/>
    <w:rsid w:val="007F48AF"/>
    <w:rsid w:val="007F51AE"/>
    <w:rsid w:val="007F75C4"/>
    <w:rsid w:val="008033C4"/>
    <w:rsid w:val="00806C88"/>
    <w:rsid w:val="0081034E"/>
    <w:rsid w:val="008213DA"/>
    <w:rsid w:val="008221F2"/>
    <w:rsid w:val="0082367D"/>
    <w:rsid w:val="00825985"/>
    <w:rsid w:val="00826E7A"/>
    <w:rsid w:val="0083236A"/>
    <w:rsid w:val="008344F6"/>
    <w:rsid w:val="0083510F"/>
    <w:rsid w:val="008406B7"/>
    <w:rsid w:val="008408C5"/>
    <w:rsid w:val="00840ACC"/>
    <w:rsid w:val="00842C10"/>
    <w:rsid w:val="0084336A"/>
    <w:rsid w:val="00846A51"/>
    <w:rsid w:val="00851209"/>
    <w:rsid w:val="008535E9"/>
    <w:rsid w:val="0085444A"/>
    <w:rsid w:val="0085722A"/>
    <w:rsid w:val="00864D2C"/>
    <w:rsid w:val="00872650"/>
    <w:rsid w:val="00875450"/>
    <w:rsid w:val="008762BE"/>
    <w:rsid w:val="0088064F"/>
    <w:rsid w:val="0088112E"/>
    <w:rsid w:val="008837AC"/>
    <w:rsid w:val="00885550"/>
    <w:rsid w:val="00890677"/>
    <w:rsid w:val="00890CC9"/>
    <w:rsid w:val="00891DF1"/>
    <w:rsid w:val="00893607"/>
    <w:rsid w:val="008A115B"/>
    <w:rsid w:val="008A48CA"/>
    <w:rsid w:val="008A587D"/>
    <w:rsid w:val="008B35CD"/>
    <w:rsid w:val="008B51F6"/>
    <w:rsid w:val="008B5FCC"/>
    <w:rsid w:val="008B6CE5"/>
    <w:rsid w:val="008B6F88"/>
    <w:rsid w:val="008B700D"/>
    <w:rsid w:val="008B7457"/>
    <w:rsid w:val="008B7544"/>
    <w:rsid w:val="008C3374"/>
    <w:rsid w:val="008C3453"/>
    <w:rsid w:val="008C5486"/>
    <w:rsid w:val="008C708B"/>
    <w:rsid w:val="008D058C"/>
    <w:rsid w:val="008D1661"/>
    <w:rsid w:val="008D23C2"/>
    <w:rsid w:val="008D31AB"/>
    <w:rsid w:val="008D6800"/>
    <w:rsid w:val="008E0D16"/>
    <w:rsid w:val="008E3CF9"/>
    <w:rsid w:val="008E7031"/>
    <w:rsid w:val="008E77DE"/>
    <w:rsid w:val="008E7BCD"/>
    <w:rsid w:val="008F07A3"/>
    <w:rsid w:val="008F0B57"/>
    <w:rsid w:val="008F34DD"/>
    <w:rsid w:val="008F6382"/>
    <w:rsid w:val="009001B6"/>
    <w:rsid w:val="00900E1B"/>
    <w:rsid w:val="00901C3C"/>
    <w:rsid w:val="00907782"/>
    <w:rsid w:val="00911CA8"/>
    <w:rsid w:val="00912E86"/>
    <w:rsid w:val="00920440"/>
    <w:rsid w:val="009233EE"/>
    <w:rsid w:val="00923431"/>
    <w:rsid w:val="009272AD"/>
    <w:rsid w:val="009277DC"/>
    <w:rsid w:val="00932597"/>
    <w:rsid w:val="00936C41"/>
    <w:rsid w:val="00937D59"/>
    <w:rsid w:val="009460AA"/>
    <w:rsid w:val="009461F6"/>
    <w:rsid w:val="00951978"/>
    <w:rsid w:val="00956298"/>
    <w:rsid w:val="00961A4A"/>
    <w:rsid w:val="00964B2D"/>
    <w:rsid w:val="009661DE"/>
    <w:rsid w:val="00970E00"/>
    <w:rsid w:val="00975E64"/>
    <w:rsid w:val="00976934"/>
    <w:rsid w:val="00983691"/>
    <w:rsid w:val="0098375C"/>
    <w:rsid w:val="00983C25"/>
    <w:rsid w:val="00984F65"/>
    <w:rsid w:val="009856B7"/>
    <w:rsid w:val="00985C86"/>
    <w:rsid w:val="00991EAE"/>
    <w:rsid w:val="00994956"/>
    <w:rsid w:val="00996B86"/>
    <w:rsid w:val="009974B8"/>
    <w:rsid w:val="009A5113"/>
    <w:rsid w:val="009A5FC3"/>
    <w:rsid w:val="009B06A3"/>
    <w:rsid w:val="009B2C5E"/>
    <w:rsid w:val="009B2E07"/>
    <w:rsid w:val="009B5DF0"/>
    <w:rsid w:val="009B6F84"/>
    <w:rsid w:val="009B74B0"/>
    <w:rsid w:val="009C34AC"/>
    <w:rsid w:val="009D3906"/>
    <w:rsid w:val="009D3A61"/>
    <w:rsid w:val="009D4283"/>
    <w:rsid w:val="009D49C1"/>
    <w:rsid w:val="009D6B46"/>
    <w:rsid w:val="009D733A"/>
    <w:rsid w:val="009E1470"/>
    <w:rsid w:val="009F241F"/>
    <w:rsid w:val="009F4940"/>
    <w:rsid w:val="009F5BA1"/>
    <w:rsid w:val="00A02A88"/>
    <w:rsid w:val="00A04919"/>
    <w:rsid w:val="00A0562E"/>
    <w:rsid w:val="00A0726D"/>
    <w:rsid w:val="00A0747D"/>
    <w:rsid w:val="00A12AD2"/>
    <w:rsid w:val="00A172FC"/>
    <w:rsid w:val="00A22D11"/>
    <w:rsid w:val="00A32157"/>
    <w:rsid w:val="00A32FBB"/>
    <w:rsid w:val="00A3352E"/>
    <w:rsid w:val="00A33726"/>
    <w:rsid w:val="00A42657"/>
    <w:rsid w:val="00A428EE"/>
    <w:rsid w:val="00A4478A"/>
    <w:rsid w:val="00A44852"/>
    <w:rsid w:val="00A45432"/>
    <w:rsid w:val="00A4650A"/>
    <w:rsid w:val="00A50502"/>
    <w:rsid w:val="00A542E9"/>
    <w:rsid w:val="00A54374"/>
    <w:rsid w:val="00A54EC9"/>
    <w:rsid w:val="00A55C35"/>
    <w:rsid w:val="00A56A3E"/>
    <w:rsid w:val="00A57A0F"/>
    <w:rsid w:val="00A57D04"/>
    <w:rsid w:val="00A60A26"/>
    <w:rsid w:val="00A61598"/>
    <w:rsid w:val="00A63F50"/>
    <w:rsid w:val="00A64746"/>
    <w:rsid w:val="00A669EA"/>
    <w:rsid w:val="00A7657A"/>
    <w:rsid w:val="00A765D6"/>
    <w:rsid w:val="00A801CC"/>
    <w:rsid w:val="00A80FC5"/>
    <w:rsid w:val="00A84A99"/>
    <w:rsid w:val="00A84D0B"/>
    <w:rsid w:val="00A84F46"/>
    <w:rsid w:val="00A871F4"/>
    <w:rsid w:val="00A95525"/>
    <w:rsid w:val="00AA2499"/>
    <w:rsid w:val="00AA60DC"/>
    <w:rsid w:val="00AB288F"/>
    <w:rsid w:val="00AC1469"/>
    <w:rsid w:val="00AC1B2C"/>
    <w:rsid w:val="00AC2F49"/>
    <w:rsid w:val="00AC3264"/>
    <w:rsid w:val="00AC43F7"/>
    <w:rsid w:val="00AD084E"/>
    <w:rsid w:val="00AD1592"/>
    <w:rsid w:val="00AD2276"/>
    <w:rsid w:val="00AE1242"/>
    <w:rsid w:val="00AE1BF1"/>
    <w:rsid w:val="00AE204D"/>
    <w:rsid w:val="00AE7B48"/>
    <w:rsid w:val="00AF0DD2"/>
    <w:rsid w:val="00AF5849"/>
    <w:rsid w:val="00B0209D"/>
    <w:rsid w:val="00B07CEA"/>
    <w:rsid w:val="00B11497"/>
    <w:rsid w:val="00B127D7"/>
    <w:rsid w:val="00B13048"/>
    <w:rsid w:val="00B14AF9"/>
    <w:rsid w:val="00B1716D"/>
    <w:rsid w:val="00B17A1D"/>
    <w:rsid w:val="00B207A0"/>
    <w:rsid w:val="00B20F3F"/>
    <w:rsid w:val="00B253EB"/>
    <w:rsid w:val="00B262C5"/>
    <w:rsid w:val="00B27C0D"/>
    <w:rsid w:val="00B31936"/>
    <w:rsid w:val="00B329F2"/>
    <w:rsid w:val="00B4006E"/>
    <w:rsid w:val="00B43685"/>
    <w:rsid w:val="00B4485D"/>
    <w:rsid w:val="00B514DD"/>
    <w:rsid w:val="00B52AF0"/>
    <w:rsid w:val="00B561BD"/>
    <w:rsid w:val="00B56E03"/>
    <w:rsid w:val="00B65A19"/>
    <w:rsid w:val="00B65A4D"/>
    <w:rsid w:val="00B67A89"/>
    <w:rsid w:val="00B734E4"/>
    <w:rsid w:val="00B7486E"/>
    <w:rsid w:val="00B757A6"/>
    <w:rsid w:val="00B779DA"/>
    <w:rsid w:val="00B8080B"/>
    <w:rsid w:val="00B82223"/>
    <w:rsid w:val="00B84B8E"/>
    <w:rsid w:val="00B852B7"/>
    <w:rsid w:val="00B86773"/>
    <w:rsid w:val="00B86A14"/>
    <w:rsid w:val="00B87BA5"/>
    <w:rsid w:val="00B87C39"/>
    <w:rsid w:val="00B92738"/>
    <w:rsid w:val="00B9562D"/>
    <w:rsid w:val="00BA352A"/>
    <w:rsid w:val="00BA3AFA"/>
    <w:rsid w:val="00BA4665"/>
    <w:rsid w:val="00BA4FD6"/>
    <w:rsid w:val="00BA5E8B"/>
    <w:rsid w:val="00BB2FB2"/>
    <w:rsid w:val="00BB3304"/>
    <w:rsid w:val="00BB3899"/>
    <w:rsid w:val="00BB3ADB"/>
    <w:rsid w:val="00BB47ED"/>
    <w:rsid w:val="00BB54AC"/>
    <w:rsid w:val="00BB6521"/>
    <w:rsid w:val="00BB7528"/>
    <w:rsid w:val="00BC12C9"/>
    <w:rsid w:val="00BC509F"/>
    <w:rsid w:val="00BD310B"/>
    <w:rsid w:val="00BD3446"/>
    <w:rsid w:val="00BD596E"/>
    <w:rsid w:val="00BD6195"/>
    <w:rsid w:val="00BE1F1B"/>
    <w:rsid w:val="00BE47B5"/>
    <w:rsid w:val="00BE5240"/>
    <w:rsid w:val="00BE7434"/>
    <w:rsid w:val="00C04223"/>
    <w:rsid w:val="00C1158B"/>
    <w:rsid w:val="00C17A55"/>
    <w:rsid w:val="00C21C43"/>
    <w:rsid w:val="00C24D6C"/>
    <w:rsid w:val="00C25FA6"/>
    <w:rsid w:val="00C26456"/>
    <w:rsid w:val="00C42F0B"/>
    <w:rsid w:val="00C538A9"/>
    <w:rsid w:val="00C53B5A"/>
    <w:rsid w:val="00C54F5A"/>
    <w:rsid w:val="00C569B4"/>
    <w:rsid w:val="00C56A3E"/>
    <w:rsid w:val="00C57524"/>
    <w:rsid w:val="00C608F8"/>
    <w:rsid w:val="00C67A92"/>
    <w:rsid w:val="00C746F9"/>
    <w:rsid w:val="00C7497E"/>
    <w:rsid w:val="00C76952"/>
    <w:rsid w:val="00C77756"/>
    <w:rsid w:val="00C77CB7"/>
    <w:rsid w:val="00C82DAC"/>
    <w:rsid w:val="00C84560"/>
    <w:rsid w:val="00C84D58"/>
    <w:rsid w:val="00C84F52"/>
    <w:rsid w:val="00C86679"/>
    <w:rsid w:val="00C91453"/>
    <w:rsid w:val="00CA04F0"/>
    <w:rsid w:val="00CA489E"/>
    <w:rsid w:val="00CA52A2"/>
    <w:rsid w:val="00CA76E5"/>
    <w:rsid w:val="00CB0279"/>
    <w:rsid w:val="00CB1132"/>
    <w:rsid w:val="00CB1FC4"/>
    <w:rsid w:val="00CB438C"/>
    <w:rsid w:val="00CB666B"/>
    <w:rsid w:val="00CC46D4"/>
    <w:rsid w:val="00CC5AB5"/>
    <w:rsid w:val="00CC7F1D"/>
    <w:rsid w:val="00CD0EE1"/>
    <w:rsid w:val="00CD2B62"/>
    <w:rsid w:val="00CD6A84"/>
    <w:rsid w:val="00CE19E9"/>
    <w:rsid w:val="00CE484B"/>
    <w:rsid w:val="00CE5A4E"/>
    <w:rsid w:val="00CE6CF1"/>
    <w:rsid w:val="00CF0DEE"/>
    <w:rsid w:val="00CF16BE"/>
    <w:rsid w:val="00CF3437"/>
    <w:rsid w:val="00CF3617"/>
    <w:rsid w:val="00CF3E5C"/>
    <w:rsid w:val="00CF5932"/>
    <w:rsid w:val="00CF628F"/>
    <w:rsid w:val="00D006AE"/>
    <w:rsid w:val="00D01CF0"/>
    <w:rsid w:val="00D01EFD"/>
    <w:rsid w:val="00D02B94"/>
    <w:rsid w:val="00D0442A"/>
    <w:rsid w:val="00D1064E"/>
    <w:rsid w:val="00D159EC"/>
    <w:rsid w:val="00D16060"/>
    <w:rsid w:val="00D17683"/>
    <w:rsid w:val="00D17E52"/>
    <w:rsid w:val="00D2218D"/>
    <w:rsid w:val="00D26C6D"/>
    <w:rsid w:val="00D30763"/>
    <w:rsid w:val="00D453DE"/>
    <w:rsid w:val="00D45454"/>
    <w:rsid w:val="00D45694"/>
    <w:rsid w:val="00D50B10"/>
    <w:rsid w:val="00D50CB5"/>
    <w:rsid w:val="00D5223F"/>
    <w:rsid w:val="00D53CA1"/>
    <w:rsid w:val="00D60818"/>
    <w:rsid w:val="00D61388"/>
    <w:rsid w:val="00D61A54"/>
    <w:rsid w:val="00D62DA8"/>
    <w:rsid w:val="00D63095"/>
    <w:rsid w:val="00D64DEA"/>
    <w:rsid w:val="00D7168E"/>
    <w:rsid w:val="00D71E57"/>
    <w:rsid w:val="00D75218"/>
    <w:rsid w:val="00D80893"/>
    <w:rsid w:val="00D84854"/>
    <w:rsid w:val="00D848B4"/>
    <w:rsid w:val="00D848F4"/>
    <w:rsid w:val="00D85883"/>
    <w:rsid w:val="00D92CF1"/>
    <w:rsid w:val="00D92D38"/>
    <w:rsid w:val="00D92F18"/>
    <w:rsid w:val="00D9364E"/>
    <w:rsid w:val="00D93984"/>
    <w:rsid w:val="00D93ED1"/>
    <w:rsid w:val="00D945C1"/>
    <w:rsid w:val="00D950F5"/>
    <w:rsid w:val="00D95D2D"/>
    <w:rsid w:val="00D96B89"/>
    <w:rsid w:val="00D96F7E"/>
    <w:rsid w:val="00DA4752"/>
    <w:rsid w:val="00DA61F3"/>
    <w:rsid w:val="00DA630C"/>
    <w:rsid w:val="00DA6B93"/>
    <w:rsid w:val="00DB0F93"/>
    <w:rsid w:val="00DB1A67"/>
    <w:rsid w:val="00DB5074"/>
    <w:rsid w:val="00DB5B21"/>
    <w:rsid w:val="00DC0DD5"/>
    <w:rsid w:val="00DC39D5"/>
    <w:rsid w:val="00DC7981"/>
    <w:rsid w:val="00DC7F3E"/>
    <w:rsid w:val="00DD12EF"/>
    <w:rsid w:val="00DD3A21"/>
    <w:rsid w:val="00DD57C5"/>
    <w:rsid w:val="00DD6096"/>
    <w:rsid w:val="00DD649A"/>
    <w:rsid w:val="00DE07D1"/>
    <w:rsid w:val="00DE1093"/>
    <w:rsid w:val="00DE2153"/>
    <w:rsid w:val="00DE282E"/>
    <w:rsid w:val="00DE33B0"/>
    <w:rsid w:val="00DE3BC1"/>
    <w:rsid w:val="00DE4EFA"/>
    <w:rsid w:val="00DE5520"/>
    <w:rsid w:val="00DE563D"/>
    <w:rsid w:val="00DE5E2E"/>
    <w:rsid w:val="00DE772C"/>
    <w:rsid w:val="00DF312A"/>
    <w:rsid w:val="00DF374E"/>
    <w:rsid w:val="00DF6874"/>
    <w:rsid w:val="00DF7E5D"/>
    <w:rsid w:val="00E03346"/>
    <w:rsid w:val="00E04818"/>
    <w:rsid w:val="00E050CC"/>
    <w:rsid w:val="00E06442"/>
    <w:rsid w:val="00E06BCF"/>
    <w:rsid w:val="00E1001C"/>
    <w:rsid w:val="00E138C7"/>
    <w:rsid w:val="00E22380"/>
    <w:rsid w:val="00E23993"/>
    <w:rsid w:val="00E25B8C"/>
    <w:rsid w:val="00E268E3"/>
    <w:rsid w:val="00E3176A"/>
    <w:rsid w:val="00E34B8E"/>
    <w:rsid w:val="00E4232E"/>
    <w:rsid w:val="00E43E8B"/>
    <w:rsid w:val="00E450E6"/>
    <w:rsid w:val="00E47049"/>
    <w:rsid w:val="00E50B4D"/>
    <w:rsid w:val="00E51D65"/>
    <w:rsid w:val="00E61682"/>
    <w:rsid w:val="00E61F96"/>
    <w:rsid w:val="00E6200B"/>
    <w:rsid w:val="00E625A1"/>
    <w:rsid w:val="00E64484"/>
    <w:rsid w:val="00E65773"/>
    <w:rsid w:val="00E65C85"/>
    <w:rsid w:val="00E66199"/>
    <w:rsid w:val="00E661D7"/>
    <w:rsid w:val="00E67313"/>
    <w:rsid w:val="00E711C7"/>
    <w:rsid w:val="00E737B1"/>
    <w:rsid w:val="00E755EC"/>
    <w:rsid w:val="00E7624D"/>
    <w:rsid w:val="00E83B36"/>
    <w:rsid w:val="00E84F07"/>
    <w:rsid w:val="00E90C9F"/>
    <w:rsid w:val="00E95844"/>
    <w:rsid w:val="00E97FAB"/>
    <w:rsid w:val="00EA060C"/>
    <w:rsid w:val="00EA21F2"/>
    <w:rsid w:val="00EA249F"/>
    <w:rsid w:val="00EA2E83"/>
    <w:rsid w:val="00EA3D42"/>
    <w:rsid w:val="00EA41AA"/>
    <w:rsid w:val="00EA47F8"/>
    <w:rsid w:val="00EA6B1B"/>
    <w:rsid w:val="00EA7F83"/>
    <w:rsid w:val="00EB1060"/>
    <w:rsid w:val="00EB3914"/>
    <w:rsid w:val="00EB5BC8"/>
    <w:rsid w:val="00EB606C"/>
    <w:rsid w:val="00EB7F75"/>
    <w:rsid w:val="00EC04F1"/>
    <w:rsid w:val="00EC5142"/>
    <w:rsid w:val="00ED4DEA"/>
    <w:rsid w:val="00ED4FC3"/>
    <w:rsid w:val="00ED5329"/>
    <w:rsid w:val="00ED7323"/>
    <w:rsid w:val="00EE28F3"/>
    <w:rsid w:val="00EE2F74"/>
    <w:rsid w:val="00EE50D1"/>
    <w:rsid w:val="00EF0FF7"/>
    <w:rsid w:val="00EF5110"/>
    <w:rsid w:val="00EF6E56"/>
    <w:rsid w:val="00F0334E"/>
    <w:rsid w:val="00F03B56"/>
    <w:rsid w:val="00F046AF"/>
    <w:rsid w:val="00F04766"/>
    <w:rsid w:val="00F04DFB"/>
    <w:rsid w:val="00F10411"/>
    <w:rsid w:val="00F1251B"/>
    <w:rsid w:val="00F14080"/>
    <w:rsid w:val="00F15882"/>
    <w:rsid w:val="00F171E0"/>
    <w:rsid w:val="00F20BD3"/>
    <w:rsid w:val="00F24813"/>
    <w:rsid w:val="00F2526A"/>
    <w:rsid w:val="00F30A11"/>
    <w:rsid w:val="00F34555"/>
    <w:rsid w:val="00F373A5"/>
    <w:rsid w:val="00F37CFC"/>
    <w:rsid w:val="00F4116C"/>
    <w:rsid w:val="00F435BC"/>
    <w:rsid w:val="00F47559"/>
    <w:rsid w:val="00F47DAC"/>
    <w:rsid w:val="00F50FCD"/>
    <w:rsid w:val="00F52FCA"/>
    <w:rsid w:val="00F53772"/>
    <w:rsid w:val="00F54AD4"/>
    <w:rsid w:val="00F57E2D"/>
    <w:rsid w:val="00F61176"/>
    <w:rsid w:val="00F64C7B"/>
    <w:rsid w:val="00F65832"/>
    <w:rsid w:val="00F65B25"/>
    <w:rsid w:val="00F670CD"/>
    <w:rsid w:val="00F676DD"/>
    <w:rsid w:val="00F71667"/>
    <w:rsid w:val="00F72832"/>
    <w:rsid w:val="00F75A26"/>
    <w:rsid w:val="00F76706"/>
    <w:rsid w:val="00F768B4"/>
    <w:rsid w:val="00F768C8"/>
    <w:rsid w:val="00F813E6"/>
    <w:rsid w:val="00F81B8D"/>
    <w:rsid w:val="00F82851"/>
    <w:rsid w:val="00F83FAD"/>
    <w:rsid w:val="00F8653A"/>
    <w:rsid w:val="00F91880"/>
    <w:rsid w:val="00F92349"/>
    <w:rsid w:val="00F952A0"/>
    <w:rsid w:val="00F95F84"/>
    <w:rsid w:val="00FA1EEF"/>
    <w:rsid w:val="00FA3004"/>
    <w:rsid w:val="00FA3C7F"/>
    <w:rsid w:val="00FB01AB"/>
    <w:rsid w:val="00FB439B"/>
    <w:rsid w:val="00FB4402"/>
    <w:rsid w:val="00FB4C43"/>
    <w:rsid w:val="00FB60FE"/>
    <w:rsid w:val="00FB7337"/>
    <w:rsid w:val="00FB74E2"/>
    <w:rsid w:val="00FC320A"/>
    <w:rsid w:val="00FC507F"/>
    <w:rsid w:val="00FC5C0E"/>
    <w:rsid w:val="00FC60FB"/>
    <w:rsid w:val="00FC71DC"/>
    <w:rsid w:val="00FC7667"/>
    <w:rsid w:val="00FC7E6F"/>
    <w:rsid w:val="00FD2ED2"/>
    <w:rsid w:val="00FD5614"/>
    <w:rsid w:val="00FD5E78"/>
    <w:rsid w:val="00FE0BE1"/>
    <w:rsid w:val="00FE18A2"/>
    <w:rsid w:val="00FE1DE9"/>
    <w:rsid w:val="00FE36AF"/>
    <w:rsid w:val="00FE39C2"/>
    <w:rsid w:val="00FE3C32"/>
    <w:rsid w:val="00FE440D"/>
    <w:rsid w:val="00FE64AE"/>
    <w:rsid w:val="00FF4789"/>
    <w:rsid w:val="00FF4A89"/>
    <w:rsid w:val="00FF6117"/>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452093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98E03-6427-4B08-9A0E-54FB7F02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24</Pages>
  <Words>5851</Words>
  <Characters>33353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2016-05-20T07:21:00Z</dcterms:created>
  <dcterms:modified xsi:type="dcterms:W3CDTF">2016-05-20T07:23:00Z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8571088</vt:lpwstr>
  </property>
  <property fmtid="{D5CDD505-2E9C-101B-9397-08002B2CF9AE}" pid="3" name="_MarkAsFinal">
    <vt:bool>true</vt:bool>
  </property>
</Properties>
</file>