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displacedByCustomXml="next"/>
    <w:bookmarkEnd w:id="0" w:displacedByCustomXml="next"/>
    <w:sdt>
      <w:sdtPr>
        <w:rPr>
          <w:rFonts w:eastAsiaTheme="majorEastAsia" w:cstheme="majorBidi"/>
          <w:noProof/>
          <w:sz w:val="36"/>
          <w:szCs w:val="36"/>
          <w:lang w:eastAsia="en-AU"/>
        </w:rPr>
        <w:id w:val="1021519724"/>
        <w:docPartObj>
          <w:docPartGallery w:val="Cover Pages"/>
          <w:docPartUnique/>
        </w:docPartObj>
      </w:sdtPr>
      <w:sdtEndPr/>
      <w:sdtContent>
        <w:p w:rsidR="000A6C7B" w:rsidRPr="00290C63" w:rsidRDefault="00DE7AB5" w:rsidP="00290C63">
          <w:r w:rsidRPr="00DB723B">
            <w:rPr>
              <w:noProof/>
              <w:lang w:eastAsia="en-AU"/>
            </w:rPr>
            <w:drawing>
              <wp:anchor distT="0" distB="0" distL="114300" distR="114300" simplePos="0" relativeHeight="251661312" behindDoc="1" locked="0" layoutInCell="1" allowOverlap="1" wp14:anchorId="5A71FEA4" wp14:editId="6242C626">
                <wp:simplePos x="0" y="0"/>
                <wp:positionH relativeFrom="column">
                  <wp:posOffset>-1116965</wp:posOffset>
                </wp:positionH>
                <wp:positionV relativeFrom="paragraph">
                  <wp:posOffset>-997406</wp:posOffset>
                </wp:positionV>
                <wp:extent cx="7734300" cy="10927003"/>
                <wp:effectExtent l="0" t="0" r="0" b="825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tretch>
                          <a:fillRect/>
                        </a:stretch>
                      </pic:blipFill>
                      <pic:spPr bwMode="auto">
                        <a:xfrm>
                          <a:off x="0" y="0"/>
                          <a:ext cx="7734300" cy="10927003"/>
                        </a:xfrm>
                        <a:prstGeom prst="rect">
                          <a:avLst/>
                        </a:prstGeom>
                        <a:noFill/>
                      </pic:spPr>
                    </pic:pic>
                  </a:graphicData>
                </a:graphic>
                <wp14:sizeRelH relativeFrom="page">
                  <wp14:pctWidth>0</wp14:pctWidth>
                </wp14:sizeRelH>
                <wp14:sizeRelV relativeFrom="page">
                  <wp14:pctHeight>0</wp14:pctHeight>
                </wp14:sizeRelV>
              </wp:anchor>
            </w:drawing>
          </w:r>
          <w:r w:rsidR="000A6C7B" w:rsidRPr="00290C63">
            <w:rPr>
              <w:noProof/>
              <w:lang w:eastAsia="en-AU"/>
            </w:rPr>
            <w:drawing>
              <wp:anchor distT="0" distB="0" distL="114300" distR="114300" simplePos="0" relativeHeight="251659264" behindDoc="1" locked="0" layoutInCell="1" allowOverlap="1" wp14:anchorId="36B88136" wp14:editId="5F41D38D">
                <wp:simplePos x="0" y="0"/>
                <wp:positionH relativeFrom="column">
                  <wp:posOffset>-1112520</wp:posOffset>
                </wp:positionH>
                <wp:positionV relativeFrom="paragraph">
                  <wp:posOffset>-919138</wp:posOffset>
                </wp:positionV>
                <wp:extent cx="7591425" cy="10728960"/>
                <wp:effectExtent l="0" t="0" r="9525" b="0"/>
                <wp:wrapNone/>
                <wp:docPr id="2" name="Picture 2" descr="Australian Energy Regulator Report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 report front cover_D0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591425" cy="10728960"/>
                        </a:xfrm>
                        <a:prstGeom prst="rect">
                          <a:avLst/>
                        </a:prstGeom>
                        <a:noFill/>
                      </pic:spPr>
                    </pic:pic>
                  </a:graphicData>
                </a:graphic>
                <wp14:sizeRelH relativeFrom="page">
                  <wp14:pctWidth>0</wp14:pctWidth>
                </wp14:sizeRelH>
                <wp14:sizeRelV relativeFrom="page">
                  <wp14:pctHeight>0</wp14:pctHeight>
                </wp14:sizeRelV>
              </wp:anchor>
            </w:drawing>
          </w:r>
        </w:p>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5C16FE" w:rsidRDefault="005C16FE" w:rsidP="00F171E0"/>
        <w:p w:rsidR="00327A1E" w:rsidRDefault="001754EE" w:rsidP="001754EE">
          <w:pPr>
            <w:pStyle w:val="ReportSubtitle"/>
            <w:tabs>
              <w:tab w:val="left" w:pos="1122"/>
              <w:tab w:val="center" w:pos="4238"/>
            </w:tabs>
            <w:jc w:val="left"/>
          </w:pPr>
          <w:r>
            <w:tab/>
          </w:r>
          <w:r>
            <w:tab/>
          </w:r>
          <w:r w:rsidR="00DB4E34">
            <w:t>FINAL</w:t>
          </w:r>
          <w:r w:rsidR="00DA4752">
            <w:t xml:space="preserve"> DECISION</w:t>
          </w:r>
        </w:p>
        <w:p w:rsidR="00415F31" w:rsidRDefault="00DB4E34" w:rsidP="008F07A3">
          <w:pPr>
            <w:pStyle w:val="ReportSubtitle"/>
          </w:pPr>
          <w:r>
            <w:t>AusNet Services</w:t>
          </w:r>
          <w:r w:rsidR="004523B2">
            <w:t xml:space="preserve"> distribution</w:t>
          </w:r>
          <w:r w:rsidR="00415F31">
            <w:t xml:space="preserve"> </w:t>
          </w:r>
          <w:r w:rsidR="00DA4752">
            <w:t>determination</w:t>
          </w:r>
        </w:p>
        <w:p w:rsidR="000A6C7B" w:rsidRDefault="00DA4752" w:rsidP="008F07A3">
          <w:pPr>
            <w:pStyle w:val="ReportSubtitle"/>
          </w:pPr>
          <w:r>
            <w:t xml:space="preserve"> </w:t>
          </w:r>
          <w:r w:rsidR="00DB4E34">
            <w:t>2016 to 2020</w:t>
          </w:r>
        </w:p>
        <w:p w:rsidR="008F07A3" w:rsidRPr="000A6C7B" w:rsidRDefault="008F07A3" w:rsidP="008F07A3">
          <w:pPr>
            <w:pStyle w:val="ReportSubtitle"/>
          </w:pPr>
        </w:p>
        <w:p w:rsidR="000A6C7B" w:rsidRDefault="0037699E" w:rsidP="008F07A3">
          <w:pPr>
            <w:pStyle w:val="ReportSubtitle"/>
          </w:pPr>
          <w:r>
            <w:t xml:space="preserve">Attachment </w:t>
          </w:r>
          <w:r w:rsidR="00DB4E34">
            <w:t>18</w:t>
          </w:r>
          <w:r w:rsidR="000474DF">
            <w:t xml:space="preserve"> </w:t>
          </w:r>
          <w:r w:rsidR="00185BA5">
            <w:t>–</w:t>
          </w:r>
          <w:r w:rsidR="000474DF">
            <w:t xml:space="preserve"> </w:t>
          </w:r>
          <w:r w:rsidR="00DB4E34">
            <w:t>f-factor scheme</w:t>
          </w:r>
        </w:p>
        <w:p w:rsidR="000A6C7B" w:rsidRPr="00327A1E" w:rsidRDefault="00363210" w:rsidP="00327A1E">
          <w:pPr>
            <w:pStyle w:val="ReportDate"/>
          </w:pPr>
          <w:r>
            <w:t>May</w:t>
          </w:r>
          <w:r w:rsidR="00DB4E34">
            <w:t xml:space="preserve"> 2016</w:t>
          </w:r>
        </w:p>
      </w:sdtContent>
    </w:sdt>
    <w:p w:rsidR="00327A1E" w:rsidRPr="00290C63" w:rsidRDefault="00327A1E" w:rsidP="00290C63">
      <w:r>
        <w:br w:type="page"/>
      </w:r>
    </w:p>
    <w:p w:rsidR="00CE2A23" w:rsidRDefault="00CE2A23" w:rsidP="00761454">
      <w:bookmarkStart w:id="1" w:name="_Toc411428008"/>
      <w:r>
        <w:lastRenderedPageBreak/>
        <w:t>© Commonwealth of Australia 201</w:t>
      </w:r>
      <w:r w:rsidR="000474DF">
        <w:t>6</w:t>
      </w:r>
    </w:p>
    <w:p w:rsidR="00CE2A23" w:rsidRDefault="00CE2A23" w:rsidP="00761454">
      <w:r>
        <w:t>This work is copyright. In addition to any use permitted under the Copyright Act 1968, all material contained within this work is provided under a Creative Commons Attributions 3.0 Australia licence, with the exception of:</w:t>
      </w:r>
    </w:p>
    <w:p w:rsidR="00CE2A23" w:rsidRPr="00CE2A23" w:rsidRDefault="00CE2A23" w:rsidP="00CE2A23">
      <w:pPr>
        <w:pStyle w:val="AERbulletlistfirststyle"/>
      </w:pPr>
      <w:r w:rsidRPr="00CE2A23">
        <w:t>the Commonwealth Coat of Arms</w:t>
      </w:r>
    </w:p>
    <w:p w:rsidR="00CE2A23" w:rsidRPr="00CB734B" w:rsidRDefault="00CE2A23" w:rsidP="00CE2A23">
      <w:pPr>
        <w:pStyle w:val="AERbulletlistfirststyle"/>
      </w:pPr>
      <w:r w:rsidRPr="00CE2A23">
        <w:t>the ACCC and AER logos</w:t>
      </w:r>
    </w:p>
    <w:p w:rsidR="00CE2A23" w:rsidRPr="00CE2A23" w:rsidRDefault="00CE2A23" w:rsidP="00CB734B">
      <w:pPr>
        <w:pStyle w:val="AERbulletlistfirststyle"/>
      </w:pPr>
      <w:r w:rsidRPr="00CE2A23">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CE2A23" w:rsidRDefault="00CE2A23" w:rsidP="00761454">
      <w:r>
        <w:t>Requests and inquiries concerning reproduction and rights should be addressed to the:</w:t>
      </w:r>
    </w:p>
    <w:p w:rsidR="00CE2A23" w:rsidRDefault="00CE2A23" w:rsidP="00761454">
      <w:r>
        <w:t>Director, Corporate Communications</w:t>
      </w:r>
      <w:r>
        <w:br/>
        <w:t xml:space="preserve">Australian Competition and Consumer Commission </w:t>
      </w:r>
      <w:r>
        <w:br/>
        <w:t>GPO Box 4141, Canberra ACT 2601</w:t>
      </w:r>
    </w:p>
    <w:p w:rsidR="00CE2A23" w:rsidRDefault="00CE2A23" w:rsidP="00761454">
      <w:r>
        <w:t>or publishing.unit@accc.gov.au.</w:t>
      </w:r>
    </w:p>
    <w:p w:rsidR="00CE2A23" w:rsidRDefault="00CE2A23" w:rsidP="00761454">
      <w:r>
        <w:t>Inquiries about this publication should be addressed to:</w:t>
      </w:r>
    </w:p>
    <w:p w:rsidR="00CE2A23" w:rsidRDefault="00CE2A23" w:rsidP="00761454">
      <w:r>
        <w:t xml:space="preserve">Australian Energy </w:t>
      </w:r>
      <w:r w:rsidRPr="00F171E0">
        <w:t>Regulator</w:t>
      </w:r>
      <w:r>
        <w:br/>
        <w:t>GPO Box 520</w:t>
      </w:r>
      <w:r>
        <w:br/>
      </w:r>
      <w:r w:rsidR="008658A1">
        <w:t>Melbourne Vic 3001</w:t>
      </w:r>
    </w:p>
    <w:p w:rsidR="00CE2A23" w:rsidRDefault="00CE2A23" w:rsidP="00761454">
      <w:r>
        <w:t>Tel: (03) 9290 1444</w:t>
      </w:r>
      <w:r>
        <w:br/>
        <w:t>Fax: (03) 9290 1457</w:t>
      </w:r>
    </w:p>
    <w:p w:rsidR="00CE2A23" w:rsidRDefault="00CE2A23" w:rsidP="00761454">
      <w:r>
        <w:t xml:space="preserve">Email: </w:t>
      </w:r>
      <w:hyperlink r:id="rId11" w:history="1">
        <w:r w:rsidRPr="00D64888">
          <w:rPr>
            <w:rStyle w:val="Hyperlink"/>
          </w:rPr>
          <w:t>AERInquiry@aer.gov.au</w:t>
        </w:r>
      </w:hyperlink>
      <w:r>
        <w:rPr>
          <w:rStyle w:val="Hyperlink"/>
        </w:rPr>
        <w:br/>
      </w:r>
    </w:p>
    <w:p w:rsidR="00291A99" w:rsidRDefault="00291A99" w:rsidP="00761454"/>
    <w:p w:rsidR="00761454" w:rsidRDefault="00761454">
      <w:pPr>
        <w:spacing w:line="240" w:lineRule="auto"/>
      </w:pPr>
      <w:r>
        <w:br w:type="page"/>
      </w:r>
    </w:p>
    <w:p w:rsidR="00761454" w:rsidRDefault="00761454" w:rsidP="00761454">
      <w:pPr>
        <w:pStyle w:val="UnnumberedHeading"/>
        <w:numPr>
          <w:ilvl w:val="0"/>
          <w:numId w:val="23"/>
        </w:numPr>
      </w:pPr>
      <w:bookmarkStart w:id="2" w:name="_Toc404153950"/>
      <w:bookmarkStart w:id="3" w:name="_Toc404437593"/>
      <w:bookmarkStart w:id="4" w:name="_Toc451524760"/>
      <w:r>
        <w:t>Note</w:t>
      </w:r>
      <w:bookmarkEnd w:id="2"/>
      <w:bookmarkEnd w:id="3"/>
      <w:bookmarkEnd w:id="4"/>
    </w:p>
    <w:p w:rsidR="00761454" w:rsidRDefault="00761454" w:rsidP="00761454">
      <w:pPr>
        <w:numPr>
          <w:ilvl w:val="0"/>
          <w:numId w:val="24"/>
        </w:numPr>
      </w:pPr>
      <w:r>
        <w:t xml:space="preserve">This overview forms part of the AER's </w:t>
      </w:r>
      <w:r w:rsidR="00DB4E34">
        <w:t>final</w:t>
      </w:r>
      <w:r w:rsidR="000474DF">
        <w:t xml:space="preserve"> </w:t>
      </w:r>
      <w:r>
        <w:t xml:space="preserve">decision on </w:t>
      </w:r>
      <w:r w:rsidR="00DB4E34">
        <w:t>AusNet Services'</w:t>
      </w:r>
      <w:r w:rsidR="004523B2">
        <w:t xml:space="preserve"> distribution</w:t>
      </w:r>
      <w:r>
        <w:t xml:space="preserve"> determination for 201</w:t>
      </w:r>
      <w:r w:rsidR="00042656">
        <w:t>6</w:t>
      </w:r>
      <w:r w:rsidRPr="00F02D30">
        <w:t>–</w:t>
      </w:r>
      <w:r w:rsidR="00042656">
        <w:t>20</w:t>
      </w:r>
      <w:r>
        <w:t xml:space="preserve">. It should be read with </w:t>
      </w:r>
      <w:r w:rsidR="000474DF">
        <w:t xml:space="preserve">all </w:t>
      </w:r>
      <w:r>
        <w:t xml:space="preserve">other parts of the </w:t>
      </w:r>
      <w:r w:rsidR="00DB4E34">
        <w:t>final</w:t>
      </w:r>
      <w:r>
        <w:t xml:space="preserve"> decision.</w:t>
      </w:r>
    </w:p>
    <w:p w:rsidR="00761454" w:rsidRDefault="00761454" w:rsidP="00761454">
      <w:pPr>
        <w:numPr>
          <w:ilvl w:val="0"/>
          <w:numId w:val="24"/>
        </w:numPr>
      </w:pPr>
      <w:r>
        <w:t xml:space="preserve">The </w:t>
      </w:r>
      <w:r w:rsidR="00DB4E34">
        <w:t>final</w:t>
      </w:r>
      <w:r>
        <w:t xml:space="preserve"> decision includes the following documents:</w:t>
      </w:r>
    </w:p>
    <w:p w:rsidR="00761454" w:rsidRDefault="00761454" w:rsidP="00761454">
      <w:pPr>
        <w:numPr>
          <w:ilvl w:val="0"/>
          <w:numId w:val="24"/>
        </w:numPr>
      </w:pPr>
      <w:r>
        <w:t>Overview</w:t>
      </w:r>
    </w:p>
    <w:p w:rsidR="00761454" w:rsidRDefault="000474DF" w:rsidP="00761454">
      <w:pPr>
        <w:numPr>
          <w:ilvl w:val="0"/>
          <w:numId w:val="24"/>
        </w:numPr>
      </w:pPr>
      <w:r>
        <w:t xml:space="preserve">Attachment 1 – </w:t>
      </w:r>
      <w:r w:rsidR="004523B2">
        <w:t>Annual revenue requirement</w:t>
      </w:r>
    </w:p>
    <w:p w:rsidR="00761454" w:rsidRDefault="000474DF" w:rsidP="00761454">
      <w:pPr>
        <w:numPr>
          <w:ilvl w:val="0"/>
          <w:numId w:val="24"/>
        </w:numPr>
      </w:pPr>
      <w:r>
        <w:t>Attachment 2 – R</w:t>
      </w:r>
      <w:r w:rsidR="00761454">
        <w:t>egulatory asset base</w:t>
      </w:r>
    </w:p>
    <w:p w:rsidR="00761454" w:rsidRDefault="000474DF" w:rsidP="00761454">
      <w:pPr>
        <w:numPr>
          <w:ilvl w:val="0"/>
          <w:numId w:val="24"/>
        </w:numPr>
      </w:pPr>
      <w:r>
        <w:t>Attachment 3 – R</w:t>
      </w:r>
      <w:r w:rsidR="00761454">
        <w:t>ate of return</w:t>
      </w:r>
    </w:p>
    <w:p w:rsidR="00761454" w:rsidRDefault="000474DF" w:rsidP="00761454">
      <w:pPr>
        <w:numPr>
          <w:ilvl w:val="0"/>
          <w:numId w:val="24"/>
        </w:numPr>
      </w:pPr>
      <w:r>
        <w:t>Attachment 4 – V</w:t>
      </w:r>
      <w:r w:rsidR="00761454">
        <w:t>alue of imputation credits</w:t>
      </w:r>
    </w:p>
    <w:p w:rsidR="00761454" w:rsidRDefault="00761454" w:rsidP="00761454">
      <w:pPr>
        <w:numPr>
          <w:ilvl w:val="0"/>
          <w:numId w:val="24"/>
        </w:numPr>
      </w:pPr>
      <w:r>
        <w:t xml:space="preserve">Attachment 5 – </w:t>
      </w:r>
      <w:r w:rsidR="000474DF">
        <w:t>R</w:t>
      </w:r>
      <w:r>
        <w:t>egulatory depreciation</w:t>
      </w:r>
    </w:p>
    <w:p w:rsidR="00761454" w:rsidRDefault="000474DF" w:rsidP="00761454">
      <w:pPr>
        <w:numPr>
          <w:ilvl w:val="0"/>
          <w:numId w:val="24"/>
        </w:numPr>
      </w:pPr>
      <w:r>
        <w:t>Attachment 6 – C</w:t>
      </w:r>
      <w:r w:rsidR="00761454">
        <w:t xml:space="preserve">apital expenditure </w:t>
      </w:r>
    </w:p>
    <w:p w:rsidR="00761454" w:rsidRDefault="000474DF" w:rsidP="00761454">
      <w:pPr>
        <w:numPr>
          <w:ilvl w:val="0"/>
          <w:numId w:val="24"/>
        </w:numPr>
      </w:pPr>
      <w:r>
        <w:t>Attachment 7 – O</w:t>
      </w:r>
      <w:r w:rsidR="00761454">
        <w:t>perating expenditure</w:t>
      </w:r>
    </w:p>
    <w:p w:rsidR="00761454" w:rsidRDefault="00761454" w:rsidP="00761454">
      <w:pPr>
        <w:numPr>
          <w:ilvl w:val="0"/>
          <w:numId w:val="24"/>
        </w:numPr>
      </w:pPr>
      <w:r>
        <w:t xml:space="preserve">Attachment 8 – </w:t>
      </w:r>
      <w:r w:rsidR="000474DF">
        <w:t>C</w:t>
      </w:r>
      <w:r>
        <w:t>orporate income tax</w:t>
      </w:r>
    </w:p>
    <w:p w:rsidR="00761454" w:rsidRDefault="000474DF" w:rsidP="00761454">
      <w:pPr>
        <w:numPr>
          <w:ilvl w:val="0"/>
          <w:numId w:val="24"/>
        </w:numPr>
      </w:pPr>
      <w:r>
        <w:t>Attachment 9 – E</w:t>
      </w:r>
      <w:r w:rsidR="00761454">
        <w:t>fficiency benefit sharing scheme</w:t>
      </w:r>
    </w:p>
    <w:p w:rsidR="00761454" w:rsidRDefault="000474DF" w:rsidP="00761454">
      <w:pPr>
        <w:numPr>
          <w:ilvl w:val="0"/>
          <w:numId w:val="24"/>
        </w:numPr>
      </w:pPr>
      <w:r>
        <w:t>Attachment 10 – C</w:t>
      </w:r>
      <w:r w:rsidR="00761454">
        <w:t>apital expenditure sharing scheme</w:t>
      </w:r>
    </w:p>
    <w:p w:rsidR="00761454" w:rsidRDefault="000474DF" w:rsidP="00761454">
      <w:pPr>
        <w:numPr>
          <w:ilvl w:val="0"/>
          <w:numId w:val="24"/>
        </w:numPr>
      </w:pPr>
      <w:r>
        <w:t>Attachment 11 – S</w:t>
      </w:r>
      <w:r w:rsidR="00761454">
        <w:t>ervice target performance incentive scheme</w:t>
      </w:r>
    </w:p>
    <w:p w:rsidR="00761454" w:rsidRPr="00F02D30" w:rsidRDefault="00761454" w:rsidP="00761454">
      <w:pPr>
        <w:numPr>
          <w:ilvl w:val="0"/>
          <w:numId w:val="24"/>
        </w:numPr>
      </w:pPr>
      <w:r>
        <w:t xml:space="preserve">Attachment 12 – </w:t>
      </w:r>
      <w:r w:rsidR="004523B2">
        <w:t>Demand management incentive scheme</w:t>
      </w:r>
    </w:p>
    <w:p w:rsidR="00761454" w:rsidRPr="00F02D30" w:rsidRDefault="00761454" w:rsidP="00761454">
      <w:pPr>
        <w:numPr>
          <w:ilvl w:val="0"/>
          <w:numId w:val="24"/>
        </w:numPr>
      </w:pPr>
      <w:r>
        <w:t xml:space="preserve">Attachment 13 </w:t>
      </w:r>
      <w:r w:rsidR="000474DF">
        <w:t xml:space="preserve">– </w:t>
      </w:r>
      <w:r w:rsidR="004523B2">
        <w:t>Classification of services</w:t>
      </w:r>
    </w:p>
    <w:p w:rsidR="00761454" w:rsidRDefault="00761454" w:rsidP="00761454">
      <w:pPr>
        <w:numPr>
          <w:ilvl w:val="0"/>
          <w:numId w:val="24"/>
        </w:numPr>
      </w:pPr>
      <w:r>
        <w:t xml:space="preserve">Attachment 14 </w:t>
      </w:r>
      <w:r w:rsidR="000474DF">
        <w:t xml:space="preserve">– </w:t>
      </w:r>
      <w:r w:rsidR="004523B2">
        <w:t>Control mechanisms</w:t>
      </w:r>
    </w:p>
    <w:p w:rsidR="004523B2" w:rsidRDefault="004523B2" w:rsidP="00761454">
      <w:pPr>
        <w:numPr>
          <w:ilvl w:val="0"/>
          <w:numId w:val="24"/>
        </w:numPr>
      </w:pPr>
      <w:r>
        <w:t>Attachment 15 – Pass through events</w:t>
      </w:r>
    </w:p>
    <w:p w:rsidR="004523B2" w:rsidRDefault="004523B2" w:rsidP="00761454">
      <w:pPr>
        <w:numPr>
          <w:ilvl w:val="0"/>
          <w:numId w:val="24"/>
        </w:numPr>
      </w:pPr>
      <w:r>
        <w:t>Attachment 16 – Alternative control services</w:t>
      </w:r>
    </w:p>
    <w:p w:rsidR="004523B2" w:rsidRDefault="004523B2" w:rsidP="00761454">
      <w:pPr>
        <w:numPr>
          <w:ilvl w:val="0"/>
          <w:numId w:val="24"/>
        </w:numPr>
      </w:pPr>
      <w:r>
        <w:t>Attachment 17 – Negotiated services framework and criteria</w:t>
      </w:r>
    </w:p>
    <w:p w:rsidR="004523B2" w:rsidRDefault="004523B2" w:rsidP="00761454">
      <w:pPr>
        <w:numPr>
          <w:ilvl w:val="0"/>
          <w:numId w:val="24"/>
        </w:numPr>
      </w:pPr>
      <w:r>
        <w:t xml:space="preserve">Attachment 18 – </w:t>
      </w:r>
      <w:r w:rsidR="00DB4E34">
        <w:t>f-factor scheme</w:t>
      </w:r>
    </w:p>
    <w:p w:rsidR="00CE2A23" w:rsidRPr="00CE2A23" w:rsidRDefault="00CE2A23" w:rsidP="00CE2A23">
      <w:bookmarkStart w:id="5" w:name="_Toc404354899"/>
      <w:bookmarkStart w:id="6" w:name="_Toc404353070"/>
      <w:bookmarkStart w:id="7" w:name="_Toc404684201"/>
      <w:bookmarkStart w:id="8" w:name="_Toc404700923"/>
    </w:p>
    <w:bookmarkEnd w:id="5"/>
    <w:bookmarkEnd w:id="6"/>
    <w:bookmarkEnd w:id="7"/>
    <w:bookmarkEnd w:id="8"/>
    <w:p w:rsidR="00CE2A23" w:rsidRPr="008F07A3" w:rsidRDefault="00CE2A23" w:rsidP="00CE2A23">
      <w:pPr>
        <w:numPr>
          <w:ilvl w:val="0"/>
          <w:numId w:val="24"/>
        </w:numPr>
        <w:sectPr w:rsidR="00CE2A23" w:rsidRPr="008F07A3" w:rsidSect="00317E02">
          <w:footerReference w:type="even" r:id="rId12"/>
          <w:footerReference w:type="default" r:id="rId13"/>
          <w:footerReference w:type="first" r:id="rId14"/>
          <w:pgSz w:w="11906" w:h="16838" w:code="9"/>
          <w:pgMar w:top="1440" w:right="1700" w:bottom="1582" w:left="1729" w:header="720" w:footer="0" w:gutter="0"/>
          <w:pgNumType w:start="0" w:chapStyle="1"/>
          <w:cols w:space="720"/>
          <w:docGrid w:linePitch="326"/>
        </w:sectPr>
      </w:pPr>
    </w:p>
    <w:p w:rsidR="00CE2A23" w:rsidRPr="00A72B34" w:rsidRDefault="00CE2A23" w:rsidP="00CE2A23">
      <w:pPr>
        <w:pStyle w:val="UnnumberedHeading"/>
        <w:numPr>
          <w:ilvl w:val="0"/>
          <w:numId w:val="23"/>
        </w:numPr>
      </w:pPr>
      <w:bookmarkStart w:id="9" w:name="_Toc403144133"/>
      <w:bookmarkStart w:id="10" w:name="_Toc451524761"/>
      <w:r>
        <w:t>Contents</w:t>
      </w:r>
      <w:bookmarkEnd w:id="9"/>
      <w:bookmarkEnd w:id="10"/>
    </w:p>
    <w:p w:rsidR="00CE2A23" w:rsidRDefault="00CE2A23" w:rsidP="00CE2A23"/>
    <w:sdt>
      <w:sdtPr>
        <w:id w:val="1269200322"/>
        <w:docPartObj>
          <w:docPartGallery w:val="Table of Contents"/>
          <w:docPartUnique/>
        </w:docPartObj>
      </w:sdtPr>
      <w:sdtEndPr/>
      <w:sdtContent>
        <w:p w:rsidR="00C63FC1" w:rsidRDefault="00CD283C">
          <w:pPr>
            <w:pStyle w:val="TOC1"/>
            <w:rPr>
              <w:rFonts w:asciiTheme="minorHAnsi" w:eastAsiaTheme="minorEastAsia" w:hAnsiTheme="minorHAnsi"/>
              <w:b w:val="0"/>
              <w:color w:val="auto"/>
              <w:sz w:val="22"/>
              <w:lang w:val="en-AU" w:eastAsia="en-AU"/>
            </w:rPr>
          </w:pPr>
          <w:r>
            <w:fldChar w:fldCharType="begin"/>
          </w:r>
          <w:r>
            <w:instrText xml:space="preserve"> TOC \o "1-2" \h \z \t "Heading 3,3,Heading 7,1,Heading 8,2,Heading 9,3" </w:instrText>
          </w:r>
          <w:r>
            <w:fldChar w:fldCharType="separate"/>
          </w:r>
          <w:hyperlink w:anchor="_Toc451524760" w:history="1">
            <w:r w:rsidR="00C63FC1" w:rsidRPr="00E13CBF">
              <w:rPr>
                <w:rStyle w:val="Hyperlink"/>
              </w:rPr>
              <w:t>Note</w:t>
            </w:r>
            <w:r w:rsidR="00C63FC1">
              <w:rPr>
                <w:webHidden/>
              </w:rPr>
              <w:tab/>
            </w:r>
            <w:r w:rsidR="00C63FC1">
              <w:rPr>
                <w:webHidden/>
              </w:rPr>
              <w:fldChar w:fldCharType="begin"/>
            </w:r>
            <w:r w:rsidR="00C63FC1">
              <w:rPr>
                <w:webHidden/>
              </w:rPr>
              <w:instrText xml:space="preserve"> PAGEREF _Toc451524760 \h </w:instrText>
            </w:r>
            <w:r w:rsidR="00C63FC1">
              <w:rPr>
                <w:webHidden/>
              </w:rPr>
            </w:r>
            <w:r w:rsidR="00C63FC1">
              <w:rPr>
                <w:webHidden/>
              </w:rPr>
              <w:fldChar w:fldCharType="separate"/>
            </w:r>
            <w:r w:rsidR="00C63FC1">
              <w:rPr>
                <w:webHidden/>
              </w:rPr>
              <w:t>18-2</w:t>
            </w:r>
            <w:r w:rsidR="00C63FC1">
              <w:rPr>
                <w:webHidden/>
              </w:rPr>
              <w:fldChar w:fldCharType="end"/>
            </w:r>
          </w:hyperlink>
        </w:p>
        <w:p w:rsidR="00C63FC1" w:rsidRDefault="00C63FC1">
          <w:pPr>
            <w:pStyle w:val="TOC1"/>
            <w:rPr>
              <w:rFonts w:asciiTheme="minorHAnsi" w:eastAsiaTheme="minorEastAsia" w:hAnsiTheme="minorHAnsi"/>
              <w:b w:val="0"/>
              <w:color w:val="auto"/>
              <w:sz w:val="22"/>
              <w:lang w:val="en-AU" w:eastAsia="en-AU"/>
            </w:rPr>
          </w:pPr>
          <w:hyperlink w:anchor="_Toc451524761" w:history="1">
            <w:r w:rsidRPr="00E13CBF">
              <w:rPr>
                <w:rStyle w:val="Hyperlink"/>
              </w:rPr>
              <w:t>Contents</w:t>
            </w:r>
            <w:r>
              <w:rPr>
                <w:webHidden/>
              </w:rPr>
              <w:tab/>
            </w:r>
            <w:r>
              <w:rPr>
                <w:webHidden/>
              </w:rPr>
              <w:fldChar w:fldCharType="begin"/>
            </w:r>
            <w:r>
              <w:rPr>
                <w:webHidden/>
              </w:rPr>
              <w:instrText xml:space="preserve"> PAGEREF _Toc451524761 \h </w:instrText>
            </w:r>
            <w:r>
              <w:rPr>
                <w:webHidden/>
              </w:rPr>
            </w:r>
            <w:r>
              <w:rPr>
                <w:webHidden/>
              </w:rPr>
              <w:fldChar w:fldCharType="separate"/>
            </w:r>
            <w:r>
              <w:rPr>
                <w:webHidden/>
              </w:rPr>
              <w:t>18-3</w:t>
            </w:r>
            <w:r>
              <w:rPr>
                <w:webHidden/>
              </w:rPr>
              <w:fldChar w:fldCharType="end"/>
            </w:r>
          </w:hyperlink>
        </w:p>
        <w:p w:rsidR="00C63FC1" w:rsidRDefault="00C63FC1">
          <w:pPr>
            <w:pStyle w:val="TOC1"/>
            <w:rPr>
              <w:rFonts w:asciiTheme="minorHAnsi" w:eastAsiaTheme="minorEastAsia" w:hAnsiTheme="minorHAnsi"/>
              <w:b w:val="0"/>
              <w:color w:val="auto"/>
              <w:sz w:val="22"/>
              <w:lang w:val="en-AU" w:eastAsia="en-AU"/>
            </w:rPr>
          </w:pPr>
          <w:hyperlink w:anchor="_Toc451524762" w:history="1">
            <w:r w:rsidRPr="00E13CBF">
              <w:rPr>
                <w:rStyle w:val="Hyperlink"/>
              </w:rPr>
              <w:t>Shortened forms</w:t>
            </w:r>
            <w:r>
              <w:rPr>
                <w:webHidden/>
              </w:rPr>
              <w:tab/>
            </w:r>
            <w:r>
              <w:rPr>
                <w:webHidden/>
              </w:rPr>
              <w:fldChar w:fldCharType="begin"/>
            </w:r>
            <w:r>
              <w:rPr>
                <w:webHidden/>
              </w:rPr>
              <w:instrText xml:space="preserve"> PAGEREF _Toc451524762 \h </w:instrText>
            </w:r>
            <w:r>
              <w:rPr>
                <w:webHidden/>
              </w:rPr>
            </w:r>
            <w:r>
              <w:rPr>
                <w:webHidden/>
              </w:rPr>
              <w:fldChar w:fldCharType="separate"/>
            </w:r>
            <w:r>
              <w:rPr>
                <w:webHidden/>
              </w:rPr>
              <w:t>18-4</w:t>
            </w:r>
            <w:r>
              <w:rPr>
                <w:webHidden/>
              </w:rPr>
              <w:fldChar w:fldCharType="end"/>
            </w:r>
          </w:hyperlink>
        </w:p>
        <w:p w:rsidR="00C63FC1" w:rsidRDefault="00C63FC1">
          <w:pPr>
            <w:pStyle w:val="TOC1"/>
            <w:rPr>
              <w:rFonts w:asciiTheme="minorHAnsi" w:eastAsiaTheme="minorEastAsia" w:hAnsiTheme="minorHAnsi"/>
              <w:b w:val="0"/>
              <w:color w:val="auto"/>
              <w:sz w:val="22"/>
              <w:lang w:val="en-AU" w:eastAsia="en-AU"/>
            </w:rPr>
          </w:pPr>
          <w:hyperlink w:anchor="_Toc451524763" w:history="1">
            <w:r w:rsidRPr="00E13CBF">
              <w:rPr>
                <w:rStyle w:val="Hyperlink"/>
              </w:rPr>
              <w:t>18</w:t>
            </w:r>
            <w:r>
              <w:rPr>
                <w:rFonts w:asciiTheme="minorHAnsi" w:eastAsiaTheme="minorEastAsia" w:hAnsiTheme="minorHAnsi"/>
                <w:b w:val="0"/>
                <w:color w:val="auto"/>
                <w:sz w:val="22"/>
                <w:lang w:val="en-AU" w:eastAsia="en-AU"/>
              </w:rPr>
              <w:tab/>
            </w:r>
            <w:r w:rsidRPr="00E13CBF">
              <w:rPr>
                <w:rStyle w:val="Hyperlink"/>
              </w:rPr>
              <w:t>F-factor scheme</w:t>
            </w:r>
            <w:r>
              <w:rPr>
                <w:webHidden/>
              </w:rPr>
              <w:tab/>
            </w:r>
            <w:r>
              <w:rPr>
                <w:webHidden/>
              </w:rPr>
              <w:fldChar w:fldCharType="begin"/>
            </w:r>
            <w:r>
              <w:rPr>
                <w:webHidden/>
              </w:rPr>
              <w:instrText xml:space="preserve"> PAGEREF _Toc451524763 \h </w:instrText>
            </w:r>
            <w:r>
              <w:rPr>
                <w:webHidden/>
              </w:rPr>
            </w:r>
            <w:r>
              <w:rPr>
                <w:webHidden/>
              </w:rPr>
              <w:fldChar w:fldCharType="separate"/>
            </w:r>
            <w:r>
              <w:rPr>
                <w:webHidden/>
              </w:rPr>
              <w:t>18-6</w:t>
            </w:r>
            <w:r>
              <w:rPr>
                <w:webHidden/>
              </w:rPr>
              <w:fldChar w:fldCharType="end"/>
            </w:r>
          </w:hyperlink>
        </w:p>
        <w:p w:rsidR="00C63FC1" w:rsidRDefault="00C63FC1">
          <w:pPr>
            <w:pStyle w:val="TOC2"/>
            <w:tabs>
              <w:tab w:val="left" w:pos="1276"/>
            </w:tabs>
            <w:rPr>
              <w:rFonts w:asciiTheme="minorHAnsi" w:eastAsiaTheme="minorEastAsia" w:hAnsiTheme="minorHAnsi"/>
              <w:b w:val="0"/>
              <w:color w:val="auto"/>
              <w:sz w:val="22"/>
              <w:lang w:eastAsia="en-AU"/>
            </w:rPr>
          </w:pPr>
          <w:hyperlink w:anchor="_Toc451524764" w:history="1">
            <w:r w:rsidRPr="00E13CBF">
              <w:rPr>
                <w:rStyle w:val="Hyperlink"/>
              </w:rPr>
              <w:t>18.1</w:t>
            </w:r>
            <w:r>
              <w:rPr>
                <w:rFonts w:asciiTheme="minorHAnsi" w:eastAsiaTheme="minorEastAsia" w:hAnsiTheme="minorHAnsi"/>
                <w:b w:val="0"/>
                <w:color w:val="auto"/>
                <w:sz w:val="22"/>
                <w:lang w:eastAsia="en-AU"/>
              </w:rPr>
              <w:tab/>
            </w:r>
            <w:r w:rsidRPr="00E13CBF">
              <w:rPr>
                <w:rStyle w:val="Hyperlink"/>
              </w:rPr>
              <w:t>Final decision</w:t>
            </w:r>
            <w:r>
              <w:rPr>
                <w:webHidden/>
              </w:rPr>
              <w:tab/>
            </w:r>
            <w:r>
              <w:rPr>
                <w:webHidden/>
              </w:rPr>
              <w:fldChar w:fldCharType="begin"/>
            </w:r>
            <w:r>
              <w:rPr>
                <w:webHidden/>
              </w:rPr>
              <w:instrText xml:space="preserve"> PAGEREF _Toc451524764 \h </w:instrText>
            </w:r>
            <w:r>
              <w:rPr>
                <w:webHidden/>
              </w:rPr>
            </w:r>
            <w:r>
              <w:rPr>
                <w:webHidden/>
              </w:rPr>
              <w:fldChar w:fldCharType="separate"/>
            </w:r>
            <w:r>
              <w:rPr>
                <w:webHidden/>
              </w:rPr>
              <w:t>18-6</w:t>
            </w:r>
            <w:r>
              <w:rPr>
                <w:webHidden/>
              </w:rPr>
              <w:fldChar w:fldCharType="end"/>
            </w:r>
          </w:hyperlink>
        </w:p>
        <w:p w:rsidR="00C63FC1" w:rsidRDefault="00C63FC1">
          <w:pPr>
            <w:pStyle w:val="TOC2"/>
            <w:tabs>
              <w:tab w:val="left" w:pos="1276"/>
            </w:tabs>
            <w:rPr>
              <w:rFonts w:asciiTheme="minorHAnsi" w:eastAsiaTheme="minorEastAsia" w:hAnsiTheme="minorHAnsi"/>
              <w:b w:val="0"/>
              <w:color w:val="auto"/>
              <w:sz w:val="22"/>
              <w:lang w:eastAsia="en-AU"/>
            </w:rPr>
          </w:pPr>
          <w:hyperlink w:anchor="_Toc451524765" w:history="1">
            <w:r w:rsidRPr="00E13CBF">
              <w:rPr>
                <w:rStyle w:val="Hyperlink"/>
              </w:rPr>
              <w:t>18.2</w:t>
            </w:r>
            <w:r>
              <w:rPr>
                <w:rFonts w:asciiTheme="minorHAnsi" w:eastAsiaTheme="minorEastAsia" w:hAnsiTheme="minorHAnsi"/>
                <w:b w:val="0"/>
                <w:color w:val="auto"/>
                <w:sz w:val="22"/>
                <w:lang w:eastAsia="en-AU"/>
              </w:rPr>
              <w:tab/>
            </w:r>
            <w:r w:rsidRPr="00E13CBF">
              <w:rPr>
                <w:rStyle w:val="Hyperlink"/>
              </w:rPr>
              <w:t>AusNet Services' revised proposal</w:t>
            </w:r>
            <w:r>
              <w:rPr>
                <w:webHidden/>
              </w:rPr>
              <w:tab/>
            </w:r>
            <w:r>
              <w:rPr>
                <w:webHidden/>
              </w:rPr>
              <w:fldChar w:fldCharType="begin"/>
            </w:r>
            <w:r>
              <w:rPr>
                <w:webHidden/>
              </w:rPr>
              <w:instrText xml:space="preserve"> PAGEREF _Toc451524765 \h </w:instrText>
            </w:r>
            <w:r>
              <w:rPr>
                <w:webHidden/>
              </w:rPr>
            </w:r>
            <w:r>
              <w:rPr>
                <w:webHidden/>
              </w:rPr>
              <w:fldChar w:fldCharType="separate"/>
            </w:r>
            <w:r>
              <w:rPr>
                <w:webHidden/>
              </w:rPr>
              <w:t>18-6</w:t>
            </w:r>
            <w:r>
              <w:rPr>
                <w:webHidden/>
              </w:rPr>
              <w:fldChar w:fldCharType="end"/>
            </w:r>
          </w:hyperlink>
        </w:p>
        <w:p w:rsidR="00C63FC1" w:rsidRDefault="00C63FC1">
          <w:pPr>
            <w:pStyle w:val="TOC2"/>
            <w:tabs>
              <w:tab w:val="left" w:pos="1276"/>
            </w:tabs>
            <w:rPr>
              <w:rFonts w:asciiTheme="minorHAnsi" w:eastAsiaTheme="minorEastAsia" w:hAnsiTheme="minorHAnsi"/>
              <w:b w:val="0"/>
              <w:color w:val="auto"/>
              <w:sz w:val="22"/>
              <w:lang w:eastAsia="en-AU"/>
            </w:rPr>
          </w:pPr>
          <w:hyperlink w:anchor="_Toc451524766" w:history="1">
            <w:r w:rsidRPr="00E13CBF">
              <w:rPr>
                <w:rStyle w:val="Hyperlink"/>
              </w:rPr>
              <w:t>18.3</w:t>
            </w:r>
            <w:r>
              <w:rPr>
                <w:rFonts w:asciiTheme="minorHAnsi" w:eastAsiaTheme="minorEastAsia" w:hAnsiTheme="minorHAnsi"/>
                <w:b w:val="0"/>
                <w:color w:val="auto"/>
                <w:sz w:val="22"/>
                <w:lang w:eastAsia="en-AU"/>
              </w:rPr>
              <w:tab/>
            </w:r>
            <w:r w:rsidRPr="00E13CBF">
              <w:rPr>
                <w:rStyle w:val="Hyperlink"/>
              </w:rPr>
              <w:t>Assessment approach</w:t>
            </w:r>
            <w:r>
              <w:rPr>
                <w:webHidden/>
              </w:rPr>
              <w:tab/>
            </w:r>
            <w:r>
              <w:rPr>
                <w:webHidden/>
              </w:rPr>
              <w:fldChar w:fldCharType="begin"/>
            </w:r>
            <w:r>
              <w:rPr>
                <w:webHidden/>
              </w:rPr>
              <w:instrText xml:space="preserve"> PAGEREF _Toc451524766 \h </w:instrText>
            </w:r>
            <w:r>
              <w:rPr>
                <w:webHidden/>
              </w:rPr>
            </w:r>
            <w:r>
              <w:rPr>
                <w:webHidden/>
              </w:rPr>
              <w:fldChar w:fldCharType="separate"/>
            </w:r>
            <w:r>
              <w:rPr>
                <w:webHidden/>
              </w:rPr>
              <w:t>18-7</w:t>
            </w:r>
            <w:r>
              <w:rPr>
                <w:webHidden/>
              </w:rPr>
              <w:fldChar w:fldCharType="end"/>
            </w:r>
          </w:hyperlink>
        </w:p>
        <w:p w:rsidR="00C63FC1" w:rsidRDefault="00C63FC1">
          <w:pPr>
            <w:pStyle w:val="TOC2"/>
            <w:tabs>
              <w:tab w:val="left" w:pos="1276"/>
            </w:tabs>
            <w:rPr>
              <w:rFonts w:asciiTheme="minorHAnsi" w:eastAsiaTheme="minorEastAsia" w:hAnsiTheme="minorHAnsi"/>
              <w:b w:val="0"/>
              <w:color w:val="auto"/>
              <w:sz w:val="22"/>
              <w:lang w:eastAsia="en-AU"/>
            </w:rPr>
          </w:pPr>
          <w:hyperlink w:anchor="_Toc451524767" w:history="1">
            <w:r w:rsidRPr="00E13CBF">
              <w:rPr>
                <w:rStyle w:val="Hyperlink"/>
              </w:rPr>
              <w:t>18.4</w:t>
            </w:r>
            <w:r>
              <w:rPr>
                <w:rFonts w:asciiTheme="minorHAnsi" w:eastAsiaTheme="minorEastAsia" w:hAnsiTheme="minorHAnsi"/>
                <w:b w:val="0"/>
                <w:color w:val="auto"/>
                <w:sz w:val="22"/>
                <w:lang w:eastAsia="en-AU"/>
              </w:rPr>
              <w:tab/>
            </w:r>
            <w:r w:rsidRPr="00E13CBF">
              <w:rPr>
                <w:rStyle w:val="Hyperlink"/>
              </w:rPr>
              <w:t>Submissions</w:t>
            </w:r>
            <w:r>
              <w:rPr>
                <w:webHidden/>
              </w:rPr>
              <w:tab/>
            </w:r>
            <w:r>
              <w:rPr>
                <w:webHidden/>
              </w:rPr>
              <w:fldChar w:fldCharType="begin"/>
            </w:r>
            <w:r>
              <w:rPr>
                <w:webHidden/>
              </w:rPr>
              <w:instrText xml:space="preserve"> PAGEREF _Toc451524767 \h </w:instrText>
            </w:r>
            <w:r>
              <w:rPr>
                <w:webHidden/>
              </w:rPr>
            </w:r>
            <w:r>
              <w:rPr>
                <w:webHidden/>
              </w:rPr>
              <w:fldChar w:fldCharType="separate"/>
            </w:r>
            <w:r>
              <w:rPr>
                <w:webHidden/>
              </w:rPr>
              <w:t>18-7</w:t>
            </w:r>
            <w:r>
              <w:rPr>
                <w:webHidden/>
              </w:rPr>
              <w:fldChar w:fldCharType="end"/>
            </w:r>
          </w:hyperlink>
        </w:p>
        <w:p w:rsidR="00C63FC1" w:rsidRDefault="00C63FC1">
          <w:pPr>
            <w:pStyle w:val="TOC2"/>
            <w:tabs>
              <w:tab w:val="left" w:pos="1276"/>
            </w:tabs>
            <w:rPr>
              <w:rFonts w:asciiTheme="minorHAnsi" w:eastAsiaTheme="minorEastAsia" w:hAnsiTheme="minorHAnsi"/>
              <w:b w:val="0"/>
              <w:color w:val="auto"/>
              <w:sz w:val="22"/>
              <w:lang w:eastAsia="en-AU"/>
            </w:rPr>
          </w:pPr>
          <w:hyperlink w:anchor="_Toc451524768" w:history="1">
            <w:r w:rsidRPr="00E13CBF">
              <w:rPr>
                <w:rStyle w:val="Hyperlink"/>
              </w:rPr>
              <w:t>18.5</w:t>
            </w:r>
            <w:r>
              <w:rPr>
                <w:rFonts w:asciiTheme="minorHAnsi" w:eastAsiaTheme="minorEastAsia" w:hAnsiTheme="minorHAnsi"/>
                <w:b w:val="0"/>
                <w:color w:val="auto"/>
                <w:sz w:val="22"/>
                <w:lang w:eastAsia="en-AU"/>
              </w:rPr>
              <w:tab/>
            </w:r>
            <w:r w:rsidRPr="00E13CBF">
              <w:rPr>
                <w:rStyle w:val="Hyperlink"/>
              </w:rPr>
              <w:t>Reasons for final decision</w:t>
            </w:r>
            <w:r>
              <w:rPr>
                <w:webHidden/>
              </w:rPr>
              <w:tab/>
            </w:r>
            <w:r>
              <w:rPr>
                <w:webHidden/>
              </w:rPr>
              <w:fldChar w:fldCharType="begin"/>
            </w:r>
            <w:r>
              <w:rPr>
                <w:webHidden/>
              </w:rPr>
              <w:instrText xml:space="preserve"> PAGEREF _Toc451524768 \h </w:instrText>
            </w:r>
            <w:r>
              <w:rPr>
                <w:webHidden/>
              </w:rPr>
            </w:r>
            <w:r>
              <w:rPr>
                <w:webHidden/>
              </w:rPr>
              <w:fldChar w:fldCharType="separate"/>
            </w:r>
            <w:r>
              <w:rPr>
                <w:webHidden/>
              </w:rPr>
              <w:t>18-7</w:t>
            </w:r>
            <w:r>
              <w:rPr>
                <w:webHidden/>
              </w:rPr>
              <w:fldChar w:fldCharType="end"/>
            </w:r>
          </w:hyperlink>
        </w:p>
        <w:p w:rsidR="00CE2A23" w:rsidRDefault="00CD283C" w:rsidP="00CD283C">
          <w:pPr>
            <w:pStyle w:val="TOC1"/>
          </w:pPr>
          <w:r>
            <w:fldChar w:fldCharType="end"/>
          </w:r>
        </w:p>
      </w:sdtContent>
    </w:sdt>
    <w:p w:rsidR="00CE2A23" w:rsidRPr="00CE2A23" w:rsidRDefault="00CE2A23" w:rsidP="00CE2A23">
      <w:r>
        <w:t xml:space="preserve"> </w:t>
      </w:r>
    </w:p>
    <w:p w:rsidR="00CE2A23" w:rsidRPr="00271F7C" w:rsidRDefault="00CE2A23" w:rsidP="00CE2A23">
      <w:pPr>
        <w:pStyle w:val="UnnumberedHeading"/>
        <w:numPr>
          <w:ilvl w:val="0"/>
          <w:numId w:val="23"/>
        </w:numPr>
      </w:pPr>
      <w:bookmarkStart w:id="11" w:name="_Toc404700925"/>
      <w:bookmarkStart w:id="12" w:name="_Toc451524762"/>
      <w:r>
        <w:t>Shortened forms</w:t>
      </w:r>
      <w:bookmarkEnd w:id="11"/>
      <w:bookmarkEnd w:id="12"/>
    </w:p>
    <w:tbl>
      <w:tblPr>
        <w:tblStyle w:val="AERtable-text0"/>
        <w:tblW w:w="0" w:type="auto"/>
        <w:tblLook w:val="04A0" w:firstRow="1" w:lastRow="0" w:firstColumn="1" w:lastColumn="0" w:noHBand="0" w:noVBand="1"/>
      </w:tblPr>
      <w:tblGrid>
        <w:gridCol w:w="4340"/>
        <w:gridCol w:w="4353"/>
      </w:tblGrid>
      <w:tr w:rsidR="0053603C" w:rsidRPr="0087648F" w:rsidTr="000474DF">
        <w:trPr>
          <w:cnfStyle w:val="100000000000" w:firstRow="1" w:lastRow="0" w:firstColumn="0" w:lastColumn="0" w:oddVBand="0" w:evenVBand="0" w:oddHBand="0" w:evenHBand="0" w:firstRowFirstColumn="0" w:firstRowLastColumn="0" w:lastRowFirstColumn="0" w:lastRowLastColumn="0"/>
          <w:tblHeader/>
        </w:trPr>
        <w:tc>
          <w:tcPr>
            <w:tcW w:w="4340" w:type="dxa"/>
          </w:tcPr>
          <w:p w:rsidR="0053603C" w:rsidRPr="0087648F" w:rsidRDefault="0087648F" w:rsidP="0087648F">
            <w:r>
              <w:t>Shortened form</w:t>
            </w:r>
          </w:p>
        </w:tc>
        <w:tc>
          <w:tcPr>
            <w:tcW w:w="4353" w:type="dxa"/>
          </w:tcPr>
          <w:p w:rsidR="0053603C" w:rsidRPr="0087648F" w:rsidRDefault="0087648F" w:rsidP="0087648F">
            <w:r>
              <w:t>Extended form</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AEMC</w:t>
            </w:r>
          </w:p>
        </w:tc>
        <w:tc>
          <w:tcPr>
            <w:tcW w:w="4353" w:type="dxa"/>
          </w:tcPr>
          <w:p w:rsidR="004523B2" w:rsidRPr="004523B2" w:rsidRDefault="004523B2" w:rsidP="004523B2">
            <w:pPr>
              <w:pStyle w:val="AERtabletextleft"/>
              <w:rPr>
                <w:rStyle w:val="AERtextsize8"/>
              </w:rPr>
            </w:pPr>
            <w:r w:rsidRPr="00712239">
              <w:rPr>
                <w:rStyle w:val="AERtextsize8"/>
              </w:rPr>
              <w:t>Australian Energy Market Commission</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AEMO</w:t>
            </w:r>
          </w:p>
        </w:tc>
        <w:tc>
          <w:tcPr>
            <w:tcW w:w="4353" w:type="dxa"/>
          </w:tcPr>
          <w:p w:rsidR="004523B2" w:rsidRPr="004523B2" w:rsidRDefault="004523B2" w:rsidP="004523B2">
            <w:pPr>
              <w:pStyle w:val="AERtabletextleft"/>
              <w:rPr>
                <w:rStyle w:val="AERtextsize8"/>
              </w:rPr>
            </w:pPr>
            <w:r w:rsidRPr="00712239">
              <w:rPr>
                <w:rStyle w:val="AERtextsize8"/>
              </w:rPr>
              <w:t>Australian Energy Market Operator</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AER</w:t>
            </w:r>
          </w:p>
        </w:tc>
        <w:tc>
          <w:tcPr>
            <w:tcW w:w="4353" w:type="dxa"/>
          </w:tcPr>
          <w:p w:rsidR="004523B2" w:rsidRPr="004523B2" w:rsidRDefault="004523B2" w:rsidP="004523B2">
            <w:pPr>
              <w:pStyle w:val="AERtabletextleft"/>
              <w:rPr>
                <w:rStyle w:val="AERtextsize8"/>
              </w:rPr>
            </w:pPr>
            <w:r w:rsidRPr="00712239">
              <w:rPr>
                <w:rStyle w:val="AERtextsize8"/>
              </w:rPr>
              <w:t xml:space="preserve">Australian Energy </w:t>
            </w:r>
            <w:r w:rsidRPr="004523B2">
              <w:rPr>
                <w:rStyle w:val="AERtextsize8"/>
              </w:rPr>
              <w:t>Regulator</w:t>
            </w:r>
          </w:p>
        </w:tc>
      </w:tr>
      <w:tr w:rsidR="000F0F0A"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0F0F0A" w:rsidRPr="00712239" w:rsidRDefault="000F0F0A" w:rsidP="004523B2">
            <w:pPr>
              <w:pStyle w:val="AERtabletextleft"/>
              <w:rPr>
                <w:rStyle w:val="AERtextsize8"/>
              </w:rPr>
            </w:pPr>
            <w:r>
              <w:rPr>
                <w:rStyle w:val="AERtextsize8"/>
              </w:rPr>
              <w:t>AMI</w:t>
            </w:r>
          </w:p>
        </w:tc>
        <w:tc>
          <w:tcPr>
            <w:tcW w:w="4353" w:type="dxa"/>
          </w:tcPr>
          <w:p w:rsidR="000F0F0A" w:rsidRPr="00712239" w:rsidRDefault="000F0F0A" w:rsidP="004523B2">
            <w:pPr>
              <w:pStyle w:val="AERtabletextleft"/>
              <w:rPr>
                <w:rStyle w:val="AERtextsize8"/>
              </w:rPr>
            </w:pPr>
            <w:r>
              <w:rPr>
                <w:rStyle w:val="AERtextsize8"/>
              </w:rPr>
              <w:t>Advanced metering infrastructure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augex</w:t>
            </w:r>
          </w:p>
        </w:tc>
        <w:tc>
          <w:tcPr>
            <w:tcW w:w="4353" w:type="dxa"/>
          </w:tcPr>
          <w:p w:rsidR="004523B2" w:rsidRPr="004523B2" w:rsidRDefault="004523B2" w:rsidP="004523B2">
            <w:pPr>
              <w:pStyle w:val="AERtabletextleft"/>
              <w:rPr>
                <w:rStyle w:val="AERtextsize8"/>
              </w:rPr>
            </w:pPr>
            <w:r w:rsidRPr="00712239">
              <w:rPr>
                <w:rStyle w:val="AERtextsize8"/>
              </w:rPr>
              <w:t>augmentation expenditure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capex</w:t>
            </w:r>
          </w:p>
        </w:tc>
        <w:tc>
          <w:tcPr>
            <w:tcW w:w="4353" w:type="dxa"/>
          </w:tcPr>
          <w:p w:rsidR="004523B2" w:rsidRPr="004523B2" w:rsidRDefault="004523B2" w:rsidP="004523B2">
            <w:pPr>
              <w:pStyle w:val="AERtabletextleft"/>
              <w:rPr>
                <w:rStyle w:val="AERtextsize8"/>
              </w:rPr>
            </w:pPr>
            <w:r w:rsidRPr="00712239">
              <w:rPr>
                <w:rStyle w:val="AERtextsize8"/>
              </w:rPr>
              <w:t>capital expenditure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CCP</w:t>
            </w:r>
          </w:p>
        </w:tc>
        <w:tc>
          <w:tcPr>
            <w:tcW w:w="4353" w:type="dxa"/>
          </w:tcPr>
          <w:p w:rsidR="004523B2" w:rsidRPr="004523B2" w:rsidRDefault="004523B2" w:rsidP="004523B2">
            <w:pPr>
              <w:pStyle w:val="AERtabletextleft"/>
              <w:rPr>
                <w:rStyle w:val="AERtextsize8"/>
              </w:rPr>
            </w:pPr>
            <w:r w:rsidRPr="00712239">
              <w:rPr>
                <w:rStyle w:val="AERtextsize8"/>
              </w:rPr>
              <w:t>Consumer Challenge Panel</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CESS</w:t>
            </w:r>
          </w:p>
        </w:tc>
        <w:tc>
          <w:tcPr>
            <w:tcW w:w="4353" w:type="dxa"/>
          </w:tcPr>
          <w:p w:rsidR="004523B2" w:rsidRPr="004523B2" w:rsidRDefault="004523B2" w:rsidP="004523B2">
            <w:pPr>
              <w:pStyle w:val="AERtabletextleft"/>
              <w:rPr>
                <w:rStyle w:val="AERtextsize8"/>
              </w:rPr>
            </w:pPr>
            <w:r w:rsidRPr="00712239">
              <w:rPr>
                <w:rStyle w:val="AERtextsize8"/>
              </w:rPr>
              <w:t>capital expenditure sharing scheme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CPI</w:t>
            </w:r>
          </w:p>
        </w:tc>
        <w:tc>
          <w:tcPr>
            <w:tcW w:w="4353" w:type="dxa"/>
          </w:tcPr>
          <w:p w:rsidR="004523B2" w:rsidRPr="004523B2" w:rsidRDefault="004523B2" w:rsidP="004523B2">
            <w:pPr>
              <w:pStyle w:val="AERtabletextleft"/>
              <w:rPr>
                <w:rStyle w:val="AERtextsize8"/>
              </w:rPr>
            </w:pPr>
            <w:r w:rsidRPr="00712239">
              <w:rPr>
                <w:rStyle w:val="AERtextsize8"/>
              </w:rPr>
              <w:t>consumer price index</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DRP</w:t>
            </w:r>
          </w:p>
        </w:tc>
        <w:tc>
          <w:tcPr>
            <w:tcW w:w="4353" w:type="dxa"/>
          </w:tcPr>
          <w:p w:rsidR="004523B2" w:rsidRPr="004523B2" w:rsidRDefault="004523B2" w:rsidP="004523B2">
            <w:pPr>
              <w:pStyle w:val="AERtabletextleft"/>
              <w:rPr>
                <w:rStyle w:val="AERtextsize8"/>
              </w:rPr>
            </w:pPr>
            <w:r w:rsidRPr="00712239">
              <w:rPr>
                <w:rStyle w:val="AERtextsize8"/>
              </w:rPr>
              <w:t>debt risk premium</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DMIA</w:t>
            </w:r>
          </w:p>
        </w:tc>
        <w:tc>
          <w:tcPr>
            <w:tcW w:w="4353" w:type="dxa"/>
          </w:tcPr>
          <w:p w:rsidR="004523B2" w:rsidRPr="004523B2" w:rsidRDefault="004523B2" w:rsidP="004523B2">
            <w:pPr>
              <w:pStyle w:val="AERtabletextleft"/>
              <w:rPr>
                <w:rStyle w:val="AERtextsize8"/>
              </w:rPr>
            </w:pPr>
            <w:r w:rsidRPr="00712239">
              <w:rPr>
                <w:rStyle w:val="AERtextsize8"/>
              </w:rPr>
              <w:t>demand management innovation allowance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DMIS</w:t>
            </w:r>
          </w:p>
        </w:tc>
        <w:tc>
          <w:tcPr>
            <w:tcW w:w="4353" w:type="dxa"/>
          </w:tcPr>
          <w:p w:rsidR="004523B2" w:rsidRPr="004523B2" w:rsidRDefault="004523B2" w:rsidP="004523B2">
            <w:pPr>
              <w:pStyle w:val="AERtabletextleft"/>
              <w:rPr>
                <w:rStyle w:val="AERtextsize8"/>
              </w:rPr>
            </w:pPr>
            <w:r w:rsidRPr="00712239">
              <w:rPr>
                <w:rStyle w:val="AERtextsize8"/>
              </w:rPr>
              <w:t xml:space="preserve">demand </w:t>
            </w:r>
            <w:r w:rsidRPr="004523B2">
              <w:rPr>
                <w:rStyle w:val="AERtextsize8"/>
              </w:rPr>
              <w:t>management incentive scheme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distributor</w:t>
            </w:r>
          </w:p>
        </w:tc>
        <w:tc>
          <w:tcPr>
            <w:tcW w:w="4353" w:type="dxa"/>
          </w:tcPr>
          <w:p w:rsidR="004523B2" w:rsidRPr="004523B2" w:rsidRDefault="004523B2" w:rsidP="004523B2">
            <w:pPr>
              <w:pStyle w:val="AERtabletextleft"/>
              <w:rPr>
                <w:rStyle w:val="AERtextsize8"/>
              </w:rPr>
            </w:pPr>
            <w:r w:rsidRPr="00712239">
              <w:rPr>
                <w:rStyle w:val="AERtextsize8"/>
              </w:rPr>
              <w:t>distribution network service provider</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DUoS</w:t>
            </w:r>
          </w:p>
        </w:tc>
        <w:tc>
          <w:tcPr>
            <w:tcW w:w="4353" w:type="dxa"/>
          </w:tcPr>
          <w:p w:rsidR="004523B2" w:rsidRPr="004523B2" w:rsidRDefault="004523B2" w:rsidP="004523B2">
            <w:pPr>
              <w:pStyle w:val="AERtabletextleft"/>
              <w:rPr>
                <w:rStyle w:val="AERtextsize8"/>
              </w:rPr>
            </w:pPr>
            <w:r w:rsidRPr="00712239">
              <w:rPr>
                <w:rStyle w:val="AERtextsize8"/>
              </w:rPr>
              <w:t>distribution use of system</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EBSS</w:t>
            </w:r>
          </w:p>
        </w:tc>
        <w:tc>
          <w:tcPr>
            <w:tcW w:w="4353" w:type="dxa"/>
          </w:tcPr>
          <w:p w:rsidR="004523B2" w:rsidRPr="004523B2" w:rsidRDefault="004523B2" w:rsidP="004523B2">
            <w:pPr>
              <w:pStyle w:val="AERtabletextleft"/>
              <w:rPr>
                <w:rStyle w:val="AERtextsize8"/>
              </w:rPr>
            </w:pPr>
            <w:r w:rsidRPr="00712239">
              <w:rPr>
                <w:rStyle w:val="AERtextsize8"/>
              </w:rPr>
              <w:t>efficiency benefit sharing scheme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ERP</w:t>
            </w:r>
          </w:p>
        </w:tc>
        <w:tc>
          <w:tcPr>
            <w:tcW w:w="4353" w:type="dxa"/>
          </w:tcPr>
          <w:p w:rsidR="004523B2" w:rsidRPr="004523B2" w:rsidRDefault="004523B2" w:rsidP="004523B2">
            <w:pPr>
              <w:pStyle w:val="AERtabletextleft"/>
              <w:rPr>
                <w:rStyle w:val="AERtextsize8"/>
              </w:rPr>
            </w:pPr>
            <w:r w:rsidRPr="00712239">
              <w:rPr>
                <w:rStyle w:val="AERtextsize8"/>
              </w:rPr>
              <w:t>equity risk premium</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Expenditure A</w:t>
            </w:r>
            <w:r w:rsidRPr="004523B2">
              <w:rPr>
                <w:rStyle w:val="AERtextsize8"/>
              </w:rPr>
              <w:t>ssessment Guideline</w:t>
            </w:r>
          </w:p>
        </w:tc>
        <w:tc>
          <w:tcPr>
            <w:tcW w:w="4353" w:type="dxa"/>
          </w:tcPr>
          <w:p w:rsidR="004523B2" w:rsidRPr="004523B2" w:rsidRDefault="004523B2" w:rsidP="004523B2">
            <w:pPr>
              <w:pStyle w:val="AERtabletextleft"/>
              <w:rPr>
                <w:rStyle w:val="AERtextsize8"/>
              </w:rPr>
            </w:pPr>
            <w:r w:rsidRPr="00712239">
              <w:rPr>
                <w:rStyle w:val="AERtextsize8"/>
              </w:rPr>
              <w:t>E</w:t>
            </w:r>
            <w:r w:rsidRPr="004523B2">
              <w:rPr>
                <w:rStyle w:val="AERtextsize8"/>
              </w:rPr>
              <w:t>xpenditure Forecast Assessment Guideline for Electricity Distribution</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F&amp;A</w:t>
            </w:r>
          </w:p>
        </w:tc>
        <w:tc>
          <w:tcPr>
            <w:tcW w:w="4353" w:type="dxa"/>
          </w:tcPr>
          <w:p w:rsidR="004523B2" w:rsidRPr="004523B2" w:rsidRDefault="004523B2" w:rsidP="004523B2">
            <w:pPr>
              <w:pStyle w:val="AERtabletextleft"/>
              <w:rPr>
                <w:rStyle w:val="AERtextsize8"/>
              </w:rPr>
            </w:pPr>
            <w:r w:rsidRPr="00712239">
              <w:rPr>
                <w:rStyle w:val="AERtextsize8"/>
              </w:rPr>
              <w:t>framework and approach</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MRP</w:t>
            </w:r>
          </w:p>
        </w:tc>
        <w:tc>
          <w:tcPr>
            <w:tcW w:w="4353" w:type="dxa"/>
          </w:tcPr>
          <w:p w:rsidR="004523B2" w:rsidRPr="004523B2" w:rsidRDefault="004523B2" w:rsidP="004523B2">
            <w:pPr>
              <w:pStyle w:val="AERtabletextleft"/>
              <w:rPr>
                <w:rStyle w:val="AERtextsize8"/>
              </w:rPr>
            </w:pPr>
            <w:r w:rsidRPr="00712239">
              <w:rPr>
                <w:rStyle w:val="AERtextsize8"/>
              </w:rPr>
              <w:t>market risk premium</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NEL</w:t>
            </w:r>
          </w:p>
        </w:tc>
        <w:tc>
          <w:tcPr>
            <w:tcW w:w="4353" w:type="dxa"/>
          </w:tcPr>
          <w:p w:rsidR="004523B2" w:rsidRPr="004523B2" w:rsidRDefault="004523B2" w:rsidP="004523B2">
            <w:pPr>
              <w:pStyle w:val="AERtabletextleft"/>
              <w:rPr>
                <w:rStyle w:val="AERtextsize8"/>
              </w:rPr>
            </w:pPr>
            <w:r w:rsidRPr="00712239">
              <w:rPr>
                <w:rStyle w:val="AERtextsize8"/>
              </w:rPr>
              <w:t>national electricity law</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NEM</w:t>
            </w:r>
          </w:p>
        </w:tc>
        <w:tc>
          <w:tcPr>
            <w:tcW w:w="4353" w:type="dxa"/>
          </w:tcPr>
          <w:p w:rsidR="004523B2" w:rsidRPr="004523B2" w:rsidRDefault="004523B2" w:rsidP="004523B2">
            <w:pPr>
              <w:pStyle w:val="AERtabletextleft"/>
              <w:rPr>
                <w:rStyle w:val="AERtextsize8"/>
              </w:rPr>
            </w:pPr>
            <w:r w:rsidRPr="00712239">
              <w:rPr>
                <w:rStyle w:val="AERtextsize8"/>
              </w:rPr>
              <w:t>national electricity market</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NEO</w:t>
            </w:r>
          </w:p>
        </w:tc>
        <w:tc>
          <w:tcPr>
            <w:tcW w:w="4353" w:type="dxa"/>
          </w:tcPr>
          <w:p w:rsidR="004523B2" w:rsidRPr="004523B2" w:rsidRDefault="004523B2" w:rsidP="004523B2">
            <w:pPr>
              <w:pStyle w:val="AERtabletextleft"/>
              <w:rPr>
                <w:rStyle w:val="AERtextsize8"/>
              </w:rPr>
            </w:pPr>
            <w:r w:rsidRPr="00712239">
              <w:rPr>
                <w:rStyle w:val="AERtextsize8"/>
              </w:rPr>
              <w:t>national electricity objective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NER</w:t>
            </w:r>
          </w:p>
        </w:tc>
        <w:tc>
          <w:tcPr>
            <w:tcW w:w="4353" w:type="dxa"/>
          </w:tcPr>
          <w:p w:rsidR="004523B2" w:rsidRPr="004523B2" w:rsidRDefault="004523B2" w:rsidP="004523B2">
            <w:pPr>
              <w:pStyle w:val="AERtabletextleft"/>
              <w:rPr>
                <w:rStyle w:val="AERtextsize8"/>
              </w:rPr>
            </w:pPr>
            <w:r w:rsidRPr="00712239">
              <w:rPr>
                <w:rStyle w:val="AERtextsize8"/>
              </w:rPr>
              <w:t>national electricity rules</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NSP</w:t>
            </w:r>
          </w:p>
        </w:tc>
        <w:tc>
          <w:tcPr>
            <w:tcW w:w="4353" w:type="dxa"/>
          </w:tcPr>
          <w:p w:rsidR="004523B2" w:rsidRPr="004523B2" w:rsidRDefault="004523B2" w:rsidP="004523B2">
            <w:pPr>
              <w:pStyle w:val="AERtabletextleft"/>
              <w:rPr>
                <w:rStyle w:val="AERtextsize8"/>
              </w:rPr>
            </w:pPr>
            <w:r w:rsidRPr="00712239">
              <w:rPr>
                <w:rStyle w:val="AERtextsize8"/>
              </w:rPr>
              <w:t xml:space="preserve">network service </w:t>
            </w:r>
            <w:r w:rsidRPr="004523B2">
              <w:rPr>
                <w:rStyle w:val="AERtextsize8"/>
              </w:rPr>
              <w:t>provider</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opex</w:t>
            </w:r>
          </w:p>
        </w:tc>
        <w:tc>
          <w:tcPr>
            <w:tcW w:w="4353" w:type="dxa"/>
          </w:tcPr>
          <w:p w:rsidR="004523B2" w:rsidRPr="004523B2" w:rsidRDefault="004523B2" w:rsidP="004523B2">
            <w:pPr>
              <w:pStyle w:val="AERtabletextleft"/>
              <w:rPr>
                <w:rStyle w:val="AERtextsize8"/>
              </w:rPr>
            </w:pPr>
            <w:r w:rsidRPr="00712239">
              <w:rPr>
                <w:rStyle w:val="AERtextsize8"/>
              </w:rPr>
              <w:t>operating expenditure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PPI</w:t>
            </w:r>
          </w:p>
        </w:tc>
        <w:tc>
          <w:tcPr>
            <w:tcW w:w="4353" w:type="dxa"/>
          </w:tcPr>
          <w:p w:rsidR="004523B2" w:rsidRPr="004523B2" w:rsidRDefault="004523B2" w:rsidP="004523B2">
            <w:pPr>
              <w:pStyle w:val="AERtabletextleft"/>
              <w:rPr>
                <w:rStyle w:val="AERtextsize8"/>
              </w:rPr>
            </w:pPr>
            <w:r w:rsidRPr="00712239">
              <w:rPr>
                <w:rStyle w:val="AERtextsize8"/>
              </w:rPr>
              <w:t>partial performance indicators</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PTRM</w:t>
            </w:r>
          </w:p>
        </w:tc>
        <w:tc>
          <w:tcPr>
            <w:tcW w:w="4353" w:type="dxa"/>
          </w:tcPr>
          <w:p w:rsidR="004523B2" w:rsidRPr="004523B2" w:rsidRDefault="004523B2" w:rsidP="004523B2">
            <w:pPr>
              <w:pStyle w:val="AERtabletextleft"/>
              <w:rPr>
                <w:rStyle w:val="AERtextsize8"/>
              </w:rPr>
            </w:pPr>
            <w:r w:rsidRPr="00712239">
              <w:rPr>
                <w:rStyle w:val="AERtextsize8"/>
              </w:rPr>
              <w:t>post-tax revenue model</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RAB</w:t>
            </w:r>
          </w:p>
        </w:tc>
        <w:tc>
          <w:tcPr>
            <w:tcW w:w="4353" w:type="dxa"/>
          </w:tcPr>
          <w:p w:rsidR="004523B2" w:rsidRPr="004523B2" w:rsidRDefault="004523B2" w:rsidP="004523B2">
            <w:pPr>
              <w:pStyle w:val="AERtabletextleft"/>
              <w:rPr>
                <w:rStyle w:val="AERtextsize8"/>
              </w:rPr>
            </w:pPr>
            <w:r w:rsidRPr="00712239">
              <w:rPr>
                <w:rStyle w:val="AERtextsize8"/>
              </w:rPr>
              <w:t>regulatory asset base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RBA</w:t>
            </w:r>
          </w:p>
        </w:tc>
        <w:tc>
          <w:tcPr>
            <w:tcW w:w="4353" w:type="dxa"/>
          </w:tcPr>
          <w:p w:rsidR="004523B2" w:rsidRPr="004523B2" w:rsidRDefault="004523B2" w:rsidP="004523B2">
            <w:pPr>
              <w:pStyle w:val="AERtabletextleft"/>
              <w:rPr>
                <w:rStyle w:val="AERtextsize8"/>
              </w:rPr>
            </w:pPr>
            <w:r w:rsidRPr="00712239">
              <w:rPr>
                <w:rStyle w:val="AERtextsize8"/>
              </w:rPr>
              <w:t>Reserve Bank of Australia</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repex</w:t>
            </w:r>
          </w:p>
        </w:tc>
        <w:tc>
          <w:tcPr>
            <w:tcW w:w="4353" w:type="dxa"/>
          </w:tcPr>
          <w:p w:rsidR="004523B2" w:rsidRPr="004523B2" w:rsidRDefault="004523B2" w:rsidP="004523B2">
            <w:pPr>
              <w:pStyle w:val="AERtabletextleft"/>
              <w:rPr>
                <w:rStyle w:val="AERtextsize8"/>
              </w:rPr>
            </w:pPr>
            <w:r w:rsidRPr="00712239">
              <w:rPr>
                <w:rStyle w:val="AERtextsize8"/>
              </w:rPr>
              <w:t>replacement expenditure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RFM</w:t>
            </w:r>
          </w:p>
        </w:tc>
        <w:tc>
          <w:tcPr>
            <w:tcW w:w="4353" w:type="dxa"/>
          </w:tcPr>
          <w:p w:rsidR="004523B2" w:rsidRPr="004523B2" w:rsidRDefault="004523B2" w:rsidP="004523B2">
            <w:pPr>
              <w:pStyle w:val="AERtabletextleft"/>
              <w:rPr>
                <w:rStyle w:val="AERtextsize8"/>
              </w:rPr>
            </w:pPr>
            <w:r w:rsidRPr="00712239">
              <w:rPr>
                <w:rStyle w:val="AERtextsize8"/>
              </w:rPr>
              <w:t>roll forward model</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RIN</w:t>
            </w:r>
          </w:p>
        </w:tc>
        <w:tc>
          <w:tcPr>
            <w:tcW w:w="4353" w:type="dxa"/>
          </w:tcPr>
          <w:p w:rsidR="004523B2" w:rsidRPr="004523B2" w:rsidRDefault="004523B2" w:rsidP="004523B2">
            <w:pPr>
              <w:pStyle w:val="AERtabletextleft"/>
              <w:rPr>
                <w:rStyle w:val="AERtextsize8"/>
              </w:rPr>
            </w:pPr>
            <w:r w:rsidRPr="00712239">
              <w:rPr>
                <w:rStyle w:val="AERtextsize8"/>
              </w:rPr>
              <w:t>regulatory information notice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RPP</w:t>
            </w:r>
          </w:p>
        </w:tc>
        <w:tc>
          <w:tcPr>
            <w:tcW w:w="4353" w:type="dxa"/>
          </w:tcPr>
          <w:p w:rsidR="004523B2" w:rsidRPr="004523B2" w:rsidRDefault="004523B2" w:rsidP="004523B2">
            <w:pPr>
              <w:pStyle w:val="AERtabletextleft"/>
              <w:rPr>
                <w:rStyle w:val="AERtextsize8"/>
              </w:rPr>
            </w:pPr>
            <w:r w:rsidRPr="00712239">
              <w:rPr>
                <w:rStyle w:val="AERtextsize8"/>
              </w:rPr>
              <w:t xml:space="preserve">revenue </w:t>
            </w:r>
            <w:r w:rsidRPr="004523B2">
              <w:rPr>
                <w:rStyle w:val="AERtextsize8"/>
              </w:rPr>
              <w:t>and pricing principles</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SAIDI</w:t>
            </w:r>
          </w:p>
        </w:tc>
        <w:tc>
          <w:tcPr>
            <w:tcW w:w="4353" w:type="dxa"/>
          </w:tcPr>
          <w:p w:rsidR="004523B2" w:rsidRPr="004523B2" w:rsidRDefault="004523B2" w:rsidP="004523B2">
            <w:pPr>
              <w:pStyle w:val="AERtabletextleft"/>
              <w:rPr>
                <w:rStyle w:val="AERtextsize8"/>
              </w:rPr>
            </w:pPr>
            <w:r w:rsidRPr="00712239">
              <w:rPr>
                <w:rStyle w:val="AERtextsize8"/>
              </w:rPr>
              <w:t>system average interruption duration index</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SAIFI</w:t>
            </w:r>
          </w:p>
        </w:tc>
        <w:tc>
          <w:tcPr>
            <w:tcW w:w="4353" w:type="dxa"/>
          </w:tcPr>
          <w:p w:rsidR="004523B2" w:rsidRPr="004523B2" w:rsidRDefault="004523B2" w:rsidP="004523B2">
            <w:pPr>
              <w:pStyle w:val="AERtabletextleft"/>
              <w:rPr>
                <w:rStyle w:val="AERtextsize8"/>
              </w:rPr>
            </w:pPr>
            <w:r w:rsidRPr="00712239">
              <w:rPr>
                <w:rStyle w:val="AERtextsize8"/>
              </w:rPr>
              <w:t>system average interruption frequency index</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SLCAPM</w:t>
            </w:r>
          </w:p>
        </w:tc>
        <w:tc>
          <w:tcPr>
            <w:tcW w:w="4353" w:type="dxa"/>
          </w:tcPr>
          <w:p w:rsidR="004523B2" w:rsidRPr="004523B2" w:rsidRDefault="004523B2" w:rsidP="004523B2">
            <w:pPr>
              <w:pStyle w:val="AERtabletextleft"/>
              <w:rPr>
                <w:rStyle w:val="AERtextsize8"/>
              </w:rPr>
            </w:pPr>
            <w:r w:rsidRPr="00712239">
              <w:rPr>
                <w:rStyle w:val="AERtextsize8"/>
              </w:rPr>
              <w:t>Sharpe-Lintner capital asset pricing model</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STPIS</w:t>
            </w:r>
          </w:p>
        </w:tc>
        <w:tc>
          <w:tcPr>
            <w:tcW w:w="4353" w:type="dxa"/>
          </w:tcPr>
          <w:p w:rsidR="004523B2" w:rsidRPr="004523B2" w:rsidRDefault="004523B2" w:rsidP="004523B2">
            <w:pPr>
              <w:pStyle w:val="AERtabletextleft"/>
              <w:rPr>
                <w:rStyle w:val="AERtextsize8"/>
              </w:rPr>
            </w:pPr>
            <w:r w:rsidRPr="00712239">
              <w:rPr>
                <w:rStyle w:val="AERtextsize8"/>
              </w:rPr>
              <w:t>service target performance incentive scheme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WACC</w:t>
            </w:r>
          </w:p>
        </w:tc>
        <w:tc>
          <w:tcPr>
            <w:tcW w:w="4353" w:type="dxa"/>
          </w:tcPr>
          <w:p w:rsidR="004523B2" w:rsidRPr="004523B2" w:rsidRDefault="004523B2" w:rsidP="004523B2">
            <w:pPr>
              <w:pStyle w:val="AERtabletextleft"/>
              <w:rPr>
                <w:rStyle w:val="AERtextsize8"/>
              </w:rPr>
            </w:pPr>
            <w:r w:rsidRPr="00712239">
              <w:rPr>
                <w:rStyle w:val="AERtextsize8"/>
              </w:rPr>
              <w:t>weighted average</w:t>
            </w:r>
            <w:r w:rsidRPr="004523B2">
              <w:rPr>
                <w:rStyle w:val="AERtextsize8"/>
              </w:rPr>
              <w:t xml:space="preserve"> cost of capital</w:t>
            </w:r>
          </w:p>
        </w:tc>
      </w:tr>
    </w:tbl>
    <w:p w:rsidR="00DE563D" w:rsidRDefault="00DB4E34" w:rsidP="000F0F0A">
      <w:pPr>
        <w:pStyle w:val="Heading1"/>
      </w:pPr>
      <w:bookmarkStart w:id="13" w:name="_Toc416278154"/>
      <w:bookmarkStart w:id="14" w:name="_Toc416346517"/>
      <w:bookmarkStart w:id="15" w:name="_Toc416278157"/>
      <w:bookmarkStart w:id="16" w:name="_Toc416346520"/>
      <w:bookmarkStart w:id="17" w:name="_Toc416278160"/>
      <w:bookmarkStart w:id="18" w:name="_Toc416346523"/>
      <w:bookmarkStart w:id="19" w:name="_Toc416278163"/>
      <w:bookmarkStart w:id="20" w:name="_Toc416346526"/>
      <w:bookmarkStart w:id="21" w:name="_Toc416278166"/>
      <w:bookmarkStart w:id="22" w:name="_Toc416346529"/>
      <w:bookmarkStart w:id="23" w:name="_Toc416278169"/>
      <w:bookmarkStart w:id="24" w:name="_Toc416346532"/>
      <w:bookmarkStart w:id="25" w:name="_Toc416278172"/>
      <w:bookmarkStart w:id="26" w:name="_Toc416346535"/>
      <w:bookmarkStart w:id="27" w:name="_Toc416278175"/>
      <w:bookmarkStart w:id="28" w:name="_Toc416346538"/>
      <w:bookmarkStart w:id="29" w:name="_Toc416278178"/>
      <w:bookmarkStart w:id="30" w:name="_Toc416346541"/>
      <w:bookmarkStart w:id="31" w:name="_Toc416278181"/>
      <w:bookmarkStart w:id="32" w:name="_Toc416346544"/>
      <w:bookmarkStart w:id="33" w:name="_Toc416278184"/>
      <w:bookmarkStart w:id="34" w:name="_Toc416346547"/>
      <w:bookmarkStart w:id="35" w:name="_Toc416278187"/>
      <w:bookmarkStart w:id="36" w:name="_Toc416346550"/>
      <w:bookmarkStart w:id="37" w:name="_Toc416278190"/>
      <w:bookmarkStart w:id="38" w:name="_Toc416346553"/>
      <w:bookmarkStart w:id="39" w:name="_Toc416278193"/>
      <w:bookmarkStart w:id="40" w:name="_Toc416346556"/>
      <w:bookmarkStart w:id="41" w:name="_Toc416278196"/>
      <w:bookmarkStart w:id="42" w:name="_Toc416346559"/>
      <w:bookmarkStart w:id="43" w:name="_Toc416278199"/>
      <w:bookmarkStart w:id="44" w:name="_Toc416346562"/>
      <w:bookmarkStart w:id="45" w:name="_Toc416278202"/>
      <w:bookmarkStart w:id="46" w:name="_Toc416346565"/>
      <w:bookmarkStart w:id="47" w:name="_Toc416278205"/>
      <w:bookmarkStart w:id="48" w:name="_Toc416346568"/>
      <w:bookmarkStart w:id="49" w:name="_Toc416278208"/>
      <w:bookmarkStart w:id="50" w:name="_Toc416346571"/>
      <w:bookmarkStart w:id="51" w:name="_Toc416278211"/>
      <w:bookmarkStart w:id="52" w:name="_Toc416346574"/>
      <w:bookmarkStart w:id="53" w:name="_Toc416278214"/>
      <w:bookmarkStart w:id="54" w:name="_Toc416346577"/>
      <w:bookmarkStart w:id="55" w:name="_Toc416278217"/>
      <w:bookmarkStart w:id="56" w:name="_Toc416346580"/>
      <w:bookmarkStart w:id="57" w:name="_Toc416278220"/>
      <w:bookmarkStart w:id="58" w:name="_Toc416346583"/>
      <w:bookmarkStart w:id="59" w:name="_Toc416278223"/>
      <w:bookmarkStart w:id="60" w:name="_Toc416346586"/>
      <w:bookmarkStart w:id="61" w:name="_Toc416278226"/>
      <w:bookmarkStart w:id="62" w:name="_Toc416346589"/>
      <w:bookmarkStart w:id="63" w:name="_Toc416278229"/>
      <w:bookmarkStart w:id="64" w:name="_Toc416346592"/>
      <w:bookmarkStart w:id="65" w:name="_Toc416278232"/>
      <w:bookmarkStart w:id="66" w:name="_Toc416346595"/>
      <w:bookmarkStart w:id="67" w:name="_Toc416278235"/>
      <w:bookmarkStart w:id="68" w:name="_Toc416346598"/>
      <w:bookmarkStart w:id="69" w:name="_Toc416278238"/>
      <w:bookmarkStart w:id="70" w:name="_Toc416346601"/>
      <w:bookmarkStart w:id="71" w:name="_Toc451524763"/>
      <w:bookmarkEnd w:id="1"/>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r>
        <w:t>F-factor scheme</w:t>
      </w:r>
      <w:bookmarkEnd w:id="71"/>
    </w:p>
    <w:p w:rsidR="00E97165" w:rsidRPr="008A7521" w:rsidRDefault="00E97165" w:rsidP="00E97165">
      <w:pPr>
        <w:numPr>
          <w:ilvl w:val="0"/>
          <w:numId w:val="24"/>
        </w:numPr>
      </w:pPr>
      <w:r w:rsidRPr="008A7521">
        <w:t>The f-factor scheme is prescribed by</w:t>
      </w:r>
      <w:r w:rsidR="00AC5E81">
        <w:t xml:space="preserve"> the</w:t>
      </w:r>
      <w:r w:rsidRPr="008A7521">
        <w:t xml:space="preserve"> </w:t>
      </w:r>
      <w:r w:rsidRPr="00D27E6D">
        <w:rPr>
          <w:rStyle w:val="AERtextitalic"/>
        </w:rPr>
        <w:t>f-factor scheme order 2011</w:t>
      </w:r>
      <w:r>
        <w:t xml:space="preserve"> (the</w:t>
      </w:r>
      <w:r w:rsidRPr="008A7521">
        <w:t xml:space="preserve"> Order</w:t>
      </w:r>
      <w:r>
        <w:t>)</w:t>
      </w:r>
      <w:r w:rsidRPr="008A7521">
        <w:t xml:space="preserve"> issued under the </w:t>
      </w:r>
      <w:r w:rsidRPr="00C63FC1">
        <w:rPr>
          <w:rStyle w:val="AERtextitalic"/>
        </w:rPr>
        <w:t>National Electricity (Victoria) Act 2005</w:t>
      </w:r>
      <w:r w:rsidRPr="008A7521">
        <w:t>.</w:t>
      </w:r>
      <w:r>
        <w:rPr>
          <w:rStyle w:val="FootnoteReference"/>
        </w:rPr>
        <w:footnoteReference w:id="1"/>
      </w:r>
      <w:r w:rsidRPr="008A7521">
        <w:t xml:space="preserve"> Th</w:t>
      </w:r>
      <w:r>
        <w:t>e</w:t>
      </w:r>
      <w:r w:rsidRPr="008A7521">
        <w:t xml:space="preserve"> Order confers functions and powers on the AER to implement the f-factor. The objective of the f-factor scheme is to provide incentives for Victorian distributors to:</w:t>
      </w:r>
      <w:r w:rsidR="00A66FEE" w:rsidRPr="00E06FDD">
        <w:rPr>
          <w:rStyle w:val="FootnoteReference"/>
        </w:rPr>
        <w:footnoteReference w:id="2"/>
      </w:r>
      <w:r w:rsidRPr="00A7608D">
        <w:t xml:space="preserve"> </w:t>
      </w:r>
      <w:r w:rsidRPr="008A7521">
        <w:t xml:space="preserve"> </w:t>
      </w:r>
    </w:p>
    <w:p w:rsidR="00E97165" w:rsidRPr="008A7521" w:rsidRDefault="00AC5E81" w:rsidP="00E97165">
      <w:pPr>
        <w:pStyle w:val="AERbulletlistfirststyle"/>
      </w:pPr>
      <w:r>
        <w:t>r</w:t>
      </w:r>
      <w:r w:rsidRPr="008A7521">
        <w:t xml:space="preserve">educe </w:t>
      </w:r>
      <w:r w:rsidR="00E97165" w:rsidRPr="008A7521">
        <w:t>the risk of fire starts due to electricity infrastructure</w:t>
      </w:r>
    </w:p>
    <w:p w:rsidR="00E97165" w:rsidRDefault="00AC5E81" w:rsidP="00E97165">
      <w:pPr>
        <w:pStyle w:val="AERbulletlistfirststyle"/>
      </w:pPr>
      <w:r>
        <w:t>r</w:t>
      </w:r>
      <w:r w:rsidRPr="008A7521">
        <w:t xml:space="preserve">educe </w:t>
      </w:r>
      <w:r w:rsidR="00E97165" w:rsidRPr="008A7521">
        <w:t xml:space="preserve">the risk of loss or damage caused by fire starts. </w:t>
      </w:r>
    </w:p>
    <w:p w:rsidR="00C5639D" w:rsidRDefault="00E97165" w:rsidP="00C5639D">
      <w:r w:rsidRPr="00E06FDD">
        <w:t xml:space="preserve">In its submission to our </w:t>
      </w:r>
      <w:r w:rsidR="00AC5E81">
        <w:t>framework and approach (</w:t>
      </w:r>
      <w:r>
        <w:t>F&amp;A</w:t>
      </w:r>
      <w:r w:rsidR="00AC5E81">
        <w:t>)</w:t>
      </w:r>
      <w:r w:rsidRPr="00E06FDD">
        <w:t xml:space="preserve"> paper, </w:t>
      </w:r>
      <w:r>
        <w:t xml:space="preserve">the Victorian </w:t>
      </w:r>
      <w:r w:rsidRPr="006D51B5">
        <w:t>Department of State Development</w:t>
      </w:r>
      <w:r>
        <w:t>,</w:t>
      </w:r>
      <w:r w:rsidRPr="006D51B5">
        <w:t xml:space="preserve"> Business and Innovation</w:t>
      </w:r>
      <w:r>
        <w:t xml:space="preserve"> (DSDBI) </w:t>
      </w:r>
      <w:r w:rsidRPr="00E06FDD">
        <w:t>stated that it intend</w:t>
      </w:r>
      <w:r>
        <w:t>ed</w:t>
      </w:r>
      <w:r w:rsidRPr="00E06FDD">
        <w:t xml:space="preserve"> to review the f-factor </w:t>
      </w:r>
      <w:r>
        <w:t xml:space="preserve">scheme </w:t>
      </w:r>
      <w:r w:rsidRPr="00E06FDD">
        <w:t>in 2014</w:t>
      </w:r>
      <w:r>
        <w:t>–</w:t>
      </w:r>
      <w:r w:rsidRPr="00E06FDD">
        <w:t>15 to determine how the incentive has performed in delivering efficient improvements to power line bushfire safety.</w:t>
      </w:r>
      <w:r w:rsidRPr="00E06FDD">
        <w:rPr>
          <w:rStyle w:val="FootnoteReference"/>
        </w:rPr>
        <w:footnoteReference w:id="3"/>
      </w:r>
      <w:r>
        <w:t xml:space="preserve"> We are still awaiting </w:t>
      </w:r>
      <w:r w:rsidR="00C5639D">
        <w:t>the Victorian Government's findings from its review and its proposed changes to the scheme.</w:t>
      </w:r>
      <w:r w:rsidR="00C5639D" w:rsidRPr="00E06FDD">
        <w:t xml:space="preserve"> </w:t>
      </w:r>
    </w:p>
    <w:p w:rsidR="00E97165" w:rsidRPr="00A7608D" w:rsidRDefault="00C5639D" w:rsidP="00E97165">
      <w:r>
        <w:t>As a new scheme has not been made as yet by the Victorian Government</w:t>
      </w:r>
      <w:r w:rsidRPr="00E06FDD">
        <w:t xml:space="preserve">, </w:t>
      </w:r>
      <w:r w:rsidR="00E97165">
        <w:t xml:space="preserve">we will apply the approach described in </w:t>
      </w:r>
      <w:r w:rsidR="00E97165" w:rsidRPr="00E06FDD">
        <w:t xml:space="preserve">our </w:t>
      </w:r>
      <w:r w:rsidR="00E97165">
        <w:t>F&amp;A</w:t>
      </w:r>
      <w:r w:rsidR="00E97165" w:rsidRPr="00E06FDD">
        <w:t xml:space="preserve"> paper</w:t>
      </w:r>
      <w:r w:rsidR="00E97165">
        <w:t>, which</w:t>
      </w:r>
      <w:r w:rsidR="00E97165" w:rsidRPr="00E06FDD">
        <w:t xml:space="preserve"> proposed to retain the current incentive framework—to set the target based on a </w:t>
      </w:r>
      <w:r w:rsidR="00AC5E81">
        <w:t>five</w:t>
      </w:r>
      <w:r w:rsidR="00AC5E81" w:rsidRPr="00E06FDD">
        <w:t xml:space="preserve"> </w:t>
      </w:r>
      <w:r w:rsidR="00E97165" w:rsidRPr="00E06FDD">
        <w:t>year historical average and an incentive rate of $25,000 per fire start.</w:t>
      </w:r>
      <w:r w:rsidR="00E97165" w:rsidRPr="000338D9">
        <w:rPr>
          <w:rStyle w:val="FootnoteReference"/>
        </w:rPr>
        <w:footnoteReference w:id="4"/>
      </w:r>
      <w:r w:rsidR="00E97165" w:rsidRPr="00E06FDD">
        <w:t xml:space="preserve"> </w:t>
      </w:r>
    </w:p>
    <w:p w:rsidR="00E97165" w:rsidRPr="008A7521" w:rsidRDefault="00E97165" w:rsidP="00E97165">
      <w:r w:rsidRPr="00226CB2">
        <w:t xml:space="preserve">We </w:t>
      </w:r>
      <w:r>
        <w:t>will</w:t>
      </w:r>
      <w:r w:rsidRPr="00226CB2">
        <w:t xml:space="preserve"> apply t</w:t>
      </w:r>
      <w:r>
        <w:t>he f-factor scheme</w:t>
      </w:r>
      <w:r w:rsidRPr="00226CB2">
        <w:t xml:space="preserve"> in a manner similar to the other incentive schemes, such as the STPIS. </w:t>
      </w:r>
      <w:r>
        <w:t xml:space="preserve">As stated in our F&amp;A paper, </w:t>
      </w:r>
      <w:r w:rsidRPr="00226CB2">
        <w:t xml:space="preserve">we will include an adjustment amount </w:t>
      </w:r>
      <w:r>
        <w:t>as an "I-factor"</w:t>
      </w:r>
      <w:r w:rsidRPr="000167CC">
        <w:t xml:space="preserve"> </w:t>
      </w:r>
      <w:r>
        <w:t>component in the annual revenue requirement</w:t>
      </w:r>
      <w:r w:rsidRPr="00226CB2">
        <w:t xml:space="preserve"> calculation formula to give effect to the reward o</w:t>
      </w:r>
      <w:r w:rsidR="00AC5E81">
        <w:t>r</w:t>
      </w:r>
      <w:r w:rsidRPr="00226CB2">
        <w:t xml:space="preserve"> penalty outcomes of actual fire starts from the year commencing on 1 January 2016.</w:t>
      </w:r>
      <w:r w:rsidRPr="000338D9">
        <w:rPr>
          <w:rStyle w:val="FootnoteReference"/>
        </w:rPr>
        <w:footnoteReference w:id="5"/>
      </w:r>
      <w:r w:rsidRPr="00226CB2">
        <w:t xml:space="preserve"> </w:t>
      </w:r>
    </w:p>
    <w:p w:rsidR="00132D43" w:rsidRDefault="00DB4E34" w:rsidP="00132D43">
      <w:pPr>
        <w:pStyle w:val="Heading2"/>
      </w:pPr>
      <w:bookmarkStart w:id="72" w:name="_Toc451524764"/>
      <w:r>
        <w:t>Final</w:t>
      </w:r>
      <w:r w:rsidR="00132D43">
        <w:t xml:space="preserve"> decision</w:t>
      </w:r>
      <w:bookmarkEnd w:id="72"/>
    </w:p>
    <w:p w:rsidR="008E3FD6" w:rsidRDefault="00C5639D" w:rsidP="008E3FD6">
      <w:pPr>
        <w:pStyle w:val="ListParagraph"/>
        <w:numPr>
          <w:ilvl w:val="0"/>
          <w:numId w:val="23"/>
        </w:numPr>
        <w:rPr>
          <w:rStyle w:val="AERbody"/>
        </w:rPr>
      </w:pPr>
      <w:r>
        <w:rPr>
          <w:rStyle w:val="AERbody"/>
        </w:rPr>
        <w:t>In the absence of any new scheme, w</w:t>
      </w:r>
      <w:r w:rsidRPr="00162B0E">
        <w:rPr>
          <w:rStyle w:val="AERbody"/>
        </w:rPr>
        <w:t>e adopt the preliminary decision on</w:t>
      </w:r>
      <w:r>
        <w:rPr>
          <w:rStyle w:val="AERbody"/>
        </w:rPr>
        <w:t xml:space="preserve"> the</w:t>
      </w:r>
      <w:r w:rsidRPr="00162B0E">
        <w:rPr>
          <w:rStyle w:val="AERbody"/>
        </w:rPr>
        <w:t xml:space="preserve"> </w:t>
      </w:r>
      <w:r w:rsidR="008E3FD6">
        <w:rPr>
          <w:rStyle w:val="AERbody"/>
        </w:rPr>
        <w:t xml:space="preserve">f-factor scheme </w:t>
      </w:r>
      <w:r w:rsidR="008E3FD6" w:rsidRPr="00162B0E">
        <w:rPr>
          <w:rStyle w:val="AERbody"/>
        </w:rPr>
        <w:t xml:space="preserve">as the final decision for </w:t>
      </w:r>
      <w:r w:rsidR="008E3FD6" w:rsidRPr="008E3FD6">
        <w:t>AusNet Services</w:t>
      </w:r>
      <w:r>
        <w:t>.</w:t>
      </w:r>
      <w:r w:rsidR="008E3FD6" w:rsidRPr="00162B0E">
        <w:rPr>
          <w:rStyle w:val="AERbody"/>
        </w:rPr>
        <w:t xml:space="preserve"> </w:t>
      </w:r>
    </w:p>
    <w:p w:rsidR="00880DA7" w:rsidRDefault="00880DA7" w:rsidP="00880DA7">
      <w:pPr>
        <w:pStyle w:val="ListParagraph"/>
        <w:numPr>
          <w:ilvl w:val="0"/>
          <w:numId w:val="23"/>
        </w:numPr>
      </w:pPr>
      <w:r w:rsidRPr="00880DA7">
        <w:t xml:space="preserve">We approve AusNet Services' proposed f-factor scheme target </w:t>
      </w:r>
      <w:r w:rsidR="00AC5E81">
        <w:rPr>
          <w:rStyle w:val="AERbody"/>
        </w:rPr>
        <w:t>of</w:t>
      </w:r>
      <w:r w:rsidR="00AC5E81" w:rsidRPr="00880DA7">
        <w:rPr>
          <w:rStyle w:val="AERbody"/>
        </w:rPr>
        <w:t xml:space="preserve"> </w:t>
      </w:r>
      <w:r w:rsidRPr="00880DA7">
        <w:rPr>
          <w:rStyle w:val="AERbody"/>
        </w:rPr>
        <w:t>185.8 fires per year</w:t>
      </w:r>
      <w:r>
        <w:rPr>
          <w:rStyle w:val="AERbody"/>
        </w:rPr>
        <w:t xml:space="preserve"> </w:t>
      </w:r>
      <w:r w:rsidRPr="00880DA7">
        <w:rPr>
          <w:rStyle w:val="AERbody"/>
        </w:rPr>
        <w:t xml:space="preserve">based on the average of the past </w:t>
      </w:r>
      <w:r w:rsidR="00BB51C9">
        <w:rPr>
          <w:rStyle w:val="AERbody"/>
        </w:rPr>
        <w:t>five</w:t>
      </w:r>
      <w:r w:rsidR="00BB51C9" w:rsidRPr="00880DA7">
        <w:rPr>
          <w:rStyle w:val="AERbody"/>
        </w:rPr>
        <w:t xml:space="preserve"> </w:t>
      </w:r>
      <w:r w:rsidRPr="00880DA7">
        <w:rPr>
          <w:rStyle w:val="AERbody"/>
        </w:rPr>
        <w:t>regulatory years</w:t>
      </w:r>
      <w:r w:rsidRPr="00880DA7">
        <w:t>.</w:t>
      </w:r>
      <w:r w:rsidRPr="00880DA7">
        <w:rPr>
          <w:rStyle w:val="FootnoteReference"/>
        </w:rPr>
        <w:footnoteReference w:id="6"/>
      </w:r>
    </w:p>
    <w:p w:rsidR="00132D43" w:rsidRDefault="00DB4E34" w:rsidP="00132D43">
      <w:pPr>
        <w:pStyle w:val="Heading2"/>
      </w:pPr>
      <w:bookmarkStart w:id="73" w:name="_Toc451524765"/>
      <w:r>
        <w:t>AusNet Services</w:t>
      </w:r>
      <w:r w:rsidR="004523B2">
        <w:t>'</w:t>
      </w:r>
      <w:r w:rsidR="00132D43">
        <w:t xml:space="preserve"> </w:t>
      </w:r>
      <w:r w:rsidR="000F0F0A">
        <w:t xml:space="preserve">revised </w:t>
      </w:r>
      <w:r w:rsidR="00132D43">
        <w:t>proposal</w:t>
      </w:r>
      <w:bookmarkEnd w:id="73"/>
    </w:p>
    <w:p w:rsidR="008E3FD6" w:rsidRPr="00CF200B" w:rsidRDefault="008E3FD6" w:rsidP="008E3FD6">
      <w:r w:rsidRPr="008E3FD6">
        <w:t>AusNet Services</w:t>
      </w:r>
      <w:r>
        <w:t xml:space="preserve"> accepted</w:t>
      </w:r>
      <w:r w:rsidRPr="00DD0E09">
        <w:t xml:space="preserve"> our preliminary decision</w:t>
      </w:r>
      <w:r>
        <w:t xml:space="preserve"> on the </w:t>
      </w:r>
      <w:r>
        <w:rPr>
          <w:rStyle w:val="AERbody"/>
        </w:rPr>
        <w:t>f-factor scheme</w:t>
      </w:r>
      <w:r>
        <w:t>.</w:t>
      </w:r>
      <w:r>
        <w:rPr>
          <w:rStyle w:val="FootnoteReference"/>
        </w:rPr>
        <w:footnoteReference w:id="7"/>
      </w:r>
      <w:r w:rsidRPr="00DD0E09">
        <w:t xml:space="preserve"> </w:t>
      </w:r>
    </w:p>
    <w:p w:rsidR="00132D43" w:rsidRDefault="00132D43" w:rsidP="00132D43">
      <w:pPr>
        <w:pStyle w:val="Heading2"/>
      </w:pPr>
      <w:bookmarkStart w:id="74" w:name="_Toc451524766"/>
      <w:r>
        <w:t>Assessment approach</w:t>
      </w:r>
      <w:bookmarkEnd w:id="74"/>
    </w:p>
    <w:p w:rsidR="00A500F7" w:rsidRDefault="00A500F7" w:rsidP="00A500F7">
      <w:r>
        <w:t>Consistent with o</w:t>
      </w:r>
      <w:r w:rsidRPr="00277FF4">
        <w:t xml:space="preserve">ur approach </w:t>
      </w:r>
      <w:r w:rsidR="00AC5E81">
        <w:t>to</w:t>
      </w:r>
      <w:r w:rsidR="00AC5E81" w:rsidRPr="00277FF4">
        <w:t xml:space="preserve"> </w:t>
      </w:r>
      <w:r w:rsidRPr="00277FF4">
        <w:t>assessing</w:t>
      </w:r>
      <w:r>
        <w:t xml:space="preserve"> </w:t>
      </w:r>
      <w:r w:rsidRPr="008E3FD6">
        <w:t>AusNet Services</w:t>
      </w:r>
      <w:r>
        <w:t>'</w:t>
      </w:r>
      <w:r w:rsidRPr="00277FF4">
        <w:t xml:space="preserve"> </w:t>
      </w:r>
      <w:r>
        <w:rPr>
          <w:rStyle w:val="AERbody"/>
        </w:rPr>
        <w:t xml:space="preserve">f-factor scheme </w:t>
      </w:r>
      <w:r>
        <w:t>in the preliminary decision, we</w:t>
      </w:r>
      <w:r w:rsidRPr="00A43041">
        <w:t xml:space="preserve"> examined the proposed </w:t>
      </w:r>
      <w:r>
        <w:t>f-factor scheme</w:t>
      </w:r>
      <w:r w:rsidRPr="00A43041">
        <w:t xml:space="preserve"> against the requirements of </w:t>
      </w:r>
      <w:r w:rsidR="00AC5E81">
        <w:t xml:space="preserve">the </w:t>
      </w:r>
      <w:r>
        <w:t xml:space="preserve">F&amp;A </w:t>
      </w:r>
      <w:r w:rsidRPr="00A43041">
        <w:t>as stated above––whether it:</w:t>
      </w:r>
    </w:p>
    <w:p w:rsidR="00A500F7" w:rsidRDefault="00A500F7" w:rsidP="00A500F7">
      <w:pPr>
        <w:pStyle w:val="AERbulletlistfirststyle"/>
      </w:pPr>
      <w:r>
        <w:t>s</w:t>
      </w:r>
      <w:r w:rsidRPr="00226CB2">
        <w:t>et</w:t>
      </w:r>
      <w:r w:rsidR="00BB51C9">
        <w:t>s</w:t>
      </w:r>
      <w:r w:rsidRPr="00226CB2">
        <w:t xml:space="preserve"> the target based on a </w:t>
      </w:r>
      <w:r w:rsidR="00DD20CC">
        <w:t>five</w:t>
      </w:r>
      <w:r w:rsidR="00DD20CC" w:rsidRPr="00226CB2">
        <w:t xml:space="preserve"> </w:t>
      </w:r>
      <w:r w:rsidRPr="00226CB2">
        <w:t>year historical average</w:t>
      </w:r>
    </w:p>
    <w:p w:rsidR="00A500F7" w:rsidRDefault="00A500F7" w:rsidP="00A500F7">
      <w:pPr>
        <w:pStyle w:val="AERbulletlistfirststyle"/>
      </w:pPr>
      <w:r w:rsidRPr="00226CB2">
        <w:t>maintain</w:t>
      </w:r>
      <w:r w:rsidR="00BB51C9">
        <w:t>s</w:t>
      </w:r>
      <w:r w:rsidRPr="00226CB2">
        <w:t xml:space="preserve"> the incent</w:t>
      </w:r>
      <w:r>
        <w:t>ive rate of $25,000 per fire start.</w:t>
      </w:r>
    </w:p>
    <w:p w:rsidR="00637E9B" w:rsidRDefault="00637E9B" w:rsidP="00637E9B">
      <w:pPr>
        <w:pStyle w:val="Heading2"/>
      </w:pPr>
      <w:bookmarkStart w:id="75" w:name="_Toc451524767"/>
      <w:r>
        <w:t>Submissions</w:t>
      </w:r>
      <w:bookmarkEnd w:id="75"/>
    </w:p>
    <w:p w:rsidR="00637E9B" w:rsidRPr="00AC6423" w:rsidRDefault="00637E9B" w:rsidP="00637E9B">
      <w:r>
        <w:t xml:space="preserve">We have not received any submissions on the f-factor scheme. </w:t>
      </w:r>
    </w:p>
    <w:p w:rsidR="00132D43" w:rsidRDefault="00132D43" w:rsidP="00132D43">
      <w:pPr>
        <w:pStyle w:val="Heading2"/>
      </w:pPr>
      <w:bookmarkStart w:id="76" w:name="_Toc451524768"/>
      <w:r>
        <w:t xml:space="preserve">Reasons for </w:t>
      </w:r>
      <w:r w:rsidR="00DB4E34">
        <w:t>final</w:t>
      </w:r>
      <w:r>
        <w:t xml:space="preserve"> decision</w:t>
      </w:r>
      <w:bookmarkEnd w:id="76"/>
    </w:p>
    <w:p w:rsidR="00A500F7" w:rsidRDefault="00A500F7" w:rsidP="00A500F7">
      <w:pPr>
        <w:pStyle w:val="ListParagraph"/>
        <w:numPr>
          <w:ilvl w:val="0"/>
          <w:numId w:val="24"/>
        </w:numPr>
      </w:pPr>
      <w:r w:rsidRPr="008E3FD6">
        <w:t>AusNet Services</w:t>
      </w:r>
      <w:r>
        <w:t xml:space="preserve"> has </w:t>
      </w:r>
      <w:r w:rsidRPr="00361D17">
        <w:t xml:space="preserve">accepted our preliminary decision on the </w:t>
      </w:r>
      <w:r>
        <w:rPr>
          <w:rStyle w:val="AERbody"/>
        </w:rPr>
        <w:t>f-factor scheme</w:t>
      </w:r>
      <w:r w:rsidRPr="00361D17">
        <w:t>.</w:t>
      </w:r>
      <w:r>
        <w:t xml:space="preserve"> Therefore, we </w:t>
      </w:r>
      <w:r w:rsidRPr="00162B0E">
        <w:rPr>
          <w:rStyle w:val="AERbody"/>
        </w:rPr>
        <w:t>adopt the preliminary decision on</w:t>
      </w:r>
      <w:r w:rsidR="00BB51C9">
        <w:rPr>
          <w:rStyle w:val="AERbody"/>
        </w:rPr>
        <w:t xml:space="preserve"> the</w:t>
      </w:r>
      <w:r w:rsidRPr="00162B0E">
        <w:rPr>
          <w:rStyle w:val="AERbody"/>
        </w:rPr>
        <w:t xml:space="preserve"> </w:t>
      </w:r>
      <w:r>
        <w:rPr>
          <w:rStyle w:val="AERbody"/>
        </w:rPr>
        <w:t>f-factor scheme</w:t>
      </w:r>
      <w:r w:rsidRPr="00162B0E">
        <w:rPr>
          <w:rStyle w:val="AERbody"/>
        </w:rPr>
        <w:t xml:space="preserve"> as the final decision for </w:t>
      </w:r>
      <w:r w:rsidRPr="008E3FD6">
        <w:t>AusNet Services</w:t>
      </w:r>
      <w:r>
        <w:t>.</w:t>
      </w:r>
    </w:p>
    <w:p w:rsidR="00132D43" w:rsidRDefault="00132D43" w:rsidP="00C63FC1">
      <w:pPr>
        <w:numPr>
          <w:ilvl w:val="0"/>
          <w:numId w:val="24"/>
        </w:numPr>
        <w:tabs>
          <w:tab w:val="left" w:pos="340"/>
        </w:tabs>
        <w:spacing w:before="120"/>
      </w:pPr>
    </w:p>
    <w:sectPr w:rsidR="00132D43" w:rsidSect="00CF42AA">
      <w:headerReference w:type="default" r:id="rId15"/>
      <w:footerReference w:type="even" r:id="rId16"/>
      <w:footerReference w:type="first" r:id="rId17"/>
      <w:pgSz w:w="11906" w:h="16838" w:code="9"/>
      <w:pgMar w:top="1440" w:right="1700" w:bottom="1582" w:left="1729" w:header="720" w:footer="0" w:gutter="0"/>
      <w:pgNumType w:chapStyle="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74DF" w:rsidRPr="00290C63" w:rsidRDefault="000474DF" w:rsidP="00290C63">
      <w:r>
        <w:separator/>
      </w:r>
    </w:p>
    <w:p w:rsidR="000474DF" w:rsidRDefault="000474DF"/>
  </w:endnote>
  <w:endnote w:type="continuationSeparator" w:id="0">
    <w:p w:rsidR="000474DF" w:rsidRPr="00290C63" w:rsidRDefault="000474DF" w:rsidP="00290C63">
      <w:r>
        <w:continuationSeparator/>
      </w:r>
    </w:p>
    <w:p w:rsidR="000474DF" w:rsidRDefault="000474D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SimHei">
    <w:altName w:val="黑体"/>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Gautami">
    <w:panose1 w:val="020B0502040204020203"/>
    <w:charset w:val="00"/>
    <w:family w:val="swiss"/>
    <w:pitch w:val="variable"/>
    <w:sig w:usb0="002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74DF" w:rsidRPr="00290C63" w:rsidRDefault="000474DF" w:rsidP="00290C63">
    <w:pPr>
      <w:rPr>
        <w:rStyle w:val="PageNumber"/>
      </w:rPr>
    </w:pPr>
    <w:r w:rsidRPr="00290C63">
      <w:rPr>
        <w:rStyle w:val="PageNumber"/>
      </w:rPr>
      <w:fldChar w:fldCharType="begin"/>
    </w:r>
    <w:r w:rsidRPr="00290C63">
      <w:rPr>
        <w:rStyle w:val="PageNumber"/>
      </w:rPr>
      <w:instrText xml:space="preserve"> PAGE   \* MERGEFORMAT </w:instrText>
    </w:r>
    <w:r w:rsidRPr="00290C63">
      <w:rPr>
        <w:rStyle w:val="PageNumber"/>
      </w:rPr>
      <w:fldChar w:fldCharType="separate"/>
    </w:r>
    <w:r w:rsidRPr="00290C63">
      <w:rPr>
        <w:rStyle w:val="PageNumber"/>
      </w:rPr>
      <w:t>2</w:t>
    </w:r>
    <w:r w:rsidRPr="00290C63">
      <w:rPr>
        <w:rStyle w:val="PageNumber"/>
      </w:rPr>
      <w:fldChar w:fldCharType="end"/>
    </w:r>
    <w:r w:rsidRPr="00290C63">
      <w:rPr>
        <w:rStyle w:val="PageNumber"/>
      </w:rPr>
      <w:tab/>
      <w:t>Xxx report—month/year</w:t>
    </w:r>
  </w:p>
  <w:p w:rsidR="000474DF" w:rsidRDefault="000474DF"/>
  <w:p w:rsidR="000474DF" w:rsidRDefault="000474DF"/>
  <w:p w:rsidR="000474DF" w:rsidRDefault="000474DF"/>
  <w:p w:rsidR="000474DF" w:rsidRDefault="000474DF"/>
  <w:p w:rsidR="000474DF" w:rsidRDefault="000474DF"/>
  <w:p w:rsidR="000474DF" w:rsidRDefault="000474DF"/>
  <w:p w:rsidR="000474DF" w:rsidRDefault="000474DF"/>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4299774"/>
      <w:docPartObj>
        <w:docPartGallery w:val="Page Numbers (Bottom of Page)"/>
        <w:docPartUnique/>
      </w:docPartObj>
    </w:sdtPr>
    <w:sdtEndPr>
      <w:rPr>
        <w:noProof/>
        <w:szCs w:val="16"/>
      </w:rPr>
    </w:sdtEndPr>
    <w:sdtContent>
      <w:p w:rsidR="000474DF" w:rsidRPr="009B6F84" w:rsidRDefault="000474DF">
        <w:pPr>
          <w:pStyle w:val="Footer"/>
          <w:rPr>
            <w:sz w:val="20"/>
          </w:rPr>
        </w:pPr>
        <w:r>
          <w:fldChar w:fldCharType="begin"/>
        </w:r>
        <w:r>
          <w:instrText xml:space="preserve"> PAGE   \* MERGEFORMAT </w:instrText>
        </w:r>
        <w:r>
          <w:fldChar w:fldCharType="separate"/>
        </w:r>
        <w:r w:rsidR="000568A9">
          <w:rPr>
            <w:noProof/>
          </w:rPr>
          <w:t>18-0</w:t>
        </w:r>
        <w:r>
          <w:rPr>
            <w:noProof/>
          </w:rPr>
          <w:fldChar w:fldCharType="end"/>
        </w:r>
        <w:r w:rsidR="004B6269">
          <w:rPr>
            <w:noProof/>
          </w:rPr>
          <w:t xml:space="preserve">  </w:t>
        </w:r>
        <w:r w:rsidR="0079769A">
          <w:t xml:space="preserve">Attachment </w:t>
        </w:r>
        <w:r w:rsidR="00DB4E34">
          <w:t>18</w:t>
        </w:r>
        <w:r w:rsidR="0087718C">
          <w:t xml:space="preserve"> </w:t>
        </w:r>
        <w:r w:rsidR="0079769A">
          <w:t xml:space="preserve">– </w:t>
        </w:r>
        <w:r w:rsidR="00DB4E34">
          <w:t>f-factor scheme</w:t>
        </w:r>
        <w:r w:rsidR="0079769A" w:rsidRPr="004523B2">
          <w:t xml:space="preserve">| </w:t>
        </w:r>
        <w:r w:rsidR="00DB4E34">
          <w:t>AusNet Services</w:t>
        </w:r>
        <w:r w:rsidR="0079769A">
          <w:t xml:space="preserve"> </w:t>
        </w:r>
        <w:r w:rsidR="00DB4E34">
          <w:t>distribution determination final decision</w:t>
        </w:r>
        <w:r w:rsidR="0079769A" w:rsidRPr="004523B2">
          <w:t xml:space="preserve"> </w:t>
        </w:r>
        <w:r w:rsidR="00042656">
          <w:t>2016</w:t>
        </w:r>
        <w:r w:rsidR="0079769A" w:rsidRPr="004523B2">
          <w:t>–</w:t>
        </w:r>
        <w:r w:rsidR="00042656">
          <w:t>20</w:t>
        </w:r>
      </w:p>
    </w:sdtContent>
  </w:sdt>
  <w:p w:rsidR="000474DF" w:rsidRDefault="000474D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74DF" w:rsidRPr="00290C63" w:rsidRDefault="000474DF" w:rsidP="00290C63">
    <w:pPr>
      <w:pStyle w:val="Footer"/>
    </w:pPr>
    <w:r>
      <w:t>Name of Report</w:t>
    </w:r>
    <w:r>
      <w:tab/>
    </w:r>
    <w:r>
      <w:tab/>
    </w:r>
    <w:r w:rsidRPr="00290C63">
      <w:fldChar w:fldCharType="begin"/>
    </w:r>
    <w:r w:rsidRPr="00290C63">
      <w:instrText xml:space="preserve"> PAGE   \* MERGEFORMAT </w:instrText>
    </w:r>
    <w:r w:rsidRPr="00290C63">
      <w:fldChar w:fldCharType="separate"/>
    </w:r>
    <w:r w:rsidRPr="00290C63">
      <w:t>1</w:t>
    </w:r>
    <w:r w:rsidRPr="00290C63">
      <w:fldChar w:fldCharType="end"/>
    </w:r>
  </w:p>
  <w:p w:rsidR="000474DF" w:rsidRDefault="000474DF">
    <w:pPr>
      <w:pStyle w:val="Footer"/>
    </w:pPr>
  </w:p>
  <w:p w:rsidR="000474DF" w:rsidRDefault="000474DF"/>
  <w:p w:rsidR="000474DF" w:rsidRDefault="000474DF"/>
  <w:p w:rsidR="000474DF" w:rsidRDefault="000474DF"/>
  <w:p w:rsidR="000474DF" w:rsidRDefault="000474DF"/>
  <w:p w:rsidR="000474DF" w:rsidRDefault="000474DF"/>
  <w:p w:rsidR="000474DF" w:rsidRDefault="000474DF"/>
  <w:p w:rsidR="000474DF" w:rsidRDefault="000474DF"/>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74DF" w:rsidRPr="00290C63" w:rsidRDefault="000474DF" w:rsidP="00290C63">
    <w:pPr>
      <w:rPr>
        <w:rStyle w:val="PageNumber"/>
      </w:rPr>
    </w:pPr>
    <w:r w:rsidRPr="00290C63">
      <w:rPr>
        <w:rStyle w:val="PageNumber"/>
      </w:rPr>
      <w:fldChar w:fldCharType="begin"/>
    </w:r>
    <w:r w:rsidRPr="00290C63">
      <w:rPr>
        <w:rStyle w:val="PageNumber"/>
      </w:rPr>
      <w:instrText xml:space="preserve"> PAGE   \* MERGEFORMAT </w:instrText>
    </w:r>
    <w:r w:rsidRPr="00290C63">
      <w:rPr>
        <w:rStyle w:val="PageNumber"/>
      </w:rPr>
      <w:fldChar w:fldCharType="separate"/>
    </w:r>
    <w:r w:rsidRPr="00290C63">
      <w:rPr>
        <w:rStyle w:val="PageNumber"/>
      </w:rPr>
      <w:t>2</w:t>
    </w:r>
    <w:r w:rsidRPr="00290C63">
      <w:rPr>
        <w:rStyle w:val="PageNumber"/>
      </w:rPr>
      <w:fldChar w:fldCharType="end"/>
    </w:r>
    <w:r w:rsidRPr="00290C63">
      <w:rPr>
        <w:rStyle w:val="PageNumber"/>
      </w:rPr>
      <w:tab/>
      <w:t>Xxx report—month/year</w:t>
    </w:r>
  </w:p>
  <w:p w:rsidR="000474DF" w:rsidRDefault="000474DF"/>
  <w:p w:rsidR="000474DF" w:rsidRDefault="000474DF"/>
  <w:p w:rsidR="000474DF" w:rsidRDefault="000474DF"/>
  <w:p w:rsidR="000474DF" w:rsidRDefault="000474DF"/>
  <w:p w:rsidR="000474DF" w:rsidRDefault="000474DF"/>
  <w:p w:rsidR="000474DF" w:rsidRDefault="000474DF"/>
  <w:p w:rsidR="000474DF" w:rsidRDefault="000474DF"/>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74DF" w:rsidRPr="00290C63" w:rsidRDefault="000474DF" w:rsidP="00290C63">
    <w:pPr>
      <w:pStyle w:val="Footer"/>
    </w:pPr>
    <w:r>
      <w:t>Name of Report</w:t>
    </w:r>
    <w:r>
      <w:tab/>
    </w:r>
    <w:r>
      <w:tab/>
    </w:r>
    <w:r w:rsidRPr="00290C63">
      <w:fldChar w:fldCharType="begin"/>
    </w:r>
    <w:r w:rsidRPr="00290C63">
      <w:instrText xml:space="preserve"> PAGE   \* MERGEFORMAT </w:instrText>
    </w:r>
    <w:r w:rsidRPr="00290C63">
      <w:fldChar w:fldCharType="separate"/>
    </w:r>
    <w:r w:rsidRPr="00290C63">
      <w:t>1</w:t>
    </w:r>
    <w:r w:rsidRPr="00290C63">
      <w:fldChar w:fldCharType="end"/>
    </w:r>
  </w:p>
  <w:p w:rsidR="000474DF" w:rsidRDefault="000474DF">
    <w:pPr>
      <w:pStyle w:val="Footer"/>
    </w:pPr>
  </w:p>
  <w:p w:rsidR="000474DF" w:rsidRDefault="000474DF"/>
  <w:p w:rsidR="000474DF" w:rsidRDefault="000474DF"/>
  <w:p w:rsidR="000474DF" w:rsidRDefault="000474DF"/>
  <w:p w:rsidR="000474DF" w:rsidRDefault="000474DF"/>
  <w:p w:rsidR="000474DF" w:rsidRDefault="000474DF"/>
  <w:p w:rsidR="000474DF" w:rsidRDefault="000474DF"/>
  <w:p w:rsidR="000474DF" w:rsidRDefault="000474DF"/>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74DF" w:rsidRPr="00290C63" w:rsidRDefault="000474DF" w:rsidP="00290C63">
      <w:r>
        <w:separator/>
      </w:r>
    </w:p>
    <w:p w:rsidR="000474DF" w:rsidRDefault="000474DF"/>
  </w:footnote>
  <w:footnote w:type="continuationSeparator" w:id="0">
    <w:p w:rsidR="000474DF" w:rsidRPr="00290C63" w:rsidRDefault="000474DF" w:rsidP="00290C63">
      <w:r>
        <w:continuationSeparator/>
      </w:r>
    </w:p>
    <w:p w:rsidR="000474DF" w:rsidRDefault="000474DF"/>
  </w:footnote>
  <w:footnote w:id="1">
    <w:p w:rsidR="00E97165" w:rsidRDefault="00E97165" w:rsidP="00E97165">
      <w:pPr>
        <w:pStyle w:val="FootnoteText"/>
      </w:pPr>
      <w:r>
        <w:rPr>
          <w:rStyle w:val="FootnoteReference"/>
        </w:rPr>
        <w:footnoteRef/>
      </w:r>
      <w:r>
        <w:t xml:space="preserve"> </w:t>
      </w:r>
      <w:r>
        <w:tab/>
      </w:r>
      <w:r w:rsidRPr="00C63FC1">
        <w:rPr>
          <w:rStyle w:val="AERtextitalic"/>
        </w:rPr>
        <w:t>National Electricity (Victoria) Act 2005</w:t>
      </w:r>
      <w:r>
        <w:t>, s.16C.</w:t>
      </w:r>
    </w:p>
  </w:footnote>
  <w:footnote w:id="2">
    <w:p w:rsidR="00A66FEE" w:rsidRDefault="00A66FEE" w:rsidP="00A66FEE">
      <w:pPr>
        <w:pStyle w:val="FootnoteText"/>
      </w:pPr>
      <w:r>
        <w:rPr>
          <w:rStyle w:val="FootnoteReference"/>
        </w:rPr>
        <w:footnoteRef/>
      </w:r>
      <w:r>
        <w:t xml:space="preserve"> </w:t>
      </w:r>
      <w:r>
        <w:tab/>
      </w:r>
      <w:r w:rsidRPr="00C63FC1">
        <w:rPr>
          <w:rStyle w:val="AERtextitalic"/>
        </w:rPr>
        <w:t>Energy and Resources Legislation Amendment Bill 2010</w:t>
      </w:r>
      <w:r>
        <w:t>, Explanatory Memorandum, p. 10.</w:t>
      </w:r>
    </w:p>
  </w:footnote>
  <w:footnote w:id="3">
    <w:p w:rsidR="00E97165" w:rsidRDefault="00E97165" w:rsidP="00E97165">
      <w:pPr>
        <w:pStyle w:val="FootnoteText"/>
      </w:pPr>
      <w:r>
        <w:rPr>
          <w:rStyle w:val="FootnoteReference"/>
        </w:rPr>
        <w:footnoteRef/>
      </w:r>
      <w:r>
        <w:t xml:space="preserve"> </w:t>
      </w:r>
      <w:r>
        <w:tab/>
        <w:t xml:space="preserve">Department of State Development Business and Innovation, </w:t>
      </w:r>
      <w:r w:rsidRPr="00C63FC1">
        <w:rPr>
          <w:rStyle w:val="AERtextitalic"/>
        </w:rPr>
        <w:t>Submission: Preliminary positions on replacement framework and approach (for consultation)</w:t>
      </w:r>
      <w:r>
        <w:t>, 30 August 2014, p. 8.</w:t>
      </w:r>
    </w:p>
  </w:footnote>
  <w:footnote w:id="4">
    <w:p w:rsidR="00E97165" w:rsidRDefault="00E97165" w:rsidP="00E97165">
      <w:pPr>
        <w:pStyle w:val="FootnoteText"/>
      </w:pPr>
      <w:r>
        <w:rPr>
          <w:rStyle w:val="FootnoteReference"/>
        </w:rPr>
        <w:footnoteRef/>
      </w:r>
      <w:r>
        <w:t xml:space="preserve"> </w:t>
      </w:r>
      <w:r>
        <w:tab/>
        <w:t xml:space="preserve">AER, </w:t>
      </w:r>
      <w:r w:rsidRPr="00051700">
        <w:rPr>
          <w:rStyle w:val="Emphasis"/>
        </w:rPr>
        <w:t>Final Framework and approach for the Victorian Electricity Distributors</w:t>
      </w:r>
      <w:r>
        <w:t>, October 2014, p. 127.</w:t>
      </w:r>
    </w:p>
  </w:footnote>
  <w:footnote w:id="5">
    <w:p w:rsidR="00E97165" w:rsidRDefault="00E97165" w:rsidP="00E97165">
      <w:pPr>
        <w:pStyle w:val="FootnoteText"/>
      </w:pPr>
      <w:r>
        <w:rPr>
          <w:rStyle w:val="FootnoteReference"/>
        </w:rPr>
        <w:footnoteRef/>
      </w:r>
      <w:r>
        <w:t xml:space="preserve"> </w:t>
      </w:r>
      <w:r>
        <w:tab/>
        <w:t xml:space="preserve">AER, </w:t>
      </w:r>
      <w:r w:rsidRPr="00051700">
        <w:rPr>
          <w:rStyle w:val="Emphasis"/>
        </w:rPr>
        <w:t>Final Framework and approach for the Victorian Electricity Distributors</w:t>
      </w:r>
      <w:r>
        <w:t>, October 2014, p. 87.</w:t>
      </w:r>
    </w:p>
  </w:footnote>
  <w:footnote w:id="6">
    <w:p w:rsidR="00880DA7" w:rsidRDefault="00880DA7" w:rsidP="00880DA7">
      <w:pPr>
        <w:pStyle w:val="FootnoteText"/>
      </w:pPr>
      <w:r>
        <w:rPr>
          <w:rStyle w:val="FootnoteReference"/>
        </w:rPr>
        <w:footnoteRef/>
      </w:r>
      <w:r>
        <w:t xml:space="preserve"> </w:t>
      </w:r>
      <w:r>
        <w:tab/>
        <w:t xml:space="preserve">Calculation was based on the fire starts data for 2010, 2012–2014 from the </w:t>
      </w:r>
      <w:r w:rsidRPr="005F75B6">
        <w:t>f-factor</w:t>
      </w:r>
      <w:r>
        <w:t xml:space="preserve"> RIN and 2011 fire starts data provided by AusNet Services on 13 October 2015 in response to AER's information request (</w:t>
      </w:r>
      <w:r w:rsidRPr="00995644">
        <w:t>AusNet - IR#027</w:t>
      </w:r>
      <w:r>
        <w:t>).</w:t>
      </w:r>
    </w:p>
  </w:footnote>
  <w:footnote w:id="7">
    <w:p w:rsidR="008E3FD6" w:rsidRDefault="008E3FD6" w:rsidP="008E3FD6">
      <w:pPr>
        <w:pStyle w:val="FootnoteText"/>
      </w:pPr>
      <w:r>
        <w:rPr>
          <w:rStyle w:val="FootnoteReference"/>
        </w:rPr>
        <w:footnoteRef/>
      </w:r>
      <w:r>
        <w:t xml:space="preserve"> </w:t>
      </w:r>
      <w:r>
        <w:tab/>
      </w:r>
      <w:r w:rsidRPr="008E3FD6">
        <w:t>AusNet Services</w:t>
      </w:r>
      <w:r>
        <w:t xml:space="preserve">, </w:t>
      </w:r>
      <w:r w:rsidRPr="007F6DBB">
        <w:rPr>
          <w:rStyle w:val="AERtextitalic"/>
        </w:rPr>
        <w:t>Revised regulatory proposal</w:t>
      </w:r>
      <w:r w:rsidR="00BD1B7D">
        <w:t>, January 2016, p. 5</w:t>
      </w:r>
      <w:r w:rsidR="00A128F1">
        <w:t>-</w:t>
      </w:r>
      <w:r w:rsidR="00BD1B7D">
        <w:t>11</w:t>
      </w:r>
      <w: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74DF" w:rsidRDefault="000474D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C6AE9A80"/>
    <w:lvl w:ilvl="0">
      <w:start w:val="1"/>
      <w:numFmt w:val="upperLetter"/>
      <w:pStyle w:val="ListBullet3"/>
      <w:lvlText w:val="(%1)"/>
      <w:lvlJc w:val="left"/>
      <w:pPr>
        <w:ind w:left="720" w:hanging="360"/>
      </w:pPr>
      <w:rPr>
        <w:rFonts w:hint="default"/>
      </w:rPr>
    </w:lvl>
  </w:abstractNum>
  <w:abstractNum w:abstractNumId="7">
    <w:nsid w:val="FFFFFF83"/>
    <w:multiLevelType w:val="singleLevel"/>
    <w:tmpl w:val="72802F94"/>
    <w:lvl w:ilvl="0">
      <w:start w:val="1"/>
      <w:numFmt w:val="lowerLetter"/>
      <w:pStyle w:val="ListBullet2"/>
      <w:lvlText w:val="(%1)"/>
      <w:lvlJc w:val="left"/>
      <w:pPr>
        <w:ind w:left="700" w:hanging="360"/>
      </w:pPr>
      <w:rPr>
        <w:rFonts w:hint="default"/>
      </w:rPr>
    </w:lvl>
  </w:abstractNum>
  <w:abstractNum w:abstractNumId="8">
    <w:nsid w:val="FFFFFF88"/>
    <w:multiLevelType w:val="singleLevel"/>
    <w:tmpl w:val="F0E083E8"/>
    <w:lvl w:ilvl="0">
      <w:start w:val="1"/>
      <w:numFmt w:val="decimal"/>
      <w:pStyle w:val="ListNumber"/>
      <w:lvlText w:val="%1."/>
      <w:lvlJc w:val="left"/>
      <w:pPr>
        <w:tabs>
          <w:tab w:val="num" w:pos="360"/>
        </w:tabs>
        <w:ind w:left="360" w:hanging="360"/>
      </w:pPr>
    </w:lvl>
  </w:abstractNum>
  <w:abstractNum w:abstractNumId="9">
    <w:nsid w:val="031C7FA6"/>
    <w:multiLevelType w:val="hybridMultilevel"/>
    <w:tmpl w:val="1A7E9E04"/>
    <w:lvl w:ilvl="0" w:tplc="A356B254">
      <w:start w:val="1"/>
      <w:numFmt w:val="bullet"/>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0">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1">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3">
    <w:nsid w:val="19B737F8"/>
    <w:multiLevelType w:val="multilevel"/>
    <w:tmpl w:val="6FB04ABA"/>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4418" w:hanging="1440"/>
      </w:pPr>
      <w:rPr>
        <w:rFonts w:hint="default"/>
      </w:rPr>
    </w:lvl>
    <w:lvl w:ilvl="8">
      <w:start w:val="1"/>
      <w:numFmt w:val="decimal"/>
      <w:lvlText w:val="%1.%2.%3.%4.%5.%6.%7.%8.%9"/>
      <w:lvlJc w:val="left"/>
      <w:pPr>
        <w:ind w:left="1584" w:hanging="1584"/>
      </w:pPr>
      <w:rPr>
        <w:rFonts w:hint="default"/>
      </w:rPr>
    </w:lvl>
  </w:abstractNum>
  <w:abstractNum w:abstractNumId="14">
    <w:nsid w:val="1CF519CE"/>
    <w:multiLevelType w:val="multilevel"/>
    <w:tmpl w:val="FDC07CAE"/>
    <w:lvl w:ilvl="0">
      <w:start w:val="1"/>
      <w:numFmt w:val="decimal"/>
      <w:pStyle w:val="Numbered1111111"/>
      <w:lvlText w:val="%1."/>
      <w:lvlJc w:val="left"/>
      <w:pPr>
        <w:ind w:left="360" w:hanging="360"/>
      </w:pPr>
    </w:lvl>
    <w:lvl w:ilvl="1">
      <w:start w:val="1"/>
      <w:numFmt w:val="decimal"/>
      <w:pStyle w:val="Numberedparagraph11"/>
      <w:lvlText w:val="%1.%2."/>
      <w:lvlJc w:val="left"/>
      <w:pPr>
        <w:ind w:left="792" w:hanging="432"/>
      </w:pPr>
    </w:lvl>
    <w:lvl w:ilvl="2">
      <w:start w:val="1"/>
      <w:numFmt w:val="decimal"/>
      <w:pStyle w:val="Numbered111111111"/>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pStyle w:val="Numbered1111111"/>
      <w:lvlText w:val="%1.%2.%3.%4.%5.%6.%7."/>
      <w:lvlJc w:val="left"/>
      <w:pPr>
        <w:ind w:left="3240" w:hanging="1080"/>
      </w:pPr>
    </w:lvl>
    <w:lvl w:ilvl="7">
      <w:start w:val="1"/>
      <w:numFmt w:val="decimal"/>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5">
    <w:nsid w:val="26AA0DA7"/>
    <w:multiLevelType w:val="multilevel"/>
    <w:tmpl w:val="F49485A8"/>
    <w:lvl w:ilvl="0">
      <w:start w:val="1"/>
      <w:numFmt w:val="upperLetter"/>
      <w:pStyle w:val="Heading7"/>
      <w:lvlText w:val="%1"/>
      <w:lvlJc w:val="left"/>
      <w:pPr>
        <w:ind w:left="340" w:hanging="340"/>
      </w:pPr>
      <w:rPr>
        <w:rFonts w:hint="default"/>
      </w:rPr>
    </w:lvl>
    <w:lvl w:ilvl="1">
      <w:start w:val="1"/>
      <w:numFmt w:val="decimal"/>
      <w:lvlRestart w:val="0"/>
      <w:pStyle w:val="Heading8"/>
      <w:lvlText w:val="%1.%2"/>
      <w:lvlJc w:val="left"/>
      <w:pPr>
        <w:tabs>
          <w:tab w:val="num" w:pos="1021"/>
        </w:tabs>
        <w:ind w:left="1021" w:hanging="1021"/>
      </w:pPr>
      <w:rPr>
        <w:rFonts w:hint="default"/>
      </w:rPr>
    </w:lvl>
    <w:lvl w:ilvl="2">
      <w:start w:val="1"/>
      <w:numFmt w:val="decimal"/>
      <w:pStyle w:val="Heading9"/>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6">
    <w:nsid w:val="28865DF8"/>
    <w:multiLevelType w:val="hybridMultilevel"/>
    <w:tmpl w:val="EC0E5568"/>
    <w:lvl w:ilvl="0" w:tplc="D90E7D7A">
      <w:start w:val="1"/>
      <w:numFmt w:val="lowerLetter"/>
      <w:pStyle w:val="AERnumberedlistsecondstyle"/>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7">
    <w:nsid w:val="2FB612CC"/>
    <w:multiLevelType w:val="multilevel"/>
    <w:tmpl w:val="950A1C52"/>
    <w:styleLink w:val="AERHeadings"/>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18">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nsid w:val="3923347D"/>
    <w:multiLevelType w:val="hybridMultilevel"/>
    <w:tmpl w:val="8E96A9EE"/>
    <w:lvl w:ilvl="0" w:tplc="5E568C86">
      <w:start w:val="1"/>
      <w:numFmt w:val="decimal"/>
      <w:pStyle w:val="ListBullet"/>
      <w:lvlText w:val="(%1)"/>
      <w:lvlJc w:val="left"/>
      <w:pPr>
        <w:ind w:left="360" w:hanging="360"/>
      </w:pPr>
      <w:rPr>
        <w:rFonts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3AF336BC"/>
    <w:multiLevelType w:val="hybridMultilevel"/>
    <w:tmpl w:val="955A02CC"/>
    <w:lvl w:ilvl="0" w:tplc="C90C7928">
      <w:start w:val="1"/>
      <w:numFmt w:val="bullet"/>
      <w:lvlText w:val=""/>
      <w:lvlJc w:val="left"/>
      <w:pPr>
        <w:ind w:left="786"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3621"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nsid w:val="4C6A3DDE"/>
    <w:multiLevelType w:val="hybridMultilevel"/>
    <w:tmpl w:val="F51A789C"/>
    <w:lvl w:ilvl="0" w:tplc="92E84616">
      <w:start w:val="1"/>
      <w:numFmt w:val="bullet"/>
      <w:pStyle w:val="AERquotebullet1"/>
      <w:lvlText w:val=""/>
      <w:lvlJc w:val="left"/>
      <w:pPr>
        <w:ind w:left="1040" w:hanging="360"/>
      </w:pPr>
      <w:rPr>
        <w:rFonts w:ascii="Symbol" w:hAnsi="Symbol" w:hint="default"/>
      </w:rPr>
    </w:lvl>
    <w:lvl w:ilvl="1" w:tplc="0C090003">
      <w:start w:val="1"/>
      <w:numFmt w:val="bullet"/>
      <w:lvlText w:val="o"/>
      <w:lvlJc w:val="left"/>
      <w:pPr>
        <w:ind w:left="1760" w:hanging="360"/>
      </w:pPr>
      <w:rPr>
        <w:rFonts w:ascii="Courier New" w:hAnsi="Courier New" w:cs="Courier New" w:hint="default"/>
      </w:rPr>
    </w:lvl>
    <w:lvl w:ilvl="2" w:tplc="0C090005" w:tentative="1">
      <w:start w:val="1"/>
      <w:numFmt w:val="bullet"/>
      <w:lvlText w:val=""/>
      <w:lvlJc w:val="left"/>
      <w:pPr>
        <w:ind w:left="2480" w:hanging="360"/>
      </w:pPr>
      <w:rPr>
        <w:rFonts w:ascii="Wingdings" w:hAnsi="Wingdings" w:hint="default"/>
      </w:rPr>
    </w:lvl>
    <w:lvl w:ilvl="3" w:tplc="0C090001" w:tentative="1">
      <w:start w:val="1"/>
      <w:numFmt w:val="bullet"/>
      <w:lvlText w:val=""/>
      <w:lvlJc w:val="left"/>
      <w:pPr>
        <w:ind w:left="3200" w:hanging="360"/>
      </w:pPr>
      <w:rPr>
        <w:rFonts w:ascii="Symbol" w:hAnsi="Symbol" w:hint="default"/>
      </w:rPr>
    </w:lvl>
    <w:lvl w:ilvl="4" w:tplc="0C090003" w:tentative="1">
      <w:start w:val="1"/>
      <w:numFmt w:val="bullet"/>
      <w:lvlText w:val="o"/>
      <w:lvlJc w:val="left"/>
      <w:pPr>
        <w:ind w:left="3920" w:hanging="360"/>
      </w:pPr>
      <w:rPr>
        <w:rFonts w:ascii="Courier New" w:hAnsi="Courier New" w:cs="Courier New" w:hint="default"/>
      </w:rPr>
    </w:lvl>
    <w:lvl w:ilvl="5" w:tplc="0C090005" w:tentative="1">
      <w:start w:val="1"/>
      <w:numFmt w:val="bullet"/>
      <w:lvlText w:val=""/>
      <w:lvlJc w:val="left"/>
      <w:pPr>
        <w:ind w:left="4640" w:hanging="360"/>
      </w:pPr>
      <w:rPr>
        <w:rFonts w:ascii="Wingdings" w:hAnsi="Wingdings" w:hint="default"/>
      </w:rPr>
    </w:lvl>
    <w:lvl w:ilvl="6" w:tplc="0C090001" w:tentative="1">
      <w:start w:val="1"/>
      <w:numFmt w:val="bullet"/>
      <w:lvlText w:val=""/>
      <w:lvlJc w:val="left"/>
      <w:pPr>
        <w:ind w:left="5360" w:hanging="360"/>
      </w:pPr>
      <w:rPr>
        <w:rFonts w:ascii="Symbol" w:hAnsi="Symbol" w:hint="default"/>
      </w:rPr>
    </w:lvl>
    <w:lvl w:ilvl="7" w:tplc="0C090003" w:tentative="1">
      <w:start w:val="1"/>
      <w:numFmt w:val="bullet"/>
      <w:lvlText w:val="o"/>
      <w:lvlJc w:val="left"/>
      <w:pPr>
        <w:ind w:left="6080" w:hanging="360"/>
      </w:pPr>
      <w:rPr>
        <w:rFonts w:ascii="Courier New" w:hAnsi="Courier New" w:cs="Courier New" w:hint="default"/>
      </w:rPr>
    </w:lvl>
    <w:lvl w:ilvl="8" w:tplc="0C090005" w:tentative="1">
      <w:start w:val="1"/>
      <w:numFmt w:val="bullet"/>
      <w:lvlText w:val=""/>
      <w:lvlJc w:val="left"/>
      <w:pPr>
        <w:ind w:left="6800" w:hanging="360"/>
      </w:pPr>
      <w:rPr>
        <w:rFonts w:ascii="Wingdings" w:hAnsi="Wingdings" w:hint="default"/>
      </w:rPr>
    </w:lvl>
  </w:abstractNum>
  <w:abstractNum w:abstractNumId="24">
    <w:nsid w:val="51487971"/>
    <w:multiLevelType w:val="multilevel"/>
    <w:tmpl w:val="39D4CB02"/>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26">
    <w:nsid w:val="5ECE4384"/>
    <w:multiLevelType w:val="multilevel"/>
    <w:tmpl w:val="E0E2F1E0"/>
    <w:lvl w:ilvl="0">
      <w:start w:val="18"/>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1004"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7">
    <w:nsid w:val="6726588A"/>
    <w:multiLevelType w:val="hybridMultilevel"/>
    <w:tmpl w:val="6568C8B8"/>
    <w:lvl w:ilvl="0" w:tplc="0C09000F">
      <w:start w:val="1"/>
      <w:numFmt w:val="bullet"/>
      <w:pStyle w:val="AERbulletlistsecondstyle"/>
      <w:lvlText w:val="o"/>
      <w:lvlJc w:val="left"/>
      <w:pPr>
        <w:ind w:left="1081" w:hanging="360"/>
      </w:pPr>
      <w:rPr>
        <w:rFonts w:ascii="Courier New" w:hAnsi="Courier New" w:cs="Courier New" w:hint="default"/>
      </w:rPr>
    </w:lvl>
    <w:lvl w:ilvl="1" w:tplc="0C090019" w:tentative="1">
      <w:start w:val="1"/>
      <w:numFmt w:val="bullet"/>
      <w:lvlText w:val="o"/>
      <w:lvlJc w:val="left"/>
      <w:pPr>
        <w:ind w:left="1801" w:hanging="360"/>
      </w:pPr>
      <w:rPr>
        <w:rFonts w:ascii="Courier New" w:hAnsi="Courier New" w:cs="Courier New" w:hint="default"/>
      </w:rPr>
    </w:lvl>
    <w:lvl w:ilvl="2" w:tplc="C38EC922">
      <w:start w:val="1"/>
      <w:numFmt w:val="bullet"/>
      <w:pStyle w:val="AERbulletlistthirdstyle"/>
      <w:lvlText w:val=""/>
      <w:lvlJc w:val="left"/>
      <w:pPr>
        <w:ind w:left="2521" w:hanging="360"/>
      </w:pPr>
      <w:rPr>
        <w:rFonts w:ascii="Wingdings" w:hAnsi="Wingdings" w:hint="default"/>
      </w:rPr>
    </w:lvl>
    <w:lvl w:ilvl="3" w:tplc="0C09000F" w:tentative="1">
      <w:start w:val="1"/>
      <w:numFmt w:val="bullet"/>
      <w:lvlText w:val=""/>
      <w:lvlJc w:val="left"/>
      <w:pPr>
        <w:ind w:left="3241" w:hanging="360"/>
      </w:pPr>
      <w:rPr>
        <w:rFonts w:ascii="Symbol" w:hAnsi="Symbol" w:hint="default"/>
      </w:rPr>
    </w:lvl>
    <w:lvl w:ilvl="4" w:tplc="0C090019" w:tentative="1">
      <w:start w:val="1"/>
      <w:numFmt w:val="bullet"/>
      <w:lvlText w:val="o"/>
      <w:lvlJc w:val="left"/>
      <w:pPr>
        <w:ind w:left="3961" w:hanging="360"/>
      </w:pPr>
      <w:rPr>
        <w:rFonts w:ascii="Courier New" w:hAnsi="Courier New" w:cs="Courier New" w:hint="default"/>
      </w:rPr>
    </w:lvl>
    <w:lvl w:ilvl="5" w:tplc="0C09001B" w:tentative="1">
      <w:start w:val="1"/>
      <w:numFmt w:val="bullet"/>
      <w:lvlText w:val=""/>
      <w:lvlJc w:val="left"/>
      <w:pPr>
        <w:ind w:left="4681" w:hanging="360"/>
      </w:pPr>
      <w:rPr>
        <w:rFonts w:ascii="Wingdings" w:hAnsi="Wingdings" w:hint="default"/>
      </w:rPr>
    </w:lvl>
    <w:lvl w:ilvl="6" w:tplc="0C09000F" w:tentative="1">
      <w:start w:val="1"/>
      <w:numFmt w:val="bullet"/>
      <w:lvlText w:val=""/>
      <w:lvlJc w:val="left"/>
      <w:pPr>
        <w:ind w:left="5401" w:hanging="360"/>
      </w:pPr>
      <w:rPr>
        <w:rFonts w:ascii="Symbol" w:hAnsi="Symbol" w:hint="default"/>
      </w:rPr>
    </w:lvl>
    <w:lvl w:ilvl="7" w:tplc="0C090019" w:tentative="1">
      <w:start w:val="1"/>
      <w:numFmt w:val="bullet"/>
      <w:lvlText w:val="o"/>
      <w:lvlJc w:val="left"/>
      <w:pPr>
        <w:ind w:left="6121" w:hanging="360"/>
      </w:pPr>
      <w:rPr>
        <w:rFonts w:ascii="Courier New" w:hAnsi="Courier New" w:cs="Courier New" w:hint="default"/>
      </w:rPr>
    </w:lvl>
    <w:lvl w:ilvl="8" w:tplc="0C09001B" w:tentative="1">
      <w:start w:val="1"/>
      <w:numFmt w:val="bullet"/>
      <w:lvlText w:val=""/>
      <w:lvlJc w:val="left"/>
      <w:pPr>
        <w:ind w:left="6841" w:hanging="360"/>
      </w:pPr>
      <w:rPr>
        <w:rFonts w:ascii="Wingdings" w:hAnsi="Wingdings" w:hint="default"/>
      </w:rPr>
    </w:lvl>
  </w:abstractNum>
  <w:abstractNum w:abstractNumId="28">
    <w:nsid w:val="71052EFE"/>
    <w:multiLevelType w:val="hybridMultilevel"/>
    <w:tmpl w:val="52FCFAA8"/>
    <w:lvl w:ilvl="0" w:tplc="C846CA5C">
      <w:start w:val="1"/>
      <w:numFmt w:val="lowerRoman"/>
      <w:pStyle w:val="AERnumberedlistthirdstyle"/>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nsid w:val="7AAC6DD7"/>
    <w:multiLevelType w:val="multilevel"/>
    <w:tmpl w:val="950A1C52"/>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30">
    <w:nsid w:val="7AEA3AE1"/>
    <w:multiLevelType w:val="hybridMultilevel"/>
    <w:tmpl w:val="52969776"/>
    <w:lvl w:ilvl="0" w:tplc="1B665800">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7E2819EC"/>
    <w:multiLevelType w:val="multilevel"/>
    <w:tmpl w:val="1250F310"/>
    <w:lvl w:ilvl="0">
      <w:start w:val="1"/>
      <w:numFmt w:val="bullet"/>
      <w:pStyle w:val="AERbulletlistfirststyle"/>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2"/>
  </w:num>
  <w:num w:numId="2">
    <w:abstractNumId w:val="31"/>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27"/>
  </w:num>
  <w:num w:numId="13">
    <w:abstractNumId w:val="19"/>
  </w:num>
  <w:num w:numId="14">
    <w:abstractNumId w:val="11"/>
  </w:num>
  <w:num w:numId="15">
    <w:abstractNumId w:val="14"/>
  </w:num>
  <w:num w:numId="16">
    <w:abstractNumId w:val="21"/>
  </w:num>
  <w:num w:numId="17">
    <w:abstractNumId w:val="10"/>
  </w:num>
  <w:num w:numId="18">
    <w:abstractNumId w:val="16"/>
  </w:num>
  <w:num w:numId="19">
    <w:abstractNumId w:val="22"/>
  </w:num>
  <w:num w:numId="20">
    <w:abstractNumId w:val="28"/>
  </w:num>
  <w:num w:numId="21">
    <w:abstractNumId w:val="25"/>
  </w:num>
  <w:num w:numId="22">
    <w:abstractNumId w:val="23"/>
  </w:num>
  <w:num w:numId="23">
    <w:abstractNumId w:val="17"/>
  </w:num>
  <w:num w:numId="24">
    <w:abstractNumId w:val="24"/>
  </w:num>
  <w:num w:numId="25">
    <w:abstractNumId w:val="26"/>
  </w:num>
  <w:num w:numId="26">
    <w:abstractNumId w:val="18"/>
  </w:num>
  <w:num w:numId="27">
    <w:abstractNumId w:val="15"/>
  </w:num>
  <w:num w:numId="28">
    <w:abstractNumId w:val="30"/>
  </w:num>
  <w:num w:numId="29">
    <w:abstractNumId w:val="20"/>
  </w:num>
  <w:num w:numId="30">
    <w:abstractNumId w:val="9"/>
  </w:num>
  <w:num w:numId="31">
    <w:abstractNumId w:val="29"/>
    <w:lvlOverride w:ilvl="0">
      <w:lvl w:ilvl="0">
        <w:start w:val="1"/>
        <w:numFmt w:val="none"/>
        <w:lvlText w:val="%1"/>
        <w:lvlJc w:val="left"/>
        <w:pPr>
          <w:tabs>
            <w:tab w:val="num" w:pos="0"/>
          </w:tabs>
          <w:ind w:left="0" w:firstLine="0"/>
        </w:pPr>
        <w:rPr>
          <w:rFonts w:hint="default"/>
        </w:rPr>
      </w:lvl>
    </w:lvlOverride>
    <w:lvlOverride w:ilvl="1">
      <w:lvl w:ilvl="1">
        <w:start w:val="1"/>
        <w:numFmt w:val="decimal"/>
        <w:lvlText w:val="%1%2"/>
        <w:lvlJc w:val="left"/>
        <w:pPr>
          <w:tabs>
            <w:tab w:val="num" w:pos="0"/>
          </w:tabs>
          <w:ind w:left="0" w:hanging="851"/>
        </w:pPr>
        <w:rPr>
          <w:rFonts w:hint="default"/>
        </w:rPr>
      </w:lvl>
    </w:lvlOverride>
    <w:lvlOverride w:ilvl="2">
      <w:lvl w:ilvl="2">
        <w:start w:val="1"/>
        <w:numFmt w:val="decimal"/>
        <w:lvlText w:val="%1%2.%3"/>
        <w:lvlJc w:val="left"/>
        <w:pPr>
          <w:tabs>
            <w:tab w:val="num" w:pos="0"/>
          </w:tabs>
          <w:ind w:left="0" w:hanging="851"/>
        </w:pPr>
        <w:rPr>
          <w:rFonts w:cs="Times New Roman"/>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3">
      <w:lvl w:ilvl="3">
        <w:start w:val="1"/>
        <w:numFmt w:val="decimal"/>
        <w:lvlText w:val="%2.%3.%4"/>
        <w:lvlJc w:val="left"/>
        <w:pPr>
          <w:tabs>
            <w:tab w:val="num" w:pos="0"/>
          </w:tabs>
          <w:ind w:left="0" w:hanging="851"/>
        </w:pPr>
        <w:rPr>
          <w:rFonts w:cs="Times New Roman"/>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4">
      <w:lvl w:ilvl="4">
        <w:start w:val="1"/>
        <w:numFmt w:val="upperLetter"/>
        <w:lvlRestart w:val="1"/>
        <w:lvlText w:val="%5"/>
        <w:lvlJc w:val="left"/>
        <w:pPr>
          <w:tabs>
            <w:tab w:val="num" w:pos="0"/>
          </w:tabs>
          <w:ind w:left="0" w:hanging="851"/>
        </w:pPr>
        <w:rPr>
          <w:rFonts w:hint="default"/>
        </w:rPr>
      </w:lvl>
    </w:lvlOverride>
    <w:lvlOverride w:ilvl="5">
      <w:lvl w:ilvl="5">
        <w:start w:val="1"/>
        <w:numFmt w:val="decimal"/>
        <w:lvlText w:val="%5.%6"/>
        <w:lvlJc w:val="left"/>
        <w:pPr>
          <w:tabs>
            <w:tab w:val="num" w:pos="0"/>
          </w:tabs>
          <w:ind w:left="0" w:hanging="851"/>
        </w:pPr>
        <w:rPr>
          <w:rFonts w:hint="default"/>
        </w:rPr>
      </w:lvl>
    </w:lvlOverride>
    <w:lvlOverride w:ilvl="6">
      <w:lvl w:ilvl="6">
        <w:start w:val="1"/>
        <w:numFmt w:val="decimal"/>
        <w:lvlText w:val="%5.%6.%7"/>
        <w:lvlJc w:val="left"/>
        <w:pPr>
          <w:tabs>
            <w:tab w:val="num" w:pos="0"/>
          </w:tabs>
          <w:ind w:left="0" w:hanging="851"/>
        </w:pPr>
        <w:rPr>
          <w:rFonts w:hint="default"/>
        </w:rPr>
      </w:lvl>
    </w:lvlOverride>
    <w:lvlOverride w:ilvl="7">
      <w:lvl w:ilvl="7">
        <w:start w:val="1"/>
        <w:numFmt w:val="none"/>
        <w:lvlRestart w:val="0"/>
        <w:lvlText w:val=""/>
        <w:lvlJc w:val="left"/>
        <w:pPr>
          <w:tabs>
            <w:tab w:val="num" w:pos="0"/>
          </w:tabs>
          <w:ind w:left="0" w:firstLine="0"/>
        </w:pPr>
        <w:rPr>
          <w:rFonts w:hint="default"/>
        </w:rPr>
      </w:lvl>
    </w:lvlOverride>
    <w:lvlOverride w:ilvl="8">
      <w:lvl w:ilvl="8">
        <w:start w:val="1"/>
        <w:numFmt w:val="none"/>
        <w:lvlRestart w:val="0"/>
        <w:lvlText w:val=""/>
        <w:lvlJc w:val="left"/>
        <w:pPr>
          <w:ind w:left="0" w:firstLine="0"/>
        </w:pPr>
        <w:rPr>
          <w:rFonts w:hint="default"/>
        </w:rPr>
      </w:lvl>
    </w:lvlOverride>
  </w:num>
  <w:num w:numId="32">
    <w:abstractNumId w:val="17"/>
    <w:lvlOverride w:ilvl="3">
      <w:lvl w:ilvl="3">
        <w:start w:val="1"/>
        <w:numFmt w:val="decimal"/>
        <w:lvlText w:val="%2.%3.%4"/>
        <w:lvlJc w:val="left"/>
        <w:pPr>
          <w:tabs>
            <w:tab w:val="num" w:pos="0"/>
          </w:tabs>
          <w:ind w:left="0" w:hanging="851"/>
        </w:pPr>
        <w:rPr>
          <w:rFonts w:hint="default"/>
        </w:rPr>
      </w:lvl>
    </w:lvlOverride>
  </w:num>
  <w:num w:numId="33">
    <w:abstractNumId w:val="13"/>
  </w:num>
  <w:num w:numId="34">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7"/>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ocumentProtection w:formatting="1" w:enforcement="1" w:spinCount="100000" w:hashValue="BR+cYP/Lyd5sweerfvvz2/4rGBU0q1o03p2pd/QD9YI=" w:saltValue="RnkjFu3Nj62srT/3XSbJNw==" w:algorithmName="SHA-256"/>
  <w:defaultTabStop w:val="340"/>
  <w:characterSpacingControl w:val="doNotCompress"/>
  <w:hdrShapeDefaults>
    <o:shapedefaults v:ext="edit" spidmax="23756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cdchnas-evs02\home$\alewi\aer - draft decision tasnetworks distribution determination - attachment 1 - annual revenue requirement - september 2016 (D2015-00171126).docx"/>
  </w:docVars>
  <w:rsids>
    <w:rsidRoot w:val="00961A4A"/>
    <w:rsid w:val="000051DC"/>
    <w:rsid w:val="0000658F"/>
    <w:rsid w:val="0001507B"/>
    <w:rsid w:val="00020016"/>
    <w:rsid w:val="00021202"/>
    <w:rsid w:val="00021C2B"/>
    <w:rsid w:val="0002498B"/>
    <w:rsid w:val="0002517F"/>
    <w:rsid w:val="00026187"/>
    <w:rsid w:val="000266FC"/>
    <w:rsid w:val="000273B3"/>
    <w:rsid w:val="00027E2D"/>
    <w:rsid w:val="0003578C"/>
    <w:rsid w:val="00042656"/>
    <w:rsid w:val="00044DA3"/>
    <w:rsid w:val="000474DF"/>
    <w:rsid w:val="00055A67"/>
    <w:rsid w:val="000568A9"/>
    <w:rsid w:val="00063247"/>
    <w:rsid w:val="0006624E"/>
    <w:rsid w:val="00070F9F"/>
    <w:rsid w:val="0007137B"/>
    <w:rsid w:val="00073B74"/>
    <w:rsid w:val="00076416"/>
    <w:rsid w:val="000805A8"/>
    <w:rsid w:val="0008190B"/>
    <w:rsid w:val="000836D9"/>
    <w:rsid w:val="00085663"/>
    <w:rsid w:val="00085EBF"/>
    <w:rsid w:val="00091B15"/>
    <w:rsid w:val="00095186"/>
    <w:rsid w:val="000A0E71"/>
    <w:rsid w:val="000A1C0C"/>
    <w:rsid w:val="000A3020"/>
    <w:rsid w:val="000A4840"/>
    <w:rsid w:val="000A62C1"/>
    <w:rsid w:val="000A6A79"/>
    <w:rsid w:val="000A6C7B"/>
    <w:rsid w:val="000B0A7B"/>
    <w:rsid w:val="000B1173"/>
    <w:rsid w:val="000B5827"/>
    <w:rsid w:val="000B7037"/>
    <w:rsid w:val="000C02D1"/>
    <w:rsid w:val="000C0C63"/>
    <w:rsid w:val="000C2B40"/>
    <w:rsid w:val="000C5255"/>
    <w:rsid w:val="000D07A7"/>
    <w:rsid w:val="000D122C"/>
    <w:rsid w:val="000D75B0"/>
    <w:rsid w:val="000E1819"/>
    <w:rsid w:val="000E4821"/>
    <w:rsid w:val="000E4AA9"/>
    <w:rsid w:val="000E6C72"/>
    <w:rsid w:val="000E7F39"/>
    <w:rsid w:val="000F0F0A"/>
    <w:rsid w:val="00100EA2"/>
    <w:rsid w:val="00101AA1"/>
    <w:rsid w:val="00102338"/>
    <w:rsid w:val="00104566"/>
    <w:rsid w:val="00104FF6"/>
    <w:rsid w:val="001114AA"/>
    <w:rsid w:val="00115743"/>
    <w:rsid w:val="00116EB2"/>
    <w:rsid w:val="0012132C"/>
    <w:rsid w:val="00124609"/>
    <w:rsid w:val="00126A4C"/>
    <w:rsid w:val="001270E3"/>
    <w:rsid w:val="00132D43"/>
    <w:rsid w:val="00133366"/>
    <w:rsid w:val="00133F47"/>
    <w:rsid w:val="00134029"/>
    <w:rsid w:val="00142C2D"/>
    <w:rsid w:val="00144C96"/>
    <w:rsid w:val="0014573B"/>
    <w:rsid w:val="001463A3"/>
    <w:rsid w:val="0015073A"/>
    <w:rsid w:val="001573E4"/>
    <w:rsid w:val="00160756"/>
    <w:rsid w:val="00161DC8"/>
    <w:rsid w:val="00166760"/>
    <w:rsid w:val="0017232E"/>
    <w:rsid w:val="00174102"/>
    <w:rsid w:val="001754EE"/>
    <w:rsid w:val="00180157"/>
    <w:rsid w:val="001809BC"/>
    <w:rsid w:val="00180E97"/>
    <w:rsid w:val="001820B4"/>
    <w:rsid w:val="00184351"/>
    <w:rsid w:val="00184AC8"/>
    <w:rsid w:val="00185BA5"/>
    <w:rsid w:val="00185CB9"/>
    <w:rsid w:val="00185DBE"/>
    <w:rsid w:val="00186ADC"/>
    <w:rsid w:val="00186F77"/>
    <w:rsid w:val="001877A4"/>
    <w:rsid w:val="001926A4"/>
    <w:rsid w:val="00192AD5"/>
    <w:rsid w:val="00194597"/>
    <w:rsid w:val="00194E00"/>
    <w:rsid w:val="0019745E"/>
    <w:rsid w:val="00197B16"/>
    <w:rsid w:val="001A530D"/>
    <w:rsid w:val="001A5FB3"/>
    <w:rsid w:val="001A7155"/>
    <w:rsid w:val="001B45A0"/>
    <w:rsid w:val="001B680E"/>
    <w:rsid w:val="001D055E"/>
    <w:rsid w:val="001E1B3F"/>
    <w:rsid w:val="001E7161"/>
    <w:rsid w:val="001F05A4"/>
    <w:rsid w:val="001F3D4A"/>
    <w:rsid w:val="001F492E"/>
    <w:rsid w:val="001F64EF"/>
    <w:rsid w:val="001F6DA3"/>
    <w:rsid w:val="002010BC"/>
    <w:rsid w:val="002016E7"/>
    <w:rsid w:val="00202E03"/>
    <w:rsid w:val="002033B9"/>
    <w:rsid w:val="002043D0"/>
    <w:rsid w:val="0020492C"/>
    <w:rsid w:val="00204EC9"/>
    <w:rsid w:val="00206505"/>
    <w:rsid w:val="0020743F"/>
    <w:rsid w:val="00216C93"/>
    <w:rsid w:val="00223051"/>
    <w:rsid w:val="00224DB9"/>
    <w:rsid w:val="0022569A"/>
    <w:rsid w:val="0023005C"/>
    <w:rsid w:val="00231012"/>
    <w:rsid w:val="00233775"/>
    <w:rsid w:val="0023414B"/>
    <w:rsid w:val="00243635"/>
    <w:rsid w:val="00247079"/>
    <w:rsid w:val="00251745"/>
    <w:rsid w:val="002552BA"/>
    <w:rsid w:val="00260016"/>
    <w:rsid w:val="00263AC0"/>
    <w:rsid w:val="00264264"/>
    <w:rsid w:val="0026689B"/>
    <w:rsid w:val="0026772D"/>
    <w:rsid w:val="002730B2"/>
    <w:rsid w:val="00274C7E"/>
    <w:rsid w:val="002777CF"/>
    <w:rsid w:val="002810F2"/>
    <w:rsid w:val="00286874"/>
    <w:rsid w:val="00290C63"/>
    <w:rsid w:val="00290F66"/>
    <w:rsid w:val="00291A99"/>
    <w:rsid w:val="00293B6D"/>
    <w:rsid w:val="00294B08"/>
    <w:rsid w:val="0029518C"/>
    <w:rsid w:val="002963DD"/>
    <w:rsid w:val="00296B65"/>
    <w:rsid w:val="002A7DEF"/>
    <w:rsid w:val="002B0696"/>
    <w:rsid w:val="002C0222"/>
    <w:rsid w:val="002C1499"/>
    <w:rsid w:val="002C233C"/>
    <w:rsid w:val="002C517B"/>
    <w:rsid w:val="002D3509"/>
    <w:rsid w:val="002D5457"/>
    <w:rsid w:val="002D72E8"/>
    <w:rsid w:val="002D79AD"/>
    <w:rsid w:val="002E268F"/>
    <w:rsid w:val="002E78DD"/>
    <w:rsid w:val="002E7B22"/>
    <w:rsid w:val="002F12EC"/>
    <w:rsid w:val="002F7986"/>
    <w:rsid w:val="00301B40"/>
    <w:rsid w:val="00301C82"/>
    <w:rsid w:val="003029EE"/>
    <w:rsid w:val="00304D38"/>
    <w:rsid w:val="00305CC8"/>
    <w:rsid w:val="00307F6D"/>
    <w:rsid w:val="00314D83"/>
    <w:rsid w:val="0031571F"/>
    <w:rsid w:val="003177A2"/>
    <w:rsid w:val="00317E02"/>
    <w:rsid w:val="003271B5"/>
    <w:rsid w:val="00327A1E"/>
    <w:rsid w:val="00327E28"/>
    <w:rsid w:val="00331264"/>
    <w:rsid w:val="00334C8D"/>
    <w:rsid w:val="003378BD"/>
    <w:rsid w:val="003424EA"/>
    <w:rsid w:val="00342C2F"/>
    <w:rsid w:val="003436EB"/>
    <w:rsid w:val="00343A18"/>
    <w:rsid w:val="00345744"/>
    <w:rsid w:val="003518B3"/>
    <w:rsid w:val="00353E79"/>
    <w:rsid w:val="00363210"/>
    <w:rsid w:val="00364EA0"/>
    <w:rsid w:val="00366981"/>
    <w:rsid w:val="00370678"/>
    <w:rsid w:val="0037214E"/>
    <w:rsid w:val="00372C85"/>
    <w:rsid w:val="00373845"/>
    <w:rsid w:val="003744E3"/>
    <w:rsid w:val="00375F71"/>
    <w:rsid w:val="00376219"/>
    <w:rsid w:val="0037663E"/>
    <w:rsid w:val="0037699E"/>
    <w:rsid w:val="00377A29"/>
    <w:rsid w:val="00377C69"/>
    <w:rsid w:val="0038415D"/>
    <w:rsid w:val="0038461C"/>
    <w:rsid w:val="003846F1"/>
    <w:rsid w:val="00390E6A"/>
    <w:rsid w:val="00393ABE"/>
    <w:rsid w:val="00395DB6"/>
    <w:rsid w:val="00397398"/>
    <w:rsid w:val="003A371A"/>
    <w:rsid w:val="003A59CD"/>
    <w:rsid w:val="003A6B00"/>
    <w:rsid w:val="003B30B2"/>
    <w:rsid w:val="003B484F"/>
    <w:rsid w:val="003B504B"/>
    <w:rsid w:val="003B5179"/>
    <w:rsid w:val="003B685C"/>
    <w:rsid w:val="003B7FBA"/>
    <w:rsid w:val="003C5A87"/>
    <w:rsid w:val="003C6537"/>
    <w:rsid w:val="003C6A13"/>
    <w:rsid w:val="003C764A"/>
    <w:rsid w:val="003C78BA"/>
    <w:rsid w:val="003D41F1"/>
    <w:rsid w:val="003D42AB"/>
    <w:rsid w:val="003D5B94"/>
    <w:rsid w:val="003E0D3A"/>
    <w:rsid w:val="003E3AAB"/>
    <w:rsid w:val="003E7FE9"/>
    <w:rsid w:val="003F07D4"/>
    <w:rsid w:val="003F174D"/>
    <w:rsid w:val="003F2329"/>
    <w:rsid w:val="00400FD2"/>
    <w:rsid w:val="00403711"/>
    <w:rsid w:val="00404C52"/>
    <w:rsid w:val="004156D5"/>
    <w:rsid w:val="00415BA9"/>
    <w:rsid w:val="00415F31"/>
    <w:rsid w:val="0041691D"/>
    <w:rsid w:val="0042000C"/>
    <w:rsid w:val="0042090E"/>
    <w:rsid w:val="00421F27"/>
    <w:rsid w:val="004238D8"/>
    <w:rsid w:val="00423A77"/>
    <w:rsid w:val="004324F4"/>
    <w:rsid w:val="00434544"/>
    <w:rsid w:val="00441F4E"/>
    <w:rsid w:val="00445D43"/>
    <w:rsid w:val="00446CD2"/>
    <w:rsid w:val="004523B2"/>
    <w:rsid w:val="0045777E"/>
    <w:rsid w:val="00465258"/>
    <w:rsid w:val="00471BC6"/>
    <w:rsid w:val="00476221"/>
    <w:rsid w:val="004766F5"/>
    <w:rsid w:val="00480B4B"/>
    <w:rsid w:val="004838D8"/>
    <w:rsid w:val="00485DC4"/>
    <w:rsid w:val="00494D04"/>
    <w:rsid w:val="004A40BA"/>
    <w:rsid w:val="004A43D1"/>
    <w:rsid w:val="004A492B"/>
    <w:rsid w:val="004B4412"/>
    <w:rsid w:val="004B6269"/>
    <w:rsid w:val="004C348C"/>
    <w:rsid w:val="004C462E"/>
    <w:rsid w:val="004C6CA3"/>
    <w:rsid w:val="004C7F5E"/>
    <w:rsid w:val="004D343C"/>
    <w:rsid w:val="004D372A"/>
    <w:rsid w:val="004D55BA"/>
    <w:rsid w:val="004D720C"/>
    <w:rsid w:val="004E0FA7"/>
    <w:rsid w:val="004E22EC"/>
    <w:rsid w:val="004F0BFA"/>
    <w:rsid w:val="004F13DA"/>
    <w:rsid w:val="004F4D69"/>
    <w:rsid w:val="004F6883"/>
    <w:rsid w:val="004F6A0E"/>
    <w:rsid w:val="004F6BB3"/>
    <w:rsid w:val="005009CD"/>
    <w:rsid w:val="00504E5F"/>
    <w:rsid w:val="0051337E"/>
    <w:rsid w:val="00513FA7"/>
    <w:rsid w:val="0051768F"/>
    <w:rsid w:val="00522DC2"/>
    <w:rsid w:val="00530128"/>
    <w:rsid w:val="00532467"/>
    <w:rsid w:val="005332A9"/>
    <w:rsid w:val="0053603C"/>
    <w:rsid w:val="00537871"/>
    <w:rsid w:val="00542FE9"/>
    <w:rsid w:val="00544598"/>
    <w:rsid w:val="00544C8D"/>
    <w:rsid w:val="00544DFD"/>
    <w:rsid w:val="00556B1E"/>
    <w:rsid w:val="00564A4D"/>
    <w:rsid w:val="0056598C"/>
    <w:rsid w:val="00566E0B"/>
    <w:rsid w:val="00567BA5"/>
    <w:rsid w:val="00571B35"/>
    <w:rsid w:val="00571B43"/>
    <w:rsid w:val="00571D57"/>
    <w:rsid w:val="00573A3B"/>
    <w:rsid w:val="00577716"/>
    <w:rsid w:val="00577A09"/>
    <w:rsid w:val="005829C2"/>
    <w:rsid w:val="00584D8F"/>
    <w:rsid w:val="00587A18"/>
    <w:rsid w:val="00587ADE"/>
    <w:rsid w:val="005A0BEC"/>
    <w:rsid w:val="005A404D"/>
    <w:rsid w:val="005B1E3C"/>
    <w:rsid w:val="005B6518"/>
    <w:rsid w:val="005B704A"/>
    <w:rsid w:val="005B72D7"/>
    <w:rsid w:val="005C045F"/>
    <w:rsid w:val="005C16FE"/>
    <w:rsid w:val="005C1FAB"/>
    <w:rsid w:val="005C21A4"/>
    <w:rsid w:val="005C26CC"/>
    <w:rsid w:val="005C4463"/>
    <w:rsid w:val="005D3D88"/>
    <w:rsid w:val="005D4692"/>
    <w:rsid w:val="005D48C4"/>
    <w:rsid w:val="005D6208"/>
    <w:rsid w:val="005D6366"/>
    <w:rsid w:val="005D7BA2"/>
    <w:rsid w:val="005E36C2"/>
    <w:rsid w:val="005E4AF4"/>
    <w:rsid w:val="005F387E"/>
    <w:rsid w:val="00601E0B"/>
    <w:rsid w:val="0060258B"/>
    <w:rsid w:val="00610EF9"/>
    <w:rsid w:val="00612F4F"/>
    <w:rsid w:val="00614EA0"/>
    <w:rsid w:val="00615C6B"/>
    <w:rsid w:val="00617D4C"/>
    <w:rsid w:val="00621DCE"/>
    <w:rsid w:val="00621FC5"/>
    <w:rsid w:val="00624F2C"/>
    <w:rsid w:val="00632D6D"/>
    <w:rsid w:val="00636569"/>
    <w:rsid w:val="00636EF9"/>
    <w:rsid w:val="00637E9B"/>
    <w:rsid w:val="00642C3E"/>
    <w:rsid w:val="00644A01"/>
    <w:rsid w:val="00651E2D"/>
    <w:rsid w:val="00652324"/>
    <w:rsid w:val="006577FB"/>
    <w:rsid w:val="0066104A"/>
    <w:rsid w:val="00663066"/>
    <w:rsid w:val="00663DAD"/>
    <w:rsid w:val="00664206"/>
    <w:rsid w:val="006649E7"/>
    <w:rsid w:val="00666634"/>
    <w:rsid w:val="00671692"/>
    <w:rsid w:val="00675E20"/>
    <w:rsid w:val="00676679"/>
    <w:rsid w:val="00683C89"/>
    <w:rsid w:val="00691B53"/>
    <w:rsid w:val="00697D0B"/>
    <w:rsid w:val="006A12BA"/>
    <w:rsid w:val="006A1B59"/>
    <w:rsid w:val="006A4739"/>
    <w:rsid w:val="006A66A1"/>
    <w:rsid w:val="006B032D"/>
    <w:rsid w:val="006B2395"/>
    <w:rsid w:val="006B40AC"/>
    <w:rsid w:val="006B4CF9"/>
    <w:rsid w:val="006B797C"/>
    <w:rsid w:val="006B7AC8"/>
    <w:rsid w:val="006C1736"/>
    <w:rsid w:val="006C329B"/>
    <w:rsid w:val="006C6303"/>
    <w:rsid w:val="006D550F"/>
    <w:rsid w:val="006D6146"/>
    <w:rsid w:val="006D7F7E"/>
    <w:rsid w:val="006E0CFF"/>
    <w:rsid w:val="006F0D92"/>
    <w:rsid w:val="006F267D"/>
    <w:rsid w:val="0070011E"/>
    <w:rsid w:val="00701CAB"/>
    <w:rsid w:val="007023BB"/>
    <w:rsid w:val="00704DD7"/>
    <w:rsid w:val="00707563"/>
    <w:rsid w:val="00715F61"/>
    <w:rsid w:val="00722132"/>
    <w:rsid w:val="007228F7"/>
    <w:rsid w:val="0072348C"/>
    <w:rsid w:val="00724A37"/>
    <w:rsid w:val="007303C3"/>
    <w:rsid w:val="00731188"/>
    <w:rsid w:val="007356CC"/>
    <w:rsid w:val="007368E6"/>
    <w:rsid w:val="007375DF"/>
    <w:rsid w:val="007429BE"/>
    <w:rsid w:val="00743223"/>
    <w:rsid w:val="00743349"/>
    <w:rsid w:val="0074403A"/>
    <w:rsid w:val="00746E01"/>
    <w:rsid w:val="00751DCD"/>
    <w:rsid w:val="00755084"/>
    <w:rsid w:val="00757364"/>
    <w:rsid w:val="00757A77"/>
    <w:rsid w:val="00757BDF"/>
    <w:rsid w:val="007609D0"/>
    <w:rsid w:val="00761454"/>
    <w:rsid w:val="0076193D"/>
    <w:rsid w:val="00763E5D"/>
    <w:rsid w:val="00767740"/>
    <w:rsid w:val="00767B5E"/>
    <w:rsid w:val="00770064"/>
    <w:rsid w:val="00775460"/>
    <w:rsid w:val="00777EE6"/>
    <w:rsid w:val="00782EEA"/>
    <w:rsid w:val="00786CA4"/>
    <w:rsid w:val="007909B4"/>
    <w:rsid w:val="00790E86"/>
    <w:rsid w:val="007949D7"/>
    <w:rsid w:val="0079769A"/>
    <w:rsid w:val="007A0143"/>
    <w:rsid w:val="007A34C2"/>
    <w:rsid w:val="007A396C"/>
    <w:rsid w:val="007A4B02"/>
    <w:rsid w:val="007B0BE3"/>
    <w:rsid w:val="007B1816"/>
    <w:rsid w:val="007B186E"/>
    <w:rsid w:val="007B25DC"/>
    <w:rsid w:val="007B2C72"/>
    <w:rsid w:val="007B3789"/>
    <w:rsid w:val="007B651F"/>
    <w:rsid w:val="007B7BB5"/>
    <w:rsid w:val="007C1C53"/>
    <w:rsid w:val="007C284C"/>
    <w:rsid w:val="007C4B82"/>
    <w:rsid w:val="007C74BB"/>
    <w:rsid w:val="007C7F64"/>
    <w:rsid w:val="007D0A95"/>
    <w:rsid w:val="007D0EB5"/>
    <w:rsid w:val="007D456E"/>
    <w:rsid w:val="007D5837"/>
    <w:rsid w:val="007E4904"/>
    <w:rsid w:val="007E4CB5"/>
    <w:rsid w:val="007E4DAE"/>
    <w:rsid w:val="007F066B"/>
    <w:rsid w:val="007F4EAB"/>
    <w:rsid w:val="007F5B16"/>
    <w:rsid w:val="007F7C9D"/>
    <w:rsid w:val="008033C4"/>
    <w:rsid w:val="00806731"/>
    <w:rsid w:val="00806C88"/>
    <w:rsid w:val="0081034E"/>
    <w:rsid w:val="00810806"/>
    <w:rsid w:val="00815882"/>
    <w:rsid w:val="00820454"/>
    <w:rsid w:val="00822AC7"/>
    <w:rsid w:val="00822E86"/>
    <w:rsid w:val="008344F6"/>
    <w:rsid w:val="0083510F"/>
    <w:rsid w:val="00837BF3"/>
    <w:rsid w:val="008415DE"/>
    <w:rsid w:val="008420DE"/>
    <w:rsid w:val="00845865"/>
    <w:rsid w:val="0084799B"/>
    <w:rsid w:val="00850C90"/>
    <w:rsid w:val="00851209"/>
    <w:rsid w:val="0085171F"/>
    <w:rsid w:val="008658A1"/>
    <w:rsid w:val="0086716A"/>
    <w:rsid w:val="00870613"/>
    <w:rsid w:val="0087380F"/>
    <w:rsid w:val="0087648F"/>
    <w:rsid w:val="00876612"/>
    <w:rsid w:val="0087718C"/>
    <w:rsid w:val="00880DA7"/>
    <w:rsid w:val="00882BB1"/>
    <w:rsid w:val="008837AC"/>
    <w:rsid w:val="008909DC"/>
    <w:rsid w:val="00894255"/>
    <w:rsid w:val="008945AD"/>
    <w:rsid w:val="008A0645"/>
    <w:rsid w:val="008A1C02"/>
    <w:rsid w:val="008A370D"/>
    <w:rsid w:val="008A587D"/>
    <w:rsid w:val="008B16B0"/>
    <w:rsid w:val="008B1BD5"/>
    <w:rsid w:val="008B35CD"/>
    <w:rsid w:val="008B4093"/>
    <w:rsid w:val="008B5FCC"/>
    <w:rsid w:val="008B7F36"/>
    <w:rsid w:val="008C357F"/>
    <w:rsid w:val="008C5486"/>
    <w:rsid w:val="008D1661"/>
    <w:rsid w:val="008D27E0"/>
    <w:rsid w:val="008D5F90"/>
    <w:rsid w:val="008D6800"/>
    <w:rsid w:val="008D72F1"/>
    <w:rsid w:val="008E1691"/>
    <w:rsid w:val="008E3FD6"/>
    <w:rsid w:val="008E4089"/>
    <w:rsid w:val="008E5AFF"/>
    <w:rsid w:val="008E7031"/>
    <w:rsid w:val="008E77DE"/>
    <w:rsid w:val="008F040C"/>
    <w:rsid w:val="008F07A3"/>
    <w:rsid w:val="008F3322"/>
    <w:rsid w:val="008F3519"/>
    <w:rsid w:val="008F3A0D"/>
    <w:rsid w:val="009001B6"/>
    <w:rsid w:val="00900E1B"/>
    <w:rsid w:val="0090131F"/>
    <w:rsid w:val="00907683"/>
    <w:rsid w:val="009132B7"/>
    <w:rsid w:val="00916A2C"/>
    <w:rsid w:val="009233EE"/>
    <w:rsid w:val="00930B1A"/>
    <w:rsid w:val="00932612"/>
    <w:rsid w:val="009327DC"/>
    <w:rsid w:val="009338D9"/>
    <w:rsid w:val="009339BD"/>
    <w:rsid w:val="009356CF"/>
    <w:rsid w:val="00945E53"/>
    <w:rsid w:val="009460AA"/>
    <w:rsid w:val="00951978"/>
    <w:rsid w:val="00952C8B"/>
    <w:rsid w:val="00961A4A"/>
    <w:rsid w:val="009661DE"/>
    <w:rsid w:val="00972C7C"/>
    <w:rsid w:val="009776F4"/>
    <w:rsid w:val="00982DA2"/>
    <w:rsid w:val="00983C25"/>
    <w:rsid w:val="0098466D"/>
    <w:rsid w:val="009856B7"/>
    <w:rsid w:val="009859D6"/>
    <w:rsid w:val="00985C86"/>
    <w:rsid w:val="009A5FC3"/>
    <w:rsid w:val="009B6F84"/>
    <w:rsid w:val="009B74B0"/>
    <w:rsid w:val="009C0152"/>
    <w:rsid w:val="009C1A74"/>
    <w:rsid w:val="009C3D42"/>
    <w:rsid w:val="009C491E"/>
    <w:rsid w:val="009D0DF1"/>
    <w:rsid w:val="009D22D6"/>
    <w:rsid w:val="009D2C84"/>
    <w:rsid w:val="009D3906"/>
    <w:rsid w:val="009D5E35"/>
    <w:rsid w:val="009D6B46"/>
    <w:rsid w:val="009E35B6"/>
    <w:rsid w:val="009E5ABC"/>
    <w:rsid w:val="009F3BBA"/>
    <w:rsid w:val="009F43B4"/>
    <w:rsid w:val="009F4940"/>
    <w:rsid w:val="009F5BA1"/>
    <w:rsid w:val="00A02A88"/>
    <w:rsid w:val="00A04012"/>
    <w:rsid w:val="00A046FA"/>
    <w:rsid w:val="00A0562E"/>
    <w:rsid w:val="00A0726D"/>
    <w:rsid w:val="00A073AE"/>
    <w:rsid w:val="00A12204"/>
    <w:rsid w:val="00A12750"/>
    <w:rsid w:val="00A128F1"/>
    <w:rsid w:val="00A13CB0"/>
    <w:rsid w:val="00A1561F"/>
    <w:rsid w:val="00A16544"/>
    <w:rsid w:val="00A30BF5"/>
    <w:rsid w:val="00A31BE6"/>
    <w:rsid w:val="00A32FBB"/>
    <w:rsid w:val="00A40068"/>
    <w:rsid w:val="00A40BE9"/>
    <w:rsid w:val="00A428EE"/>
    <w:rsid w:val="00A443C2"/>
    <w:rsid w:val="00A4478A"/>
    <w:rsid w:val="00A44852"/>
    <w:rsid w:val="00A500F7"/>
    <w:rsid w:val="00A50502"/>
    <w:rsid w:val="00A5087B"/>
    <w:rsid w:val="00A53409"/>
    <w:rsid w:val="00A53796"/>
    <w:rsid w:val="00A53848"/>
    <w:rsid w:val="00A56945"/>
    <w:rsid w:val="00A56A6E"/>
    <w:rsid w:val="00A57D04"/>
    <w:rsid w:val="00A60A26"/>
    <w:rsid w:val="00A61598"/>
    <w:rsid w:val="00A61777"/>
    <w:rsid w:val="00A63646"/>
    <w:rsid w:val="00A63914"/>
    <w:rsid w:val="00A66FEE"/>
    <w:rsid w:val="00A84A99"/>
    <w:rsid w:val="00A84F46"/>
    <w:rsid w:val="00A85E87"/>
    <w:rsid w:val="00A86AEA"/>
    <w:rsid w:val="00A871F4"/>
    <w:rsid w:val="00A9431A"/>
    <w:rsid w:val="00A95988"/>
    <w:rsid w:val="00A959DF"/>
    <w:rsid w:val="00A97A1B"/>
    <w:rsid w:val="00AA2927"/>
    <w:rsid w:val="00AB2CB8"/>
    <w:rsid w:val="00AB4617"/>
    <w:rsid w:val="00AC1B2C"/>
    <w:rsid w:val="00AC3264"/>
    <w:rsid w:val="00AC46AD"/>
    <w:rsid w:val="00AC4D2D"/>
    <w:rsid w:val="00AC58EC"/>
    <w:rsid w:val="00AC5E81"/>
    <w:rsid w:val="00AC7282"/>
    <w:rsid w:val="00AC7961"/>
    <w:rsid w:val="00AD314E"/>
    <w:rsid w:val="00AD5FCD"/>
    <w:rsid w:val="00AD6B48"/>
    <w:rsid w:val="00AD7A3A"/>
    <w:rsid w:val="00AE1BF1"/>
    <w:rsid w:val="00AE23AB"/>
    <w:rsid w:val="00AE58FB"/>
    <w:rsid w:val="00AE5AF0"/>
    <w:rsid w:val="00AE663D"/>
    <w:rsid w:val="00AE73B3"/>
    <w:rsid w:val="00AF07E7"/>
    <w:rsid w:val="00AF0DD2"/>
    <w:rsid w:val="00AF31E1"/>
    <w:rsid w:val="00AF3BBA"/>
    <w:rsid w:val="00AF4231"/>
    <w:rsid w:val="00B00B0E"/>
    <w:rsid w:val="00B00B26"/>
    <w:rsid w:val="00B02385"/>
    <w:rsid w:val="00B02F9D"/>
    <w:rsid w:val="00B05766"/>
    <w:rsid w:val="00B13048"/>
    <w:rsid w:val="00B13883"/>
    <w:rsid w:val="00B1716D"/>
    <w:rsid w:val="00B17A1D"/>
    <w:rsid w:val="00B207A0"/>
    <w:rsid w:val="00B21C21"/>
    <w:rsid w:val="00B22F54"/>
    <w:rsid w:val="00B24A7E"/>
    <w:rsid w:val="00B25C0C"/>
    <w:rsid w:val="00B304B5"/>
    <w:rsid w:val="00B308A9"/>
    <w:rsid w:val="00B31047"/>
    <w:rsid w:val="00B33148"/>
    <w:rsid w:val="00B35CDF"/>
    <w:rsid w:val="00B403C2"/>
    <w:rsid w:val="00B405A1"/>
    <w:rsid w:val="00B4438A"/>
    <w:rsid w:val="00B45AA2"/>
    <w:rsid w:val="00B479CA"/>
    <w:rsid w:val="00B5084F"/>
    <w:rsid w:val="00B514DD"/>
    <w:rsid w:val="00B52AF0"/>
    <w:rsid w:val="00B53D5F"/>
    <w:rsid w:val="00B54051"/>
    <w:rsid w:val="00B561BD"/>
    <w:rsid w:val="00B56E03"/>
    <w:rsid w:val="00B62765"/>
    <w:rsid w:val="00B65DF5"/>
    <w:rsid w:val="00B7679F"/>
    <w:rsid w:val="00B77159"/>
    <w:rsid w:val="00B8080B"/>
    <w:rsid w:val="00B82223"/>
    <w:rsid w:val="00B87BA5"/>
    <w:rsid w:val="00B87C39"/>
    <w:rsid w:val="00B93891"/>
    <w:rsid w:val="00B9562D"/>
    <w:rsid w:val="00BA21DA"/>
    <w:rsid w:val="00BA2B60"/>
    <w:rsid w:val="00BA3C93"/>
    <w:rsid w:val="00BA4665"/>
    <w:rsid w:val="00BA7FD7"/>
    <w:rsid w:val="00BB1681"/>
    <w:rsid w:val="00BB2FB2"/>
    <w:rsid w:val="00BB3304"/>
    <w:rsid w:val="00BB51C9"/>
    <w:rsid w:val="00BB6551"/>
    <w:rsid w:val="00BC4A10"/>
    <w:rsid w:val="00BD1B7D"/>
    <w:rsid w:val="00BD30F4"/>
    <w:rsid w:val="00BD3446"/>
    <w:rsid w:val="00BD59CF"/>
    <w:rsid w:val="00BE1312"/>
    <w:rsid w:val="00BE1F1B"/>
    <w:rsid w:val="00BE3F89"/>
    <w:rsid w:val="00BE47B5"/>
    <w:rsid w:val="00BE5FCE"/>
    <w:rsid w:val="00C0079E"/>
    <w:rsid w:val="00C0572A"/>
    <w:rsid w:val="00C13EBD"/>
    <w:rsid w:val="00C1631B"/>
    <w:rsid w:val="00C163AB"/>
    <w:rsid w:val="00C170F0"/>
    <w:rsid w:val="00C25962"/>
    <w:rsid w:val="00C25FA6"/>
    <w:rsid w:val="00C3099D"/>
    <w:rsid w:val="00C33011"/>
    <w:rsid w:val="00C362C1"/>
    <w:rsid w:val="00C41950"/>
    <w:rsid w:val="00C42C3B"/>
    <w:rsid w:val="00C51672"/>
    <w:rsid w:val="00C538A9"/>
    <w:rsid w:val="00C53B5A"/>
    <w:rsid w:val="00C53CB4"/>
    <w:rsid w:val="00C53E41"/>
    <w:rsid w:val="00C54909"/>
    <w:rsid w:val="00C54AF3"/>
    <w:rsid w:val="00C54F5A"/>
    <w:rsid w:val="00C5639D"/>
    <w:rsid w:val="00C569B4"/>
    <w:rsid w:val="00C57DDE"/>
    <w:rsid w:val="00C61468"/>
    <w:rsid w:val="00C61A97"/>
    <w:rsid w:val="00C61E44"/>
    <w:rsid w:val="00C63FC1"/>
    <w:rsid w:val="00C64FF3"/>
    <w:rsid w:val="00C662AD"/>
    <w:rsid w:val="00C67A92"/>
    <w:rsid w:val="00C71280"/>
    <w:rsid w:val="00C717BF"/>
    <w:rsid w:val="00C76178"/>
    <w:rsid w:val="00C84560"/>
    <w:rsid w:val="00C86679"/>
    <w:rsid w:val="00C8792F"/>
    <w:rsid w:val="00C90472"/>
    <w:rsid w:val="00C91D6E"/>
    <w:rsid w:val="00CA489E"/>
    <w:rsid w:val="00CB0279"/>
    <w:rsid w:val="00CB666B"/>
    <w:rsid w:val="00CB734B"/>
    <w:rsid w:val="00CC058C"/>
    <w:rsid w:val="00CC41B6"/>
    <w:rsid w:val="00CC7ADA"/>
    <w:rsid w:val="00CC7F1D"/>
    <w:rsid w:val="00CD0A88"/>
    <w:rsid w:val="00CD125D"/>
    <w:rsid w:val="00CD283C"/>
    <w:rsid w:val="00CD3641"/>
    <w:rsid w:val="00CD66EA"/>
    <w:rsid w:val="00CD7432"/>
    <w:rsid w:val="00CE0FA5"/>
    <w:rsid w:val="00CE2A23"/>
    <w:rsid w:val="00CE31C8"/>
    <w:rsid w:val="00CE484B"/>
    <w:rsid w:val="00CE7CBA"/>
    <w:rsid w:val="00CF0DEE"/>
    <w:rsid w:val="00CF42AA"/>
    <w:rsid w:val="00CF5EAA"/>
    <w:rsid w:val="00CF6AE3"/>
    <w:rsid w:val="00CF77BB"/>
    <w:rsid w:val="00D006AE"/>
    <w:rsid w:val="00D00905"/>
    <w:rsid w:val="00D010C1"/>
    <w:rsid w:val="00D01CF0"/>
    <w:rsid w:val="00D0442A"/>
    <w:rsid w:val="00D12A7B"/>
    <w:rsid w:val="00D12ADB"/>
    <w:rsid w:val="00D15E63"/>
    <w:rsid w:val="00D25A39"/>
    <w:rsid w:val="00D27CFA"/>
    <w:rsid w:val="00D310FA"/>
    <w:rsid w:val="00D325C6"/>
    <w:rsid w:val="00D37213"/>
    <w:rsid w:val="00D4360D"/>
    <w:rsid w:val="00D5607F"/>
    <w:rsid w:val="00D61388"/>
    <w:rsid w:val="00D61A54"/>
    <w:rsid w:val="00D62108"/>
    <w:rsid w:val="00D64AA4"/>
    <w:rsid w:val="00D64DEA"/>
    <w:rsid w:val="00D64F84"/>
    <w:rsid w:val="00D663CD"/>
    <w:rsid w:val="00D6726A"/>
    <w:rsid w:val="00D7001B"/>
    <w:rsid w:val="00D7160D"/>
    <w:rsid w:val="00D7168E"/>
    <w:rsid w:val="00D71E57"/>
    <w:rsid w:val="00D72D27"/>
    <w:rsid w:val="00D7786B"/>
    <w:rsid w:val="00D80893"/>
    <w:rsid w:val="00D82519"/>
    <w:rsid w:val="00D84854"/>
    <w:rsid w:val="00D924AE"/>
    <w:rsid w:val="00D92CF1"/>
    <w:rsid w:val="00D92D38"/>
    <w:rsid w:val="00D950F5"/>
    <w:rsid w:val="00D97379"/>
    <w:rsid w:val="00DA4752"/>
    <w:rsid w:val="00DA4C09"/>
    <w:rsid w:val="00DA61F3"/>
    <w:rsid w:val="00DA7CB3"/>
    <w:rsid w:val="00DB0D00"/>
    <w:rsid w:val="00DB0F93"/>
    <w:rsid w:val="00DB1A67"/>
    <w:rsid w:val="00DB3721"/>
    <w:rsid w:val="00DB4E34"/>
    <w:rsid w:val="00DB5074"/>
    <w:rsid w:val="00DC0281"/>
    <w:rsid w:val="00DC1930"/>
    <w:rsid w:val="00DC1C76"/>
    <w:rsid w:val="00DC4DBF"/>
    <w:rsid w:val="00DC4E19"/>
    <w:rsid w:val="00DC65FE"/>
    <w:rsid w:val="00DC7981"/>
    <w:rsid w:val="00DD20CC"/>
    <w:rsid w:val="00DD4C07"/>
    <w:rsid w:val="00DD577D"/>
    <w:rsid w:val="00DD5ADC"/>
    <w:rsid w:val="00DE1093"/>
    <w:rsid w:val="00DE4EFA"/>
    <w:rsid w:val="00DE5520"/>
    <w:rsid w:val="00DE563D"/>
    <w:rsid w:val="00DE7AB5"/>
    <w:rsid w:val="00DF0152"/>
    <w:rsid w:val="00DF1958"/>
    <w:rsid w:val="00E04818"/>
    <w:rsid w:val="00E06442"/>
    <w:rsid w:val="00E06952"/>
    <w:rsid w:val="00E11E61"/>
    <w:rsid w:val="00E157B2"/>
    <w:rsid w:val="00E16055"/>
    <w:rsid w:val="00E2332D"/>
    <w:rsid w:val="00E23993"/>
    <w:rsid w:val="00E2574F"/>
    <w:rsid w:val="00E25951"/>
    <w:rsid w:val="00E25B8C"/>
    <w:rsid w:val="00E30BB4"/>
    <w:rsid w:val="00E31CF6"/>
    <w:rsid w:val="00E34A4A"/>
    <w:rsid w:val="00E35AFC"/>
    <w:rsid w:val="00E41D39"/>
    <w:rsid w:val="00E44852"/>
    <w:rsid w:val="00E50A02"/>
    <w:rsid w:val="00E54106"/>
    <w:rsid w:val="00E54697"/>
    <w:rsid w:val="00E57A08"/>
    <w:rsid w:val="00E63631"/>
    <w:rsid w:val="00E64C2A"/>
    <w:rsid w:val="00E65C85"/>
    <w:rsid w:val="00E66199"/>
    <w:rsid w:val="00E70526"/>
    <w:rsid w:val="00E754B4"/>
    <w:rsid w:val="00E755EC"/>
    <w:rsid w:val="00E7624D"/>
    <w:rsid w:val="00E81724"/>
    <w:rsid w:val="00E819A4"/>
    <w:rsid w:val="00E833FA"/>
    <w:rsid w:val="00E84B74"/>
    <w:rsid w:val="00E87066"/>
    <w:rsid w:val="00E966BF"/>
    <w:rsid w:val="00E97165"/>
    <w:rsid w:val="00EA0C04"/>
    <w:rsid w:val="00EA3D42"/>
    <w:rsid w:val="00EA6B1B"/>
    <w:rsid w:val="00EB1CBD"/>
    <w:rsid w:val="00EB3A34"/>
    <w:rsid w:val="00EB3C3F"/>
    <w:rsid w:val="00EC04F1"/>
    <w:rsid w:val="00EC237F"/>
    <w:rsid w:val="00EC573A"/>
    <w:rsid w:val="00ED35C8"/>
    <w:rsid w:val="00ED3968"/>
    <w:rsid w:val="00ED7323"/>
    <w:rsid w:val="00EE28F3"/>
    <w:rsid w:val="00EE50D1"/>
    <w:rsid w:val="00EE7614"/>
    <w:rsid w:val="00EF2330"/>
    <w:rsid w:val="00EF5110"/>
    <w:rsid w:val="00EF5890"/>
    <w:rsid w:val="00EF76BA"/>
    <w:rsid w:val="00F0231A"/>
    <w:rsid w:val="00F03463"/>
    <w:rsid w:val="00F036B7"/>
    <w:rsid w:val="00F0700F"/>
    <w:rsid w:val="00F07F1F"/>
    <w:rsid w:val="00F10411"/>
    <w:rsid w:val="00F10A9A"/>
    <w:rsid w:val="00F11B2D"/>
    <w:rsid w:val="00F121C2"/>
    <w:rsid w:val="00F1485B"/>
    <w:rsid w:val="00F15882"/>
    <w:rsid w:val="00F170C7"/>
    <w:rsid w:val="00F171E0"/>
    <w:rsid w:val="00F20BD3"/>
    <w:rsid w:val="00F2722C"/>
    <w:rsid w:val="00F322E9"/>
    <w:rsid w:val="00F3231B"/>
    <w:rsid w:val="00F33808"/>
    <w:rsid w:val="00F373A5"/>
    <w:rsid w:val="00F37864"/>
    <w:rsid w:val="00F404F9"/>
    <w:rsid w:val="00F44B0A"/>
    <w:rsid w:val="00F47559"/>
    <w:rsid w:val="00F50B30"/>
    <w:rsid w:val="00F51F5F"/>
    <w:rsid w:val="00F52D75"/>
    <w:rsid w:val="00F55582"/>
    <w:rsid w:val="00F57647"/>
    <w:rsid w:val="00F62A14"/>
    <w:rsid w:val="00F644AB"/>
    <w:rsid w:val="00F64C7B"/>
    <w:rsid w:val="00F676DD"/>
    <w:rsid w:val="00F67AB6"/>
    <w:rsid w:val="00F70028"/>
    <w:rsid w:val="00F70434"/>
    <w:rsid w:val="00F75A26"/>
    <w:rsid w:val="00F76706"/>
    <w:rsid w:val="00F77D6D"/>
    <w:rsid w:val="00F80206"/>
    <w:rsid w:val="00F83034"/>
    <w:rsid w:val="00F83FAD"/>
    <w:rsid w:val="00F844C6"/>
    <w:rsid w:val="00F85E40"/>
    <w:rsid w:val="00F92FA6"/>
    <w:rsid w:val="00F9353B"/>
    <w:rsid w:val="00F937F1"/>
    <w:rsid w:val="00F952A0"/>
    <w:rsid w:val="00FA31B1"/>
    <w:rsid w:val="00FA3320"/>
    <w:rsid w:val="00FA3C7F"/>
    <w:rsid w:val="00FA6246"/>
    <w:rsid w:val="00FB24ED"/>
    <w:rsid w:val="00FB3304"/>
    <w:rsid w:val="00FB5005"/>
    <w:rsid w:val="00FB60FE"/>
    <w:rsid w:val="00FB74E2"/>
    <w:rsid w:val="00FB778B"/>
    <w:rsid w:val="00FD5614"/>
    <w:rsid w:val="00FD5E78"/>
    <w:rsid w:val="00FE0BE1"/>
    <w:rsid w:val="00FE11BB"/>
    <w:rsid w:val="00FE1DE9"/>
    <w:rsid w:val="00FE36AF"/>
    <w:rsid w:val="00FE39C2"/>
    <w:rsid w:val="00FE3C32"/>
    <w:rsid w:val="00FE64AE"/>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3756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footnote text" w:qFormat="1"/>
    <w:lsdException w:name="header" w:qFormat="1"/>
    <w:lsdException w:name="footer" w:qFormat="1"/>
    <w:lsdException w:name="caption" w:uiPriority="35" w:qFormat="1"/>
    <w:lsdException w:name="page number" w:uiPriority="0"/>
    <w:lsdException w:name="List" w:qFormat="1"/>
    <w:lsdException w:name="List Number" w:uiPriority="0"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uiPriority="0" w:qFormat="1"/>
    <w:lsdException w:name="List Continue 2" w:uiPriority="0" w:qFormat="1"/>
    <w:lsdException w:name="List Continue 3" w:uiPriority="0"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aliases w:val="(Alt + 1)"/>
    <w:basedOn w:val="Normal"/>
    <w:next w:val="Normal"/>
    <w:link w:val="Heading1Char"/>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aliases w:val="Appendix 1"/>
    <w:next w:val="Normal"/>
    <w:link w:val="Heading5Char"/>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aliases w:val="Appendix 2"/>
    <w:basedOn w:val="Normal"/>
    <w:next w:val="Normal"/>
    <w:link w:val="Heading6Char"/>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7"/>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lt +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aliases w:val="Appendix 1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aliases w:val="Appendix 2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AD7A3A"/>
    <w:pPr>
      <w:spacing w:before="0" w:after="240" w:line="288" w:lineRule="auto"/>
      <w:jc w:val="both"/>
    </w:pPr>
    <w:rPr>
      <w:rFonts w:ascii="Times New Roman" w:eastAsia="Calibri" w:hAnsi="Times New Roman" w:cs="Times New Roman"/>
      <w:sz w:val="24"/>
      <w:szCs w:val="24"/>
    </w:rPr>
  </w:style>
  <w:style w:type="paragraph" w:styleId="PlainText">
    <w:name w:val="Plain Text"/>
    <w:basedOn w:val="Normal"/>
    <w:link w:val="PlainTextChar"/>
    <w:uiPriority w:val="99"/>
    <w:unhideWhenUsed/>
    <w:rsid w:val="00AD7A3A"/>
    <w:pPr>
      <w:spacing w:before="0" w:after="100" w:afterAutospacing="1" w:line="240" w:lineRule="auto"/>
    </w:pPr>
    <w:rPr>
      <w:rFonts w:ascii="Verdana" w:eastAsia="Times New Roman" w:hAnsi="Verdana" w:cs="Times New Roman"/>
      <w:sz w:val="24"/>
      <w:szCs w:val="24"/>
      <w:lang w:eastAsia="en-AU"/>
    </w:rPr>
  </w:style>
  <w:style w:type="character" w:customStyle="1" w:styleId="PlainTextChar">
    <w:name w:val="Plain Text Char"/>
    <w:basedOn w:val="DefaultParagraphFont"/>
    <w:link w:val="PlainText"/>
    <w:uiPriority w:val="99"/>
    <w:rsid w:val="00AD7A3A"/>
    <w:rPr>
      <w:rFonts w:ascii="Verdana" w:eastAsia="Times New Roman" w:hAnsi="Verdana" w:cs="Times New Roman"/>
      <w:sz w:val="24"/>
      <w:szCs w:val="24"/>
      <w:lang w:eastAsia="en-AU"/>
    </w:rPr>
  </w:style>
  <w:style w:type="paragraph" w:styleId="BodyText">
    <w:name w:val="Body Text"/>
    <w:basedOn w:val="Normal"/>
    <w:link w:val="BodyTextChar"/>
    <w:uiPriority w:val="99"/>
    <w:semiHidden/>
    <w:unhideWhenUsed/>
    <w:rsid w:val="00AD7A3A"/>
    <w:pPr>
      <w:spacing w:before="0" w:after="120" w:line="288" w:lineRule="auto"/>
      <w:jc w:val="both"/>
    </w:pPr>
    <w:rPr>
      <w:rFonts w:ascii="Gautami" w:eastAsia="Calibri" w:hAnsi="Gautami" w:cs="Times New Roman"/>
      <w:sz w:val="20"/>
      <w:szCs w:val="20"/>
    </w:rPr>
  </w:style>
  <w:style w:type="character" w:customStyle="1" w:styleId="BodyTextChar">
    <w:name w:val="Body Text Char"/>
    <w:basedOn w:val="DefaultParagraphFont"/>
    <w:link w:val="BodyText"/>
    <w:uiPriority w:val="99"/>
    <w:semiHidden/>
    <w:rsid w:val="00AD7A3A"/>
    <w:rPr>
      <w:rFonts w:ascii="Gautami" w:eastAsia="Calibri" w:hAnsi="Gautami"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footnote text" w:qFormat="1"/>
    <w:lsdException w:name="header" w:qFormat="1"/>
    <w:lsdException w:name="footer" w:qFormat="1"/>
    <w:lsdException w:name="caption" w:uiPriority="35" w:qFormat="1"/>
    <w:lsdException w:name="page number" w:uiPriority="0"/>
    <w:lsdException w:name="List" w:qFormat="1"/>
    <w:lsdException w:name="List Number" w:uiPriority="0"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uiPriority="0" w:qFormat="1"/>
    <w:lsdException w:name="List Continue 2" w:uiPriority="0" w:qFormat="1"/>
    <w:lsdException w:name="List Continue 3" w:uiPriority="0"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aliases w:val="(Alt + 1)"/>
    <w:basedOn w:val="Normal"/>
    <w:next w:val="Normal"/>
    <w:link w:val="Heading1Char"/>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aliases w:val="Appendix 1"/>
    <w:next w:val="Normal"/>
    <w:link w:val="Heading5Char"/>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aliases w:val="Appendix 2"/>
    <w:basedOn w:val="Normal"/>
    <w:next w:val="Normal"/>
    <w:link w:val="Heading6Char"/>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7"/>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lt +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aliases w:val="Appendix 1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aliases w:val="Appendix 2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AD7A3A"/>
    <w:pPr>
      <w:spacing w:before="0" w:after="240" w:line="288" w:lineRule="auto"/>
      <w:jc w:val="both"/>
    </w:pPr>
    <w:rPr>
      <w:rFonts w:ascii="Times New Roman" w:eastAsia="Calibri" w:hAnsi="Times New Roman" w:cs="Times New Roman"/>
      <w:sz w:val="24"/>
      <w:szCs w:val="24"/>
    </w:rPr>
  </w:style>
  <w:style w:type="paragraph" w:styleId="PlainText">
    <w:name w:val="Plain Text"/>
    <w:basedOn w:val="Normal"/>
    <w:link w:val="PlainTextChar"/>
    <w:uiPriority w:val="99"/>
    <w:unhideWhenUsed/>
    <w:rsid w:val="00AD7A3A"/>
    <w:pPr>
      <w:spacing w:before="0" w:after="100" w:afterAutospacing="1" w:line="240" w:lineRule="auto"/>
    </w:pPr>
    <w:rPr>
      <w:rFonts w:ascii="Verdana" w:eastAsia="Times New Roman" w:hAnsi="Verdana" w:cs="Times New Roman"/>
      <w:sz w:val="24"/>
      <w:szCs w:val="24"/>
      <w:lang w:eastAsia="en-AU"/>
    </w:rPr>
  </w:style>
  <w:style w:type="character" w:customStyle="1" w:styleId="PlainTextChar">
    <w:name w:val="Plain Text Char"/>
    <w:basedOn w:val="DefaultParagraphFont"/>
    <w:link w:val="PlainText"/>
    <w:uiPriority w:val="99"/>
    <w:rsid w:val="00AD7A3A"/>
    <w:rPr>
      <w:rFonts w:ascii="Verdana" w:eastAsia="Times New Roman" w:hAnsi="Verdana" w:cs="Times New Roman"/>
      <w:sz w:val="24"/>
      <w:szCs w:val="24"/>
      <w:lang w:eastAsia="en-AU"/>
    </w:rPr>
  </w:style>
  <w:style w:type="paragraph" w:styleId="BodyText">
    <w:name w:val="Body Text"/>
    <w:basedOn w:val="Normal"/>
    <w:link w:val="BodyTextChar"/>
    <w:uiPriority w:val="99"/>
    <w:semiHidden/>
    <w:unhideWhenUsed/>
    <w:rsid w:val="00AD7A3A"/>
    <w:pPr>
      <w:spacing w:before="0" w:after="120" w:line="288" w:lineRule="auto"/>
      <w:jc w:val="both"/>
    </w:pPr>
    <w:rPr>
      <w:rFonts w:ascii="Gautami" w:eastAsia="Calibri" w:hAnsi="Gautami" w:cs="Times New Roman"/>
      <w:sz w:val="20"/>
      <w:szCs w:val="20"/>
    </w:rPr>
  </w:style>
  <w:style w:type="character" w:customStyle="1" w:styleId="BodyTextChar">
    <w:name w:val="Body Text Char"/>
    <w:basedOn w:val="DefaultParagraphFont"/>
    <w:link w:val="BodyText"/>
    <w:uiPriority w:val="99"/>
    <w:semiHidden/>
    <w:rsid w:val="00AD7A3A"/>
    <w:rPr>
      <w:rFonts w:ascii="Gautami" w:eastAsia="Calibri" w:hAnsi="Gautami"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5823670">
      <w:bodyDiv w:val="1"/>
      <w:marLeft w:val="0"/>
      <w:marRight w:val="0"/>
      <w:marTop w:val="0"/>
      <w:marBottom w:val="0"/>
      <w:divBdr>
        <w:top w:val="none" w:sz="0" w:space="0" w:color="auto"/>
        <w:left w:val="none" w:sz="0" w:space="0" w:color="auto"/>
        <w:bottom w:val="none" w:sz="0" w:space="0" w:color="auto"/>
        <w:right w:val="none" w:sz="0" w:space="0" w:color="auto"/>
      </w:divBdr>
    </w:div>
    <w:div w:id="456605257">
      <w:bodyDiv w:val="1"/>
      <w:marLeft w:val="0"/>
      <w:marRight w:val="0"/>
      <w:marTop w:val="0"/>
      <w:marBottom w:val="0"/>
      <w:divBdr>
        <w:top w:val="none" w:sz="0" w:space="0" w:color="auto"/>
        <w:left w:val="none" w:sz="0" w:space="0" w:color="auto"/>
        <w:bottom w:val="none" w:sz="0" w:space="0" w:color="auto"/>
        <w:right w:val="none" w:sz="0" w:space="0" w:color="auto"/>
      </w:divBdr>
    </w:div>
    <w:div w:id="488448612">
      <w:bodyDiv w:val="1"/>
      <w:marLeft w:val="0"/>
      <w:marRight w:val="0"/>
      <w:marTop w:val="0"/>
      <w:marBottom w:val="0"/>
      <w:divBdr>
        <w:top w:val="none" w:sz="0" w:space="0" w:color="auto"/>
        <w:left w:val="none" w:sz="0" w:space="0" w:color="auto"/>
        <w:bottom w:val="none" w:sz="0" w:space="0" w:color="auto"/>
        <w:right w:val="none" w:sz="0" w:space="0" w:color="auto"/>
      </w:divBdr>
    </w:div>
    <w:div w:id="552425704">
      <w:bodyDiv w:val="1"/>
      <w:marLeft w:val="0"/>
      <w:marRight w:val="0"/>
      <w:marTop w:val="0"/>
      <w:marBottom w:val="0"/>
      <w:divBdr>
        <w:top w:val="none" w:sz="0" w:space="0" w:color="auto"/>
        <w:left w:val="none" w:sz="0" w:space="0" w:color="auto"/>
        <w:bottom w:val="none" w:sz="0" w:space="0" w:color="auto"/>
        <w:right w:val="none" w:sz="0" w:space="0" w:color="auto"/>
      </w:divBdr>
    </w:div>
    <w:div w:id="635840213">
      <w:bodyDiv w:val="1"/>
      <w:marLeft w:val="0"/>
      <w:marRight w:val="0"/>
      <w:marTop w:val="0"/>
      <w:marBottom w:val="0"/>
      <w:divBdr>
        <w:top w:val="none" w:sz="0" w:space="0" w:color="auto"/>
        <w:left w:val="none" w:sz="0" w:space="0" w:color="auto"/>
        <w:bottom w:val="none" w:sz="0" w:space="0" w:color="auto"/>
        <w:right w:val="none" w:sz="0" w:space="0" w:color="auto"/>
      </w:divBdr>
    </w:div>
    <w:div w:id="834535643">
      <w:bodyDiv w:val="1"/>
      <w:marLeft w:val="0"/>
      <w:marRight w:val="0"/>
      <w:marTop w:val="0"/>
      <w:marBottom w:val="0"/>
      <w:divBdr>
        <w:top w:val="none" w:sz="0" w:space="0" w:color="auto"/>
        <w:left w:val="none" w:sz="0" w:space="0" w:color="auto"/>
        <w:bottom w:val="none" w:sz="0" w:space="0" w:color="auto"/>
        <w:right w:val="none" w:sz="0" w:space="0" w:color="auto"/>
      </w:divBdr>
    </w:div>
    <w:div w:id="983241265">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 w:id="19744065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AERInquiry@aer.gov.au"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image" Target="media/image2.jpeg"/><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jpg"/><Relationship Id="rId14" Type="http://schemas.openxmlformats.org/officeDocument/2006/relationships/footer" Target="footer3.xml"/></Relationships>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8AEB45AA</Template>
  <TotalTime>0</TotalTime>
  <Pages>8</Pages>
  <Words>1072</Words>
  <Characters>6111</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7169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2016-05-20T06:25:00Z</dcterms:created>
  <dcterms:modified xsi:type="dcterms:W3CDTF">2016-05-20T06:26:00Z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URI">
    <vt:lpwstr>8578013</vt:lpwstr>
  </property>
</Properties>
</file>