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ADA8961" wp14:editId="0CD52216">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7896348" wp14:editId="1CB2B154">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B4E34" w:rsidP="008F07A3">
          <w:pPr>
            <w:pStyle w:val="ReportSubtitle"/>
          </w:pPr>
          <w:r>
            <w:t>AusNet Services</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3F2346">
            <w:t>2</w:t>
          </w:r>
          <w:r w:rsidR="000474DF">
            <w:t xml:space="preserve"> </w:t>
          </w:r>
          <w:r w:rsidR="00185BA5">
            <w:t>–</w:t>
          </w:r>
          <w:r w:rsidR="000474DF">
            <w:t xml:space="preserve"> </w:t>
          </w:r>
          <w:r w:rsidR="000F65B0">
            <w:t>R</w:t>
          </w:r>
          <w:r w:rsidR="003F2346">
            <w:t>egulatory asset base</w:t>
          </w:r>
        </w:p>
        <w:p w:rsidR="000A6C7B" w:rsidRPr="00327A1E" w:rsidRDefault="002F3E7C"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520797"/>
      <w:r>
        <w:lastRenderedPageBreak/>
        <w:t>Note</w:t>
      </w:r>
      <w:bookmarkEnd w:id="2"/>
      <w:bookmarkEnd w:id="3"/>
      <w:bookmarkEnd w:id="4"/>
    </w:p>
    <w:p w:rsidR="00761454" w:rsidRDefault="00761454" w:rsidP="00761454">
      <w:pPr>
        <w:numPr>
          <w:ilvl w:val="0"/>
          <w:numId w:val="24"/>
        </w:numPr>
      </w:pPr>
      <w:r>
        <w:t xml:space="preserve">This </w:t>
      </w:r>
      <w:r w:rsidR="009D0725">
        <w:t xml:space="preserve">attachment </w:t>
      </w:r>
      <w:r>
        <w:t xml:space="preserve">forms part of the AER's </w:t>
      </w:r>
      <w:r w:rsidR="00DB4E34">
        <w:t>final</w:t>
      </w:r>
      <w:r w:rsidR="000474DF">
        <w:t xml:space="preserve"> </w:t>
      </w:r>
      <w:r>
        <w:t xml:space="preserve">decision on </w:t>
      </w:r>
      <w:r w:rsidR="00DB4E34">
        <w:t>AusNet Services'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520798"/>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060C68"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520797" w:history="1">
            <w:r w:rsidR="00060C68" w:rsidRPr="00344707">
              <w:rPr>
                <w:rStyle w:val="Hyperlink"/>
              </w:rPr>
              <w:t>Note</w:t>
            </w:r>
            <w:r w:rsidR="00060C68">
              <w:rPr>
                <w:webHidden/>
              </w:rPr>
              <w:tab/>
            </w:r>
            <w:r w:rsidR="00060C68">
              <w:rPr>
                <w:webHidden/>
              </w:rPr>
              <w:fldChar w:fldCharType="begin"/>
            </w:r>
            <w:r w:rsidR="00060C68">
              <w:rPr>
                <w:webHidden/>
              </w:rPr>
              <w:instrText xml:space="preserve"> PAGEREF _Toc451520797 \h </w:instrText>
            </w:r>
            <w:r w:rsidR="00060C68">
              <w:rPr>
                <w:webHidden/>
              </w:rPr>
            </w:r>
            <w:r w:rsidR="00060C68">
              <w:rPr>
                <w:webHidden/>
              </w:rPr>
              <w:fldChar w:fldCharType="separate"/>
            </w:r>
            <w:r w:rsidR="00060C68">
              <w:rPr>
                <w:webHidden/>
              </w:rPr>
              <w:t>2-2</w:t>
            </w:r>
            <w:r w:rsidR="00060C68">
              <w:rPr>
                <w:webHidden/>
              </w:rPr>
              <w:fldChar w:fldCharType="end"/>
            </w:r>
          </w:hyperlink>
        </w:p>
        <w:p w:rsidR="00060C68" w:rsidRDefault="003A2B97">
          <w:pPr>
            <w:pStyle w:val="TOC1"/>
            <w:rPr>
              <w:rFonts w:asciiTheme="minorHAnsi" w:eastAsiaTheme="minorEastAsia" w:hAnsiTheme="minorHAnsi"/>
              <w:b w:val="0"/>
              <w:color w:val="auto"/>
              <w:sz w:val="22"/>
              <w:lang w:val="en-AU" w:eastAsia="en-AU"/>
            </w:rPr>
          </w:pPr>
          <w:hyperlink w:anchor="_Toc451520798" w:history="1">
            <w:r w:rsidR="00060C68" w:rsidRPr="00344707">
              <w:rPr>
                <w:rStyle w:val="Hyperlink"/>
              </w:rPr>
              <w:t>Contents</w:t>
            </w:r>
            <w:r w:rsidR="00060C68">
              <w:rPr>
                <w:webHidden/>
              </w:rPr>
              <w:tab/>
            </w:r>
            <w:r w:rsidR="00060C68">
              <w:rPr>
                <w:webHidden/>
              </w:rPr>
              <w:fldChar w:fldCharType="begin"/>
            </w:r>
            <w:r w:rsidR="00060C68">
              <w:rPr>
                <w:webHidden/>
              </w:rPr>
              <w:instrText xml:space="preserve"> PAGEREF _Toc451520798 \h </w:instrText>
            </w:r>
            <w:r w:rsidR="00060C68">
              <w:rPr>
                <w:webHidden/>
              </w:rPr>
            </w:r>
            <w:r w:rsidR="00060C68">
              <w:rPr>
                <w:webHidden/>
              </w:rPr>
              <w:fldChar w:fldCharType="separate"/>
            </w:r>
            <w:r w:rsidR="00060C68">
              <w:rPr>
                <w:webHidden/>
              </w:rPr>
              <w:t>2-3</w:t>
            </w:r>
            <w:r w:rsidR="00060C68">
              <w:rPr>
                <w:webHidden/>
              </w:rPr>
              <w:fldChar w:fldCharType="end"/>
            </w:r>
          </w:hyperlink>
        </w:p>
        <w:p w:rsidR="00060C68" w:rsidRDefault="003A2B97">
          <w:pPr>
            <w:pStyle w:val="TOC1"/>
            <w:rPr>
              <w:rFonts w:asciiTheme="minorHAnsi" w:eastAsiaTheme="minorEastAsia" w:hAnsiTheme="minorHAnsi"/>
              <w:b w:val="0"/>
              <w:color w:val="auto"/>
              <w:sz w:val="22"/>
              <w:lang w:val="en-AU" w:eastAsia="en-AU"/>
            </w:rPr>
          </w:pPr>
          <w:hyperlink w:anchor="_Toc451520799" w:history="1">
            <w:r w:rsidR="00060C68" w:rsidRPr="00344707">
              <w:rPr>
                <w:rStyle w:val="Hyperlink"/>
              </w:rPr>
              <w:t>Shortened forms</w:t>
            </w:r>
            <w:r w:rsidR="00060C68">
              <w:rPr>
                <w:webHidden/>
              </w:rPr>
              <w:tab/>
            </w:r>
            <w:r w:rsidR="00060C68">
              <w:rPr>
                <w:webHidden/>
              </w:rPr>
              <w:fldChar w:fldCharType="begin"/>
            </w:r>
            <w:r w:rsidR="00060C68">
              <w:rPr>
                <w:webHidden/>
              </w:rPr>
              <w:instrText xml:space="preserve"> PAGEREF _Toc451520799 \h </w:instrText>
            </w:r>
            <w:r w:rsidR="00060C68">
              <w:rPr>
                <w:webHidden/>
              </w:rPr>
            </w:r>
            <w:r w:rsidR="00060C68">
              <w:rPr>
                <w:webHidden/>
              </w:rPr>
              <w:fldChar w:fldCharType="separate"/>
            </w:r>
            <w:r w:rsidR="00060C68">
              <w:rPr>
                <w:webHidden/>
              </w:rPr>
              <w:t>2-4</w:t>
            </w:r>
            <w:r w:rsidR="00060C68">
              <w:rPr>
                <w:webHidden/>
              </w:rPr>
              <w:fldChar w:fldCharType="end"/>
            </w:r>
          </w:hyperlink>
        </w:p>
        <w:p w:rsidR="00060C68" w:rsidRDefault="003A2B97">
          <w:pPr>
            <w:pStyle w:val="TOC1"/>
            <w:rPr>
              <w:rFonts w:asciiTheme="minorHAnsi" w:eastAsiaTheme="minorEastAsia" w:hAnsiTheme="minorHAnsi"/>
              <w:b w:val="0"/>
              <w:color w:val="auto"/>
              <w:sz w:val="22"/>
              <w:lang w:val="en-AU" w:eastAsia="en-AU"/>
            </w:rPr>
          </w:pPr>
          <w:hyperlink w:anchor="_Toc451520800" w:history="1">
            <w:r w:rsidR="00060C68" w:rsidRPr="00344707">
              <w:rPr>
                <w:rStyle w:val="Hyperlink"/>
              </w:rPr>
              <w:t>2</w:t>
            </w:r>
            <w:r w:rsidR="00060C68">
              <w:rPr>
                <w:rFonts w:asciiTheme="minorHAnsi" w:eastAsiaTheme="minorEastAsia" w:hAnsiTheme="minorHAnsi"/>
                <w:b w:val="0"/>
                <w:color w:val="auto"/>
                <w:sz w:val="22"/>
                <w:lang w:val="en-AU" w:eastAsia="en-AU"/>
              </w:rPr>
              <w:tab/>
            </w:r>
            <w:r w:rsidR="00060C68" w:rsidRPr="00344707">
              <w:rPr>
                <w:rStyle w:val="Hyperlink"/>
              </w:rPr>
              <w:t>Regulatory asset base</w:t>
            </w:r>
            <w:r w:rsidR="00060C68">
              <w:rPr>
                <w:webHidden/>
              </w:rPr>
              <w:tab/>
            </w:r>
            <w:r w:rsidR="00060C68">
              <w:rPr>
                <w:webHidden/>
              </w:rPr>
              <w:fldChar w:fldCharType="begin"/>
            </w:r>
            <w:r w:rsidR="00060C68">
              <w:rPr>
                <w:webHidden/>
              </w:rPr>
              <w:instrText xml:space="preserve"> PAGEREF _Toc451520800 \h </w:instrText>
            </w:r>
            <w:r w:rsidR="00060C68">
              <w:rPr>
                <w:webHidden/>
              </w:rPr>
            </w:r>
            <w:r w:rsidR="00060C68">
              <w:rPr>
                <w:webHidden/>
              </w:rPr>
              <w:fldChar w:fldCharType="separate"/>
            </w:r>
            <w:r w:rsidR="00060C68">
              <w:rPr>
                <w:webHidden/>
              </w:rPr>
              <w:t>2-6</w:t>
            </w:r>
            <w:r w:rsidR="00060C68">
              <w:rPr>
                <w:webHidden/>
              </w:rPr>
              <w:fldChar w:fldCharType="end"/>
            </w:r>
          </w:hyperlink>
        </w:p>
        <w:p w:rsidR="00060C68" w:rsidRDefault="003A2B97">
          <w:pPr>
            <w:pStyle w:val="TOC2"/>
            <w:rPr>
              <w:rFonts w:asciiTheme="minorHAnsi" w:eastAsiaTheme="minorEastAsia" w:hAnsiTheme="minorHAnsi"/>
              <w:b w:val="0"/>
              <w:color w:val="auto"/>
              <w:sz w:val="22"/>
              <w:lang w:eastAsia="en-AU"/>
            </w:rPr>
          </w:pPr>
          <w:hyperlink w:anchor="_Toc451520801" w:history="1">
            <w:r w:rsidR="00060C68" w:rsidRPr="00344707">
              <w:rPr>
                <w:rStyle w:val="Hyperlink"/>
              </w:rPr>
              <w:t>2.1</w:t>
            </w:r>
            <w:r w:rsidR="00060C68">
              <w:rPr>
                <w:rFonts w:asciiTheme="minorHAnsi" w:eastAsiaTheme="minorEastAsia" w:hAnsiTheme="minorHAnsi"/>
                <w:b w:val="0"/>
                <w:color w:val="auto"/>
                <w:sz w:val="22"/>
                <w:lang w:eastAsia="en-AU"/>
              </w:rPr>
              <w:tab/>
            </w:r>
            <w:r w:rsidR="00060C68" w:rsidRPr="00344707">
              <w:rPr>
                <w:rStyle w:val="Hyperlink"/>
              </w:rPr>
              <w:t>Final decision</w:t>
            </w:r>
            <w:r w:rsidR="00060C68">
              <w:rPr>
                <w:webHidden/>
              </w:rPr>
              <w:tab/>
            </w:r>
            <w:r w:rsidR="00060C68">
              <w:rPr>
                <w:webHidden/>
              </w:rPr>
              <w:fldChar w:fldCharType="begin"/>
            </w:r>
            <w:r w:rsidR="00060C68">
              <w:rPr>
                <w:webHidden/>
              </w:rPr>
              <w:instrText xml:space="preserve"> PAGEREF _Toc451520801 \h </w:instrText>
            </w:r>
            <w:r w:rsidR="00060C68">
              <w:rPr>
                <w:webHidden/>
              </w:rPr>
            </w:r>
            <w:r w:rsidR="00060C68">
              <w:rPr>
                <w:webHidden/>
              </w:rPr>
              <w:fldChar w:fldCharType="separate"/>
            </w:r>
            <w:r w:rsidR="00060C68">
              <w:rPr>
                <w:webHidden/>
              </w:rPr>
              <w:t>2-6</w:t>
            </w:r>
            <w:r w:rsidR="00060C68">
              <w:rPr>
                <w:webHidden/>
              </w:rPr>
              <w:fldChar w:fldCharType="end"/>
            </w:r>
          </w:hyperlink>
        </w:p>
        <w:p w:rsidR="00060C68" w:rsidRDefault="003A2B97">
          <w:pPr>
            <w:pStyle w:val="TOC2"/>
            <w:rPr>
              <w:rFonts w:asciiTheme="minorHAnsi" w:eastAsiaTheme="minorEastAsia" w:hAnsiTheme="minorHAnsi"/>
              <w:b w:val="0"/>
              <w:color w:val="auto"/>
              <w:sz w:val="22"/>
              <w:lang w:eastAsia="en-AU"/>
            </w:rPr>
          </w:pPr>
          <w:hyperlink w:anchor="_Toc451520802" w:history="1">
            <w:r w:rsidR="00060C68" w:rsidRPr="00344707">
              <w:rPr>
                <w:rStyle w:val="Hyperlink"/>
              </w:rPr>
              <w:t>2.2</w:t>
            </w:r>
            <w:r w:rsidR="00060C68">
              <w:rPr>
                <w:rFonts w:asciiTheme="minorHAnsi" w:eastAsiaTheme="minorEastAsia" w:hAnsiTheme="minorHAnsi"/>
                <w:b w:val="0"/>
                <w:color w:val="auto"/>
                <w:sz w:val="22"/>
                <w:lang w:eastAsia="en-AU"/>
              </w:rPr>
              <w:tab/>
            </w:r>
            <w:r w:rsidR="00060C68" w:rsidRPr="00344707">
              <w:rPr>
                <w:rStyle w:val="Hyperlink"/>
              </w:rPr>
              <w:t>AusNet Services' revised proposal</w:t>
            </w:r>
            <w:r w:rsidR="00060C68">
              <w:rPr>
                <w:webHidden/>
              </w:rPr>
              <w:tab/>
            </w:r>
            <w:r w:rsidR="00060C68">
              <w:rPr>
                <w:webHidden/>
              </w:rPr>
              <w:fldChar w:fldCharType="begin"/>
            </w:r>
            <w:r w:rsidR="00060C68">
              <w:rPr>
                <w:webHidden/>
              </w:rPr>
              <w:instrText xml:space="preserve"> PAGEREF _Toc451520802 \h </w:instrText>
            </w:r>
            <w:r w:rsidR="00060C68">
              <w:rPr>
                <w:webHidden/>
              </w:rPr>
            </w:r>
            <w:r w:rsidR="00060C68">
              <w:rPr>
                <w:webHidden/>
              </w:rPr>
              <w:fldChar w:fldCharType="separate"/>
            </w:r>
            <w:r w:rsidR="00060C68">
              <w:rPr>
                <w:webHidden/>
              </w:rPr>
              <w:t>2-7</w:t>
            </w:r>
            <w:r w:rsidR="00060C68">
              <w:rPr>
                <w:webHidden/>
              </w:rPr>
              <w:fldChar w:fldCharType="end"/>
            </w:r>
          </w:hyperlink>
        </w:p>
        <w:p w:rsidR="00060C68" w:rsidRDefault="003A2B97">
          <w:pPr>
            <w:pStyle w:val="TOC2"/>
            <w:rPr>
              <w:rFonts w:asciiTheme="minorHAnsi" w:eastAsiaTheme="minorEastAsia" w:hAnsiTheme="minorHAnsi"/>
              <w:b w:val="0"/>
              <w:color w:val="auto"/>
              <w:sz w:val="22"/>
              <w:lang w:eastAsia="en-AU"/>
            </w:rPr>
          </w:pPr>
          <w:hyperlink w:anchor="_Toc451520803" w:history="1">
            <w:r w:rsidR="00060C68" w:rsidRPr="00344707">
              <w:rPr>
                <w:rStyle w:val="Hyperlink"/>
              </w:rPr>
              <w:t>2.3</w:t>
            </w:r>
            <w:r w:rsidR="00060C68">
              <w:rPr>
                <w:rFonts w:asciiTheme="minorHAnsi" w:eastAsiaTheme="minorEastAsia" w:hAnsiTheme="minorHAnsi"/>
                <w:b w:val="0"/>
                <w:color w:val="auto"/>
                <w:sz w:val="22"/>
                <w:lang w:eastAsia="en-AU"/>
              </w:rPr>
              <w:tab/>
            </w:r>
            <w:r w:rsidR="00060C68" w:rsidRPr="00344707">
              <w:rPr>
                <w:rStyle w:val="Hyperlink"/>
              </w:rPr>
              <w:t>Assessment approach</w:t>
            </w:r>
            <w:r w:rsidR="00060C68">
              <w:rPr>
                <w:webHidden/>
              </w:rPr>
              <w:tab/>
            </w:r>
            <w:r w:rsidR="00060C68">
              <w:rPr>
                <w:webHidden/>
              </w:rPr>
              <w:fldChar w:fldCharType="begin"/>
            </w:r>
            <w:r w:rsidR="00060C68">
              <w:rPr>
                <w:webHidden/>
              </w:rPr>
              <w:instrText xml:space="preserve"> PAGEREF _Toc451520803 \h </w:instrText>
            </w:r>
            <w:r w:rsidR="00060C68">
              <w:rPr>
                <w:webHidden/>
              </w:rPr>
            </w:r>
            <w:r w:rsidR="00060C68">
              <w:rPr>
                <w:webHidden/>
              </w:rPr>
              <w:fldChar w:fldCharType="separate"/>
            </w:r>
            <w:r w:rsidR="00060C68">
              <w:rPr>
                <w:webHidden/>
              </w:rPr>
              <w:t>2-9</w:t>
            </w:r>
            <w:r w:rsidR="00060C68">
              <w:rPr>
                <w:webHidden/>
              </w:rPr>
              <w:fldChar w:fldCharType="end"/>
            </w:r>
          </w:hyperlink>
        </w:p>
        <w:p w:rsidR="00060C68" w:rsidRDefault="003A2B97">
          <w:pPr>
            <w:pStyle w:val="TOC2"/>
            <w:rPr>
              <w:rFonts w:asciiTheme="minorHAnsi" w:eastAsiaTheme="minorEastAsia" w:hAnsiTheme="minorHAnsi"/>
              <w:b w:val="0"/>
              <w:color w:val="auto"/>
              <w:sz w:val="22"/>
              <w:lang w:eastAsia="en-AU"/>
            </w:rPr>
          </w:pPr>
          <w:hyperlink w:anchor="_Toc451520804" w:history="1">
            <w:r w:rsidR="00060C68" w:rsidRPr="00344707">
              <w:rPr>
                <w:rStyle w:val="Hyperlink"/>
              </w:rPr>
              <w:t>2.4</w:t>
            </w:r>
            <w:r w:rsidR="00060C68">
              <w:rPr>
                <w:rFonts w:asciiTheme="minorHAnsi" w:eastAsiaTheme="minorEastAsia" w:hAnsiTheme="minorHAnsi"/>
                <w:b w:val="0"/>
                <w:color w:val="auto"/>
                <w:sz w:val="22"/>
                <w:lang w:eastAsia="en-AU"/>
              </w:rPr>
              <w:tab/>
            </w:r>
            <w:r w:rsidR="00060C68" w:rsidRPr="00344707">
              <w:rPr>
                <w:rStyle w:val="Hyperlink"/>
              </w:rPr>
              <w:t>Reasons for final decision</w:t>
            </w:r>
            <w:r w:rsidR="00060C68">
              <w:rPr>
                <w:webHidden/>
              </w:rPr>
              <w:tab/>
            </w:r>
            <w:r w:rsidR="00060C68">
              <w:rPr>
                <w:webHidden/>
              </w:rPr>
              <w:fldChar w:fldCharType="begin"/>
            </w:r>
            <w:r w:rsidR="00060C68">
              <w:rPr>
                <w:webHidden/>
              </w:rPr>
              <w:instrText xml:space="preserve"> PAGEREF _Toc451520804 \h </w:instrText>
            </w:r>
            <w:r w:rsidR="00060C68">
              <w:rPr>
                <w:webHidden/>
              </w:rPr>
            </w:r>
            <w:r w:rsidR="00060C68">
              <w:rPr>
                <w:webHidden/>
              </w:rPr>
              <w:fldChar w:fldCharType="separate"/>
            </w:r>
            <w:r w:rsidR="00060C68">
              <w:rPr>
                <w:webHidden/>
              </w:rPr>
              <w:t>2-9</w:t>
            </w:r>
            <w:r w:rsidR="00060C68">
              <w:rPr>
                <w:webHidden/>
              </w:rPr>
              <w:fldChar w:fldCharType="end"/>
            </w:r>
          </w:hyperlink>
        </w:p>
        <w:p w:rsidR="00060C68" w:rsidRDefault="003A2B97">
          <w:pPr>
            <w:pStyle w:val="TOC3"/>
            <w:rPr>
              <w:rFonts w:asciiTheme="minorHAnsi" w:eastAsiaTheme="minorEastAsia" w:hAnsiTheme="minorHAnsi"/>
              <w:lang w:eastAsia="en-AU"/>
            </w:rPr>
          </w:pPr>
          <w:hyperlink w:anchor="_Toc451520805" w:history="1">
            <w:r w:rsidR="00060C68" w:rsidRPr="00344707">
              <w:rPr>
                <w:rStyle w:val="Hyperlink"/>
              </w:rPr>
              <w:t>2.4.1</w:t>
            </w:r>
            <w:r w:rsidR="00060C68">
              <w:rPr>
                <w:rFonts w:asciiTheme="minorHAnsi" w:eastAsiaTheme="minorEastAsia" w:hAnsiTheme="minorHAnsi"/>
                <w:lang w:eastAsia="en-AU"/>
              </w:rPr>
              <w:tab/>
            </w:r>
            <w:r w:rsidR="00060C68" w:rsidRPr="00344707">
              <w:rPr>
                <w:rStyle w:val="Hyperlink"/>
              </w:rPr>
              <w:t>Opening RAB as at 1 January 2016</w:t>
            </w:r>
            <w:r w:rsidR="00060C68">
              <w:rPr>
                <w:webHidden/>
              </w:rPr>
              <w:tab/>
            </w:r>
            <w:r w:rsidR="00060C68">
              <w:rPr>
                <w:webHidden/>
              </w:rPr>
              <w:fldChar w:fldCharType="begin"/>
            </w:r>
            <w:r w:rsidR="00060C68">
              <w:rPr>
                <w:webHidden/>
              </w:rPr>
              <w:instrText xml:space="preserve"> PAGEREF _Toc451520805 \h </w:instrText>
            </w:r>
            <w:r w:rsidR="00060C68">
              <w:rPr>
                <w:webHidden/>
              </w:rPr>
            </w:r>
            <w:r w:rsidR="00060C68">
              <w:rPr>
                <w:webHidden/>
              </w:rPr>
              <w:fldChar w:fldCharType="separate"/>
            </w:r>
            <w:r w:rsidR="00060C68">
              <w:rPr>
                <w:webHidden/>
              </w:rPr>
              <w:t>2-10</w:t>
            </w:r>
            <w:r w:rsidR="00060C68">
              <w:rPr>
                <w:webHidden/>
              </w:rPr>
              <w:fldChar w:fldCharType="end"/>
            </w:r>
          </w:hyperlink>
        </w:p>
        <w:p w:rsidR="00060C68" w:rsidRDefault="003A2B97">
          <w:pPr>
            <w:pStyle w:val="TOC3"/>
            <w:rPr>
              <w:rFonts w:asciiTheme="minorHAnsi" w:eastAsiaTheme="minorEastAsia" w:hAnsiTheme="minorHAnsi"/>
              <w:lang w:eastAsia="en-AU"/>
            </w:rPr>
          </w:pPr>
          <w:hyperlink w:anchor="_Toc451520806" w:history="1">
            <w:r w:rsidR="00060C68" w:rsidRPr="00344707">
              <w:rPr>
                <w:rStyle w:val="Hyperlink"/>
              </w:rPr>
              <w:t>2.4.2</w:t>
            </w:r>
            <w:r w:rsidR="00060C68">
              <w:rPr>
                <w:rFonts w:asciiTheme="minorHAnsi" w:eastAsiaTheme="minorEastAsia" w:hAnsiTheme="minorHAnsi"/>
                <w:lang w:eastAsia="en-AU"/>
              </w:rPr>
              <w:tab/>
            </w:r>
            <w:r w:rsidR="00060C68" w:rsidRPr="00344707">
              <w:rPr>
                <w:rStyle w:val="Hyperlink"/>
              </w:rPr>
              <w:t>Forecast closing RAB as at 31 December 2020</w:t>
            </w:r>
            <w:r w:rsidR="00060C68">
              <w:rPr>
                <w:webHidden/>
              </w:rPr>
              <w:tab/>
            </w:r>
            <w:r w:rsidR="00060C68">
              <w:rPr>
                <w:webHidden/>
              </w:rPr>
              <w:fldChar w:fldCharType="begin"/>
            </w:r>
            <w:r w:rsidR="00060C68">
              <w:rPr>
                <w:webHidden/>
              </w:rPr>
              <w:instrText xml:space="preserve"> PAGEREF _Toc451520806 \h </w:instrText>
            </w:r>
            <w:r w:rsidR="00060C68">
              <w:rPr>
                <w:webHidden/>
              </w:rPr>
            </w:r>
            <w:r w:rsidR="00060C68">
              <w:rPr>
                <w:webHidden/>
              </w:rPr>
              <w:fldChar w:fldCharType="separate"/>
            </w:r>
            <w:r w:rsidR="00060C68">
              <w:rPr>
                <w:webHidden/>
              </w:rPr>
              <w:t>2-20</w:t>
            </w:r>
            <w:r w:rsidR="00060C68">
              <w:rPr>
                <w:webHidden/>
              </w:rPr>
              <w:fldChar w:fldCharType="end"/>
            </w:r>
          </w:hyperlink>
        </w:p>
        <w:p w:rsidR="00060C68" w:rsidRDefault="003A2B97">
          <w:pPr>
            <w:pStyle w:val="TOC3"/>
            <w:rPr>
              <w:rFonts w:asciiTheme="minorHAnsi" w:eastAsiaTheme="minorEastAsia" w:hAnsiTheme="minorHAnsi"/>
              <w:lang w:eastAsia="en-AU"/>
            </w:rPr>
          </w:pPr>
          <w:hyperlink w:anchor="_Toc451520807" w:history="1">
            <w:r w:rsidR="00060C68" w:rsidRPr="00344707">
              <w:rPr>
                <w:rStyle w:val="Hyperlink"/>
              </w:rPr>
              <w:t>2.4.3</w:t>
            </w:r>
            <w:r w:rsidR="00060C68">
              <w:rPr>
                <w:rFonts w:asciiTheme="minorHAnsi" w:eastAsiaTheme="minorEastAsia" w:hAnsiTheme="minorHAnsi"/>
                <w:lang w:eastAsia="en-AU"/>
              </w:rPr>
              <w:tab/>
            </w:r>
            <w:r w:rsidR="00060C68" w:rsidRPr="00344707">
              <w:rPr>
                <w:rStyle w:val="Hyperlink"/>
              </w:rPr>
              <w:t>Application of depreciation approach in RAB roll forward for next reset</w:t>
            </w:r>
            <w:r w:rsidR="00060C68">
              <w:rPr>
                <w:webHidden/>
              </w:rPr>
              <w:tab/>
            </w:r>
            <w:r w:rsidR="00060C68">
              <w:rPr>
                <w:webHidden/>
              </w:rPr>
              <w:fldChar w:fldCharType="begin"/>
            </w:r>
            <w:r w:rsidR="00060C68">
              <w:rPr>
                <w:webHidden/>
              </w:rPr>
              <w:instrText xml:space="preserve"> PAGEREF _Toc451520807 \h </w:instrText>
            </w:r>
            <w:r w:rsidR="00060C68">
              <w:rPr>
                <w:webHidden/>
              </w:rPr>
            </w:r>
            <w:r w:rsidR="00060C68">
              <w:rPr>
                <w:webHidden/>
              </w:rPr>
              <w:fldChar w:fldCharType="separate"/>
            </w:r>
            <w:r w:rsidR="00060C68">
              <w:rPr>
                <w:webHidden/>
              </w:rPr>
              <w:t>2-20</w:t>
            </w:r>
            <w:r w:rsidR="00060C68">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520799"/>
      <w:r>
        <w:lastRenderedPageBreak/>
        <w:t>Shortened forms</w:t>
      </w:r>
      <w:bookmarkEnd w:id="11"/>
      <w:bookmarkEnd w:id="12"/>
    </w:p>
    <w:tbl>
      <w:tblPr>
        <w:tblStyle w:val="AERtable-text0"/>
        <w:tblW w:w="0" w:type="auto"/>
        <w:tblLook w:val="04A0" w:firstRow="1" w:lastRow="0" w:firstColumn="1" w:lastColumn="0" w:noHBand="0" w:noVBand="1"/>
      </w:tblPr>
      <w:tblGrid>
        <w:gridCol w:w="3369"/>
        <w:gridCol w:w="5324"/>
      </w:tblGrid>
      <w:tr w:rsidR="0053603C" w:rsidRPr="0087648F" w:rsidTr="002C1B51">
        <w:trPr>
          <w:cnfStyle w:val="100000000000" w:firstRow="1" w:lastRow="0" w:firstColumn="0" w:lastColumn="0" w:oddVBand="0" w:evenVBand="0" w:oddHBand="0" w:evenHBand="0" w:firstRowFirstColumn="0" w:firstRowLastColumn="0" w:lastRowFirstColumn="0" w:lastRowLastColumn="0"/>
          <w:tblHeader/>
        </w:trPr>
        <w:tc>
          <w:tcPr>
            <w:tcW w:w="3369" w:type="dxa"/>
          </w:tcPr>
          <w:p w:rsidR="0053603C" w:rsidRPr="0087648F" w:rsidRDefault="0087648F" w:rsidP="0087648F">
            <w:r>
              <w:t>Shortened form</w:t>
            </w:r>
          </w:p>
        </w:tc>
        <w:tc>
          <w:tcPr>
            <w:tcW w:w="5324" w:type="dxa"/>
          </w:tcPr>
          <w:p w:rsidR="0053603C" w:rsidRPr="0087648F" w:rsidRDefault="0087648F" w:rsidP="0087648F">
            <w:r>
              <w:t>Extended form</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AEMC</w:t>
            </w:r>
          </w:p>
        </w:tc>
        <w:tc>
          <w:tcPr>
            <w:tcW w:w="5324"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AEMO</w:t>
            </w:r>
          </w:p>
        </w:tc>
        <w:tc>
          <w:tcPr>
            <w:tcW w:w="5324"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AER</w:t>
            </w:r>
          </w:p>
        </w:tc>
        <w:tc>
          <w:tcPr>
            <w:tcW w:w="5324"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0F0F0A" w:rsidRPr="00712239" w:rsidRDefault="000F0F0A" w:rsidP="004523B2">
            <w:pPr>
              <w:pStyle w:val="AERtabletextleft"/>
              <w:rPr>
                <w:rStyle w:val="AERtextsize8"/>
              </w:rPr>
            </w:pPr>
            <w:r>
              <w:rPr>
                <w:rStyle w:val="AERtextsize8"/>
              </w:rPr>
              <w:t>AMI</w:t>
            </w:r>
          </w:p>
        </w:tc>
        <w:tc>
          <w:tcPr>
            <w:tcW w:w="5324" w:type="dxa"/>
          </w:tcPr>
          <w:p w:rsidR="000F0F0A" w:rsidRPr="00712239" w:rsidRDefault="000F0F0A" w:rsidP="004523B2">
            <w:pPr>
              <w:pStyle w:val="AERtabletextleft"/>
              <w:rPr>
                <w:rStyle w:val="AERtextsize8"/>
              </w:rPr>
            </w:pPr>
            <w:r>
              <w:rPr>
                <w:rStyle w:val="AERtextsize8"/>
              </w:rPr>
              <w:t>Advanced metering infrastructure</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augex</w:t>
            </w:r>
          </w:p>
        </w:tc>
        <w:tc>
          <w:tcPr>
            <w:tcW w:w="5324"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capex</w:t>
            </w:r>
          </w:p>
        </w:tc>
        <w:tc>
          <w:tcPr>
            <w:tcW w:w="5324"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CCP</w:t>
            </w:r>
          </w:p>
        </w:tc>
        <w:tc>
          <w:tcPr>
            <w:tcW w:w="5324"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CESS</w:t>
            </w:r>
          </w:p>
        </w:tc>
        <w:tc>
          <w:tcPr>
            <w:tcW w:w="5324"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CPI</w:t>
            </w:r>
          </w:p>
        </w:tc>
        <w:tc>
          <w:tcPr>
            <w:tcW w:w="5324"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DRP</w:t>
            </w:r>
          </w:p>
        </w:tc>
        <w:tc>
          <w:tcPr>
            <w:tcW w:w="5324"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DMIA</w:t>
            </w:r>
          </w:p>
        </w:tc>
        <w:tc>
          <w:tcPr>
            <w:tcW w:w="5324"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DMIS</w:t>
            </w:r>
          </w:p>
        </w:tc>
        <w:tc>
          <w:tcPr>
            <w:tcW w:w="5324"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distributor</w:t>
            </w:r>
          </w:p>
        </w:tc>
        <w:tc>
          <w:tcPr>
            <w:tcW w:w="5324"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DUoS</w:t>
            </w:r>
          </w:p>
        </w:tc>
        <w:tc>
          <w:tcPr>
            <w:tcW w:w="5324"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EBSS</w:t>
            </w:r>
          </w:p>
        </w:tc>
        <w:tc>
          <w:tcPr>
            <w:tcW w:w="5324"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ERP</w:t>
            </w:r>
          </w:p>
        </w:tc>
        <w:tc>
          <w:tcPr>
            <w:tcW w:w="5324"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5324"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F&amp;A</w:t>
            </w:r>
          </w:p>
        </w:tc>
        <w:tc>
          <w:tcPr>
            <w:tcW w:w="5324"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MRP</w:t>
            </w:r>
          </w:p>
        </w:tc>
        <w:tc>
          <w:tcPr>
            <w:tcW w:w="5324"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NEL</w:t>
            </w:r>
          </w:p>
        </w:tc>
        <w:tc>
          <w:tcPr>
            <w:tcW w:w="5324"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NEM</w:t>
            </w:r>
          </w:p>
        </w:tc>
        <w:tc>
          <w:tcPr>
            <w:tcW w:w="5324"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NEO</w:t>
            </w:r>
          </w:p>
        </w:tc>
        <w:tc>
          <w:tcPr>
            <w:tcW w:w="5324"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NER</w:t>
            </w:r>
          </w:p>
        </w:tc>
        <w:tc>
          <w:tcPr>
            <w:tcW w:w="5324"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NSP</w:t>
            </w:r>
          </w:p>
        </w:tc>
        <w:tc>
          <w:tcPr>
            <w:tcW w:w="5324"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opex</w:t>
            </w:r>
          </w:p>
        </w:tc>
        <w:tc>
          <w:tcPr>
            <w:tcW w:w="5324"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PPI</w:t>
            </w:r>
          </w:p>
        </w:tc>
        <w:tc>
          <w:tcPr>
            <w:tcW w:w="5324"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PTRM</w:t>
            </w:r>
          </w:p>
        </w:tc>
        <w:tc>
          <w:tcPr>
            <w:tcW w:w="5324"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RAB</w:t>
            </w:r>
          </w:p>
        </w:tc>
        <w:tc>
          <w:tcPr>
            <w:tcW w:w="5324"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RBA</w:t>
            </w:r>
          </w:p>
        </w:tc>
        <w:tc>
          <w:tcPr>
            <w:tcW w:w="5324"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repex</w:t>
            </w:r>
          </w:p>
        </w:tc>
        <w:tc>
          <w:tcPr>
            <w:tcW w:w="5324"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lastRenderedPageBreak/>
              <w:t>RFM</w:t>
            </w:r>
          </w:p>
        </w:tc>
        <w:tc>
          <w:tcPr>
            <w:tcW w:w="5324"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RIN</w:t>
            </w:r>
          </w:p>
        </w:tc>
        <w:tc>
          <w:tcPr>
            <w:tcW w:w="5324"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RPP</w:t>
            </w:r>
          </w:p>
        </w:tc>
        <w:tc>
          <w:tcPr>
            <w:tcW w:w="5324"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SAIDI</w:t>
            </w:r>
          </w:p>
        </w:tc>
        <w:tc>
          <w:tcPr>
            <w:tcW w:w="5324"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SAIFI</w:t>
            </w:r>
          </w:p>
        </w:tc>
        <w:tc>
          <w:tcPr>
            <w:tcW w:w="5324"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SLCAPM</w:t>
            </w:r>
          </w:p>
        </w:tc>
        <w:tc>
          <w:tcPr>
            <w:tcW w:w="5324"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2C1B51">
        <w:tc>
          <w:tcPr>
            <w:tcW w:w="3369" w:type="dxa"/>
          </w:tcPr>
          <w:p w:rsidR="004523B2" w:rsidRPr="004523B2" w:rsidRDefault="004523B2" w:rsidP="004523B2">
            <w:pPr>
              <w:pStyle w:val="AERtabletextleft"/>
              <w:rPr>
                <w:rStyle w:val="AERtextsize8"/>
              </w:rPr>
            </w:pPr>
            <w:r w:rsidRPr="00712239">
              <w:rPr>
                <w:rStyle w:val="AERtextsize8"/>
              </w:rPr>
              <w:t>STPIS</w:t>
            </w:r>
          </w:p>
        </w:tc>
        <w:tc>
          <w:tcPr>
            <w:tcW w:w="5324"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2C1B51">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WACC</w:t>
            </w:r>
          </w:p>
        </w:tc>
        <w:tc>
          <w:tcPr>
            <w:tcW w:w="5324"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3F2346" w:rsidP="003F2346">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520800"/>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Regulatory asset base</w:t>
      </w:r>
      <w:bookmarkEnd w:id="71"/>
    </w:p>
    <w:p w:rsidR="00132D43" w:rsidRPr="00132D43" w:rsidRDefault="007178AE" w:rsidP="00132D43">
      <w:r w:rsidRPr="009D678A">
        <w:t xml:space="preserve">We are required to make a decision on </w:t>
      </w:r>
      <w:r w:rsidR="00B35737">
        <w:t>AusNet S</w:t>
      </w:r>
      <w:r w:rsidR="00E750A6">
        <w:t>ervices'</w:t>
      </w:r>
      <w:r w:rsidRPr="009D678A">
        <w:t xml:space="preserve"> opening regulatory asset base (RAB) as at 1 January 2016.</w:t>
      </w:r>
      <w:r>
        <w:rPr>
          <w:rStyle w:val="FootnoteReference"/>
        </w:rPr>
        <w:footnoteReference w:id="1"/>
      </w:r>
      <w:r w:rsidRPr="009D678A">
        <w:t xml:space="preserve">  We use the RAB at the start of each regulatory year to determine the return of capital (regulatory depreciation) and return on capital building block allowances. This attachment presents our </w:t>
      </w:r>
      <w:r>
        <w:t>final</w:t>
      </w:r>
      <w:r w:rsidRPr="009D678A">
        <w:t xml:space="preserve"> decision on the opening RAB value as at 1 January 2016 for </w:t>
      </w:r>
      <w:r>
        <w:t>AusNet</w:t>
      </w:r>
      <w:r w:rsidRPr="009D678A">
        <w:t xml:space="preserve"> </w:t>
      </w:r>
      <w:r w:rsidR="00B35737">
        <w:t>S</w:t>
      </w:r>
      <w:r w:rsidR="009162E8">
        <w:t xml:space="preserve">ervices </w:t>
      </w:r>
      <w:r w:rsidRPr="009D678A">
        <w:t>and roll forward of the forecast RAB over the 2016–20 regulatory control period.</w:t>
      </w:r>
    </w:p>
    <w:p w:rsidR="00132D43" w:rsidRDefault="00DB4E34" w:rsidP="00132D43">
      <w:pPr>
        <w:pStyle w:val="Heading2"/>
      </w:pPr>
      <w:bookmarkStart w:id="72" w:name="_Toc451520801"/>
      <w:r>
        <w:t>Final</w:t>
      </w:r>
      <w:r w:rsidR="00132D43">
        <w:t xml:space="preserve"> decision</w:t>
      </w:r>
      <w:bookmarkEnd w:id="72"/>
    </w:p>
    <w:p w:rsidR="00333D26" w:rsidRPr="00333D26" w:rsidRDefault="00333D26" w:rsidP="00277210">
      <w:r w:rsidRPr="00333D26">
        <w:t xml:space="preserve">We do not accept </w:t>
      </w:r>
      <w:r w:rsidR="00D614E4">
        <w:t>AusNet Services'</w:t>
      </w:r>
      <w:r w:rsidRPr="00333D26">
        <w:t xml:space="preserve"> revised proposed opening RAB value of $</w:t>
      </w:r>
      <w:r>
        <w:t>3444</w:t>
      </w:r>
      <w:r w:rsidRPr="00333D26">
        <w:t>.</w:t>
      </w:r>
      <w:r>
        <w:t>6</w:t>
      </w:r>
      <w:r w:rsidRPr="00333D26">
        <w:t> million ($ nominal) as at 1 January 2016.</w:t>
      </w:r>
      <w:r w:rsidRPr="00333D26">
        <w:rPr>
          <w:rStyle w:val="FootnoteReference"/>
        </w:rPr>
        <w:footnoteReference w:id="2"/>
      </w:r>
      <w:r w:rsidRPr="00333D26">
        <w:t xml:space="preserve">  </w:t>
      </w:r>
      <w:r>
        <w:t>Instead, w</w:t>
      </w:r>
      <w:r w:rsidR="007178AE">
        <w:t xml:space="preserve">e determine an opening </w:t>
      </w:r>
      <w:r w:rsidR="007178AE" w:rsidRPr="00277210">
        <w:t>RAB value of $</w:t>
      </w:r>
      <w:r w:rsidR="00F72BE6" w:rsidRPr="00277210">
        <w:t>3442.1</w:t>
      </w:r>
      <w:r w:rsidR="004E05BA" w:rsidRPr="00277210">
        <w:t xml:space="preserve"> </w:t>
      </w:r>
      <w:r w:rsidR="007178AE" w:rsidRPr="00277210">
        <w:t>million ($ nominal) as at 1 January 2016. This is a reduction of $</w:t>
      </w:r>
      <w:r w:rsidR="00D81C87" w:rsidRPr="00277210">
        <w:t>2</w:t>
      </w:r>
      <w:r w:rsidR="00D2329A" w:rsidRPr="00277210">
        <w:t>.</w:t>
      </w:r>
      <w:r w:rsidR="00D81C87" w:rsidRPr="00277210">
        <w:t>5</w:t>
      </w:r>
      <w:r w:rsidR="007178AE" w:rsidRPr="00277210">
        <w:t> million</w:t>
      </w:r>
      <w:r w:rsidR="007178AE" w:rsidRPr="009D678A">
        <w:t xml:space="preserve"> (or </w:t>
      </w:r>
      <w:r w:rsidR="00D81C87">
        <w:t>0.1</w:t>
      </w:r>
      <w:r w:rsidR="007178AE">
        <w:t> </w:t>
      </w:r>
      <w:r w:rsidR="007178AE" w:rsidRPr="009D678A">
        <w:t xml:space="preserve">per cent) compared </w:t>
      </w:r>
      <w:r w:rsidR="002E346D">
        <w:t>to AusNet</w:t>
      </w:r>
      <w:r w:rsidR="009162E8">
        <w:t xml:space="preserve"> </w:t>
      </w:r>
      <w:r w:rsidR="00B35737">
        <w:t>S</w:t>
      </w:r>
      <w:r w:rsidR="009162E8">
        <w:t>ervices'</w:t>
      </w:r>
      <w:r w:rsidR="007178AE" w:rsidRPr="009D678A">
        <w:t xml:space="preserve"> </w:t>
      </w:r>
      <w:r w:rsidR="007178AE">
        <w:t xml:space="preserve">revised </w:t>
      </w:r>
      <w:r w:rsidR="007178AE" w:rsidRPr="009D678A">
        <w:t>proposed opening RAB.</w:t>
      </w:r>
      <w:r w:rsidR="007178AE">
        <w:t xml:space="preserve"> </w:t>
      </w:r>
      <w:r w:rsidRPr="00333D26">
        <w:t>In coming to this decision:</w:t>
      </w:r>
    </w:p>
    <w:p w:rsidR="00333D26" w:rsidRDefault="00333D26" w:rsidP="00333D26">
      <w:pPr>
        <w:pStyle w:val="AERbulletlistfirststyle"/>
      </w:pPr>
      <w:r w:rsidRPr="00333D26">
        <w:t xml:space="preserve">We accept </w:t>
      </w:r>
      <w:r>
        <w:t>AusNet Services'</w:t>
      </w:r>
      <w:r w:rsidRPr="00333D26">
        <w:t xml:space="preserve"> revised proposed approach to RAB indexation</w:t>
      </w:r>
      <w:r w:rsidR="00857C21">
        <w:t xml:space="preserve"> using annual (one-year lagged) actual inflation inputs</w:t>
      </w:r>
      <w:r w:rsidRPr="00333D26">
        <w:t>.</w:t>
      </w:r>
    </w:p>
    <w:p w:rsidR="00046461" w:rsidRDefault="00311661" w:rsidP="00333D26">
      <w:pPr>
        <w:pStyle w:val="AERbulletlistfirststyle"/>
      </w:pPr>
      <w:r>
        <w:t>We use</w:t>
      </w:r>
      <w:r w:rsidR="00857C21">
        <w:t>d</w:t>
      </w:r>
      <w:r>
        <w:t xml:space="preserve"> </w:t>
      </w:r>
      <w:r w:rsidR="00543887">
        <w:t xml:space="preserve">gross proceeds from asset sales </w:t>
      </w:r>
      <w:r w:rsidR="00857C21">
        <w:t xml:space="preserve">instead of their written down values </w:t>
      </w:r>
      <w:r w:rsidR="00543887">
        <w:t>for</w:t>
      </w:r>
      <w:r>
        <w:t xml:space="preserve"> </w:t>
      </w:r>
      <w:r w:rsidR="00543887">
        <w:t xml:space="preserve">the </w:t>
      </w:r>
      <w:r>
        <w:t>value of a</w:t>
      </w:r>
      <w:r w:rsidR="00543887">
        <w:t>sset disposal</w:t>
      </w:r>
      <w:r w:rsidR="00857C21">
        <w:t>s</w:t>
      </w:r>
      <w:r w:rsidR="00543887">
        <w:t xml:space="preserve"> in the R</w:t>
      </w:r>
      <w:r w:rsidR="00857C21">
        <w:t>AB roll forward</w:t>
      </w:r>
      <w:r w:rsidR="00046461">
        <w:t>.</w:t>
      </w:r>
    </w:p>
    <w:p w:rsidR="00311661" w:rsidRPr="00333D26" w:rsidRDefault="00046461" w:rsidP="00046461">
      <w:pPr>
        <w:pStyle w:val="AERbulletlistfirststyle"/>
      </w:pPr>
      <w:r>
        <w:t xml:space="preserve">We accept AusNet Services' amendment to </w:t>
      </w:r>
      <w:r w:rsidR="00C63A92">
        <w:t xml:space="preserve">the inflation adjustment for </w:t>
      </w:r>
      <w:r>
        <w:t>p</w:t>
      </w:r>
      <w:r w:rsidRPr="00046461">
        <w:t xml:space="preserve">revious period </w:t>
      </w:r>
      <w:r w:rsidR="00C63A92">
        <w:t>capex</w:t>
      </w:r>
      <w:r>
        <w:t>.</w:t>
      </w:r>
      <w:r w:rsidRPr="00046461">
        <w:t xml:space="preserve"> </w:t>
      </w:r>
      <w:r w:rsidR="00543887">
        <w:t xml:space="preserve"> </w:t>
      </w:r>
    </w:p>
    <w:p w:rsidR="00333D26" w:rsidRDefault="009019E3" w:rsidP="007178AE">
      <w:r>
        <w:fldChar w:fldCharType="begin"/>
      </w:r>
      <w:r>
        <w:instrText xml:space="preserve"> REF _Ref449607850 \h </w:instrText>
      </w:r>
      <w:r>
        <w:fldChar w:fldCharType="separate"/>
      </w:r>
      <w:r w:rsidR="00060C68" w:rsidRPr="00333D26">
        <w:t xml:space="preserve">Table </w:t>
      </w:r>
      <w:r w:rsidR="00060C68">
        <w:rPr>
          <w:noProof/>
        </w:rPr>
        <w:t>2</w:t>
      </w:r>
      <w:r w:rsidR="00060C68">
        <w:t>.</w:t>
      </w:r>
      <w:r w:rsidR="00060C68">
        <w:rPr>
          <w:noProof/>
        </w:rPr>
        <w:t>1</w:t>
      </w:r>
      <w:r>
        <w:fldChar w:fldCharType="end"/>
      </w:r>
      <w:r>
        <w:t xml:space="preserve"> </w:t>
      </w:r>
      <w:r w:rsidR="00333D26" w:rsidRPr="00333D26">
        <w:t xml:space="preserve">sets out our </w:t>
      </w:r>
      <w:r w:rsidR="00333D26">
        <w:t>final</w:t>
      </w:r>
      <w:r w:rsidR="00333D26" w:rsidRPr="00333D26">
        <w:t xml:space="preserve"> decision on the roll forward of the RAB values for the 2011–15 regulatory control period.</w:t>
      </w:r>
    </w:p>
    <w:p w:rsidR="00647F95" w:rsidRPr="009D10EC" w:rsidRDefault="00647F95" w:rsidP="00277210">
      <w:bookmarkStart w:id="73" w:name="_Ref442168264"/>
      <w:r w:rsidRPr="00277210">
        <w:t>We determine a forecast closing RAB value at 31 December 2020 of $</w:t>
      </w:r>
      <w:r w:rsidR="00EF6E21" w:rsidRPr="00277210">
        <w:t>4715.4</w:t>
      </w:r>
      <w:r w:rsidRPr="00277210">
        <w:t> million ($ nominal). This is $</w:t>
      </w:r>
      <w:r w:rsidR="00EF6E21" w:rsidRPr="00277210">
        <w:t>130.2</w:t>
      </w:r>
      <w:r w:rsidRPr="00277210">
        <w:t xml:space="preserve"> million (or </w:t>
      </w:r>
      <w:r w:rsidR="008845E0" w:rsidRPr="00277210">
        <w:t>2.7</w:t>
      </w:r>
      <w:r w:rsidRPr="00277210">
        <w:t> per cent) lower than the amount of</w:t>
      </w:r>
      <w:r w:rsidRPr="009D10EC">
        <w:t xml:space="preserve"> $</w:t>
      </w:r>
      <w:r>
        <w:t>4845.6</w:t>
      </w:r>
      <w:r w:rsidRPr="009D10EC">
        <w:t xml:space="preserve"> million ($ nominal) in </w:t>
      </w:r>
      <w:r>
        <w:t>AusNet Service'</w:t>
      </w:r>
      <w:r w:rsidRPr="009D10EC">
        <w:t xml:space="preserve"> revised proposal. Our final decision on the forecast closing RAB reflects the amended opening RAB as at 1 January 2016, and our final decisions on</w:t>
      </w:r>
      <w:r>
        <w:t xml:space="preserve"> the </w:t>
      </w:r>
      <w:r w:rsidR="00D57EDA">
        <w:t>expected</w:t>
      </w:r>
      <w:r w:rsidRPr="009D10EC">
        <w:t xml:space="preserve"> inflation </w:t>
      </w:r>
      <w:r>
        <w:t xml:space="preserve">rate </w:t>
      </w:r>
      <w:r w:rsidRPr="009D10EC">
        <w:t>(attachment 3), forecast capex (attachment 6) and forecast regulatory depreciation (attachment 5).</w:t>
      </w:r>
    </w:p>
    <w:p w:rsidR="00647F95" w:rsidRPr="00D12F4C" w:rsidRDefault="00647F95" w:rsidP="00647F95">
      <w:r w:rsidRPr="009D10EC">
        <w:rPr>
          <w:rStyle w:val="AERbody"/>
        </w:rPr>
        <w:t>Our final decision also maintains our preliminary decision position on the use of forecast depreciation for establishing the RAB at the commencement of the regulatory control period from 1 January 2021.</w:t>
      </w:r>
      <w:r w:rsidRPr="009D10EC">
        <w:rPr>
          <w:rStyle w:val="FootnoteReference"/>
        </w:rPr>
        <w:footnoteReference w:id="3"/>
      </w:r>
      <w:r w:rsidRPr="009D10EC">
        <w:rPr>
          <w:rStyle w:val="AERbody"/>
        </w:rPr>
        <w:t xml:space="preserve"> </w:t>
      </w:r>
      <w:r>
        <w:rPr>
          <w:rStyle w:val="AERbody"/>
        </w:rPr>
        <w:t xml:space="preserve">We note </w:t>
      </w:r>
      <w:r w:rsidRPr="00D12F4C">
        <w:t xml:space="preserve">AusNet </w:t>
      </w:r>
      <w:r>
        <w:t>Services' revised proposal did not discuss this issue.</w:t>
      </w:r>
    </w:p>
    <w:p w:rsidR="00647F95" w:rsidRPr="009D10EC" w:rsidRDefault="00647F95" w:rsidP="00647F95">
      <w:r>
        <w:fldChar w:fldCharType="begin"/>
      </w:r>
      <w:r>
        <w:instrText xml:space="preserve"> REF _Ref444773661 \h </w:instrText>
      </w:r>
      <w:r>
        <w:fldChar w:fldCharType="separate"/>
      </w:r>
      <w:r w:rsidR="00060C68" w:rsidRPr="009D10EC">
        <w:t xml:space="preserve">Table </w:t>
      </w:r>
      <w:r w:rsidR="00060C68">
        <w:rPr>
          <w:noProof/>
        </w:rPr>
        <w:t>2</w:t>
      </w:r>
      <w:r w:rsidR="00060C68">
        <w:t>.</w:t>
      </w:r>
      <w:r w:rsidR="00060C68">
        <w:rPr>
          <w:noProof/>
        </w:rPr>
        <w:t>2</w:t>
      </w:r>
      <w:r>
        <w:fldChar w:fldCharType="end"/>
      </w:r>
      <w:r>
        <w:t xml:space="preserve"> </w:t>
      </w:r>
      <w:r w:rsidRPr="009D10EC">
        <w:t xml:space="preserve">sets out our final decision on the forecast RAB values for </w:t>
      </w:r>
      <w:r>
        <w:t>AusNet Services</w:t>
      </w:r>
      <w:r w:rsidRPr="009D10EC">
        <w:t xml:space="preserve"> over the 2016–20 regulatory control period.</w:t>
      </w:r>
    </w:p>
    <w:p w:rsidR="00333D26" w:rsidRPr="00333D26" w:rsidRDefault="00333D26" w:rsidP="00333D26">
      <w:pPr>
        <w:pStyle w:val="Caption"/>
      </w:pPr>
      <w:bookmarkStart w:id="74" w:name="_Ref449607850"/>
      <w:r w:rsidRPr="00333D26">
        <w:lastRenderedPageBreak/>
        <w:t xml:space="preserve">Table </w:t>
      </w:r>
      <w:r w:rsidR="003A2B97">
        <w:fldChar w:fldCharType="begin"/>
      </w:r>
      <w:r w:rsidR="003A2B97">
        <w:instrText xml:space="preserve"> STYLEREF 1 \s </w:instrText>
      </w:r>
      <w:r w:rsidR="003A2B97">
        <w:fldChar w:fldCharType="separate"/>
      </w:r>
      <w:r w:rsidR="00060C68">
        <w:rPr>
          <w:noProof/>
        </w:rPr>
        <w:t>2</w:t>
      </w:r>
      <w:r w:rsidR="003A2B97">
        <w:rPr>
          <w:noProof/>
        </w:rPr>
        <w:fldChar w:fldCharType="end"/>
      </w:r>
      <w:r w:rsidR="00060C68">
        <w:t>.</w:t>
      </w:r>
      <w:fldSimple w:instr=" SEQ Table \* ARABIC \s 1 ">
        <w:r w:rsidR="00060C68">
          <w:rPr>
            <w:noProof/>
          </w:rPr>
          <w:t>1</w:t>
        </w:r>
      </w:fldSimple>
      <w:bookmarkEnd w:id="73"/>
      <w:bookmarkEnd w:id="74"/>
      <w:r w:rsidRPr="00333D26">
        <w:tab/>
        <w:t>AER's final decision on AusNet Services' RAB for the 2011–15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333D26" w:rsidRPr="00237902" w:rsidTr="00333D26">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333D26" w:rsidRPr="00333D26" w:rsidRDefault="00333D26" w:rsidP="00333D26">
            <w:r w:rsidRPr="00333D26">
              <w:t> </w:t>
            </w:r>
          </w:p>
        </w:tc>
        <w:tc>
          <w:tcPr>
            <w:tcW w:w="566" w:type="pct"/>
            <w:noWrap/>
            <w:hideMark/>
          </w:tcPr>
          <w:p w:rsidR="00333D26" w:rsidRPr="00333D26" w:rsidRDefault="00333D26" w:rsidP="00333D26">
            <w:pPr>
              <w:cnfStyle w:val="100000000000" w:firstRow="1" w:lastRow="0" w:firstColumn="0" w:lastColumn="0" w:oddVBand="0" w:evenVBand="0" w:oddHBand="0" w:evenHBand="0" w:firstRowFirstColumn="0" w:firstRowLastColumn="0" w:lastRowFirstColumn="0" w:lastRowLastColumn="0"/>
            </w:pPr>
            <w:r w:rsidRPr="00333D26">
              <w:t>2011</w:t>
            </w:r>
          </w:p>
        </w:tc>
        <w:tc>
          <w:tcPr>
            <w:tcW w:w="566" w:type="pct"/>
            <w:noWrap/>
            <w:hideMark/>
          </w:tcPr>
          <w:p w:rsidR="00333D26" w:rsidRPr="00333D26" w:rsidRDefault="00333D26" w:rsidP="00333D26">
            <w:pPr>
              <w:cnfStyle w:val="100000000000" w:firstRow="1" w:lastRow="0" w:firstColumn="0" w:lastColumn="0" w:oddVBand="0" w:evenVBand="0" w:oddHBand="0" w:evenHBand="0" w:firstRowFirstColumn="0" w:firstRowLastColumn="0" w:lastRowFirstColumn="0" w:lastRowLastColumn="0"/>
            </w:pPr>
            <w:r w:rsidRPr="00333D26">
              <w:t>2012</w:t>
            </w:r>
          </w:p>
        </w:tc>
        <w:tc>
          <w:tcPr>
            <w:tcW w:w="567" w:type="pct"/>
            <w:noWrap/>
            <w:hideMark/>
          </w:tcPr>
          <w:p w:rsidR="00333D26" w:rsidRPr="00333D26" w:rsidRDefault="00333D26" w:rsidP="00333D26">
            <w:pPr>
              <w:cnfStyle w:val="100000000000" w:firstRow="1" w:lastRow="0" w:firstColumn="0" w:lastColumn="0" w:oddVBand="0" w:evenVBand="0" w:oddHBand="0" w:evenHBand="0" w:firstRowFirstColumn="0" w:firstRowLastColumn="0" w:lastRowFirstColumn="0" w:lastRowLastColumn="0"/>
            </w:pPr>
            <w:r w:rsidRPr="00333D26">
              <w:t>2013</w:t>
            </w:r>
          </w:p>
        </w:tc>
        <w:tc>
          <w:tcPr>
            <w:tcW w:w="566" w:type="pct"/>
            <w:noWrap/>
            <w:hideMark/>
          </w:tcPr>
          <w:p w:rsidR="00333D26" w:rsidRPr="00333D26" w:rsidRDefault="00333D26" w:rsidP="00333D26">
            <w:pPr>
              <w:cnfStyle w:val="100000000000" w:firstRow="1" w:lastRow="0" w:firstColumn="0" w:lastColumn="0" w:oddVBand="0" w:evenVBand="0" w:oddHBand="0" w:evenHBand="0" w:firstRowFirstColumn="0" w:firstRowLastColumn="0" w:lastRowFirstColumn="0" w:lastRowLastColumn="0"/>
            </w:pPr>
            <w:r w:rsidRPr="00333D26">
              <w:t>2014</w:t>
            </w:r>
          </w:p>
        </w:tc>
        <w:tc>
          <w:tcPr>
            <w:tcW w:w="567" w:type="pct"/>
            <w:noWrap/>
            <w:hideMark/>
          </w:tcPr>
          <w:p w:rsidR="00333D26" w:rsidRPr="00333D26" w:rsidRDefault="00333D26" w:rsidP="00333D26">
            <w:pPr>
              <w:cnfStyle w:val="100000000000" w:firstRow="1" w:lastRow="0" w:firstColumn="0" w:lastColumn="0" w:oddVBand="0" w:evenVBand="0" w:oddHBand="0" w:evenHBand="0" w:firstRowFirstColumn="0" w:firstRowLastColumn="0" w:lastRowFirstColumn="0" w:lastRowLastColumn="0"/>
            </w:pPr>
            <w:r w:rsidRPr="00333D26">
              <w:t>2015</w:t>
            </w:r>
            <w:r w:rsidRPr="00333D26">
              <w:rPr>
                <w:rStyle w:val="AERsuperscript"/>
              </w:rPr>
              <w:t>a</w:t>
            </w:r>
          </w:p>
        </w:tc>
      </w:tr>
      <w:tr w:rsidR="00D81C87" w:rsidRPr="000663D7" w:rsidTr="00333D26">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D81C87" w:rsidRPr="00D81C87" w:rsidRDefault="00D81C87" w:rsidP="00D81C87">
            <w:r w:rsidRPr="00D81C87">
              <w:t>Opening RAB</w:t>
            </w:r>
          </w:p>
        </w:tc>
        <w:tc>
          <w:tcPr>
            <w:tcW w:w="566"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2093.4</w:t>
            </w:r>
          </w:p>
        </w:tc>
        <w:tc>
          <w:tcPr>
            <w:tcW w:w="566"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2278.1</w:t>
            </w:r>
          </w:p>
        </w:tc>
        <w:tc>
          <w:tcPr>
            <w:tcW w:w="567"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2561.8</w:t>
            </w:r>
          </w:p>
        </w:tc>
        <w:tc>
          <w:tcPr>
            <w:tcW w:w="566"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2858.3</w:t>
            </w:r>
          </w:p>
        </w:tc>
        <w:tc>
          <w:tcPr>
            <w:tcW w:w="567"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3180.1</w:t>
            </w:r>
          </w:p>
        </w:tc>
      </w:tr>
      <w:tr w:rsidR="00D81C87" w:rsidRPr="00237902" w:rsidTr="00333D26">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D81C87" w:rsidRPr="00D81C87" w:rsidRDefault="00D81C87" w:rsidP="00D81C87">
            <w:r w:rsidRPr="00D81C87">
              <w:t>Capital expenditure</w:t>
            </w:r>
            <w:r w:rsidRPr="00D81C87">
              <w:rPr>
                <w:rStyle w:val="AERsuperscript"/>
              </w:rPr>
              <w:t>b</w:t>
            </w:r>
          </w:p>
        </w:tc>
        <w:tc>
          <w:tcPr>
            <w:tcW w:w="566"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r w:rsidRPr="00D81C87">
              <w:t>273.6</w:t>
            </w:r>
          </w:p>
        </w:tc>
        <w:tc>
          <w:tcPr>
            <w:tcW w:w="566"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r w:rsidRPr="00D81C87">
              <w:t>318.4</w:t>
            </w:r>
          </w:p>
        </w:tc>
        <w:tc>
          <w:tcPr>
            <w:tcW w:w="567"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r w:rsidRPr="00D81C87">
              <w:t>379.4</w:t>
            </w:r>
          </w:p>
        </w:tc>
        <w:tc>
          <w:tcPr>
            <w:tcW w:w="566"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r w:rsidRPr="00D81C87">
              <w:t>400.7</w:t>
            </w:r>
          </w:p>
        </w:tc>
        <w:tc>
          <w:tcPr>
            <w:tcW w:w="567"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r w:rsidRPr="00D81C87">
              <w:t>366.1</w:t>
            </w:r>
          </w:p>
        </w:tc>
      </w:tr>
      <w:tr w:rsidR="00D81C87" w:rsidRPr="00237902" w:rsidTr="00333D26">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D81C87" w:rsidRPr="00D81C87" w:rsidRDefault="00D81C87" w:rsidP="00D81C87">
            <w:r w:rsidRPr="00D81C87">
              <w:t>Inflation indexation on opening RAB</w:t>
            </w:r>
          </w:p>
        </w:tc>
        <w:tc>
          <w:tcPr>
            <w:tcW w:w="566"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58.4</w:t>
            </w:r>
          </w:p>
        </w:tc>
        <w:tc>
          <w:tcPr>
            <w:tcW w:w="566"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80.2</w:t>
            </w:r>
          </w:p>
        </w:tc>
        <w:tc>
          <w:tcPr>
            <w:tcW w:w="567"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51.3</w:t>
            </w:r>
          </w:p>
        </w:tc>
        <w:tc>
          <w:tcPr>
            <w:tcW w:w="566"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61.8</w:t>
            </w:r>
          </w:p>
        </w:tc>
        <w:tc>
          <w:tcPr>
            <w:tcW w:w="567"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73.4</w:t>
            </w:r>
          </w:p>
        </w:tc>
      </w:tr>
      <w:tr w:rsidR="00D81C87" w:rsidRPr="00237902" w:rsidTr="00333D26">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D81C87" w:rsidRPr="00D81C87" w:rsidRDefault="00D81C87" w:rsidP="00D81C87">
            <w:r w:rsidRPr="00D81C87">
              <w:rPr>
                <w:rStyle w:val="AERtextitalic"/>
              </w:rPr>
              <w:t>Less</w:t>
            </w:r>
            <w:r w:rsidRPr="00D81C87">
              <w:t>: straight-line depreciation</w:t>
            </w:r>
          </w:p>
        </w:tc>
        <w:tc>
          <w:tcPr>
            <w:tcW w:w="566"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r w:rsidRPr="00D81C87">
              <w:t>147.4</w:t>
            </w:r>
          </w:p>
        </w:tc>
        <w:tc>
          <w:tcPr>
            <w:tcW w:w="566"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r w:rsidRPr="00D81C87">
              <w:t>114.9</w:t>
            </w:r>
          </w:p>
        </w:tc>
        <w:tc>
          <w:tcPr>
            <w:tcW w:w="567"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r w:rsidRPr="00D81C87">
              <w:t>134.2</w:t>
            </w:r>
          </w:p>
        </w:tc>
        <w:tc>
          <w:tcPr>
            <w:tcW w:w="566"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r w:rsidRPr="00D81C87">
              <w:t>140.7</w:t>
            </w:r>
          </w:p>
        </w:tc>
        <w:tc>
          <w:tcPr>
            <w:tcW w:w="567"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r w:rsidRPr="00D81C87">
              <w:t>146.2</w:t>
            </w:r>
          </w:p>
        </w:tc>
      </w:tr>
      <w:tr w:rsidR="00D81C87" w:rsidRPr="008978BA" w:rsidTr="00333D26">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D81C87" w:rsidRPr="00D81C87" w:rsidRDefault="00D81C87" w:rsidP="00D81C87">
            <w:r w:rsidRPr="00D81C87">
              <w:t>Closing RAB</w:t>
            </w:r>
          </w:p>
        </w:tc>
        <w:tc>
          <w:tcPr>
            <w:tcW w:w="566"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2278.1</w:t>
            </w:r>
          </w:p>
        </w:tc>
        <w:tc>
          <w:tcPr>
            <w:tcW w:w="566"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2561.8</w:t>
            </w:r>
          </w:p>
        </w:tc>
        <w:tc>
          <w:tcPr>
            <w:tcW w:w="567"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2858.3</w:t>
            </w:r>
          </w:p>
        </w:tc>
        <w:tc>
          <w:tcPr>
            <w:tcW w:w="566"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3180.1</w:t>
            </w:r>
          </w:p>
        </w:tc>
        <w:tc>
          <w:tcPr>
            <w:tcW w:w="567"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r w:rsidRPr="00D81C87">
              <w:t>3473.4</w:t>
            </w:r>
          </w:p>
        </w:tc>
      </w:tr>
      <w:tr w:rsidR="00D81C87" w:rsidRPr="00237902" w:rsidTr="00333D26">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168" w:type="pct"/>
            <w:hideMark/>
          </w:tcPr>
          <w:p w:rsidR="00D81C87" w:rsidRPr="00D81C87" w:rsidRDefault="00D81C87" w:rsidP="00D81C87">
            <w:r w:rsidRPr="00D81C87">
              <w:t>Difference between estimated and actual 2010 capex (1 January 2010 to 31 December 2010)</w:t>
            </w:r>
          </w:p>
        </w:tc>
        <w:tc>
          <w:tcPr>
            <w:tcW w:w="566"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p>
        </w:tc>
        <w:tc>
          <w:tcPr>
            <w:tcW w:w="566"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p>
        </w:tc>
        <w:tc>
          <w:tcPr>
            <w:tcW w:w="566"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tcPr>
          <w:p w:rsidR="00D81C87" w:rsidRPr="00D81C87" w:rsidRDefault="009019E3" w:rsidP="00D81C87">
            <w:pPr>
              <w:cnfStyle w:val="000000010000" w:firstRow="0" w:lastRow="0" w:firstColumn="0" w:lastColumn="0" w:oddVBand="0" w:evenVBand="0" w:oddHBand="0" w:evenHBand="1" w:firstRowFirstColumn="0" w:firstRowLastColumn="0" w:lastRowFirstColumn="0" w:lastRowLastColumn="0"/>
            </w:pPr>
            <w:r>
              <w:t>–</w:t>
            </w:r>
            <w:r w:rsidR="00D81C87" w:rsidRPr="00D81C87">
              <w:t>22.3</w:t>
            </w:r>
          </w:p>
        </w:tc>
      </w:tr>
      <w:tr w:rsidR="00D81C87" w:rsidRPr="00237902" w:rsidTr="00333D26">
        <w:trPr>
          <w:trHeight w:val="303"/>
        </w:trPr>
        <w:tc>
          <w:tcPr>
            <w:cnfStyle w:val="001000000000" w:firstRow="0" w:lastRow="0" w:firstColumn="1" w:lastColumn="0" w:oddVBand="0" w:evenVBand="0" w:oddHBand="0" w:evenHBand="0" w:firstRowFirstColumn="0" w:firstRowLastColumn="0" w:lastRowFirstColumn="0" w:lastRowLastColumn="0"/>
            <w:tcW w:w="2168" w:type="pct"/>
            <w:hideMark/>
          </w:tcPr>
          <w:p w:rsidR="00D81C87" w:rsidRPr="00D81C87" w:rsidRDefault="00D81C87" w:rsidP="00D81C87">
            <w:r w:rsidRPr="00D81C87">
              <w:t>Return on difference for 2010 capex</w:t>
            </w:r>
          </w:p>
        </w:tc>
        <w:tc>
          <w:tcPr>
            <w:tcW w:w="566"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p>
        </w:tc>
        <w:tc>
          <w:tcPr>
            <w:tcW w:w="566"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p>
        </w:tc>
        <w:tc>
          <w:tcPr>
            <w:tcW w:w="567"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p>
        </w:tc>
        <w:tc>
          <w:tcPr>
            <w:tcW w:w="566" w:type="pct"/>
            <w:noWrap/>
            <w:vAlign w:val="bottom"/>
          </w:tcPr>
          <w:p w:rsidR="00D81C87" w:rsidRPr="00D81C87" w:rsidRDefault="00D81C87" w:rsidP="00D81C87">
            <w:pPr>
              <w:cnfStyle w:val="000000000000" w:firstRow="0" w:lastRow="0" w:firstColumn="0" w:lastColumn="0" w:oddVBand="0" w:evenVBand="0" w:oddHBand="0" w:evenHBand="0" w:firstRowFirstColumn="0" w:firstRowLastColumn="0" w:lastRowFirstColumn="0" w:lastRowLastColumn="0"/>
            </w:pPr>
          </w:p>
        </w:tc>
        <w:tc>
          <w:tcPr>
            <w:tcW w:w="567" w:type="pct"/>
            <w:noWrap/>
            <w:vAlign w:val="bottom"/>
          </w:tcPr>
          <w:p w:rsidR="00D81C87" w:rsidRPr="00D81C87" w:rsidRDefault="009019E3" w:rsidP="00D81C87">
            <w:pPr>
              <w:cnfStyle w:val="000000000000" w:firstRow="0" w:lastRow="0" w:firstColumn="0" w:lastColumn="0" w:oddVBand="0" w:evenVBand="0" w:oddHBand="0" w:evenHBand="0" w:firstRowFirstColumn="0" w:firstRowLastColumn="0" w:lastRowFirstColumn="0" w:lastRowLastColumn="0"/>
            </w:pPr>
            <w:r>
              <w:t>–</w:t>
            </w:r>
            <w:r w:rsidR="00D81C87" w:rsidRPr="00D81C87">
              <w:t>9.0</w:t>
            </w:r>
          </w:p>
        </w:tc>
      </w:tr>
      <w:tr w:rsidR="00D81C87" w:rsidRPr="00D1219F" w:rsidTr="00333D26">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D81C87" w:rsidRPr="00D81C87" w:rsidRDefault="00D81C87" w:rsidP="00D81C87">
            <w:pPr>
              <w:rPr>
                <w:rStyle w:val="Strong"/>
              </w:rPr>
            </w:pPr>
            <w:r w:rsidRPr="00D81C87">
              <w:rPr>
                <w:rStyle w:val="Strong"/>
              </w:rPr>
              <w:t>Closing RAB as at 31 December 2015</w:t>
            </w:r>
          </w:p>
        </w:tc>
        <w:tc>
          <w:tcPr>
            <w:tcW w:w="566"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rPr>
                <w:rStyle w:val="Strong"/>
              </w:rPr>
            </w:pPr>
          </w:p>
        </w:tc>
        <w:tc>
          <w:tcPr>
            <w:tcW w:w="566"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rPr>
                <w:rStyle w:val="Strong"/>
              </w:rPr>
            </w:pPr>
          </w:p>
        </w:tc>
        <w:tc>
          <w:tcPr>
            <w:tcW w:w="567"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rPr>
                <w:rStyle w:val="Strong"/>
              </w:rPr>
            </w:pPr>
          </w:p>
        </w:tc>
        <w:tc>
          <w:tcPr>
            <w:tcW w:w="566" w:type="pct"/>
            <w:noWrap/>
            <w:vAlign w:val="bottom"/>
          </w:tcPr>
          <w:p w:rsidR="00D81C87" w:rsidRPr="00D81C87" w:rsidRDefault="00D81C87" w:rsidP="00D81C87">
            <w:pPr>
              <w:cnfStyle w:val="000000010000" w:firstRow="0" w:lastRow="0" w:firstColumn="0" w:lastColumn="0" w:oddVBand="0" w:evenVBand="0" w:oddHBand="0" w:evenHBand="1" w:firstRowFirstColumn="0" w:firstRowLastColumn="0" w:lastRowFirstColumn="0" w:lastRowLastColumn="0"/>
              <w:rPr>
                <w:rStyle w:val="Strong"/>
              </w:rPr>
            </w:pPr>
          </w:p>
        </w:tc>
        <w:tc>
          <w:tcPr>
            <w:tcW w:w="567" w:type="pct"/>
            <w:noWrap/>
            <w:vAlign w:val="bottom"/>
          </w:tcPr>
          <w:p w:rsidR="00D81C87" w:rsidRPr="00D1219F" w:rsidRDefault="00D81C87" w:rsidP="00D81C87">
            <w:pPr>
              <w:cnfStyle w:val="000000010000" w:firstRow="0" w:lastRow="0" w:firstColumn="0" w:lastColumn="0" w:oddVBand="0" w:evenVBand="0" w:oddHBand="0" w:evenHBand="1" w:firstRowFirstColumn="0" w:firstRowLastColumn="0" w:lastRowFirstColumn="0" w:lastRowLastColumn="0"/>
              <w:rPr>
                <w:rStyle w:val="Strong"/>
              </w:rPr>
            </w:pPr>
            <w:r w:rsidRPr="00E21F82">
              <w:rPr>
                <w:rStyle w:val="Strong"/>
              </w:rPr>
              <w:t>3442.1</w:t>
            </w:r>
          </w:p>
        </w:tc>
      </w:tr>
    </w:tbl>
    <w:p w:rsidR="00333D26" w:rsidRPr="00333D26" w:rsidRDefault="00333D26" w:rsidP="00333D26">
      <w:pPr>
        <w:pStyle w:val="AERtablesource"/>
      </w:pPr>
      <w:r w:rsidRPr="00333D26">
        <w:t>Source:</w:t>
      </w:r>
      <w:r w:rsidRPr="00333D26">
        <w:tab/>
        <w:t>AER analysis.</w:t>
      </w:r>
    </w:p>
    <w:p w:rsidR="00333D26" w:rsidRPr="00333D26" w:rsidRDefault="001C0D6E" w:rsidP="00333D26">
      <w:pPr>
        <w:pStyle w:val="AERtablesource"/>
      </w:pPr>
      <w:r>
        <w:t>(a)</w:t>
      </w:r>
      <w:r w:rsidR="00333D26" w:rsidRPr="00333D26">
        <w:tab/>
        <w:t>Based on estimated capex.</w:t>
      </w:r>
    </w:p>
    <w:p w:rsidR="00333D26" w:rsidRPr="00333D26" w:rsidRDefault="00333D26" w:rsidP="00333D26">
      <w:pPr>
        <w:pStyle w:val="AERtablesource"/>
      </w:pPr>
      <w:r w:rsidRPr="00333D26">
        <w:t>(b)</w:t>
      </w:r>
      <w:r w:rsidRPr="00333D26">
        <w:tab/>
        <w:t>Net of disposals and capital contributions, and adjusted for CPI.</w:t>
      </w:r>
    </w:p>
    <w:p w:rsidR="009D10EC" w:rsidRPr="009D10EC" w:rsidRDefault="009D10EC" w:rsidP="009D10EC">
      <w:pPr>
        <w:pStyle w:val="Caption"/>
      </w:pPr>
      <w:bookmarkStart w:id="75" w:name="_Ref444773661"/>
      <w:r w:rsidRPr="009D10EC">
        <w:t xml:space="preserve">Table </w:t>
      </w:r>
      <w:r w:rsidR="003A2B97">
        <w:fldChar w:fldCharType="begin"/>
      </w:r>
      <w:r w:rsidR="003A2B97">
        <w:instrText xml:space="preserve"> STYLEREF 1 \s </w:instrText>
      </w:r>
      <w:r w:rsidR="003A2B97">
        <w:fldChar w:fldCharType="separate"/>
      </w:r>
      <w:r w:rsidR="00060C68">
        <w:rPr>
          <w:noProof/>
        </w:rPr>
        <w:t>2</w:t>
      </w:r>
      <w:r w:rsidR="003A2B97">
        <w:rPr>
          <w:noProof/>
        </w:rPr>
        <w:fldChar w:fldCharType="end"/>
      </w:r>
      <w:r w:rsidR="00060C68">
        <w:t>.</w:t>
      </w:r>
      <w:fldSimple w:instr=" SEQ Table \* ARABIC \s 1 ">
        <w:r w:rsidR="00060C68">
          <w:rPr>
            <w:noProof/>
          </w:rPr>
          <w:t>2</w:t>
        </w:r>
      </w:fldSimple>
      <w:bookmarkEnd w:id="75"/>
      <w:r w:rsidRPr="009D10EC">
        <w:tab/>
        <w:t xml:space="preserve">AER's final decision on </w:t>
      </w:r>
      <w:r w:rsidR="00D12F4C">
        <w:t>AusNet Services</w:t>
      </w:r>
      <w:r w:rsidR="00004CBC">
        <w:t>'</w:t>
      </w:r>
      <w:r w:rsidRPr="009D10EC">
        <w:t xml:space="preserve"> RAB for the 2016–20 regulatory control period ($ million, nominal)</w:t>
      </w:r>
    </w:p>
    <w:tbl>
      <w:tblPr>
        <w:tblStyle w:val="AERtable-numbers"/>
        <w:tblW w:w="5000" w:type="pct"/>
        <w:tblLook w:val="04A0" w:firstRow="1" w:lastRow="0" w:firstColumn="1" w:lastColumn="0" w:noHBand="0" w:noVBand="1"/>
      </w:tblPr>
      <w:tblGrid>
        <w:gridCol w:w="3458"/>
        <w:gridCol w:w="1047"/>
        <w:gridCol w:w="1047"/>
        <w:gridCol w:w="1047"/>
        <w:gridCol w:w="1047"/>
        <w:gridCol w:w="1047"/>
      </w:tblGrid>
      <w:tr w:rsidR="009D10EC" w:rsidRPr="00237902" w:rsidTr="000464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9D10EC" w:rsidRPr="009D10EC" w:rsidRDefault="009D10EC" w:rsidP="009D10EC">
            <w:r w:rsidRPr="009D10EC">
              <w:t> </w:t>
            </w:r>
          </w:p>
        </w:tc>
        <w:tc>
          <w:tcPr>
            <w:tcW w:w="602" w:type="pct"/>
            <w:noWrap/>
            <w:hideMark/>
          </w:tcPr>
          <w:p w:rsidR="009D10EC" w:rsidRPr="009D10EC" w:rsidRDefault="009D10EC" w:rsidP="009D10EC">
            <w:pPr>
              <w:cnfStyle w:val="100000000000" w:firstRow="1" w:lastRow="0" w:firstColumn="0" w:lastColumn="0" w:oddVBand="0" w:evenVBand="0" w:oddHBand="0" w:evenHBand="0" w:firstRowFirstColumn="0" w:firstRowLastColumn="0" w:lastRowFirstColumn="0" w:lastRowLastColumn="0"/>
            </w:pPr>
            <w:r w:rsidRPr="009D10EC">
              <w:t>2016</w:t>
            </w:r>
          </w:p>
        </w:tc>
        <w:tc>
          <w:tcPr>
            <w:tcW w:w="602" w:type="pct"/>
            <w:noWrap/>
            <w:hideMark/>
          </w:tcPr>
          <w:p w:rsidR="009D10EC" w:rsidRPr="009D10EC" w:rsidRDefault="009D10EC" w:rsidP="009D10EC">
            <w:pPr>
              <w:cnfStyle w:val="100000000000" w:firstRow="1" w:lastRow="0" w:firstColumn="0" w:lastColumn="0" w:oddVBand="0" w:evenVBand="0" w:oddHBand="0" w:evenHBand="0" w:firstRowFirstColumn="0" w:firstRowLastColumn="0" w:lastRowFirstColumn="0" w:lastRowLastColumn="0"/>
            </w:pPr>
            <w:r w:rsidRPr="009D10EC">
              <w:t>2017</w:t>
            </w:r>
          </w:p>
        </w:tc>
        <w:tc>
          <w:tcPr>
            <w:tcW w:w="602" w:type="pct"/>
            <w:noWrap/>
            <w:hideMark/>
          </w:tcPr>
          <w:p w:rsidR="009D10EC" w:rsidRPr="009D10EC" w:rsidRDefault="009D10EC" w:rsidP="009D10EC">
            <w:pPr>
              <w:cnfStyle w:val="100000000000" w:firstRow="1" w:lastRow="0" w:firstColumn="0" w:lastColumn="0" w:oddVBand="0" w:evenVBand="0" w:oddHBand="0" w:evenHBand="0" w:firstRowFirstColumn="0" w:firstRowLastColumn="0" w:lastRowFirstColumn="0" w:lastRowLastColumn="0"/>
            </w:pPr>
            <w:r w:rsidRPr="009D10EC">
              <w:t>2018</w:t>
            </w:r>
          </w:p>
        </w:tc>
        <w:tc>
          <w:tcPr>
            <w:tcW w:w="602" w:type="pct"/>
            <w:noWrap/>
            <w:hideMark/>
          </w:tcPr>
          <w:p w:rsidR="009D10EC" w:rsidRPr="009D10EC" w:rsidRDefault="009D10EC" w:rsidP="009D10EC">
            <w:pPr>
              <w:cnfStyle w:val="100000000000" w:firstRow="1" w:lastRow="0" w:firstColumn="0" w:lastColumn="0" w:oddVBand="0" w:evenVBand="0" w:oddHBand="0" w:evenHBand="0" w:firstRowFirstColumn="0" w:firstRowLastColumn="0" w:lastRowFirstColumn="0" w:lastRowLastColumn="0"/>
            </w:pPr>
            <w:r w:rsidRPr="009D10EC">
              <w:t>2019</w:t>
            </w:r>
          </w:p>
        </w:tc>
        <w:tc>
          <w:tcPr>
            <w:tcW w:w="602" w:type="pct"/>
            <w:noWrap/>
            <w:hideMark/>
          </w:tcPr>
          <w:p w:rsidR="009D10EC" w:rsidRPr="009D10EC" w:rsidRDefault="009D10EC" w:rsidP="009D10EC">
            <w:pPr>
              <w:cnfStyle w:val="100000000000" w:firstRow="1" w:lastRow="0" w:firstColumn="0" w:lastColumn="0" w:oddVBand="0" w:evenVBand="0" w:oddHBand="0" w:evenHBand="0" w:firstRowFirstColumn="0" w:firstRowLastColumn="0" w:lastRowFirstColumn="0" w:lastRowLastColumn="0"/>
            </w:pPr>
            <w:r w:rsidRPr="009D10EC">
              <w:t>2020</w:t>
            </w:r>
          </w:p>
        </w:tc>
      </w:tr>
      <w:tr w:rsidR="00EF6E21" w:rsidRPr="00237902" w:rsidTr="00E21F82">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EF6E21" w:rsidRPr="00EF6E21" w:rsidRDefault="00EF6E21" w:rsidP="00EF6E21">
            <w:r w:rsidRPr="00EF6E21">
              <w:t>Opening RAB</w:t>
            </w:r>
          </w:p>
        </w:tc>
        <w:tc>
          <w:tcPr>
            <w:tcW w:w="602" w:type="pct"/>
            <w:noWrap/>
            <w:vAlign w:val="bottom"/>
          </w:tcPr>
          <w:p w:rsidR="00EF6E21" w:rsidRPr="00EF6E21" w:rsidRDefault="00EF6E21" w:rsidP="00EF6E21">
            <w:pPr>
              <w:cnfStyle w:val="000000000000" w:firstRow="0" w:lastRow="0" w:firstColumn="0" w:lastColumn="0" w:oddVBand="0" w:evenVBand="0" w:oddHBand="0" w:evenHBand="0" w:firstRowFirstColumn="0" w:firstRowLastColumn="0" w:lastRowFirstColumn="0" w:lastRowLastColumn="0"/>
            </w:pPr>
            <w:r w:rsidRPr="00EF6E21">
              <w:t>3442.1</w:t>
            </w:r>
          </w:p>
        </w:tc>
        <w:tc>
          <w:tcPr>
            <w:tcW w:w="602" w:type="pct"/>
            <w:noWrap/>
            <w:vAlign w:val="bottom"/>
          </w:tcPr>
          <w:p w:rsidR="00EF6E21" w:rsidRPr="00EF6E21" w:rsidRDefault="00EF6E21" w:rsidP="00EF6E21">
            <w:pPr>
              <w:cnfStyle w:val="000000000000" w:firstRow="0" w:lastRow="0" w:firstColumn="0" w:lastColumn="0" w:oddVBand="0" w:evenVBand="0" w:oddHBand="0" w:evenHBand="0" w:firstRowFirstColumn="0" w:firstRowLastColumn="0" w:lastRowFirstColumn="0" w:lastRowLastColumn="0"/>
            </w:pPr>
            <w:r w:rsidRPr="00EF6E21">
              <w:t>3674.8</w:t>
            </w:r>
          </w:p>
        </w:tc>
        <w:tc>
          <w:tcPr>
            <w:tcW w:w="602" w:type="pct"/>
            <w:noWrap/>
            <w:vAlign w:val="bottom"/>
          </w:tcPr>
          <w:p w:rsidR="00EF6E21" w:rsidRPr="00EF6E21" w:rsidRDefault="00EF6E21" w:rsidP="00EF6E21">
            <w:pPr>
              <w:cnfStyle w:val="000000000000" w:firstRow="0" w:lastRow="0" w:firstColumn="0" w:lastColumn="0" w:oddVBand="0" w:evenVBand="0" w:oddHBand="0" w:evenHBand="0" w:firstRowFirstColumn="0" w:firstRowLastColumn="0" w:lastRowFirstColumn="0" w:lastRowLastColumn="0"/>
            </w:pPr>
            <w:r w:rsidRPr="00EF6E21">
              <w:t>3957.8</w:t>
            </w:r>
          </w:p>
        </w:tc>
        <w:tc>
          <w:tcPr>
            <w:tcW w:w="602" w:type="pct"/>
            <w:noWrap/>
            <w:vAlign w:val="bottom"/>
          </w:tcPr>
          <w:p w:rsidR="00EF6E21" w:rsidRPr="00EF6E21" w:rsidRDefault="00EF6E21" w:rsidP="00EF6E21">
            <w:pPr>
              <w:cnfStyle w:val="000000000000" w:firstRow="0" w:lastRow="0" w:firstColumn="0" w:lastColumn="0" w:oddVBand="0" w:evenVBand="0" w:oddHBand="0" w:evenHBand="0" w:firstRowFirstColumn="0" w:firstRowLastColumn="0" w:lastRowFirstColumn="0" w:lastRowLastColumn="0"/>
            </w:pPr>
            <w:r w:rsidRPr="00EF6E21">
              <w:t>4210.1</w:t>
            </w:r>
          </w:p>
        </w:tc>
        <w:tc>
          <w:tcPr>
            <w:tcW w:w="602" w:type="pct"/>
            <w:noWrap/>
            <w:vAlign w:val="bottom"/>
          </w:tcPr>
          <w:p w:rsidR="00EF6E21" w:rsidRPr="00EF6E21" w:rsidRDefault="00EF6E21" w:rsidP="00EF6E21">
            <w:pPr>
              <w:cnfStyle w:val="000000000000" w:firstRow="0" w:lastRow="0" w:firstColumn="0" w:lastColumn="0" w:oddVBand="0" w:evenVBand="0" w:oddHBand="0" w:evenHBand="0" w:firstRowFirstColumn="0" w:firstRowLastColumn="0" w:lastRowFirstColumn="0" w:lastRowLastColumn="0"/>
            </w:pPr>
            <w:r w:rsidRPr="00EF6E21">
              <w:t>4471.8</w:t>
            </w:r>
          </w:p>
        </w:tc>
      </w:tr>
      <w:tr w:rsidR="00EF6E21" w:rsidRPr="00237902" w:rsidTr="00E21F8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EF6E21" w:rsidRPr="00EF6E21" w:rsidRDefault="00EF6E21" w:rsidP="00EF6E21">
            <w:r w:rsidRPr="00EF6E21">
              <w:t>Capital expenditure</w:t>
            </w:r>
            <w:r w:rsidRPr="00EF6E21">
              <w:rPr>
                <w:rStyle w:val="AERsuperscript"/>
              </w:rPr>
              <w:t>a</w:t>
            </w:r>
          </w:p>
        </w:tc>
        <w:tc>
          <w:tcPr>
            <w:tcW w:w="602" w:type="pct"/>
            <w:noWrap/>
            <w:vAlign w:val="bottom"/>
          </w:tcPr>
          <w:p w:rsidR="00EF6E21" w:rsidRPr="00EF6E21" w:rsidRDefault="00EF6E21" w:rsidP="00EF6E21">
            <w:pPr>
              <w:cnfStyle w:val="000000010000" w:firstRow="0" w:lastRow="0" w:firstColumn="0" w:lastColumn="0" w:oddVBand="0" w:evenVBand="0" w:oddHBand="0" w:evenHBand="1" w:firstRowFirstColumn="0" w:firstRowLastColumn="0" w:lastRowFirstColumn="0" w:lastRowLastColumn="0"/>
            </w:pPr>
            <w:r w:rsidRPr="00EF6E21">
              <w:t>336.6</w:t>
            </w:r>
          </w:p>
        </w:tc>
        <w:tc>
          <w:tcPr>
            <w:tcW w:w="602" w:type="pct"/>
            <w:noWrap/>
            <w:vAlign w:val="bottom"/>
          </w:tcPr>
          <w:p w:rsidR="00EF6E21" w:rsidRPr="00EF6E21" w:rsidRDefault="00EF6E21" w:rsidP="00EF6E21">
            <w:pPr>
              <w:cnfStyle w:val="000000010000" w:firstRow="0" w:lastRow="0" w:firstColumn="0" w:lastColumn="0" w:oddVBand="0" w:evenVBand="0" w:oddHBand="0" w:evenHBand="1" w:firstRowFirstColumn="0" w:firstRowLastColumn="0" w:lastRowFirstColumn="0" w:lastRowLastColumn="0"/>
            </w:pPr>
            <w:r w:rsidRPr="00EF6E21">
              <w:t>370.8</w:t>
            </w:r>
          </w:p>
        </w:tc>
        <w:tc>
          <w:tcPr>
            <w:tcW w:w="602" w:type="pct"/>
            <w:noWrap/>
            <w:vAlign w:val="bottom"/>
          </w:tcPr>
          <w:p w:rsidR="00EF6E21" w:rsidRPr="00EF6E21" w:rsidRDefault="00EF6E21" w:rsidP="00EF6E21">
            <w:pPr>
              <w:cnfStyle w:val="000000010000" w:firstRow="0" w:lastRow="0" w:firstColumn="0" w:lastColumn="0" w:oddVBand="0" w:evenVBand="0" w:oddHBand="0" w:evenHBand="1" w:firstRowFirstColumn="0" w:firstRowLastColumn="0" w:lastRowFirstColumn="0" w:lastRowLastColumn="0"/>
            </w:pPr>
            <w:r w:rsidRPr="00EF6E21">
              <w:t>344.4</w:t>
            </w:r>
          </w:p>
        </w:tc>
        <w:tc>
          <w:tcPr>
            <w:tcW w:w="602" w:type="pct"/>
            <w:noWrap/>
            <w:vAlign w:val="bottom"/>
          </w:tcPr>
          <w:p w:rsidR="00EF6E21" w:rsidRPr="00EF6E21" w:rsidRDefault="00EF6E21" w:rsidP="00EF6E21">
            <w:pPr>
              <w:cnfStyle w:val="000000010000" w:firstRow="0" w:lastRow="0" w:firstColumn="0" w:lastColumn="0" w:oddVBand="0" w:evenVBand="0" w:oddHBand="0" w:evenHBand="1" w:firstRowFirstColumn="0" w:firstRowLastColumn="0" w:lastRowFirstColumn="0" w:lastRowLastColumn="0"/>
            </w:pPr>
            <w:r w:rsidRPr="00EF6E21">
              <w:t>354.2</w:t>
            </w:r>
          </w:p>
        </w:tc>
        <w:tc>
          <w:tcPr>
            <w:tcW w:w="602" w:type="pct"/>
            <w:noWrap/>
            <w:vAlign w:val="bottom"/>
          </w:tcPr>
          <w:p w:rsidR="00EF6E21" w:rsidRPr="00EF6E21" w:rsidRDefault="00EF6E21" w:rsidP="00EF6E21">
            <w:pPr>
              <w:cnfStyle w:val="000000010000" w:firstRow="0" w:lastRow="0" w:firstColumn="0" w:lastColumn="0" w:oddVBand="0" w:evenVBand="0" w:oddHBand="0" w:evenHBand="1" w:firstRowFirstColumn="0" w:firstRowLastColumn="0" w:lastRowFirstColumn="0" w:lastRowLastColumn="0"/>
            </w:pPr>
            <w:r w:rsidRPr="00EF6E21">
              <w:t>342.7</w:t>
            </w:r>
          </w:p>
        </w:tc>
      </w:tr>
      <w:tr w:rsidR="00AD7A27" w:rsidRPr="00237902" w:rsidTr="00E21F82">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AD7A27" w:rsidRPr="00AD7A27" w:rsidRDefault="00AD7A27" w:rsidP="00AD7A27">
            <w:r w:rsidRPr="00AD7A27">
              <w:t>Inflation indexation on opening RAB</w:t>
            </w:r>
          </w:p>
        </w:tc>
        <w:tc>
          <w:tcPr>
            <w:tcW w:w="602" w:type="pct"/>
            <w:noWrap/>
            <w:vAlign w:val="bottom"/>
          </w:tcPr>
          <w:p w:rsidR="00AD7A27" w:rsidRPr="00AD7A27" w:rsidRDefault="00AD7A27" w:rsidP="00AD7A27">
            <w:pPr>
              <w:cnfStyle w:val="000000000000" w:firstRow="0" w:lastRow="0" w:firstColumn="0" w:lastColumn="0" w:oddVBand="0" w:evenVBand="0" w:oddHBand="0" w:evenHBand="0" w:firstRowFirstColumn="0" w:firstRowLastColumn="0" w:lastRowFirstColumn="0" w:lastRowLastColumn="0"/>
            </w:pPr>
            <w:r w:rsidRPr="00AD7A27">
              <w:t>80.0</w:t>
            </w:r>
          </w:p>
        </w:tc>
        <w:tc>
          <w:tcPr>
            <w:tcW w:w="602" w:type="pct"/>
            <w:noWrap/>
            <w:vAlign w:val="bottom"/>
          </w:tcPr>
          <w:p w:rsidR="00AD7A27" w:rsidRPr="00AD7A27" w:rsidRDefault="00AD7A27" w:rsidP="00AD7A27">
            <w:pPr>
              <w:cnfStyle w:val="000000000000" w:firstRow="0" w:lastRow="0" w:firstColumn="0" w:lastColumn="0" w:oddVBand="0" w:evenVBand="0" w:oddHBand="0" w:evenHBand="0" w:firstRowFirstColumn="0" w:firstRowLastColumn="0" w:lastRowFirstColumn="0" w:lastRowLastColumn="0"/>
            </w:pPr>
            <w:r w:rsidRPr="00AD7A27">
              <w:t>85.4</w:t>
            </w:r>
          </w:p>
        </w:tc>
        <w:tc>
          <w:tcPr>
            <w:tcW w:w="602" w:type="pct"/>
            <w:noWrap/>
            <w:vAlign w:val="bottom"/>
          </w:tcPr>
          <w:p w:rsidR="00AD7A27" w:rsidRPr="00AD7A27" w:rsidRDefault="00AD7A27" w:rsidP="00AD7A27">
            <w:pPr>
              <w:cnfStyle w:val="000000000000" w:firstRow="0" w:lastRow="0" w:firstColumn="0" w:lastColumn="0" w:oddVBand="0" w:evenVBand="0" w:oddHBand="0" w:evenHBand="0" w:firstRowFirstColumn="0" w:firstRowLastColumn="0" w:lastRowFirstColumn="0" w:lastRowLastColumn="0"/>
            </w:pPr>
            <w:r w:rsidRPr="00AD7A27">
              <w:t>91.9</w:t>
            </w:r>
          </w:p>
        </w:tc>
        <w:tc>
          <w:tcPr>
            <w:tcW w:w="602" w:type="pct"/>
            <w:noWrap/>
            <w:vAlign w:val="bottom"/>
          </w:tcPr>
          <w:p w:rsidR="00AD7A27" w:rsidRPr="00AD7A27" w:rsidRDefault="00AD7A27" w:rsidP="00AD7A27">
            <w:pPr>
              <w:cnfStyle w:val="000000000000" w:firstRow="0" w:lastRow="0" w:firstColumn="0" w:lastColumn="0" w:oddVBand="0" w:evenVBand="0" w:oddHBand="0" w:evenHBand="0" w:firstRowFirstColumn="0" w:firstRowLastColumn="0" w:lastRowFirstColumn="0" w:lastRowLastColumn="0"/>
            </w:pPr>
            <w:r w:rsidRPr="00AD7A27">
              <w:t>97.8</w:t>
            </w:r>
          </w:p>
        </w:tc>
        <w:tc>
          <w:tcPr>
            <w:tcW w:w="602" w:type="pct"/>
            <w:noWrap/>
            <w:vAlign w:val="bottom"/>
          </w:tcPr>
          <w:p w:rsidR="00AD7A27" w:rsidRPr="00AD7A27" w:rsidRDefault="00AD7A27" w:rsidP="00AD7A27">
            <w:pPr>
              <w:cnfStyle w:val="000000000000" w:firstRow="0" w:lastRow="0" w:firstColumn="0" w:lastColumn="0" w:oddVBand="0" w:evenVBand="0" w:oddHBand="0" w:evenHBand="0" w:firstRowFirstColumn="0" w:firstRowLastColumn="0" w:lastRowFirstColumn="0" w:lastRowLastColumn="0"/>
            </w:pPr>
            <w:r w:rsidRPr="00AD7A27">
              <w:t>103.9</w:t>
            </w:r>
          </w:p>
        </w:tc>
      </w:tr>
      <w:tr w:rsidR="00AD7A27" w:rsidRPr="00237902" w:rsidTr="00E21F8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AD7A27" w:rsidRPr="00AD7A27" w:rsidRDefault="00AD7A27" w:rsidP="00AD7A27">
            <w:r w:rsidRPr="00AD7A27">
              <w:rPr>
                <w:rStyle w:val="AERtextitalic"/>
              </w:rPr>
              <w:t>Less</w:t>
            </w:r>
            <w:r w:rsidRPr="00AD7A27">
              <w:t>: straight-line depreciation</w:t>
            </w:r>
          </w:p>
        </w:tc>
        <w:tc>
          <w:tcPr>
            <w:tcW w:w="602" w:type="pct"/>
            <w:noWrap/>
            <w:vAlign w:val="bottom"/>
          </w:tcPr>
          <w:p w:rsidR="00AD7A27" w:rsidRPr="00AD7A27" w:rsidRDefault="00AD7A27" w:rsidP="00AD7A27">
            <w:pPr>
              <w:cnfStyle w:val="000000010000" w:firstRow="0" w:lastRow="0" w:firstColumn="0" w:lastColumn="0" w:oddVBand="0" w:evenVBand="0" w:oddHBand="0" w:evenHBand="1" w:firstRowFirstColumn="0" w:firstRowLastColumn="0" w:lastRowFirstColumn="0" w:lastRowLastColumn="0"/>
            </w:pPr>
            <w:r w:rsidRPr="00AD7A27">
              <w:t>183.8</w:t>
            </w:r>
          </w:p>
        </w:tc>
        <w:tc>
          <w:tcPr>
            <w:tcW w:w="602" w:type="pct"/>
            <w:noWrap/>
            <w:vAlign w:val="bottom"/>
          </w:tcPr>
          <w:p w:rsidR="00AD7A27" w:rsidRPr="00AD7A27" w:rsidRDefault="00AD7A27" w:rsidP="00AD7A27">
            <w:pPr>
              <w:cnfStyle w:val="000000010000" w:firstRow="0" w:lastRow="0" w:firstColumn="0" w:lastColumn="0" w:oddVBand="0" w:evenVBand="0" w:oddHBand="0" w:evenHBand="1" w:firstRowFirstColumn="0" w:firstRowLastColumn="0" w:lastRowFirstColumn="0" w:lastRowLastColumn="0"/>
            </w:pPr>
            <w:r w:rsidRPr="00AD7A27">
              <w:t>173.2</w:t>
            </w:r>
          </w:p>
        </w:tc>
        <w:tc>
          <w:tcPr>
            <w:tcW w:w="602" w:type="pct"/>
            <w:noWrap/>
            <w:vAlign w:val="bottom"/>
          </w:tcPr>
          <w:p w:rsidR="00AD7A27" w:rsidRPr="00AD7A27" w:rsidRDefault="00AD7A27" w:rsidP="00AD7A27">
            <w:pPr>
              <w:cnfStyle w:val="000000010000" w:firstRow="0" w:lastRow="0" w:firstColumn="0" w:lastColumn="0" w:oddVBand="0" w:evenVBand="0" w:oddHBand="0" w:evenHBand="1" w:firstRowFirstColumn="0" w:firstRowLastColumn="0" w:lastRowFirstColumn="0" w:lastRowLastColumn="0"/>
            </w:pPr>
            <w:r w:rsidRPr="00AD7A27">
              <w:t>184.1</w:t>
            </w:r>
          </w:p>
        </w:tc>
        <w:tc>
          <w:tcPr>
            <w:tcW w:w="602" w:type="pct"/>
            <w:noWrap/>
            <w:vAlign w:val="bottom"/>
          </w:tcPr>
          <w:p w:rsidR="00AD7A27" w:rsidRPr="00AD7A27" w:rsidRDefault="00AD7A27" w:rsidP="00AD7A27">
            <w:pPr>
              <w:cnfStyle w:val="000000010000" w:firstRow="0" w:lastRow="0" w:firstColumn="0" w:lastColumn="0" w:oddVBand="0" w:evenVBand="0" w:oddHBand="0" w:evenHBand="1" w:firstRowFirstColumn="0" w:firstRowLastColumn="0" w:lastRowFirstColumn="0" w:lastRowLastColumn="0"/>
            </w:pPr>
            <w:r w:rsidRPr="00AD7A27">
              <w:t>190.2</w:t>
            </w:r>
          </w:p>
        </w:tc>
        <w:tc>
          <w:tcPr>
            <w:tcW w:w="602" w:type="pct"/>
            <w:noWrap/>
            <w:vAlign w:val="bottom"/>
          </w:tcPr>
          <w:p w:rsidR="00AD7A27" w:rsidRPr="00AD7A27" w:rsidRDefault="00AD7A27" w:rsidP="00AD7A27">
            <w:pPr>
              <w:cnfStyle w:val="000000010000" w:firstRow="0" w:lastRow="0" w:firstColumn="0" w:lastColumn="0" w:oddVBand="0" w:evenVBand="0" w:oddHBand="0" w:evenHBand="1" w:firstRowFirstColumn="0" w:firstRowLastColumn="0" w:lastRowFirstColumn="0" w:lastRowLastColumn="0"/>
            </w:pPr>
            <w:r w:rsidRPr="00AD7A27">
              <w:t>203.0</w:t>
            </w:r>
          </w:p>
        </w:tc>
      </w:tr>
      <w:tr w:rsidR="00EF6E21" w:rsidRPr="00EF6E21" w:rsidTr="00E21F82">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EF6E21" w:rsidRPr="00E21F82" w:rsidRDefault="00EF6E21" w:rsidP="00EF6E21">
            <w:pPr>
              <w:rPr>
                <w:rStyle w:val="Strong"/>
              </w:rPr>
            </w:pPr>
            <w:r w:rsidRPr="00E21F82">
              <w:rPr>
                <w:rStyle w:val="Strong"/>
              </w:rPr>
              <w:t>Closing RAB</w:t>
            </w:r>
          </w:p>
        </w:tc>
        <w:tc>
          <w:tcPr>
            <w:tcW w:w="602" w:type="pct"/>
            <w:noWrap/>
            <w:vAlign w:val="bottom"/>
          </w:tcPr>
          <w:p w:rsidR="00EF6E21" w:rsidRPr="00EF6E21" w:rsidRDefault="00EF6E21" w:rsidP="00EF6E21">
            <w:pPr>
              <w:cnfStyle w:val="000000000000" w:firstRow="0" w:lastRow="0" w:firstColumn="0" w:lastColumn="0" w:oddVBand="0" w:evenVBand="0" w:oddHBand="0" w:evenHBand="0" w:firstRowFirstColumn="0" w:firstRowLastColumn="0" w:lastRowFirstColumn="0" w:lastRowLastColumn="0"/>
              <w:rPr>
                <w:rStyle w:val="Strong"/>
              </w:rPr>
            </w:pPr>
            <w:r w:rsidRPr="00EF6E21">
              <w:rPr>
                <w:rStyle w:val="Strong"/>
              </w:rPr>
              <w:t>3674.8</w:t>
            </w:r>
          </w:p>
        </w:tc>
        <w:tc>
          <w:tcPr>
            <w:tcW w:w="602" w:type="pct"/>
            <w:noWrap/>
            <w:vAlign w:val="bottom"/>
          </w:tcPr>
          <w:p w:rsidR="00EF6E21" w:rsidRPr="00EF6E21" w:rsidRDefault="00EF6E21" w:rsidP="00EF6E21">
            <w:pPr>
              <w:cnfStyle w:val="000000000000" w:firstRow="0" w:lastRow="0" w:firstColumn="0" w:lastColumn="0" w:oddVBand="0" w:evenVBand="0" w:oddHBand="0" w:evenHBand="0" w:firstRowFirstColumn="0" w:firstRowLastColumn="0" w:lastRowFirstColumn="0" w:lastRowLastColumn="0"/>
              <w:rPr>
                <w:rStyle w:val="Strong"/>
              </w:rPr>
            </w:pPr>
            <w:r w:rsidRPr="00EF6E21">
              <w:rPr>
                <w:rStyle w:val="Strong"/>
              </w:rPr>
              <w:t>3957.8</w:t>
            </w:r>
          </w:p>
        </w:tc>
        <w:tc>
          <w:tcPr>
            <w:tcW w:w="602" w:type="pct"/>
            <w:noWrap/>
            <w:vAlign w:val="bottom"/>
          </w:tcPr>
          <w:p w:rsidR="00EF6E21" w:rsidRPr="00EF6E21" w:rsidRDefault="00EF6E21" w:rsidP="00EF6E21">
            <w:pPr>
              <w:cnfStyle w:val="000000000000" w:firstRow="0" w:lastRow="0" w:firstColumn="0" w:lastColumn="0" w:oddVBand="0" w:evenVBand="0" w:oddHBand="0" w:evenHBand="0" w:firstRowFirstColumn="0" w:firstRowLastColumn="0" w:lastRowFirstColumn="0" w:lastRowLastColumn="0"/>
              <w:rPr>
                <w:rStyle w:val="Strong"/>
              </w:rPr>
            </w:pPr>
            <w:r w:rsidRPr="00EF6E21">
              <w:rPr>
                <w:rStyle w:val="Strong"/>
              </w:rPr>
              <w:t>4210.1</w:t>
            </w:r>
          </w:p>
        </w:tc>
        <w:tc>
          <w:tcPr>
            <w:tcW w:w="602" w:type="pct"/>
            <w:noWrap/>
            <w:vAlign w:val="bottom"/>
          </w:tcPr>
          <w:p w:rsidR="00EF6E21" w:rsidRPr="00EF6E21" w:rsidRDefault="00EF6E21" w:rsidP="00EF6E21">
            <w:pPr>
              <w:cnfStyle w:val="000000000000" w:firstRow="0" w:lastRow="0" w:firstColumn="0" w:lastColumn="0" w:oddVBand="0" w:evenVBand="0" w:oddHBand="0" w:evenHBand="0" w:firstRowFirstColumn="0" w:firstRowLastColumn="0" w:lastRowFirstColumn="0" w:lastRowLastColumn="0"/>
              <w:rPr>
                <w:rStyle w:val="Strong"/>
              </w:rPr>
            </w:pPr>
            <w:r w:rsidRPr="00EF6E21">
              <w:rPr>
                <w:rStyle w:val="Strong"/>
              </w:rPr>
              <w:t>4471.8</w:t>
            </w:r>
          </w:p>
        </w:tc>
        <w:tc>
          <w:tcPr>
            <w:tcW w:w="602" w:type="pct"/>
            <w:noWrap/>
            <w:vAlign w:val="bottom"/>
          </w:tcPr>
          <w:p w:rsidR="00EF6E21" w:rsidRPr="00EF6E21" w:rsidRDefault="00EF6E21" w:rsidP="00EF6E21">
            <w:pPr>
              <w:cnfStyle w:val="000000000000" w:firstRow="0" w:lastRow="0" w:firstColumn="0" w:lastColumn="0" w:oddVBand="0" w:evenVBand="0" w:oddHBand="0" w:evenHBand="0" w:firstRowFirstColumn="0" w:firstRowLastColumn="0" w:lastRowFirstColumn="0" w:lastRowLastColumn="0"/>
              <w:rPr>
                <w:rStyle w:val="Strong"/>
              </w:rPr>
            </w:pPr>
            <w:r w:rsidRPr="00EF6E21">
              <w:rPr>
                <w:rStyle w:val="Strong"/>
              </w:rPr>
              <w:t>4715.4</w:t>
            </w:r>
          </w:p>
        </w:tc>
      </w:tr>
    </w:tbl>
    <w:p w:rsidR="009D10EC" w:rsidRPr="009D10EC" w:rsidRDefault="009D10EC" w:rsidP="009D10EC">
      <w:pPr>
        <w:pStyle w:val="AERtablesource"/>
      </w:pPr>
      <w:r w:rsidRPr="009D10EC">
        <w:t>Source:</w:t>
      </w:r>
      <w:r w:rsidRPr="009D10EC">
        <w:tab/>
        <w:t>AER analysis.</w:t>
      </w:r>
    </w:p>
    <w:p w:rsidR="009D10EC" w:rsidRPr="009D10EC" w:rsidRDefault="001C0D6E" w:rsidP="009D10EC">
      <w:pPr>
        <w:pStyle w:val="AERtablesource"/>
      </w:pPr>
      <w:r>
        <w:t>(a)</w:t>
      </w:r>
      <w:r w:rsidR="009D10EC" w:rsidRPr="009D10EC">
        <w:tab/>
      </w:r>
      <w:r w:rsidR="008845E0" w:rsidRPr="009A523C">
        <w:t>Net of disposals and capital contributions.</w:t>
      </w:r>
      <w:r w:rsidR="008845E0">
        <w:t xml:space="preserve"> Inclusive of </w:t>
      </w:r>
      <w:r w:rsidR="008845E0" w:rsidRPr="00356705">
        <w:t>equity raising costs and the half-WACC to account for the timing assumptions in the PTRM.</w:t>
      </w:r>
    </w:p>
    <w:p w:rsidR="00132D43" w:rsidRDefault="00DB4E34" w:rsidP="00132D43">
      <w:pPr>
        <w:pStyle w:val="Heading2"/>
      </w:pPr>
      <w:bookmarkStart w:id="76" w:name="_Toc451520802"/>
      <w:r>
        <w:t>AusNet Services</w:t>
      </w:r>
      <w:r w:rsidR="004523B2">
        <w:t>'</w:t>
      </w:r>
      <w:r w:rsidR="00132D43">
        <w:t xml:space="preserve"> </w:t>
      </w:r>
      <w:r w:rsidR="000F0F0A">
        <w:t xml:space="preserve">revised </w:t>
      </w:r>
      <w:r w:rsidR="00132D43">
        <w:t>proposal</w:t>
      </w:r>
      <w:bookmarkEnd w:id="76"/>
    </w:p>
    <w:p w:rsidR="00B35737" w:rsidRDefault="00B35737" w:rsidP="00D00BA1">
      <w:r>
        <w:t xml:space="preserve">AusNet Services </w:t>
      </w:r>
      <w:r w:rsidR="00C40F83">
        <w:t xml:space="preserve">revised proposal </w:t>
      </w:r>
      <w:r w:rsidRPr="00F97CE2">
        <w:t>used our RFM to establish an opening RAB as at 1</w:t>
      </w:r>
      <w:r w:rsidR="006912A7">
        <w:t> </w:t>
      </w:r>
      <w:r w:rsidRPr="00F97CE2">
        <w:t>January 2016 and our PTRM to roll forward the RAB over the 2016–20 regulatory control period.</w:t>
      </w:r>
      <w:r w:rsidR="00C40F83">
        <w:t xml:space="preserve"> Its revised proposal submitted an opening RAB value a</w:t>
      </w:r>
      <w:r w:rsidR="00C40F83" w:rsidRPr="00F97CE2">
        <w:t>s at 1 January 201</w:t>
      </w:r>
      <w:r w:rsidR="00C40F83">
        <w:t>6</w:t>
      </w:r>
      <w:r w:rsidR="00C40F83" w:rsidRPr="00F97CE2">
        <w:t xml:space="preserve"> of $</w:t>
      </w:r>
      <w:r w:rsidR="00C40F83">
        <w:t>3444.6</w:t>
      </w:r>
      <w:r w:rsidR="00C40F83" w:rsidRPr="00F97CE2">
        <w:t xml:space="preserve"> million ($ nominal)</w:t>
      </w:r>
      <w:r w:rsidR="00C40F83">
        <w:t>.</w:t>
      </w:r>
      <w:r w:rsidR="00C40F83">
        <w:rPr>
          <w:rStyle w:val="FootnoteReference"/>
        </w:rPr>
        <w:footnoteReference w:id="4"/>
      </w:r>
      <w:r w:rsidR="00C40F83">
        <w:t xml:space="preserve"> </w:t>
      </w:r>
      <w:r>
        <w:t>It adopted the preliminary decision</w:t>
      </w:r>
      <w:r w:rsidR="008845E0">
        <w:t>'s</w:t>
      </w:r>
      <w:r>
        <w:t>:</w:t>
      </w:r>
      <w:r>
        <w:rPr>
          <w:rStyle w:val="FootnoteReference"/>
        </w:rPr>
        <w:footnoteReference w:id="5"/>
      </w:r>
    </w:p>
    <w:p w:rsidR="00B35737" w:rsidRDefault="00C40F83" w:rsidP="00B35737">
      <w:pPr>
        <w:pStyle w:val="AERbulletlistfirststyle"/>
      </w:pPr>
      <w:r>
        <w:lastRenderedPageBreak/>
        <w:t xml:space="preserve">adjustment for </w:t>
      </w:r>
      <w:r w:rsidR="00B35737">
        <w:t>r</w:t>
      </w:r>
      <w:r w:rsidR="00B35737" w:rsidRPr="00EA55B4">
        <w:t>emov</w:t>
      </w:r>
      <w:r>
        <w:t>ing</w:t>
      </w:r>
      <w:r w:rsidR="00B35737" w:rsidRPr="00EA55B4">
        <w:t xml:space="preserve"> the half-year WACC allowance for 2010 actual net capex</w:t>
      </w:r>
    </w:p>
    <w:p w:rsidR="00543887" w:rsidRDefault="00543887" w:rsidP="00543887">
      <w:pPr>
        <w:pStyle w:val="AERbulletlistfirststyle"/>
      </w:pPr>
      <w:r>
        <w:t>re</w:t>
      </w:r>
      <w:r w:rsidR="00C40F83">
        <w:t>mov</w:t>
      </w:r>
      <w:r w:rsidR="00004CBC">
        <w:t>al of</w:t>
      </w:r>
      <w:r w:rsidR="00C40F83">
        <w:t xml:space="preserve"> the proposed addition</w:t>
      </w:r>
      <w:r>
        <w:t xml:space="preserve"> of A</w:t>
      </w:r>
      <w:r w:rsidR="00C40F83">
        <w:t xml:space="preserve">dvanced </w:t>
      </w:r>
      <w:r>
        <w:t>M</w:t>
      </w:r>
      <w:r w:rsidR="00C40F83">
        <w:t xml:space="preserve">etering </w:t>
      </w:r>
      <w:r>
        <w:t>I</w:t>
      </w:r>
      <w:r w:rsidR="00C40F83">
        <w:t>nfrastructure (AMI) IT and</w:t>
      </w:r>
      <w:r>
        <w:t xml:space="preserve"> communication assets </w:t>
      </w:r>
      <w:r w:rsidR="00C40F83">
        <w:t xml:space="preserve">to the standard control services opening </w:t>
      </w:r>
      <w:r>
        <w:t>RAB</w:t>
      </w:r>
      <w:r w:rsidR="00C40F83">
        <w:t xml:space="preserve"> at 1 January 2016</w:t>
      </w:r>
      <w:r w:rsidR="00A92493">
        <w:t>, leaving these assets in the alternative control services asset base</w:t>
      </w:r>
    </w:p>
    <w:p w:rsidR="00543887" w:rsidRDefault="00543887" w:rsidP="00543887">
      <w:pPr>
        <w:pStyle w:val="AERbulletlistfirststyle"/>
      </w:pPr>
      <w:r>
        <w:t>other minor amendments to the RFM to correct for errors</w:t>
      </w:r>
      <w:r w:rsidR="009D2790">
        <w:t>.</w:t>
      </w:r>
      <w:r>
        <w:t xml:space="preserve"> </w:t>
      </w:r>
    </w:p>
    <w:p w:rsidR="00B35737" w:rsidRDefault="00C40F83" w:rsidP="00B35737">
      <w:r>
        <w:t>However, i</w:t>
      </w:r>
      <w:r w:rsidR="00B35737">
        <w:t xml:space="preserve">t did not adopt the preliminary decision approach to indexing the RAB for actual inflation. </w:t>
      </w:r>
      <w:r w:rsidR="000401C7">
        <w:t>AusNet Services</w:t>
      </w:r>
      <w:r w:rsidR="00B35737">
        <w:t>' revised proposal appl</w:t>
      </w:r>
      <w:r w:rsidR="00181027">
        <w:t>ies</w:t>
      </w:r>
      <w:r w:rsidR="00B35737">
        <w:t xml:space="preserve"> a</w:t>
      </w:r>
      <w:r w:rsidR="00181027">
        <w:t xml:space="preserve"> one-year</w:t>
      </w:r>
      <w:r w:rsidR="00B35737">
        <w:t xml:space="preserve"> lagged </w:t>
      </w:r>
      <w:r w:rsidR="00181027">
        <w:t xml:space="preserve">actual </w:t>
      </w:r>
      <w:r w:rsidR="00B35737">
        <w:t>inflation rate across all components of the RAB roll forward.</w:t>
      </w:r>
      <w:r w:rsidR="00B35737">
        <w:rPr>
          <w:rStyle w:val="FootnoteReference"/>
        </w:rPr>
        <w:footnoteReference w:id="6"/>
      </w:r>
      <w:r w:rsidR="00B35737">
        <w:t xml:space="preserve"> </w:t>
      </w:r>
      <w:r w:rsidR="00181027">
        <w:t>AusNet Services also proposed to remove</w:t>
      </w:r>
      <w:r w:rsidR="00181027" w:rsidRPr="00046461">
        <w:t xml:space="preserve"> the </w:t>
      </w:r>
      <w:r w:rsidR="00181027">
        <w:t>inflation adjustment made in the 'Adjustment for p</w:t>
      </w:r>
      <w:r w:rsidR="00181027" w:rsidRPr="00046461">
        <w:t>revious period</w:t>
      </w:r>
      <w:r w:rsidR="00181027">
        <w:t>'</w:t>
      </w:r>
      <w:r w:rsidR="00181027" w:rsidRPr="00046461">
        <w:t xml:space="preserve"> </w:t>
      </w:r>
      <w:r w:rsidR="00181027">
        <w:t>worksheet of the RFM. Th</w:t>
      </w:r>
      <w:r w:rsidR="00592FC3">
        <w:t>is</w:t>
      </w:r>
      <w:r w:rsidR="00181027" w:rsidRPr="00046461">
        <w:t xml:space="preserve"> inflation </w:t>
      </w:r>
      <w:r w:rsidR="00181027">
        <w:t>adjustment related to</w:t>
      </w:r>
      <w:r w:rsidR="00181027" w:rsidRPr="00046461">
        <w:t xml:space="preserve"> calculating the difference between estimated and actual 2010 capex </w:t>
      </w:r>
      <w:r w:rsidR="00E52707">
        <w:t xml:space="preserve">to be </w:t>
      </w:r>
      <w:r w:rsidR="00181027" w:rsidRPr="00046461">
        <w:t xml:space="preserve">trued-up in this determination. </w:t>
      </w:r>
    </w:p>
    <w:p w:rsidR="00B35737" w:rsidRDefault="00046461" w:rsidP="00B35737">
      <w:r>
        <w:t>AusNet Services</w:t>
      </w:r>
      <w:r w:rsidR="00181027">
        <w:t>' revised proposal also</w:t>
      </w:r>
      <w:r>
        <w:t xml:space="preserve"> </w:t>
      </w:r>
      <w:r w:rsidR="00543887">
        <w:t>did not a</w:t>
      </w:r>
      <w:r w:rsidR="009D2790">
        <w:t xml:space="preserve">dopt </w:t>
      </w:r>
      <w:r w:rsidR="00543887">
        <w:t xml:space="preserve">our preliminary decision to use </w:t>
      </w:r>
      <w:r w:rsidR="009D2790">
        <w:t xml:space="preserve">the </w:t>
      </w:r>
      <w:r w:rsidR="00543887">
        <w:t xml:space="preserve">gross proceeds from </w:t>
      </w:r>
      <w:r w:rsidR="00E52707">
        <w:t xml:space="preserve">asset </w:t>
      </w:r>
      <w:r w:rsidR="00543887">
        <w:t xml:space="preserve">sales for </w:t>
      </w:r>
      <w:r w:rsidR="009D2790">
        <w:t xml:space="preserve">the value of asset disposal. AusNet Services </w:t>
      </w:r>
      <w:r w:rsidR="00C978EA">
        <w:t xml:space="preserve">instead </w:t>
      </w:r>
      <w:r w:rsidR="00E52707">
        <w:t xml:space="preserve">maintained its initial </w:t>
      </w:r>
      <w:r w:rsidR="00C978EA">
        <w:t>propos</w:t>
      </w:r>
      <w:r w:rsidR="00E52707">
        <w:t>al</w:t>
      </w:r>
      <w:r w:rsidR="00C978EA">
        <w:t xml:space="preserve"> to use</w:t>
      </w:r>
      <w:r w:rsidR="00E52707">
        <w:t xml:space="preserve"> the</w:t>
      </w:r>
      <w:r w:rsidR="00C978EA">
        <w:t xml:space="preserve"> written down value of the asset</w:t>
      </w:r>
      <w:r w:rsidR="009D2790">
        <w:t xml:space="preserve"> </w:t>
      </w:r>
      <w:r w:rsidR="00E52707">
        <w:t>as an input for</w:t>
      </w:r>
      <w:r w:rsidR="009D2790">
        <w:t xml:space="preserve"> the value of asset disposal</w:t>
      </w:r>
      <w:r w:rsidR="00C978EA">
        <w:t>.</w:t>
      </w:r>
      <w:r w:rsidR="00C978EA">
        <w:rPr>
          <w:rStyle w:val="FootnoteReference"/>
        </w:rPr>
        <w:footnoteReference w:id="7"/>
      </w:r>
      <w:r w:rsidR="00543887">
        <w:t xml:space="preserve"> </w:t>
      </w:r>
      <w:r w:rsidR="00B35737">
        <w:fldChar w:fldCharType="begin"/>
      </w:r>
      <w:r w:rsidR="00B35737">
        <w:instrText xml:space="preserve"> REF _Ref442168841 \h </w:instrText>
      </w:r>
      <w:r w:rsidR="00B35737">
        <w:fldChar w:fldCharType="separate"/>
      </w:r>
      <w:r w:rsidR="00060C68">
        <w:t xml:space="preserve">Table </w:t>
      </w:r>
      <w:r w:rsidR="00060C68">
        <w:rPr>
          <w:noProof/>
        </w:rPr>
        <w:t>2</w:t>
      </w:r>
      <w:r w:rsidR="00060C68">
        <w:t>.</w:t>
      </w:r>
      <w:r w:rsidR="00060C68">
        <w:rPr>
          <w:noProof/>
        </w:rPr>
        <w:t>3</w:t>
      </w:r>
      <w:r w:rsidR="00B35737">
        <w:fldChar w:fldCharType="end"/>
      </w:r>
      <w:r w:rsidR="00B35737">
        <w:t xml:space="preserve"> </w:t>
      </w:r>
      <w:r w:rsidR="00B35737" w:rsidRPr="00F97CE2">
        <w:t xml:space="preserve">presents </w:t>
      </w:r>
      <w:r w:rsidR="000401C7">
        <w:t>AusNet Services</w:t>
      </w:r>
      <w:r w:rsidR="00B35737" w:rsidRPr="00F97CE2">
        <w:t xml:space="preserve">' </w:t>
      </w:r>
      <w:r w:rsidR="00B35737">
        <w:t xml:space="preserve">revised </w:t>
      </w:r>
      <w:r w:rsidR="00B35737" w:rsidRPr="00F97CE2">
        <w:t>proposed roll forward of its RAB during the 2011–15 regulatory control period.</w:t>
      </w:r>
    </w:p>
    <w:p w:rsidR="00B35737" w:rsidRDefault="00B35737" w:rsidP="00B35737">
      <w:pPr>
        <w:pStyle w:val="Caption"/>
      </w:pPr>
      <w:bookmarkStart w:id="77" w:name="_Ref442168841"/>
      <w:r>
        <w:t xml:space="preserve">Table </w:t>
      </w:r>
      <w:r w:rsidR="003A2B97">
        <w:fldChar w:fldCharType="begin"/>
      </w:r>
      <w:r w:rsidR="003A2B97">
        <w:instrText xml:space="preserve"> STYLEREF 1 \s </w:instrText>
      </w:r>
      <w:r w:rsidR="003A2B97">
        <w:fldChar w:fldCharType="separate"/>
      </w:r>
      <w:r w:rsidR="00060C68">
        <w:rPr>
          <w:noProof/>
        </w:rPr>
        <w:t>2</w:t>
      </w:r>
      <w:r w:rsidR="003A2B97">
        <w:rPr>
          <w:noProof/>
        </w:rPr>
        <w:fldChar w:fldCharType="end"/>
      </w:r>
      <w:r w:rsidR="00060C68">
        <w:t>.</w:t>
      </w:r>
      <w:fldSimple w:instr=" SEQ Table \* ARABIC \s 1 ">
        <w:r w:rsidR="00060C68">
          <w:rPr>
            <w:noProof/>
          </w:rPr>
          <w:t>3</w:t>
        </w:r>
      </w:fldSimple>
      <w:bookmarkEnd w:id="77"/>
      <w:r>
        <w:tab/>
        <w:t>AusNet Services</w:t>
      </w:r>
      <w:r w:rsidRPr="00A62C28">
        <w:t>' revised proposed RAB for the 2011–15 regulatory control period ($million, nominal)</w:t>
      </w:r>
    </w:p>
    <w:tbl>
      <w:tblPr>
        <w:tblStyle w:val="AERtable-numbers"/>
        <w:tblW w:w="8755" w:type="dxa"/>
        <w:tblLayout w:type="fixed"/>
        <w:tblLook w:val="04A0" w:firstRow="1" w:lastRow="0" w:firstColumn="1" w:lastColumn="0" w:noHBand="0" w:noVBand="1"/>
      </w:tblPr>
      <w:tblGrid>
        <w:gridCol w:w="3586"/>
        <w:gridCol w:w="1033"/>
        <w:gridCol w:w="1034"/>
        <w:gridCol w:w="1034"/>
        <w:gridCol w:w="1034"/>
        <w:gridCol w:w="1034"/>
      </w:tblGrid>
      <w:tr w:rsidR="00B35737" w:rsidRPr="0011410F" w:rsidTr="0038590D">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B35737" w:rsidRPr="00B35737" w:rsidRDefault="00B35737" w:rsidP="00B35737">
            <w:r w:rsidRPr="00924046">
              <w:t> </w:t>
            </w:r>
          </w:p>
        </w:tc>
        <w:tc>
          <w:tcPr>
            <w:tcW w:w="1033" w:type="dxa"/>
            <w:noWrap/>
            <w:hideMark/>
          </w:tcPr>
          <w:p w:rsidR="00B35737" w:rsidRPr="00B35737" w:rsidRDefault="00B35737" w:rsidP="00B35737">
            <w:pPr>
              <w:cnfStyle w:val="100000000000" w:firstRow="1" w:lastRow="0" w:firstColumn="0" w:lastColumn="0" w:oddVBand="0" w:evenVBand="0" w:oddHBand="0" w:evenHBand="0" w:firstRowFirstColumn="0" w:firstRowLastColumn="0" w:lastRowFirstColumn="0" w:lastRowLastColumn="0"/>
            </w:pPr>
            <w:r w:rsidRPr="00924046">
              <w:t>2011</w:t>
            </w:r>
          </w:p>
        </w:tc>
        <w:tc>
          <w:tcPr>
            <w:tcW w:w="1034" w:type="dxa"/>
            <w:noWrap/>
            <w:hideMark/>
          </w:tcPr>
          <w:p w:rsidR="00B35737" w:rsidRPr="00B35737" w:rsidRDefault="00B35737" w:rsidP="00B35737">
            <w:pPr>
              <w:cnfStyle w:val="100000000000" w:firstRow="1" w:lastRow="0" w:firstColumn="0" w:lastColumn="0" w:oddVBand="0" w:evenVBand="0" w:oddHBand="0" w:evenHBand="0" w:firstRowFirstColumn="0" w:firstRowLastColumn="0" w:lastRowFirstColumn="0" w:lastRowLastColumn="0"/>
            </w:pPr>
            <w:r w:rsidRPr="00924046">
              <w:t>2012</w:t>
            </w:r>
          </w:p>
        </w:tc>
        <w:tc>
          <w:tcPr>
            <w:tcW w:w="1034" w:type="dxa"/>
            <w:noWrap/>
            <w:hideMark/>
          </w:tcPr>
          <w:p w:rsidR="00B35737" w:rsidRPr="00B35737" w:rsidRDefault="00B35737" w:rsidP="00B35737">
            <w:pPr>
              <w:cnfStyle w:val="100000000000" w:firstRow="1" w:lastRow="0" w:firstColumn="0" w:lastColumn="0" w:oddVBand="0" w:evenVBand="0" w:oddHBand="0" w:evenHBand="0" w:firstRowFirstColumn="0" w:firstRowLastColumn="0" w:lastRowFirstColumn="0" w:lastRowLastColumn="0"/>
            </w:pPr>
            <w:r w:rsidRPr="00924046">
              <w:t>2013</w:t>
            </w:r>
          </w:p>
        </w:tc>
        <w:tc>
          <w:tcPr>
            <w:tcW w:w="1034" w:type="dxa"/>
            <w:noWrap/>
            <w:hideMark/>
          </w:tcPr>
          <w:p w:rsidR="00B35737" w:rsidRPr="00B35737" w:rsidRDefault="00B35737" w:rsidP="00B35737">
            <w:pPr>
              <w:cnfStyle w:val="100000000000" w:firstRow="1" w:lastRow="0" w:firstColumn="0" w:lastColumn="0" w:oddVBand="0" w:evenVBand="0" w:oddHBand="0" w:evenHBand="0" w:firstRowFirstColumn="0" w:firstRowLastColumn="0" w:lastRowFirstColumn="0" w:lastRowLastColumn="0"/>
            </w:pPr>
            <w:r w:rsidRPr="00924046">
              <w:t>2014</w:t>
            </w:r>
          </w:p>
        </w:tc>
        <w:tc>
          <w:tcPr>
            <w:tcW w:w="1034" w:type="dxa"/>
            <w:noWrap/>
            <w:hideMark/>
          </w:tcPr>
          <w:p w:rsidR="00B35737" w:rsidRPr="00B35737" w:rsidRDefault="00B35737" w:rsidP="00B35737">
            <w:pPr>
              <w:cnfStyle w:val="100000000000" w:firstRow="1" w:lastRow="0" w:firstColumn="0" w:lastColumn="0" w:oddVBand="0" w:evenVBand="0" w:oddHBand="0" w:evenHBand="0" w:firstRowFirstColumn="0" w:firstRowLastColumn="0" w:lastRowFirstColumn="0" w:lastRowLastColumn="0"/>
            </w:pPr>
            <w:r w:rsidRPr="00924046">
              <w:t>2015</w:t>
            </w:r>
            <w:r w:rsidRPr="00B35737">
              <w:rPr>
                <w:rStyle w:val="AERsuperscript"/>
              </w:rPr>
              <w:t>a</w:t>
            </w:r>
          </w:p>
        </w:tc>
      </w:tr>
      <w:tr w:rsidR="0038590D" w:rsidRPr="00F30662" w:rsidTr="0038590D">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38590D" w:rsidRPr="0038590D" w:rsidRDefault="0038590D" w:rsidP="0038590D">
            <w:r w:rsidRPr="0038590D">
              <w:t>Opening RAB</w:t>
            </w:r>
          </w:p>
        </w:tc>
        <w:tc>
          <w:tcPr>
            <w:tcW w:w="1033"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2093.4</w:t>
            </w:r>
          </w:p>
        </w:tc>
        <w:tc>
          <w:tcPr>
            <w:tcW w:w="1034"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2278.3</w:t>
            </w:r>
          </w:p>
        </w:tc>
        <w:tc>
          <w:tcPr>
            <w:tcW w:w="1034"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2563.0</w:t>
            </w:r>
          </w:p>
        </w:tc>
        <w:tc>
          <w:tcPr>
            <w:tcW w:w="1034"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2858.9</w:t>
            </w:r>
          </w:p>
        </w:tc>
        <w:tc>
          <w:tcPr>
            <w:tcW w:w="1034"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3180.4</w:t>
            </w:r>
          </w:p>
        </w:tc>
      </w:tr>
      <w:tr w:rsidR="0038590D" w:rsidRPr="00F30662" w:rsidTr="0038590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38590D" w:rsidRPr="0038590D" w:rsidRDefault="0038590D" w:rsidP="0038590D">
            <w:r w:rsidRPr="0038590D">
              <w:t>Capital expenditure</w:t>
            </w:r>
            <w:r w:rsidRPr="0038590D">
              <w:rPr>
                <w:rStyle w:val="AERsuperscript"/>
              </w:rPr>
              <w:t>b</w:t>
            </w:r>
          </w:p>
        </w:tc>
        <w:tc>
          <w:tcPr>
            <w:tcW w:w="1033"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273.8</w:t>
            </w:r>
          </w:p>
        </w:tc>
        <w:tc>
          <w:tcPr>
            <w:tcW w:w="1034"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319.5</w:t>
            </w:r>
          </w:p>
        </w:tc>
        <w:tc>
          <w:tcPr>
            <w:tcW w:w="1034"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379.1</w:t>
            </w:r>
          </w:p>
        </w:tc>
        <w:tc>
          <w:tcPr>
            <w:tcW w:w="1034"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400.5</w:t>
            </w:r>
          </w:p>
        </w:tc>
        <w:tc>
          <w:tcPr>
            <w:tcW w:w="1034"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366.1</w:t>
            </w:r>
          </w:p>
        </w:tc>
      </w:tr>
      <w:tr w:rsidR="0038590D" w:rsidRPr="00F30662" w:rsidTr="0038590D">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38590D" w:rsidRPr="0038590D" w:rsidRDefault="0038590D" w:rsidP="0038590D">
            <w:r w:rsidRPr="0038590D">
              <w:t>Inflation indexation on opening RAB</w:t>
            </w:r>
          </w:p>
        </w:tc>
        <w:tc>
          <w:tcPr>
            <w:tcW w:w="1033"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58.4</w:t>
            </w:r>
          </w:p>
        </w:tc>
        <w:tc>
          <w:tcPr>
            <w:tcW w:w="1034"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80.2</w:t>
            </w:r>
          </w:p>
        </w:tc>
        <w:tc>
          <w:tcPr>
            <w:tcW w:w="1034"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51.4</w:t>
            </w:r>
          </w:p>
        </w:tc>
        <w:tc>
          <w:tcPr>
            <w:tcW w:w="1034"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61.8</w:t>
            </w:r>
          </w:p>
        </w:tc>
        <w:tc>
          <w:tcPr>
            <w:tcW w:w="1034"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73.4</w:t>
            </w:r>
          </w:p>
        </w:tc>
      </w:tr>
      <w:tr w:rsidR="0038590D" w:rsidRPr="00F30662" w:rsidTr="0038590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38590D" w:rsidRPr="0038590D" w:rsidRDefault="0038590D" w:rsidP="0038590D">
            <w:r w:rsidRPr="0038590D">
              <w:rPr>
                <w:rStyle w:val="AERtextitalic"/>
              </w:rPr>
              <w:t>Less</w:t>
            </w:r>
            <w:r w:rsidRPr="0038590D">
              <w:t>: straight-line depreciation</w:t>
            </w:r>
          </w:p>
        </w:tc>
        <w:tc>
          <w:tcPr>
            <w:tcW w:w="1033"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147.4</w:t>
            </w:r>
          </w:p>
        </w:tc>
        <w:tc>
          <w:tcPr>
            <w:tcW w:w="1034"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114.9</w:t>
            </w:r>
          </w:p>
        </w:tc>
        <w:tc>
          <w:tcPr>
            <w:tcW w:w="1034"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134.5</w:t>
            </w:r>
          </w:p>
        </w:tc>
        <w:tc>
          <w:tcPr>
            <w:tcW w:w="1034"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140.9</w:t>
            </w:r>
          </w:p>
        </w:tc>
        <w:tc>
          <w:tcPr>
            <w:tcW w:w="1034"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146.4</w:t>
            </w:r>
          </w:p>
        </w:tc>
      </w:tr>
      <w:tr w:rsidR="0038590D" w:rsidRPr="008978BA" w:rsidTr="0038590D">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38590D" w:rsidRPr="0038590D" w:rsidRDefault="0038590D" w:rsidP="0038590D">
            <w:r w:rsidRPr="0038590D">
              <w:t>Closing RAB</w:t>
            </w:r>
          </w:p>
        </w:tc>
        <w:tc>
          <w:tcPr>
            <w:tcW w:w="1033"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2278.3</w:t>
            </w:r>
          </w:p>
        </w:tc>
        <w:tc>
          <w:tcPr>
            <w:tcW w:w="1034"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2563.0</w:t>
            </w:r>
          </w:p>
        </w:tc>
        <w:tc>
          <w:tcPr>
            <w:tcW w:w="1034"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2858.9</w:t>
            </w:r>
          </w:p>
        </w:tc>
        <w:tc>
          <w:tcPr>
            <w:tcW w:w="1034"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3180.4</w:t>
            </w:r>
          </w:p>
        </w:tc>
        <w:tc>
          <w:tcPr>
            <w:tcW w:w="1034"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3473.5</w:t>
            </w:r>
          </w:p>
        </w:tc>
      </w:tr>
      <w:tr w:rsidR="0038590D" w:rsidRPr="00F30662" w:rsidTr="0038590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38590D" w:rsidRPr="0038590D" w:rsidRDefault="0038590D" w:rsidP="0038590D">
            <w:r w:rsidRPr="0038590D">
              <w:t>Difference between estimated and actual 2010 capex (1 January 2010 to 31 December 2010)</w:t>
            </w:r>
          </w:p>
        </w:tc>
        <w:tc>
          <w:tcPr>
            <w:tcW w:w="1033" w:type="dxa"/>
            <w:vAlign w:val="bottom"/>
          </w:tcPr>
          <w:p w:rsidR="0038590D" w:rsidRPr="0038590D" w:rsidRDefault="0038590D">
            <w:pPr>
              <w:cnfStyle w:val="000000010000" w:firstRow="0" w:lastRow="0" w:firstColumn="0" w:lastColumn="0" w:oddVBand="0" w:evenVBand="0" w:oddHBand="0" w:evenHBand="1" w:firstRowFirstColumn="0" w:firstRowLastColumn="0" w:lastRowFirstColumn="0" w:lastRowLastColumn="0"/>
            </w:pPr>
            <w:r w:rsidRPr="0038590D">
              <w:t> </w:t>
            </w:r>
          </w:p>
        </w:tc>
        <w:tc>
          <w:tcPr>
            <w:tcW w:w="1034" w:type="dxa"/>
            <w:vAlign w:val="bottom"/>
          </w:tcPr>
          <w:p w:rsidR="0038590D" w:rsidRPr="0038590D" w:rsidRDefault="0038590D">
            <w:pPr>
              <w:cnfStyle w:val="000000010000" w:firstRow="0" w:lastRow="0" w:firstColumn="0" w:lastColumn="0" w:oddVBand="0" w:evenVBand="0" w:oddHBand="0" w:evenHBand="1" w:firstRowFirstColumn="0" w:firstRowLastColumn="0" w:lastRowFirstColumn="0" w:lastRowLastColumn="0"/>
            </w:pPr>
            <w:r w:rsidRPr="0038590D">
              <w:t> </w:t>
            </w:r>
          </w:p>
        </w:tc>
        <w:tc>
          <w:tcPr>
            <w:tcW w:w="1034" w:type="dxa"/>
            <w:vAlign w:val="bottom"/>
          </w:tcPr>
          <w:p w:rsidR="0038590D" w:rsidRPr="0038590D" w:rsidRDefault="0038590D">
            <w:pPr>
              <w:cnfStyle w:val="000000010000" w:firstRow="0" w:lastRow="0" w:firstColumn="0" w:lastColumn="0" w:oddVBand="0" w:evenVBand="0" w:oddHBand="0" w:evenHBand="1" w:firstRowFirstColumn="0" w:firstRowLastColumn="0" w:lastRowFirstColumn="0" w:lastRowLastColumn="0"/>
            </w:pPr>
            <w:r w:rsidRPr="0038590D">
              <w:t> </w:t>
            </w:r>
          </w:p>
        </w:tc>
        <w:tc>
          <w:tcPr>
            <w:tcW w:w="1034" w:type="dxa"/>
            <w:vAlign w:val="bottom"/>
          </w:tcPr>
          <w:p w:rsidR="0038590D" w:rsidRPr="0038590D" w:rsidRDefault="0038590D">
            <w:pPr>
              <w:cnfStyle w:val="000000010000" w:firstRow="0" w:lastRow="0" w:firstColumn="0" w:lastColumn="0" w:oddVBand="0" w:evenVBand="0" w:oddHBand="0" w:evenHBand="1" w:firstRowFirstColumn="0" w:firstRowLastColumn="0" w:lastRowFirstColumn="0" w:lastRowLastColumn="0"/>
            </w:pPr>
            <w:r w:rsidRPr="0038590D">
              <w:t> </w:t>
            </w:r>
          </w:p>
        </w:tc>
        <w:tc>
          <w:tcPr>
            <w:tcW w:w="1034" w:type="dxa"/>
            <w:vAlign w:val="bottom"/>
          </w:tcPr>
          <w:p w:rsidR="0038590D" w:rsidRPr="0038590D" w:rsidRDefault="009E0B88" w:rsidP="0038590D">
            <w:pPr>
              <w:cnfStyle w:val="000000010000" w:firstRow="0" w:lastRow="0" w:firstColumn="0" w:lastColumn="0" w:oddVBand="0" w:evenVBand="0" w:oddHBand="0" w:evenHBand="1" w:firstRowFirstColumn="0" w:firstRowLastColumn="0" w:lastRowFirstColumn="0" w:lastRowLastColumn="0"/>
            </w:pPr>
            <w:r>
              <w:t>–</w:t>
            </w:r>
            <w:r w:rsidR="0038590D" w:rsidRPr="0038590D">
              <w:t>18.2</w:t>
            </w:r>
          </w:p>
        </w:tc>
      </w:tr>
      <w:tr w:rsidR="0038590D" w:rsidRPr="00F30662" w:rsidTr="0038590D">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38590D" w:rsidRPr="0038590D" w:rsidRDefault="0038590D" w:rsidP="0038590D">
            <w:r w:rsidRPr="0038590D">
              <w:t>Return on difference for 2010  capex</w:t>
            </w:r>
          </w:p>
        </w:tc>
        <w:tc>
          <w:tcPr>
            <w:tcW w:w="1033" w:type="dxa"/>
            <w:vAlign w:val="bottom"/>
          </w:tcPr>
          <w:p w:rsidR="0038590D" w:rsidRPr="0038590D" w:rsidRDefault="0038590D">
            <w:pPr>
              <w:cnfStyle w:val="000000000000" w:firstRow="0" w:lastRow="0" w:firstColumn="0" w:lastColumn="0" w:oddVBand="0" w:evenVBand="0" w:oddHBand="0" w:evenHBand="0" w:firstRowFirstColumn="0" w:firstRowLastColumn="0" w:lastRowFirstColumn="0" w:lastRowLastColumn="0"/>
            </w:pPr>
            <w:r w:rsidRPr="0038590D">
              <w:t> </w:t>
            </w:r>
          </w:p>
        </w:tc>
        <w:tc>
          <w:tcPr>
            <w:tcW w:w="1034" w:type="dxa"/>
            <w:vAlign w:val="bottom"/>
          </w:tcPr>
          <w:p w:rsidR="0038590D" w:rsidRPr="0038590D" w:rsidRDefault="0038590D">
            <w:pPr>
              <w:cnfStyle w:val="000000000000" w:firstRow="0" w:lastRow="0" w:firstColumn="0" w:lastColumn="0" w:oddVBand="0" w:evenVBand="0" w:oddHBand="0" w:evenHBand="0" w:firstRowFirstColumn="0" w:firstRowLastColumn="0" w:lastRowFirstColumn="0" w:lastRowLastColumn="0"/>
            </w:pPr>
            <w:r w:rsidRPr="0038590D">
              <w:t> </w:t>
            </w:r>
          </w:p>
        </w:tc>
        <w:tc>
          <w:tcPr>
            <w:tcW w:w="1034" w:type="dxa"/>
            <w:vAlign w:val="bottom"/>
          </w:tcPr>
          <w:p w:rsidR="0038590D" w:rsidRPr="0038590D" w:rsidRDefault="0038590D">
            <w:pPr>
              <w:cnfStyle w:val="000000000000" w:firstRow="0" w:lastRow="0" w:firstColumn="0" w:lastColumn="0" w:oddVBand="0" w:evenVBand="0" w:oddHBand="0" w:evenHBand="0" w:firstRowFirstColumn="0" w:firstRowLastColumn="0" w:lastRowFirstColumn="0" w:lastRowLastColumn="0"/>
            </w:pPr>
            <w:r w:rsidRPr="0038590D">
              <w:t> </w:t>
            </w:r>
          </w:p>
        </w:tc>
        <w:tc>
          <w:tcPr>
            <w:tcW w:w="1034" w:type="dxa"/>
            <w:vAlign w:val="bottom"/>
          </w:tcPr>
          <w:p w:rsidR="0038590D" w:rsidRPr="0038590D" w:rsidRDefault="0038590D">
            <w:pPr>
              <w:cnfStyle w:val="000000000000" w:firstRow="0" w:lastRow="0" w:firstColumn="0" w:lastColumn="0" w:oddVBand="0" w:evenVBand="0" w:oddHBand="0" w:evenHBand="0" w:firstRowFirstColumn="0" w:firstRowLastColumn="0" w:lastRowFirstColumn="0" w:lastRowLastColumn="0"/>
            </w:pPr>
            <w:r w:rsidRPr="0038590D">
              <w:t> </w:t>
            </w:r>
          </w:p>
        </w:tc>
        <w:tc>
          <w:tcPr>
            <w:tcW w:w="1034" w:type="dxa"/>
            <w:vAlign w:val="bottom"/>
          </w:tcPr>
          <w:p w:rsidR="0038590D" w:rsidRPr="0038590D" w:rsidRDefault="009E0B88" w:rsidP="0038590D">
            <w:pPr>
              <w:cnfStyle w:val="000000000000" w:firstRow="0" w:lastRow="0" w:firstColumn="0" w:lastColumn="0" w:oddVBand="0" w:evenVBand="0" w:oddHBand="0" w:evenHBand="0" w:firstRowFirstColumn="0" w:firstRowLastColumn="0" w:lastRowFirstColumn="0" w:lastRowLastColumn="0"/>
            </w:pPr>
            <w:r>
              <w:t>–</w:t>
            </w:r>
            <w:r w:rsidR="0038590D" w:rsidRPr="0038590D">
              <w:t>10.7</w:t>
            </w:r>
          </w:p>
        </w:tc>
      </w:tr>
      <w:tr w:rsidR="0038590D" w:rsidRPr="0038590D" w:rsidTr="0038590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38590D" w:rsidRPr="0038590D" w:rsidRDefault="0038590D" w:rsidP="0038590D">
            <w:pPr>
              <w:rPr>
                <w:rStyle w:val="Strong"/>
              </w:rPr>
            </w:pPr>
            <w:r w:rsidRPr="0038590D">
              <w:rPr>
                <w:rStyle w:val="Strong"/>
              </w:rPr>
              <w:t>Closing RAB as at 31 December 2015</w:t>
            </w:r>
          </w:p>
        </w:tc>
        <w:tc>
          <w:tcPr>
            <w:tcW w:w="1033" w:type="dxa"/>
            <w:vAlign w:val="bottom"/>
          </w:tcPr>
          <w:p w:rsidR="0038590D" w:rsidRPr="0038590D" w:rsidRDefault="0038590D">
            <w:pPr>
              <w:cnfStyle w:val="000000010000" w:firstRow="0" w:lastRow="0" w:firstColumn="0" w:lastColumn="0" w:oddVBand="0" w:evenVBand="0" w:oddHBand="0" w:evenHBand="1" w:firstRowFirstColumn="0" w:firstRowLastColumn="0" w:lastRowFirstColumn="0" w:lastRowLastColumn="0"/>
            </w:pPr>
            <w:r w:rsidRPr="0038590D">
              <w:t> </w:t>
            </w:r>
          </w:p>
        </w:tc>
        <w:tc>
          <w:tcPr>
            <w:tcW w:w="1034" w:type="dxa"/>
            <w:noWrap/>
            <w:vAlign w:val="bottom"/>
          </w:tcPr>
          <w:p w:rsidR="0038590D" w:rsidRPr="0038590D" w:rsidRDefault="0038590D">
            <w:pPr>
              <w:cnfStyle w:val="000000010000" w:firstRow="0" w:lastRow="0" w:firstColumn="0" w:lastColumn="0" w:oddVBand="0" w:evenVBand="0" w:oddHBand="0" w:evenHBand="1" w:firstRowFirstColumn="0" w:firstRowLastColumn="0" w:lastRowFirstColumn="0" w:lastRowLastColumn="0"/>
            </w:pPr>
            <w:r w:rsidRPr="0038590D">
              <w:t> </w:t>
            </w:r>
          </w:p>
        </w:tc>
        <w:tc>
          <w:tcPr>
            <w:tcW w:w="1034" w:type="dxa"/>
            <w:noWrap/>
            <w:vAlign w:val="bottom"/>
          </w:tcPr>
          <w:p w:rsidR="0038590D" w:rsidRPr="0038590D" w:rsidRDefault="0038590D">
            <w:pPr>
              <w:cnfStyle w:val="000000010000" w:firstRow="0" w:lastRow="0" w:firstColumn="0" w:lastColumn="0" w:oddVBand="0" w:evenVBand="0" w:oddHBand="0" w:evenHBand="1" w:firstRowFirstColumn="0" w:firstRowLastColumn="0" w:lastRowFirstColumn="0" w:lastRowLastColumn="0"/>
            </w:pPr>
            <w:r w:rsidRPr="0038590D">
              <w:t> </w:t>
            </w:r>
          </w:p>
        </w:tc>
        <w:tc>
          <w:tcPr>
            <w:tcW w:w="1034" w:type="dxa"/>
            <w:noWrap/>
            <w:vAlign w:val="bottom"/>
          </w:tcPr>
          <w:p w:rsidR="0038590D" w:rsidRPr="0038590D" w:rsidRDefault="0038590D">
            <w:pPr>
              <w:cnfStyle w:val="000000010000" w:firstRow="0" w:lastRow="0" w:firstColumn="0" w:lastColumn="0" w:oddVBand="0" w:evenVBand="0" w:oddHBand="0" w:evenHBand="1" w:firstRowFirstColumn="0" w:firstRowLastColumn="0" w:lastRowFirstColumn="0" w:lastRowLastColumn="0"/>
            </w:pPr>
            <w:r w:rsidRPr="0038590D">
              <w:t> </w:t>
            </w:r>
          </w:p>
        </w:tc>
        <w:tc>
          <w:tcPr>
            <w:tcW w:w="1034"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rPr>
                <w:rStyle w:val="Strong"/>
              </w:rPr>
            </w:pPr>
            <w:r w:rsidRPr="0038590D">
              <w:rPr>
                <w:rStyle w:val="Strong"/>
              </w:rPr>
              <w:t>3444.6</w:t>
            </w:r>
          </w:p>
        </w:tc>
      </w:tr>
    </w:tbl>
    <w:p w:rsidR="00B35737" w:rsidRPr="00924046" w:rsidRDefault="00B35737" w:rsidP="00B35737">
      <w:pPr>
        <w:pStyle w:val="AERtablesource"/>
      </w:pPr>
      <w:r w:rsidRPr="00924046">
        <w:t>Source:</w:t>
      </w:r>
      <w:r w:rsidRPr="00924046">
        <w:tab/>
      </w:r>
      <w:r>
        <w:t>AusNet Services</w:t>
      </w:r>
      <w:r w:rsidRPr="006F125B">
        <w:t xml:space="preserve">, </w:t>
      </w:r>
      <w:r w:rsidRPr="006F125B">
        <w:rPr>
          <w:rStyle w:val="AERtextitalic"/>
        </w:rPr>
        <w:t>Revised regulatory proposal</w:t>
      </w:r>
      <w:r>
        <w:rPr>
          <w:rStyle w:val="AERtextitalic"/>
        </w:rPr>
        <w:t xml:space="preserve"> –</w:t>
      </w:r>
      <w:r w:rsidRPr="006F125B">
        <w:rPr>
          <w:rStyle w:val="AERtextitalic"/>
        </w:rPr>
        <w:t xml:space="preserve"> Attachment 5–</w:t>
      </w:r>
      <w:r>
        <w:rPr>
          <w:rStyle w:val="AERtextitalic"/>
        </w:rPr>
        <w:t>3</w:t>
      </w:r>
      <w:r w:rsidRPr="006F125B">
        <w:t>, January 2016</w:t>
      </w:r>
      <w:r>
        <w:t>, RAB RFM.</w:t>
      </w:r>
    </w:p>
    <w:p w:rsidR="00B35737" w:rsidRPr="00924046" w:rsidRDefault="00B35737" w:rsidP="00B35737">
      <w:pPr>
        <w:pStyle w:val="AERtablesource"/>
      </w:pPr>
      <w:r>
        <w:t>(a)</w:t>
      </w:r>
      <w:r w:rsidRPr="00924046">
        <w:tab/>
        <w:t>Based on estimated capex.</w:t>
      </w:r>
    </w:p>
    <w:p w:rsidR="00B35737" w:rsidRDefault="00B35737" w:rsidP="00B35737">
      <w:pPr>
        <w:pStyle w:val="AERtablesource"/>
      </w:pPr>
      <w:r>
        <w:t>(b)</w:t>
      </w:r>
      <w:r w:rsidRPr="00924046">
        <w:tab/>
        <w:t>Net of disposals</w:t>
      </w:r>
      <w:r w:rsidRPr="00C91E9E">
        <w:t xml:space="preserve"> </w:t>
      </w:r>
      <w:r>
        <w:t>and capital contributions,</w:t>
      </w:r>
      <w:r w:rsidRPr="00924046">
        <w:t xml:space="preserve"> and adjusted for CPI.</w:t>
      </w:r>
    </w:p>
    <w:p w:rsidR="00B35737" w:rsidRDefault="00B35737" w:rsidP="00B35737">
      <w:r>
        <w:lastRenderedPageBreak/>
        <w:t xml:space="preserve">AusNet Services </w:t>
      </w:r>
      <w:r w:rsidRPr="00F97CE2">
        <w:t xml:space="preserve">proposed a </w:t>
      </w:r>
      <w:r>
        <w:t xml:space="preserve">revised </w:t>
      </w:r>
      <w:r w:rsidRPr="00F97CE2">
        <w:t>closing forecast RAB as at 31 December 2020 of $</w:t>
      </w:r>
      <w:r w:rsidR="00C978EA">
        <w:t>4845.6</w:t>
      </w:r>
      <w:r>
        <w:t> </w:t>
      </w:r>
      <w:r w:rsidRPr="00F97CE2">
        <w:t>million ($</w:t>
      </w:r>
      <w:r>
        <w:t> </w:t>
      </w:r>
      <w:r w:rsidRPr="00F97CE2">
        <w:t>nominal).</w:t>
      </w:r>
      <w:r>
        <w:rPr>
          <w:rStyle w:val="FootnoteReference"/>
        </w:rPr>
        <w:footnoteReference w:id="8"/>
      </w:r>
      <w:r w:rsidRPr="00F97CE2">
        <w:t xml:space="preserve"> This value reflects its </w:t>
      </w:r>
      <w:r>
        <w:t xml:space="preserve">revised </w:t>
      </w:r>
      <w:r w:rsidRPr="00F97CE2">
        <w:t xml:space="preserve">proposed opening RAB, forecast capex, </w:t>
      </w:r>
      <w:r w:rsidR="00955F86">
        <w:t>expected</w:t>
      </w:r>
      <w:r w:rsidRPr="00F97CE2">
        <w:t xml:space="preserve"> inflation, and depreciation (based on forecast capex) over the 2016–20 regulatory control period. Its projected RAB over the 2016–20 regulatory control period is shown in</w:t>
      </w:r>
      <w:r>
        <w:t xml:space="preserve"> </w:t>
      </w:r>
      <w:r>
        <w:fldChar w:fldCharType="begin"/>
      </w:r>
      <w:r>
        <w:instrText xml:space="preserve"> REF _Ref443912788 \h </w:instrText>
      </w:r>
      <w:r>
        <w:fldChar w:fldCharType="separate"/>
      </w:r>
      <w:r w:rsidR="00060C68">
        <w:t xml:space="preserve">Table </w:t>
      </w:r>
      <w:r w:rsidR="00060C68">
        <w:rPr>
          <w:noProof/>
        </w:rPr>
        <w:t>2</w:t>
      </w:r>
      <w:r w:rsidR="00060C68">
        <w:t>.</w:t>
      </w:r>
      <w:r w:rsidR="00060C68">
        <w:rPr>
          <w:noProof/>
        </w:rPr>
        <w:t>4</w:t>
      </w:r>
      <w:r>
        <w:fldChar w:fldCharType="end"/>
      </w:r>
      <w:r w:rsidRPr="00F97CE2">
        <w:t>.</w:t>
      </w:r>
    </w:p>
    <w:p w:rsidR="00B35737" w:rsidRDefault="00B35737" w:rsidP="00B35737">
      <w:pPr>
        <w:pStyle w:val="Caption"/>
      </w:pPr>
      <w:bookmarkStart w:id="78" w:name="_Ref443912788"/>
      <w:r>
        <w:t xml:space="preserve">Table </w:t>
      </w:r>
      <w:r w:rsidR="003A2B97">
        <w:fldChar w:fldCharType="begin"/>
      </w:r>
      <w:r w:rsidR="003A2B97">
        <w:instrText xml:space="preserve"> STYLEREF 1 \s </w:instrText>
      </w:r>
      <w:r w:rsidR="003A2B97">
        <w:fldChar w:fldCharType="separate"/>
      </w:r>
      <w:r w:rsidR="00060C68">
        <w:rPr>
          <w:noProof/>
        </w:rPr>
        <w:t>2</w:t>
      </w:r>
      <w:r w:rsidR="003A2B97">
        <w:rPr>
          <w:noProof/>
        </w:rPr>
        <w:fldChar w:fldCharType="end"/>
      </w:r>
      <w:r w:rsidR="00060C68">
        <w:t>.</w:t>
      </w:r>
      <w:fldSimple w:instr=" SEQ Table \* ARABIC \s 1 ">
        <w:r w:rsidR="00060C68">
          <w:rPr>
            <w:noProof/>
          </w:rPr>
          <w:t>4</w:t>
        </w:r>
      </w:fldSimple>
      <w:bookmarkEnd w:id="78"/>
      <w:r>
        <w:tab/>
        <w:t>AusNet Service</w:t>
      </w:r>
      <w:r w:rsidRPr="00A62C28">
        <w:t>s</w:t>
      </w:r>
      <w:r>
        <w:t>'</w:t>
      </w:r>
      <w:r w:rsidRPr="00A62C28">
        <w:t xml:space="preserve"> revised proposed RAB for the 2016–20 regulatory control period ($million, nominal)</w:t>
      </w:r>
    </w:p>
    <w:tbl>
      <w:tblPr>
        <w:tblStyle w:val="AERtable-numbers"/>
        <w:tblW w:w="8755" w:type="dxa"/>
        <w:tblLayout w:type="fixed"/>
        <w:tblLook w:val="04A0" w:firstRow="1" w:lastRow="0" w:firstColumn="1" w:lastColumn="0" w:noHBand="0" w:noVBand="1"/>
      </w:tblPr>
      <w:tblGrid>
        <w:gridCol w:w="3416"/>
        <w:gridCol w:w="1067"/>
        <w:gridCol w:w="1068"/>
        <w:gridCol w:w="1068"/>
        <w:gridCol w:w="1068"/>
        <w:gridCol w:w="1068"/>
      </w:tblGrid>
      <w:tr w:rsidR="00B35737" w:rsidRPr="00237902" w:rsidTr="0038590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B35737" w:rsidRPr="00B35737" w:rsidRDefault="00B35737" w:rsidP="00B35737">
            <w:r w:rsidRPr="009A523C">
              <w:t> </w:t>
            </w:r>
          </w:p>
        </w:tc>
        <w:tc>
          <w:tcPr>
            <w:tcW w:w="1067" w:type="dxa"/>
            <w:noWrap/>
            <w:hideMark/>
          </w:tcPr>
          <w:p w:rsidR="00B35737" w:rsidRPr="00B35737" w:rsidRDefault="00B35737" w:rsidP="00B35737">
            <w:pPr>
              <w:cnfStyle w:val="100000000000" w:firstRow="1" w:lastRow="0" w:firstColumn="0" w:lastColumn="0" w:oddVBand="0" w:evenVBand="0" w:oddHBand="0" w:evenHBand="0" w:firstRowFirstColumn="0" w:firstRowLastColumn="0" w:lastRowFirstColumn="0" w:lastRowLastColumn="0"/>
            </w:pPr>
            <w:r w:rsidRPr="009A523C">
              <w:t>2016</w:t>
            </w:r>
          </w:p>
        </w:tc>
        <w:tc>
          <w:tcPr>
            <w:tcW w:w="1068" w:type="dxa"/>
            <w:noWrap/>
            <w:hideMark/>
          </w:tcPr>
          <w:p w:rsidR="00B35737" w:rsidRPr="00B35737" w:rsidRDefault="00B35737" w:rsidP="00B35737">
            <w:pPr>
              <w:cnfStyle w:val="100000000000" w:firstRow="1" w:lastRow="0" w:firstColumn="0" w:lastColumn="0" w:oddVBand="0" w:evenVBand="0" w:oddHBand="0" w:evenHBand="0" w:firstRowFirstColumn="0" w:firstRowLastColumn="0" w:lastRowFirstColumn="0" w:lastRowLastColumn="0"/>
            </w:pPr>
            <w:r w:rsidRPr="009A523C">
              <w:t>2017</w:t>
            </w:r>
          </w:p>
        </w:tc>
        <w:tc>
          <w:tcPr>
            <w:tcW w:w="1068" w:type="dxa"/>
            <w:noWrap/>
            <w:hideMark/>
          </w:tcPr>
          <w:p w:rsidR="00B35737" w:rsidRPr="00B35737" w:rsidRDefault="00B35737" w:rsidP="00B35737">
            <w:pPr>
              <w:cnfStyle w:val="100000000000" w:firstRow="1" w:lastRow="0" w:firstColumn="0" w:lastColumn="0" w:oddVBand="0" w:evenVBand="0" w:oddHBand="0" w:evenHBand="0" w:firstRowFirstColumn="0" w:firstRowLastColumn="0" w:lastRowFirstColumn="0" w:lastRowLastColumn="0"/>
            </w:pPr>
            <w:r w:rsidRPr="009A523C">
              <w:t>2018</w:t>
            </w:r>
          </w:p>
        </w:tc>
        <w:tc>
          <w:tcPr>
            <w:tcW w:w="1068" w:type="dxa"/>
            <w:noWrap/>
            <w:hideMark/>
          </w:tcPr>
          <w:p w:rsidR="00B35737" w:rsidRPr="00B35737" w:rsidRDefault="00B35737" w:rsidP="00B35737">
            <w:pPr>
              <w:cnfStyle w:val="100000000000" w:firstRow="1" w:lastRow="0" w:firstColumn="0" w:lastColumn="0" w:oddVBand="0" w:evenVBand="0" w:oddHBand="0" w:evenHBand="0" w:firstRowFirstColumn="0" w:firstRowLastColumn="0" w:lastRowFirstColumn="0" w:lastRowLastColumn="0"/>
            </w:pPr>
            <w:r w:rsidRPr="009A523C">
              <w:t>2019</w:t>
            </w:r>
          </w:p>
        </w:tc>
        <w:tc>
          <w:tcPr>
            <w:tcW w:w="1068" w:type="dxa"/>
            <w:noWrap/>
            <w:hideMark/>
          </w:tcPr>
          <w:p w:rsidR="00B35737" w:rsidRPr="00B35737" w:rsidRDefault="00B35737" w:rsidP="00B35737">
            <w:pPr>
              <w:cnfStyle w:val="100000000000" w:firstRow="1" w:lastRow="0" w:firstColumn="0" w:lastColumn="0" w:oddVBand="0" w:evenVBand="0" w:oddHBand="0" w:evenHBand="0" w:firstRowFirstColumn="0" w:firstRowLastColumn="0" w:lastRowFirstColumn="0" w:lastRowLastColumn="0"/>
            </w:pPr>
            <w:r w:rsidRPr="009A523C">
              <w:t>2020</w:t>
            </w:r>
          </w:p>
        </w:tc>
      </w:tr>
      <w:tr w:rsidR="0038590D" w:rsidRPr="00237902" w:rsidTr="0038590D">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38590D" w:rsidRPr="0038590D" w:rsidRDefault="0038590D" w:rsidP="0038590D">
            <w:r w:rsidRPr="0038590D">
              <w:t>Opening RAB</w:t>
            </w:r>
          </w:p>
        </w:tc>
        <w:tc>
          <w:tcPr>
            <w:tcW w:w="1067"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3444.6</w:t>
            </w:r>
          </w:p>
        </w:tc>
        <w:tc>
          <w:tcPr>
            <w:tcW w:w="1068"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3706.7</w:t>
            </w:r>
          </w:p>
        </w:tc>
        <w:tc>
          <w:tcPr>
            <w:tcW w:w="1068"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4030.8</w:t>
            </w:r>
          </w:p>
        </w:tc>
        <w:tc>
          <w:tcPr>
            <w:tcW w:w="1068"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4301.5</w:t>
            </w:r>
          </w:p>
        </w:tc>
        <w:tc>
          <w:tcPr>
            <w:tcW w:w="1068"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4580.7</w:t>
            </w:r>
          </w:p>
        </w:tc>
      </w:tr>
      <w:tr w:rsidR="0038590D" w:rsidRPr="00237902" w:rsidTr="0038590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38590D" w:rsidRPr="0038590D" w:rsidRDefault="0038590D" w:rsidP="0038590D">
            <w:r w:rsidRPr="0038590D">
              <w:t>Capital expenditure</w:t>
            </w:r>
            <w:r w:rsidRPr="0038590D">
              <w:rPr>
                <w:rStyle w:val="AERsuperscript"/>
              </w:rPr>
              <w:t>a</w:t>
            </w:r>
          </w:p>
        </w:tc>
        <w:tc>
          <w:tcPr>
            <w:tcW w:w="1067"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371.2</w:t>
            </w:r>
          </w:p>
        </w:tc>
        <w:tc>
          <w:tcPr>
            <w:tcW w:w="1068"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418.3</w:t>
            </w:r>
          </w:p>
        </w:tc>
        <w:tc>
          <w:tcPr>
            <w:tcW w:w="1068"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372.6</w:t>
            </w:r>
          </w:p>
        </w:tc>
        <w:tc>
          <w:tcPr>
            <w:tcW w:w="1068"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382.4</w:t>
            </w:r>
          </w:p>
        </w:tc>
        <w:tc>
          <w:tcPr>
            <w:tcW w:w="1068"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375.6</w:t>
            </w:r>
          </w:p>
        </w:tc>
      </w:tr>
      <w:tr w:rsidR="0038590D" w:rsidRPr="00237902" w:rsidTr="0038590D">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38590D" w:rsidRPr="0038590D" w:rsidRDefault="0038590D" w:rsidP="0038590D">
            <w:r w:rsidRPr="0038590D">
              <w:t>Inflation indexation on opening RAB</w:t>
            </w:r>
          </w:p>
        </w:tc>
        <w:tc>
          <w:tcPr>
            <w:tcW w:w="1067"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75.4</w:t>
            </w:r>
          </w:p>
        </w:tc>
        <w:tc>
          <w:tcPr>
            <w:tcW w:w="1068"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81.2</w:t>
            </w:r>
          </w:p>
        </w:tc>
        <w:tc>
          <w:tcPr>
            <w:tcW w:w="1068"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88.3</w:t>
            </w:r>
          </w:p>
        </w:tc>
        <w:tc>
          <w:tcPr>
            <w:tcW w:w="1068"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94.2</w:t>
            </w:r>
          </w:p>
        </w:tc>
        <w:tc>
          <w:tcPr>
            <w:tcW w:w="1068" w:type="dxa"/>
            <w:noWrap/>
            <w:vAlign w:val="bottom"/>
          </w:tcPr>
          <w:p w:rsidR="0038590D" w:rsidRPr="0038590D" w:rsidRDefault="0038590D" w:rsidP="0038590D">
            <w:pPr>
              <w:cnfStyle w:val="000000000000" w:firstRow="0" w:lastRow="0" w:firstColumn="0" w:lastColumn="0" w:oddVBand="0" w:evenVBand="0" w:oddHBand="0" w:evenHBand="0" w:firstRowFirstColumn="0" w:firstRowLastColumn="0" w:lastRowFirstColumn="0" w:lastRowLastColumn="0"/>
            </w:pPr>
            <w:r w:rsidRPr="0038590D">
              <w:t>100.3</w:t>
            </w:r>
          </w:p>
        </w:tc>
      </w:tr>
      <w:tr w:rsidR="0038590D" w:rsidRPr="00237902" w:rsidTr="0038590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38590D" w:rsidRPr="0038590D" w:rsidRDefault="0038590D" w:rsidP="0038590D">
            <w:r w:rsidRPr="0038590D">
              <w:rPr>
                <w:rStyle w:val="AERtextitalic"/>
              </w:rPr>
              <w:t>Less</w:t>
            </w:r>
            <w:r w:rsidRPr="0038590D">
              <w:t>: straight-line depreciation</w:t>
            </w:r>
          </w:p>
        </w:tc>
        <w:tc>
          <w:tcPr>
            <w:tcW w:w="1067"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184.5</w:t>
            </w:r>
          </w:p>
        </w:tc>
        <w:tc>
          <w:tcPr>
            <w:tcW w:w="1068"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175.5</w:t>
            </w:r>
          </w:p>
        </w:tc>
        <w:tc>
          <w:tcPr>
            <w:tcW w:w="1068"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190.1</w:t>
            </w:r>
          </w:p>
        </w:tc>
        <w:tc>
          <w:tcPr>
            <w:tcW w:w="1068"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197.5</w:t>
            </w:r>
          </w:p>
        </w:tc>
        <w:tc>
          <w:tcPr>
            <w:tcW w:w="1068" w:type="dxa"/>
            <w:noWrap/>
            <w:vAlign w:val="bottom"/>
          </w:tcPr>
          <w:p w:rsidR="0038590D" w:rsidRPr="0038590D" w:rsidRDefault="0038590D" w:rsidP="0038590D">
            <w:pPr>
              <w:cnfStyle w:val="000000010000" w:firstRow="0" w:lastRow="0" w:firstColumn="0" w:lastColumn="0" w:oddVBand="0" w:evenVBand="0" w:oddHBand="0" w:evenHBand="1" w:firstRowFirstColumn="0" w:firstRowLastColumn="0" w:lastRowFirstColumn="0" w:lastRowLastColumn="0"/>
            </w:pPr>
            <w:r w:rsidRPr="0038590D">
              <w:t>211.0</w:t>
            </w:r>
          </w:p>
        </w:tc>
      </w:tr>
      <w:tr w:rsidR="0038590D" w:rsidRPr="003619C3" w:rsidTr="0038590D">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38590D" w:rsidRPr="00E21F82" w:rsidRDefault="0038590D" w:rsidP="00E52707">
            <w:pPr>
              <w:rPr>
                <w:rStyle w:val="Strong"/>
              </w:rPr>
            </w:pPr>
            <w:r w:rsidRPr="00E21F82">
              <w:rPr>
                <w:rStyle w:val="Strong"/>
              </w:rPr>
              <w:t>Closing RAB</w:t>
            </w:r>
          </w:p>
        </w:tc>
        <w:tc>
          <w:tcPr>
            <w:tcW w:w="1067" w:type="dxa"/>
            <w:noWrap/>
            <w:vAlign w:val="bottom"/>
          </w:tcPr>
          <w:p w:rsidR="0038590D" w:rsidRPr="00E21F82" w:rsidRDefault="0038590D" w:rsidP="00E52707">
            <w:pPr>
              <w:cnfStyle w:val="000000000000" w:firstRow="0" w:lastRow="0" w:firstColumn="0" w:lastColumn="0" w:oddVBand="0" w:evenVBand="0" w:oddHBand="0" w:evenHBand="0" w:firstRowFirstColumn="0" w:firstRowLastColumn="0" w:lastRowFirstColumn="0" w:lastRowLastColumn="0"/>
              <w:rPr>
                <w:rStyle w:val="Strong"/>
              </w:rPr>
            </w:pPr>
            <w:r w:rsidRPr="00E21F82">
              <w:rPr>
                <w:rStyle w:val="Strong"/>
              </w:rPr>
              <w:t>3706.7</w:t>
            </w:r>
          </w:p>
        </w:tc>
        <w:tc>
          <w:tcPr>
            <w:tcW w:w="1068" w:type="dxa"/>
            <w:noWrap/>
            <w:vAlign w:val="bottom"/>
          </w:tcPr>
          <w:p w:rsidR="0038590D" w:rsidRPr="00E21F82" w:rsidRDefault="0038590D" w:rsidP="00D00BA1">
            <w:pPr>
              <w:cnfStyle w:val="000000000000" w:firstRow="0" w:lastRow="0" w:firstColumn="0" w:lastColumn="0" w:oddVBand="0" w:evenVBand="0" w:oddHBand="0" w:evenHBand="0" w:firstRowFirstColumn="0" w:firstRowLastColumn="0" w:lastRowFirstColumn="0" w:lastRowLastColumn="0"/>
              <w:rPr>
                <w:rStyle w:val="Strong"/>
              </w:rPr>
            </w:pPr>
            <w:r w:rsidRPr="00E21F82">
              <w:rPr>
                <w:rStyle w:val="Strong"/>
              </w:rPr>
              <w:t>4030.8</w:t>
            </w:r>
          </w:p>
        </w:tc>
        <w:tc>
          <w:tcPr>
            <w:tcW w:w="1068" w:type="dxa"/>
            <w:noWrap/>
            <w:vAlign w:val="bottom"/>
          </w:tcPr>
          <w:p w:rsidR="0038590D" w:rsidRPr="00E21F82" w:rsidRDefault="0038590D" w:rsidP="008C4662">
            <w:pPr>
              <w:cnfStyle w:val="000000000000" w:firstRow="0" w:lastRow="0" w:firstColumn="0" w:lastColumn="0" w:oddVBand="0" w:evenVBand="0" w:oddHBand="0" w:evenHBand="0" w:firstRowFirstColumn="0" w:firstRowLastColumn="0" w:lastRowFirstColumn="0" w:lastRowLastColumn="0"/>
              <w:rPr>
                <w:rStyle w:val="Strong"/>
              </w:rPr>
            </w:pPr>
            <w:r w:rsidRPr="00E21F82">
              <w:rPr>
                <w:rStyle w:val="Strong"/>
              </w:rPr>
              <w:t>4301.5</w:t>
            </w:r>
          </w:p>
        </w:tc>
        <w:tc>
          <w:tcPr>
            <w:tcW w:w="1068" w:type="dxa"/>
            <w:noWrap/>
            <w:vAlign w:val="bottom"/>
          </w:tcPr>
          <w:p w:rsidR="0038590D" w:rsidRPr="00E21F82" w:rsidRDefault="0038590D" w:rsidP="008C4662">
            <w:pPr>
              <w:cnfStyle w:val="000000000000" w:firstRow="0" w:lastRow="0" w:firstColumn="0" w:lastColumn="0" w:oddVBand="0" w:evenVBand="0" w:oddHBand="0" w:evenHBand="0" w:firstRowFirstColumn="0" w:firstRowLastColumn="0" w:lastRowFirstColumn="0" w:lastRowLastColumn="0"/>
              <w:rPr>
                <w:rStyle w:val="Strong"/>
              </w:rPr>
            </w:pPr>
            <w:r w:rsidRPr="00E21F82">
              <w:rPr>
                <w:rStyle w:val="Strong"/>
              </w:rPr>
              <w:t>4580.7</w:t>
            </w:r>
          </w:p>
        </w:tc>
        <w:tc>
          <w:tcPr>
            <w:tcW w:w="1068" w:type="dxa"/>
            <w:noWrap/>
            <w:vAlign w:val="bottom"/>
          </w:tcPr>
          <w:p w:rsidR="0038590D" w:rsidRPr="00E21F82" w:rsidRDefault="0038590D" w:rsidP="008C4662">
            <w:pPr>
              <w:cnfStyle w:val="000000000000" w:firstRow="0" w:lastRow="0" w:firstColumn="0" w:lastColumn="0" w:oddVBand="0" w:evenVBand="0" w:oddHBand="0" w:evenHBand="0" w:firstRowFirstColumn="0" w:firstRowLastColumn="0" w:lastRowFirstColumn="0" w:lastRowLastColumn="0"/>
              <w:rPr>
                <w:rStyle w:val="Strong"/>
              </w:rPr>
            </w:pPr>
            <w:r w:rsidRPr="00E21F82">
              <w:rPr>
                <w:rStyle w:val="Strong"/>
              </w:rPr>
              <w:t>4845.6</w:t>
            </w:r>
          </w:p>
        </w:tc>
      </w:tr>
    </w:tbl>
    <w:p w:rsidR="00B35737" w:rsidRPr="009A523C" w:rsidRDefault="00B35737" w:rsidP="00B35737">
      <w:pPr>
        <w:pStyle w:val="AERtablesource"/>
      </w:pPr>
      <w:r w:rsidRPr="009A523C">
        <w:t>Source:</w:t>
      </w:r>
      <w:r w:rsidRPr="009A523C">
        <w:tab/>
      </w:r>
      <w:r>
        <w:t>AusNet Services</w:t>
      </w:r>
      <w:r w:rsidRPr="006F125B">
        <w:t xml:space="preserve">, </w:t>
      </w:r>
      <w:r w:rsidRPr="006F125B">
        <w:rPr>
          <w:rStyle w:val="AERtextitalic"/>
        </w:rPr>
        <w:t>Revised regulatory proposal</w:t>
      </w:r>
      <w:r w:rsidR="0038590D">
        <w:rPr>
          <w:rStyle w:val="AERtextitalic"/>
        </w:rPr>
        <w:t xml:space="preserve">, </w:t>
      </w:r>
      <w:r w:rsidR="00301060" w:rsidRPr="008845E0">
        <w:rPr>
          <w:rStyle w:val="Emphasis"/>
        </w:rPr>
        <w:t>PTRM 'AST Distribution PTRM Revised Proposal (Public).xls</w:t>
      </w:r>
      <w:r w:rsidR="00301060" w:rsidRPr="00301060">
        <w:t>'</w:t>
      </w:r>
      <w:r w:rsidR="00301060">
        <w:t xml:space="preserve">, </w:t>
      </w:r>
      <w:r w:rsidRPr="006F125B">
        <w:t>January 2016</w:t>
      </w:r>
      <w:r w:rsidRPr="009A523C">
        <w:t>.</w:t>
      </w:r>
    </w:p>
    <w:p w:rsidR="00B35737" w:rsidRDefault="00B35737" w:rsidP="00B35737">
      <w:pPr>
        <w:pStyle w:val="AERtablesource"/>
      </w:pPr>
      <w:r w:rsidRPr="009A523C">
        <w:t>(a)</w:t>
      </w:r>
      <w:r w:rsidRPr="009A523C">
        <w:tab/>
      </w:r>
      <w:r w:rsidR="008845E0" w:rsidRPr="009A523C">
        <w:t>Net of disposals and capital contributions.</w:t>
      </w:r>
      <w:r w:rsidR="008845E0">
        <w:t xml:space="preserve"> </w:t>
      </w:r>
      <w:r w:rsidR="008845E0" w:rsidRPr="003438BE">
        <w:t>Inclusive of equ</w:t>
      </w:r>
      <w:r w:rsidR="008845E0">
        <w:t>ity raising costs and the half-</w:t>
      </w:r>
      <w:r w:rsidR="008845E0" w:rsidRPr="003438BE">
        <w:t>WACC to account for the timing assumptions in the PTRM</w:t>
      </w:r>
    </w:p>
    <w:p w:rsidR="00132D43" w:rsidRDefault="00132D43" w:rsidP="00132D43">
      <w:pPr>
        <w:pStyle w:val="Heading2"/>
      </w:pPr>
      <w:bookmarkStart w:id="79" w:name="_Toc451520803"/>
      <w:r>
        <w:t>Assessment approach</w:t>
      </w:r>
      <w:bookmarkEnd w:id="79"/>
    </w:p>
    <w:p w:rsidR="00C978EA" w:rsidRDefault="00C978EA" w:rsidP="00C978EA">
      <w:r>
        <w:t>Many aspects of</w:t>
      </w:r>
      <w:r w:rsidRPr="00C7256C">
        <w:t xml:space="preserve"> our assessment approach for </w:t>
      </w:r>
      <w:r w:rsidR="00E52707">
        <w:t>the RAB</w:t>
      </w:r>
      <w:r w:rsidRPr="00C7256C">
        <w:t xml:space="preserve"> from our preliminary</w:t>
      </w:r>
      <w:r>
        <w:t xml:space="preserve"> decision remain unchanged. </w:t>
      </w:r>
      <w:r w:rsidRPr="00E004A9">
        <w:t xml:space="preserve">Section </w:t>
      </w:r>
      <w:r>
        <w:t>2</w:t>
      </w:r>
      <w:r w:rsidRPr="00E004A9">
        <w:t>.3 of our preliminary decision details th</w:t>
      </w:r>
      <w:r>
        <w:t>e general</w:t>
      </w:r>
      <w:r w:rsidRPr="00E004A9">
        <w:t xml:space="preserve"> approach.</w:t>
      </w:r>
      <w:r>
        <w:rPr>
          <w:rStyle w:val="FootnoteReference"/>
        </w:rPr>
        <w:footnoteReference w:id="9"/>
      </w:r>
      <w:r>
        <w:t xml:space="preserve"> However, we have ac</w:t>
      </w:r>
      <w:r w:rsidR="001F5B55">
        <w:t xml:space="preserve">cepted a change to the </w:t>
      </w:r>
      <w:r w:rsidR="00E52707">
        <w:t xml:space="preserve">approach for </w:t>
      </w:r>
      <w:r w:rsidR="001F5B55" w:rsidRPr="001F5B55">
        <w:t xml:space="preserve">indexation </w:t>
      </w:r>
      <w:r w:rsidR="00E52707">
        <w:t>of</w:t>
      </w:r>
      <w:r>
        <w:t xml:space="preserve"> the opening RAB for AusNet Services. Section 2.4.1 discusses this change as it affects AusNet Services.</w:t>
      </w:r>
    </w:p>
    <w:p w:rsidR="00132D43" w:rsidRDefault="00132D43" w:rsidP="00132D43">
      <w:pPr>
        <w:pStyle w:val="Heading2"/>
      </w:pPr>
      <w:bookmarkStart w:id="80" w:name="_Toc451520804"/>
      <w:r>
        <w:t xml:space="preserve">Reasons for </w:t>
      </w:r>
      <w:r w:rsidR="00DB4E34">
        <w:t>final</w:t>
      </w:r>
      <w:r>
        <w:t xml:space="preserve"> decision</w:t>
      </w:r>
      <w:bookmarkEnd w:id="80"/>
    </w:p>
    <w:p w:rsidR="00B35737" w:rsidRPr="00277210" w:rsidRDefault="00B35737" w:rsidP="00277210">
      <w:r w:rsidRPr="00277210">
        <w:t xml:space="preserve">We determine an opening RAB value for </w:t>
      </w:r>
      <w:r w:rsidR="00B15A76" w:rsidRPr="00277210">
        <w:t xml:space="preserve">AusNet Services </w:t>
      </w:r>
      <w:r w:rsidRPr="00277210">
        <w:t>of $</w:t>
      </w:r>
      <w:r w:rsidR="00D1219F" w:rsidRPr="00277210">
        <w:t>3442.1</w:t>
      </w:r>
      <w:r w:rsidRPr="00277210">
        <w:t> million ($ nominal) as at 1 January 2016, a reduction of $</w:t>
      </w:r>
      <w:r w:rsidR="003D464F" w:rsidRPr="00277210">
        <w:t>2</w:t>
      </w:r>
      <w:r w:rsidR="00A67CC5" w:rsidRPr="00277210">
        <w:t>.</w:t>
      </w:r>
      <w:r w:rsidR="003D464F" w:rsidRPr="00277210">
        <w:t>5</w:t>
      </w:r>
      <w:r w:rsidRPr="00277210">
        <w:t xml:space="preserve"> million ($ nominal) or </w:t>
      </w:r>
      <w:r w:rsidR="003D464F" w:rsidRPr="00277210">
        <w:t>0.1</w:t>
      </w:r>
      <w:r w:rsidRPr="00277210">
        <w:t xml:space="preserve"> per cent from the revised proposed value. This difference is due to our </w:t>
      </w:r>
      <w:r w:rsidR="00A67CC5" w:rsidRPr="00277210">
        <w:t xml:space="preserve">use of gross proceeds from asset sales </w:t>
      </w:r>
      <w:r w:rsidR="00F42B7B" w:rsidRPr="00277210">
        <w:t xml:space="preserve">instead of their written down values </w:t>
      </w:r>
      <w:r w:rsidR="00A67CC5" w:rsidRPr="00277210">
        <w:t>for the value of asset disposal</w:t>
      </w:r>
      <w:r w:rsidR="00E52707" w:rsidRPr="00277210">
        <w:t>s</w:t>
      </w:r>
      <w:r w:rsidR="009E0B88" w:rsidRPr="00277210">
        <w:t>.</w:t>
      </w:r>
    </w:p>
    <w:p w:rsidR="00B35737" w:rsidRDefault="00B35737" w:rsidP="00277210">
      <w:r>
        <w:t xml:space="preserve">Based on the approved opening RAB </w:t>
      </w:r>
      <w:r w:rsidR="00486C2C">
        <w:t xml:space="preserve">at 1 January 2016 </w:t>
      </w:r>
      <w:r>
        <w:t>w</w:t>
      </w:r>
      <w:r w:rsidRPr="00D033BE">
        <w:t xml:space="preserve">e forecast a closing RAB value of </w:t>
      </w:r>
      <w:r w:rsidRPr="00277210">
        <w:t>$</w:t>
      </w:r>
      <w:r w:rsidR="00EF6E21" w:rsidRPr="00277210">
        <w:t>4715.4</w:t>
      </w:r>
      <w:r w:rsidRPr="00277210">
        <w:t> million</w:t>
      </w:r>
      <w:r w:rsidRPr="00D033BE">
        <w:t xml:space="preserve"> by 31 December 2020. This represents a reduction of </w:t>
      </w:r>
      <w:r w:rsidRPr="00277210">
        <w:lastRenderedPageBreak/>
        <w:t>$</w:t>
      </w:r>
      <w:r w:rsidR="00EF6E21" w:rsidRPr="00277210">
        <w:t>130.2</w:t>
      </w:r>
      <w:r w:rsidRPr="00277210">
        <w:t xml:space="preserve"> million, or </w:t>
      </w:r>
      <w:r w:rsidR="00EF6E21" w:rsidRPr="00277210">
        <w:t>2.7</w:t>
      </w:r>
      <w:r w:rsidRPr="00277210">
        <w:t> per cent compared to the revised proposal. The reasons for our decision are discussed below</w:t>
      </w:r>
      <w:r w:rsidRPr="00D033BE">
        <w:t>.</w:t>
      </w:r>
    </w:p>
    <w:p w:rsidR="00B35737" w:rsidRPr="00A62C28" w:rsidRDefault="00B35737" w:rsidP="00B112CB">
      <w:pPr>
        <w:pStyle w:val="Heading3"/>
        <w:ind w:left="578" w:hanging="578"/>
      </w:pPr>
      <w:bookmarkStart w:id="81" w:name="_Toc451520805"/>
      <w:r w:rsidRPr="00A62C28">
        <w:t>Opening RAB as at 1 January 2016</w:t>
      </w:r>
      <w:bookmarkEnd w:id="81"/>
    </w:p>
    <w:p w:rsidR="008B7052" w:rsidRDefault="00B35737" w:rsidP="00277210">
      <w:r w:rsidRPr="00277210">
        <w:t xml:space="preserve">We determine </w:t>
      </w:r>
      <w:r w:rsidR="000401C7" w:rsidRPr="00277210">
        <w:t>AusNet Services</w:t>
      </w:r>
      <w:r w:rsidRPr="00277210">
        <w:t>' opening RAB value as at 1 January 2016 to be $</w:t>
      </w:r>
      <w:r w:rsidR="00D1219F" w:rsidRPr="00277210">
        <w:t>3442</w:t>
      </w:r>
      <w:r w:rsidR="00486C2C" w:rsidRPr="00277210">
        <w:t>.</w:t>
      </w:r>
      <w:r w:rsidR="00D1219F" w:rsidRPr="00277210">
        <w:t>1</w:t>
      </w:r>
      <w:r w:rsidRPr="00277210">
        <w:t> million ($ nominal). This amount is $</w:t>
      </w:r>
      <w:r w:rsidR="00D1219F" w:rsidRPr="00277210">
        <w:t>2.5</w:t>
      </w:r>
      <w:r w:rsidRPr="00277210">
        <w:t xml:space="preserve"> million (or </w:t>
      </w:r>
      <w:r w:rsidR="00D1219F" w:rsidRPr="00277210">
        <w:t xml:space="preserve">0.1 </w:t>
      </w:r>
      <w:r w:rsidRPr="00277210">
        <w:t>per cent) lower</w:t>
      </w:r>
      <w:r w:rsidRPr="001B612F">
        <w:t xml:space="preserve"> than </w:t>
      </w:r>
      <w:r w:rsidR="000401C7">
        <w:t>AusNet Services</w:t>
      </w:r>
      <w:r w:rsidRPr="001B612F">
        <w:t>' value of $</w:t>
      </w:r>
      <w:r w:rsidR="00486C2C">
        <w:t>3444.6</w:t>
      </w:r>
      <w:r>
        <w:t> </w:t>
      </w:r>
      <w:r w:rsidRPr="001B612F">
        <w:t xml:space="preserve">million </w:t>
      </w:r>
      <w:r>
        <w:t xml:space="preserve">($ nominal) </w:t>
      </w:r>
      <w:r w:rsidRPr="001B612F">
        <w:t xml:space="preserve">in its revised proposal. </w:t>
      </w:r>
      <w:r w:rsidR="00F42B7B">
        <w:t>Our fin</w:t>
      </w:r>
      <w:r w:rsidR="009E0B88">
        <w:t xml:space="preserve">al decision on AusNet Services' </w:t>
      </w:r>
      <w:r w:rsidR="008C4662">
        <w:t>opening RAB as at 1 January 2016 reflects:</w:t>
      </w:r>
    </w:p>
    <w:p w:rsidR="00486C2C" w:rsidRDefault="001B327D" w:rsidP="0028105B">
      <w:pPr>
        <w:pStyle w:val="AERbulletlistfirststyle"/>
      </w:pPr>
      <w:r>
        <w:t>t</w:t>
      </w:r>
      <w:r w:rsidR="008C4662">
        <w:t xml:space="preserve">he </w:t>
      </w:r>
      <w:r w:rsidR="00486C2C">
        <w:t>use</w:t>
      </w:r>
      <w:r w:rsidR="00F42B7B">
        <w:t xml:space="preserve"> of</w:t>
      </w:r>
      <w:r w:rsidR="00486C2C">
        <w:t xml:space="preserve"> the </w:t>
      </w:r>
      <w:r w:rsidR="001F5B55">
        <w:t>gross proceeds from asset sales</w:t>
      </w:r>
      <w:r w:rsidR="00F42B7B">
        <w:t xml:space="preserve"> instead of their written down values</w:t>
      </w:r>
      <w:r w:rsidR="001F5B55">
        <w:t xml:space="preserve"> </w:t>
      </w:r>
      <w:r w:rsidR="00486C2C">
        <w:t>for the value of asset disposal</w:t>
      </w:r>
      <w:r w:rsidR="00F42B7B">
        <w:t>s</w:t>
      </w:r>
      <w:r w:rsidR="001F5B55">
        <w:t xml:space="preserve"> </w:t>
      </w:r>
    </w:p>
    <w:p w:rsidR="008C4662" w:rsidRDefault="001B327D" w:rsidP="008C4662">
      <w:pPr>
        <w:pStyle w:val="AERbulletlistfirststyle"/>
      </w:pPr>
      <w:r>
        <w:t>a</w:t>
      </w:r>
      <w:r w:rsidR="008C4662">
        <w:t xml:space="preserve"> change in approach from the preliminary decision to the indexation of the RAB for actual inflation. Our final decision is to accept the approach in AusNet Services' revised proposal</w:t>
      </w:r>
      <w:r w:rsidR="00592FC3">
        <w:t>, using a one-year lagged inflation series</w:t>
      </w:r>
    </w:p>
    <w:p w:rsidR="008C4662" w:rsidRDefault="001B327D" w:rsidP="008C4662">
      <w:pPr>
        <w:pStyle w:val="AERbulletlistfirststyle"/>
      </w:pPr>
      <w:r>
        <w:t>r</w:t>
      </w:r>
      <w:r w:rsidR="008C4662">
        <w:t>emov</w:t>
      </w:r>
      <w:r w:rsidR="009E0B88">
        <w:t>al</w:t>
      </w:r>
      <w:r w:rsidR="008C4662">
        <w:t xml:space="preserve"> </w:t>
      </w:r>
      <w:r w:rsidR="009E0B88">
        <w:t xml:space="preserve">of </w:t>
      </w:r>
      <w:r w:rsidR="008C4662">
        <w:t>the inflation adjustment to the previous period capex as set out in AusNet Services' revised proposal.</w:t>
      </w:r>
    </w:p>
    <w:p w:rsidR="00B35737" w:rsidRDefault="00B35737" w:rsidP="00B35737">
      <w:pPr>
        <w:rPr>
          <w:rStyle w:val="AERbody"/>
        </w:rPr>
      </w:pPr>
      <w:r w:rsidRPr="007B193F">
        <w:rPr>
          <w:rStyle w:val="AERbody"/>
        </w:rPr>
        <w:t xml:space="preserve">In the preliminary decision, we made certain amendments to </w:t>
      </w:r>
      <w:r w:rsidR="000401C7">
        <w:rPr>
          <w:rStyle w:val="AERbody"/>
        </w:rPr>
        <w:t>AusNet Services</w:t>
      </w:r>
      <w:r w:rsidR="00486C2C">
        <w:rPr>
          <w:rStyle w:val="AERbody"/>
        </w:rPr>
        <w:t>'</w:t>
      </w:r>
      <w:r w:rsidRPr="007B193F">
        <w:rPr>
          <w:rStyle w:val="AERbody"/>
        </w:rPr>
        <w:t xml:space="preserve"> proposed roll </w:t>
      </w:r>
      <w:r>
        <w:rPr>
          <w:rStyle w:val="AERbody"/>
        </w:rPr>
        <w:t>forward of its RAB over the 2011</w:t>
      </w:r>
      <w:r w:rsidRPr="007B193F">
        <w:rPr>
          <w:rStyle w:val="AERbody"/>
        </w:rPr>
        <w:t xml:space="preserve">–15 regulatory control period </w:t>
      </w:r>
      <w:r w:rsidR="008C4662">
        <w:rPr>
          <w:rStyle w:val="AERbody"/>
        </w:rPr>
        <w:t xml:space="preserve">which AusNet Services adopted in its revised proposal. These amendments </w:t>
      </w:r>
      <w:r w:rsidRPr="007B193F">
        <w:rPr>
          <w:rStyle w:val="AERbody"/>
        </w:rPr>
        <w:t>includ</w:t>
      </w:r>
      <w:r w:rsidR="008C4662">
        <w:rPr>
          <w:rStyle w:val="AERbody"/>
        </w:rPr>
        <w:t>ed</w:t>
      </w:r>
      <w:r>
        <w:rPr>
          <w:rStyle w:val="AERbody"/>
        </w:rPr>
        <w:t>:</w:t>
      </w:r>
    </w:p>
    <w:p w:rsidR="00B35737" w:rsidRDefault="00B35737" w:rsidP="00B35737">
      <w:pPr>
        <w:pStyle w:val="AERbulletlistfirststyle"/>
      </w:pPr>
      <w:r>
        <w:t>r</w:t>
      </w:r>
      <w:r w:rsidRPr="00EA55B4">
        <w:t>emov</w:t>
      </w:r>
      <w:r>
        <w:t xml:space="preserve">ing </w:t>
      </w:r>
      <w:r w:rsidRPr="00EA55B4">
        <w:t>the half-year WACC allowance for 2010 actual net capex</w:t>
      </w:r>
    </w:p>
    <w:p w:rsidR="008C4662" w:rsidRPr="003D76B7" w:rsidRDefault="008C4662" w:rsidP="008C4662">
      <w:pPr>
        <w:pStyle w:val="AERbulletlistfirststyle"/>
        <w:rPr>
          <w:rStyle w:val="AERbody"/>
        </w:rPr>
      </w:pPr>
      <w:r w:rsidRPr="003D76B7">
        <w:rPr>
          <w:rStyle w:val="AERbody"/>
        </w:rPr>
        <w:t xml:space="preserve">removing the proposed addition of AMI IT and communication assets transferred from alternative control services to the standard control services opening RAB at 1 January 2016  </w:t>
      </w:r>
    </w:p>
    <w:p w:rsidR="008C4662" w:rsidRDefault="008C4662" w:rsidP="008C4662">
      <w:pPr>
        <w:pStyle w:val="AERbulletlistfirststyle"/>
      </w:pPr>
      <w:r>
        <w:t xml:space="preserve">other minor amendments to the RFM to correct for errors. </w:t>
      </w:r>
    </w:p>
    <w:p w:rsidR="00B35737" w:rsidRDefault="008C4662" w:rsidP="00A3407D">
      <w:pPr>
        <w:rPr>
          <w:rStyle w:val="AERbody"/>
        </w:rPr>
      </w:pPr>
      <w:r>
        <w:rPr>
          <w:rStyle w:val="AERbody"/>
        </w:rPr>
        <w:t>We</w:t>
      </w:r>
      <w:r w:rsidR="001F5B55">
        <w:rPr>
          <w:rStyle w:val="AERbody"/>
        </w:rPr>
        <w:t xml:space="preserve"> </w:t>
      </w:r>
      <w:r w:rsidR="00B35737">
        <w:rPr>
          <w:rStyle w:val="AERbody"/>
        </w:rPr>
        <w:t>also</w:t>
      </w:r>
      <w:r w:rsidR="00B35737" w:rsidRPr="007B193F">
        <w:rPr>
          <w:rStyle w:val="AERbody"/>
        </w:rPr>
        <w:t xml:space="preserve"> noted the roll forward of </w:t>
      </w:r>
      <w:r w:rsidR="000401C7">
        <w:rPr>
          <w:rStyle w:val="AERbody"/>
        </w:rPr>
        <w:t>AusNet Services</w:t>
      </w:r>
      <w:r w:rsidR="00B35737" w:rsidRPr="007B193F">
        <w:rPr>
          <w:rStyle w:val="AERbody"/>
        </w:rPr>
        <w:t>' RAB included an estimated capex value for 2015</w:t>
      </w:r>
      <w:r w:rsidR="00A92493">
        <w:rPr>
          <w:rStyle w:val="AERbody"/>
        </w:rPr>
        <w:t xml:space="preserve">, because actual </w:t>
      </w:r>
      <w:r w:rsidR="00AA5FBC">
        <w:rPr>
          <w:rStyle w:val="AERbody"/>
        </w:rPr>
        <w:t>capex</w:t>
      </w:r>
      <w:r w:rsidR="00A92493">
        <w:rPr>
          <w:rStyle w:val="AERbody"/>
        </w:rPr>
        <w:t xml:space="preserve"> was not yet available</w:t>
      </w:r>
      <w:r w:rsidR="00B35737" w:rsidRPr="007B193F">
        <w:rPr>
          <w:rStyle w:val="AERbody"/>
        </w:rPr>
        <w:t>.</w:t>
      </w:r>
      <w:r w:rsidR="00A92493">
        <w:rPr>
          <w:rStyle w:val="FootnoteReference"/>
        </w:rPr>
        <w:footnoteReference w:id="10"/>
      </w:r>
      <w:r w:rsidR="00B35737" w:rsidRPr="007B193F">
        <w:rPr>
          <w:rStyle w:val="AERbody"/>
        </w:rPr>
        <w:t xml:space="preserve"> We</w:t>
      </w:r>
      <w:r w:rsidR="00B35737">
        <w:rPr>
          <w:rStyle w:val="AERbody"/>
        </w:rPr>
        <w:t xml:space="preserve"> stated we would update the 201</w:t>
      </w:r>
      <w:r w:rsidR="00B35737" w:rsidRPr="007B193F">
        <w:rPr>
          <w:rStyle w:val="AERbody"/>
        </w:rPr>
        <w:t>5 estimated capex value for the final decision.</w:t>
      </w:r>
      <w:r w:rsidR="008A439E">
        <w:rPr>
          <w:rStyle w:val="AERbody"/>
        </w:rPr>
        <w:t xml:space="preserve"> </w:t>
      </w:r>
      <w:r w:rsidR="00430CA5">
        <w:rPr>
          <w:rStyle w:val="AERbody"/>
        </w:rPr>
        <w:t xml:space="preserve">AusNet's revised proposal did not include an update for 2015 estimated capex. In response to an information request, AusNet Services advised that it has encountered </w:t>
      </w:r>
      <w:r w:rsidR="008B7052" w:rsidRPr="00A3407D">
        <w:t xml:space="preserve">a </w:t>
      </w:r>
      <w:r w:rsidR="008A439E" w:rsidRPr="00A3407D">
        <w:t xml:space="preserve">data migration issue </w:t>
      </w:r>
      <w:r w:rsidR="00430CA5" w:rsidRPr="00A3407D">
        <w:t>arising from</w:t>
      </w:r>
      <w:r w:rsidR="008A439E" w:rsidRPr="00A3407D">
        <w:t xml:space="preserve"> upgrade</w:t>
      </w:r>
      <w:r w:rsidR="00430CA5" w:rsidRPr="00A3407D">
        <w:t>s to its IT</w:t>
      </w:r>
      <w:r w:rsidR="001F5B55" w:rsidRPr="00A3407D">
        <w:t xml:space="preserve"> </w:t>
      </w:r>
      <w:r w:rsidR="008A439E" w:rsidRPr="00A3407D">
        <w:t>system</w:t>
      </w:r>
      <w:r w:rsidR="00430CA5" w:rsidRPr="00A3407D">
        <w:t>s</w:t>
      </w:r>
      <w:r w:rsidR="008A439E" w:rsidRPr="00A3407D">
        <w:t xml:space="preserve">. </w:t>
      </w:r>
      <w:r w:rsidR="00430CA5" w:rsidRPr="00A3407D">
        <w:t xml:space="preserve">It submitted that the 2015 capex </w:t>
      </w:r>
      <w:r w:rsidR="008A439E" w:rsidRPr="00A3407D">
        <w:t>estimate approved in the preliminary decision</w:t>
      </w:r>
      <w:r w:rsidR="001F5B55" w:rsidRPr="00A3407D">
        <w:t xml:space="preserve"> </w:t>
      </w:r>
      <w:r w:rsidR="00430CA5" w:rsidRPr="00A3407D">
        <w:t>should continue to serve as the best estimate</w:t>
      </w:r>
      <w:r w:rsidR="008A439E" w:rsidRPr="00A3407D">
        <w:t>.</w:t>
      </w:r>
      <w:r w:rsidR="001F5B55" w:rsidRPr="00A3407D">
        <w:rPr>
          <w:rStyle w:val="AERsuperscript"/>
        </w:rPr>
        <w:footnoteReference w:id="11"/>
      </w:r>
      <w:r w:rsidR="008A439E" w:rsidRPr="00A3407D">
        <w:t xml:space="preserve"> </w:t>
      </w:r>
      <w:r w:rsidR="00D8773B" w:rsidRPr="00A3407D">
        <w:t>We</w:t>
      </w:r>
      <w:r w:rsidR="00D8773B" w:rsidRPr="00D8773B">
        <w:rPr>
          <w:rStyle w:val="AERbody"/>
        </w:rPr>
        <w:t xml:space="preserve"> note that</w:t>
      </w:r>
      <w:r w:rsidR="00A92493">
        <w:rPr>
          <w:rStyle w:val="AERbody"/>
        </w:rPr>
        <w:t xml:space="preserve"> </w:t>
      </w:r>
      <w:r w:rsidR="00D8773B" w:rsidRPr="00D8773B">
        <w:rPr>
          <w:rStyle w:val="AERbody"/>
        </w:rPr>
        <w:t>the financial impact of any</w:t>
      </w:r>
      <w:r w:rsidR="001F5B55">
        <w:rPr>
          <w:rStyle w:val="AERbody"/>
        </w:rPr>
        <w:t xml:space="preserve"> </w:t>
      </w:r>
      <w:r w:rsidR="00D8773B" w:rsidRPr="00D8773B">
        <w:rPr>
          <w:rStyle w:val="AERbody"/>
        </w:rPr>
        <w:t>difference between actual and estimated capex for 2015 will be accounted for at the next reset.</w:t>
      </w:r>
      <w:r w:rsidR="00D8773B" w:rsidRPr="00D8773B">
        <w:rPr>
          <w:rStyle w:val="FootnoteReference"/>
        </w:rPr>
        <w:footnoteReference w:id="12"/>
      </w:r>
      <w:r w:rsidR="00430CA5">
        <w:rPr>
          <w:rStyle w:val="AERbody"/>
        </w:rPr>
        <w:t xml:space="preserve"> We therefore accept retaining the preliminary decision 2015 capex estimate for use in this final decision. </w:t>
      </w:r>
    </w:p>
    <w:p w:rsidR="008C4662" w:rsidRDefault="000401C7" w:rsidP="00B35737">
      <w:pPr>
        <w:rPr>
          <w:rStyle w:val="AERbody"/>
        </w:rPr>
      </w:pPr>
      <w:r>
        <w:rPr>
          <w:rStyle w:val="AERbody"/>
        </w:rPr>
        <w:t>AusNet Services</w:t>
      </w:r>
      <w:r w:rsidR="00B35737" w:rsidRPr="007B193F">
        <w:rPr>
          <w:rStyle w:val="AERbody"/>
        </w:rPr>
        <w:t xml:space="preserve">' revised proposal </w:t>
      </w:r>
      <w:r w:rsidR="00B35737">
        <w:rPr>
          <w:rStyle w:val="AERbody"/>
        </w:rPr>
        <w:t xml:space="preserve">did not adopt </w:t>
      </w:r>
      <w:r w:rsidR="008C4662">
        <w:rPr>
          <w:rStyle w:val="AERbody"/>
        </w:rPr>
        <w:t>the preliminary decision approach to indexing the</w:t>
      </w:r>
      <w:r w:rsidR="00B35737">
        <w:rPr>
          <w:rStyle w:val="AERbody"/>
        </w:rPr>
        <w:t xml:space="preserve"> RAB </w:t>
      </w:r>
      <w:r w:rsidR="008C4662">
        <w:rPr>
          <w:rStyle w:val="AERbody"/>
        </w:rPr>
        <w:t>for actual inflation</w:t>
      </w:r>
      <w:r w:rsidR="00486C2C">
        <w:rPr>
          <w:rStyle w:val="AERbody"/>
        </w:rPr>
        <w:t xml:space="preserve"> and the </w:t>
      </w:r>
      <w:r w:rsidR="00486C2C" w:rsidRPr="00486C2C">
        <w:rPr>
          <w:rStyle w:val="AERbody"/>
        </w:rPr>
        <w:t xml:space="preserve">use </w:t>
      </w:r>
      <w:r w:rsidR="008C4662">
        <w:rPr>
          <w:rStyle w:val="AERbody"/>
        </w:rPr>
        <w:t xml:space="preserve">of </w:t>
      </w:r>
      <w:r w:rsidR="00486C2C" w:rsidRPr="00486C2C">
        <w:rPr>
          <w:rStyle w:val="AERbody"/>
        </w:rPr>
        <w:t xml:space="preserve">the gross proceeds from asset </w:t>
      </w:r>
      <w:r w:rsidR="00486C2C" w:rsidRPr="00486C2C">
        <w:rPr>
          <w:rStyle w:val="AERbody"/>
        </w:rPr>
        <w:lastRenderedPageBreak/>
        <w:t>sales for the value of asset disposal</w:t>
      </w:r>
      <w:r w:rsidR="008C4662">
        <w:rPr>
          <w:rStyle w:val="AERbody"/>
        </w:rPr>
        <w:t>s</w:t>
      </w:r>
      <w:r w:rsidR="00B35737">
        <w:rPr>
          <w:rStyle w:val="AERbody"/>
        </w:rPr>
        <w:t>.</w:t>
      </w:r>
      <w:r w:rsidR="001408B6">
        <w:rPr>
          <w:rStyle w:val="AERbody"/>
        </w:rPr>
        <w:t xml:space="preserve"> It also removed </w:t>
      </w:r>
      <w:r w:rsidR="001408B6" w:rsidRPr="001408B6">
        <w:rPr>
          <w:rStyle w:val="AERbody"/>
        </w:rPr>
        <w:t xml:space="preserve">the inflation adjustment to the previous period </w:t>
      </w:r>
      <w:r w:rsidR="001408B6">
        <w:rPr>
          <w:rStyle w:val="AERbody"/>
        </w:rPr>
        <w:t xml:space="preserve">2010 </w:t>
      </w:r>
      <w:r w:rsidR="001408B6" w:rsidRPr="001408B6">
        <w:rPr>
          <w:rStyle w:val="AERbody"/>
        </w:rPr>
        <w:t>capex.</w:t>
      </w:r>
    </w:p>
    <w:p w:rsidR="00B35737" w:rsidRDefault="008C4662" w:rsidP="00B35737">
      <w:pPr>
        <w:rPr>
          <w:rStyle w:val="AERbody"/>
        </w:rPr>
      </w:pPr>
      <w:r>
        <w:rPr>
          <w:rStyle w:val="AERbody"/>
        </w:rPr>
        <w:t>These issues are discussed in turn below.</w:t>
      </w:r>
      <w:r w:rsidR="00B35737">
        <w:rPr>
          <w:rStyle w:val="AERbody"/>
        </w:rPr>
        <w:t xml:space="preserve"> </w:t>
      </w:r>
    </w:p>
    <w:p w:rsidR="001C6409" w:rsidRDefault="00E21336" w:rsidP="001C6409">
      <w:pPr>
        <w:rPr>
          <w:rStyle w:val="AERbody"/>
        </w:rPr>
      </w:pPr>
      <w:r>
        <w:rPr>
          <w:rStyle w:val="AERbody"/>
        </w:rPr>
        <w:t>We are required to consider the extent to which our roll forward of the RAB to 1 January 2016 contributes to the achievement of the capital expenditure incentive objective.</w:t>
      </w:r>
      <w:r>
        <w:rPr>
          <w:rStyle w:val="FootnoteReference"/>
        </w:rPr>
        <w:footnoteReference w:id="13"/>
      </w:r>
      <w:r>
        <w:rPr>
          <w:rStyle w:val="AERbody"/>
        </w:rPr>
        <w:t xml:space="preserve"> </w:t>
      </w:r>
      <w:r w:rsidR="001C6409" w:rsidRPr="00DB1673">
        <w:rPr>
          <w:rStyle w:val="AERbody"/>
        </w:rPr>
        <w:t>We note that under the transitional rules, in making this distribution determination we do not have the power to determine whether past capex should be excluded for inefficiency reasons</w:t>
      </w:r>
      <w:r w:rsidR="001C6409">
        <w:rPr>
          <w:rStyle w:val="AERbody"/>
        </w:rPr>
        <w:t>.</w:t>
      </w:r>
      <w:r w:rsidR="001C6409">
        <w:rPr>
          <w:rStyle w:val="FootnoteReference"/>
        </w:rPr>
        <w:footnoteReference w:id="14"/>
      </w:r>
      <w:r w:rsidR="001C6409">
        <w:rPr>
          <w:rStyle w:val="AERbody"/>
        </w:rPr>
        <w:t xml:space="preserve"> </w:t>
      </w:r>
      <w:r w:rsidR="001C6409" w:rsidRPr="00DB1673">
        <w:rPr>
          <w:rStyle w:val="AERbody"/>
        </w:rPr>
        <w:t xml:space="preserve">Therefore, for the purposes of this final decision, we have included AusNet Services' actual or estimated capex in the 2011–15 regulatory control period </w:t>
      </w:r>
      <w:r w:rsidR="001C6409">
        <w:rPr>
          <w:rStyle w:val="AERbody"/>
        </w:rPr>
        <w:t>when rolling forward the RAB to 1 January 2016</w:t>
      </w:r>
      <w:r w:rsidR="001C6409" w:rsidRPr="00DB1673">
        <w:rPr>
          <w:rStyle w:val="AERbody"/>
        </w:rPr>
        <w:t>. In future determinations, the NER allow us to review a service provider's past capex and exclude inefficient past capex from being rolled into the</w:t>
      </w:r>
      <w:r w:rsidR="001C6409">
        <w:rPr>
          <w:rStyle w:val="AERbody"/>
        </w:rPr>
        <w:t xml:space="preserve"> RAB.</w:t>
      </w:r>
      <w:r w:rsidR="001C6409">
        <w:rPr>
          <w:rStyle w:val="FootnoteReference"/>
        </w:rPr>
        <w:footnoteReference w:id="15"/>
      </w:r>
      <w:r w:rsidR="001C6409" w:rsidRPr="00DB1673">
        <w:rPr>
          <w:rStyle w:val="AERbody"/>
        </w:rPr>
        <w:t xml:space="preserve"> </w:t>
      </w:r>
      <w:r w:rsidR="0030477A">
        <w:rPr>
          <w:rStyle w:val="AERbody"/>
        </w:rPr>
        <w:t>Our</w:t>
      </w:r>
      <w:r w:rsidR="001A00C0">
        <w:rPr>
          <w:rStyle w:val="AERbody"/>
        </w:rPr>
        <w:t xml:space="preserve"> RAB </w:t>
      </w:r>
      <w:r w:rsidR="0030477A">
        <w:rPr>
          <w:rStyle w:val="AERbody"/>
        </w:rPr>
        <w:t>roll forward applies the</w:t>
      </w:r>
      <w:r w:rsidR="00B40B34">
        <w:rPr>
          <w:rStyle w:val="AERbody"/>
        </w:rPr>
        <w:t xml:space="preserve"> </w:t>
      </w:r>
      <w:r w:rsidR="001C6409">
        <w:rPr>
          <w:rStyle w:val="AERbody"/>
        </w:rPr>
        <w:t>incentive framework approved in the previous distributio</w:t>
      </w:r>
      <w:r w:rsidR="0030477A">
        <w:rPr>
          <w:rStyle w:val="AERbody"/>
        </w:rPr>
        <w:t>n determination</w:t>
      </w:r>
      <w:r>
        <w:rPr>
          <w:rStyle w:val="AERbody"/>
        </w:rPr>
        <w:t>, which included the use of an actual depreciation approach</w:t>
      </w:r>
      <w:r w:rsidR="0030477A">
        <w:rPr>
          <w:rStyle w:val="AERbody"/>
        </w:rPr>
        <w:t>.</w:t>
      </w:r>
      <w:r w:rsidR="001A00C0">
        <w:rPr>
          <w:rStyle w:val="FootnoteReference"/>
        </w:rPr>
        <w:footnoteReference w:id="16"/>
      </w:r>
      <w:r w:rsidR="0030477A">
        <w:rPr>
          <w:rStyle w:val="AERbody"/>
        </w:rPr>
        <w:t xml:space="preserve"> As such</w:t>
      </w:r>
      <w:r w:rsidR="0075235F">
        <w:rPr>
          <w:rStyle w:val="AERbody"/>
        </w:rPr>
        <w:t>,</w:t>
      </w:r>
      <w:r w:rsidR="0030477A">
        <w:rPr>
          <w:rStyle w:val="AERbody"/>
        </w:rPr>
        <w:t xml:space="preserve"> we consider that it contributes to an opening RAB that includes </w:t>
      </w:r>
      <w:r w:rsidR="0012115E">
        <w:rPr>
          <w:rStyle w:val="AERbody"/>
        </w:rPr>
        <w:t xml:space="preserve">capex </w:t>
      </w:r>
      <w:r w:rsidR="0030477A">
        <w:rPr>
          <w:rStyle w:val="AERbody"/>
        </w:rPr>
        <w:t>t</w:t>
      </w:r>
      <w:r w:rsidR="00B40B34">
        <w:rPr>
          <w:rStyle w:val="AERbody"/>
        </w:rPr>
        <w:t>hat reflects</w:t>
      </w:r>
      <w:r w:rsidR="0030477A">
        <w:rPr>
          <w:rStyle w:val="AERbody"/>
        </w:rPr>
        <w:t xml:space="preserve"> </w:t>
      </w:r>
      <w:r w:rsidR="001C6409">
        <w:rPr>
          <w:rStyle w:val="AERbody"/>
        </w:rPr>
        <w:t>prudent and efficient costs</w:t>
      </w:r>
      <w:r w:rsidR="0030477A">
        <w:rPr>
          <w:rStyle w:val="AERbody"/>
        </w:rPr>
        <w:t xml:space="preserve">, </w:t>
      </w:r>
      <w:r w:rsidR="00B40B34">
        <w:rPr>
          <w:rStyle w:val="AERbody"/>
        </w:rPr>
        <w:t>in accordance with</w:t>
      </w:r>
      <w:r w:rsidR="0030477A">
        <w:rPr>
          <w:rStyle w:val="AERbody"/>
        </w:rPr>
        <w:t xml:space="preserve"> the capital expenditure criteria</w:t>
      </w:r>
      <w:r w:rsidR="00B40B34">
        <w:rPr>
          <w:rStyle w:val="AERbody"/>
        </w:rPr>
        <w:t>.</w:t>
      </w:r>
      <w:r w:rsidR="00B40B34">
        <w:rPr>
          <w:rStyle w:val="FootnoteReference"/>
        </w:rPr>
        <w:footnoteReference w:id="17"/>
      </w:r>
    </w:p>
    <w:p w:rsidR="00B35737" w:rsidRPr="0020314F" w:rsidRDefault="00BD6BAB" w:rsidP="001F5A2B">
      <w:pPr>
        <w:pStyle w:val="HeadingBoldBlue"/>
      </w:pPr>
      <w:r>
        <w:t>Index</w:t>
      </w:r>
      <w:r w:rsidR="001F5A2B">
        <w:t>ing</w:t>
      </w:r>
      <w:r>
        <w:t xml:space="preserve"> the RAB for a</w:t>
      </w:r>
      <w:r w:rsidR="00B35737" w:rsidRPr="0020314F">
        <w:t>ctual inflation inputs</w:t>
      </w:r>
    </w:p>
    <w:p w:rsidR="00693505" w:rsidRPr="00693505" w:rsidRDefault="00693505" w:rsidP="00693505">
      <w:r w:rsidRPr="00693505">
        <w:t>Our final decision is to accept AusNet Services' revised proposed approach to RAB indexation, known as the 'all-lagged' approach. Under this approach, a one-year lagged inflation series is used to index all components of the RAB roll forward.</w:t>
      </w:r>
      <w:r w:rsidRPr="00693505">
        <w:rPr>
          <w:rStyle w:val="FootnoteReference"/>
        </w:rPr>
        <w:footnoteReference w:id="18"/>
      </w:r>
      <w:r w:rsidRPr="00693505">
        <w:t xml:space="preserve"> This is a departure from our preliminary decision, which used our standard 'partially-lagged' approach.</w:t>
      </w:r>
      <w:r w:rsidRPr="00693505">
        <w:rPr>
          <w:rStyle w:val="FootnoteReference"/>
        </w:rPr>
        <w:footnoteReference w:id="19"/>
      </w:r>
    </w:p>
    <w:p w:rsidR="00693505" w:rsidRPr="00693505" w:rsidRDefault="00693505" w:rsidP="00693505">
      <w:r w:rsidRPr="00693505">
        <w:t xml:space="preserve">We have had regard to the indexation approach used in previous </w:t>
      </w:r>
      <w:r w:rsidR="009C653F">
        <w:t xml:space="preserve">Victorian </w:t>
      </w:r>
      <w:r w:rsidR="00BB5F11">
        <w:t>distribution</w:t>
      </w:r>
      <w:r w:rsidRPr="00693505">
        <w:t xml:space="preserve"> determinations, where the Essential Services Commission (ESC) applied the all-lagged approach prior to 2010.</w:t>
      </w:r>
      <w:r w:rsidRPr="00693505">
        <w:rPr>
          <w:rStyle w:val="FootnoteReference"/>
        </w:rPr>
        <w:footnoteReference w:id="20"/>
      </w:r>
      <w:r w:rsidRPr="00693505">
        <w:t xml:space="preserve"> </w:t>
      </w:r>
      <w:r w:rsidR="00C221F4">
        <w:t xml:space="preserve">Each of the five Victorian service providers, including </w:t>
      </w:r>
      <w:r w:rsidRPr="00693505">
        <w:t xml:space="preserve">AusNet </w:t>
      </w:r>
      <w:r w:rsidRPr="00693505">
        <w:lastRenderedPageBreak/>
        <w:t>Services</w:t>
      </w:r>
      <w:r w:rsidR="00C221F4">
        <w:t>,</w:t>
      </w:r>
      <w:r w:rsidRPr="00693505">
        <w:t xml:space="preserve"> submitted that we should apply the same unbroken inflation series to preserve the real value of its assets.</w:t>
      </w:r>
      <w:r w:rsidR="009C653F">
        <w:rPr>
          <w:rStyle w:val="FootnoteReference"/>
        </w:rPr>
        <w:footnoteReference w:id="21"/>
      </w:r>
      <w:r w:rsidRPr="00693505">
        <w:t xml:space="preserve"> We agree that this consistency is desirable. </w:t>
      </w:r>
      <w:r w:rsidR="00BB5F11">
        <w:t>To</w:t>
      </w:r>
      <w:r w:rsidRPr="00693505">
        <w:t xml:space="preserve"> this</w:t>
      </w:r>
      <w:r w:rsidR="00BB5F11">
        <w:t xml:space="preserve"> end</w:t>
      </w:r>
      <w:r w:rsidRPr="00693505">
        <w:t xml:space="preserve">, </w:t>
      </w:r>
      <w:r w:rsidR="00BB5F11">
        <w:t xml:space="preserve">the Victorian service providers' </w:t>
      </w:r>
      <w:r w:rsidRPr="00693505">
        <w:t xml:space="preserve">historical indexation differs from the standard approach applied to other non-Victorian networks in previous determinations. </w:t>
      </w:r>
    </w:p>
    <w:p w:rsidR="00693505" w:rsidRPr="00693505" w:rsidRDefault="00693505" w:rsidP="00E21F82">
      <w:r w:rsidRPr="00693505">
        <w:t>More broadly, AusNet Services also submitted a number of reasons why the all-lagged approach should be used, regardless of the previous approach to indexation.</w:t>
      </w:r>
      <w:r w:rsidRPr="00693505">
        <w:rPr>
          <w:rStyle w:val="FootnoteReference"/>
        </w:rPr>
        <w:footnoteReference w:id="22"/>
      </w:r>
      <w:r w:rsidRPr="00693505">
        <w:t xml:space="preserve"> </w:t>
      </w:r>
      <w:r w:rsidR="00087BBD">
        <w:t>We have reviewed this material together with the submissions on this common issue from the four other Victorian service providers.</w:t>
      </w:r>
      <w:r w:rsidR="00087BBD">
        <w:rPr>
          <w:rStyle w:val="FootnoteReference"/>
        </w:rPr>
        <w:footnoteReference w:id="23"/>
      </w:r>
      <w:r w:rsidR="00087BBD">
        <w:t xml:space="preserve"> </w:t>
      </w:r>
      <w:r w:rsidRPr="00693505">
        <w:t xml:space="preserve">While we agree with elements of this reasoning, there are several areas where we disagree or where the available evidence is inconclusive. </w:t>
      </w:r>
      <w:r w:rsidR="00904CA2">
        <w:t>Our views have been informed by consideration of this issue in our recent update of the RFM template for transmission service providers.</w:t>
      </w:r>
      <w:r w:rsidR="00087BBD">
        <w:rPr>
          <w:rStyle w:val="FootnoteReference"/>
        </w:rPr>
        <w:footnoteReference w:id="24"/>
      </w:r>
      <w:r w:rsidR="006C28D7">
        <w:t xml:space="preserve"> In that update, we decided to </w:t>
      </w:r>
      <w:r w:rsidR="0085441D">
        <w:t xml:space="preserve">maintain </w:t>
      </w:r>
      <w:r w:rsidR="006C28D7">
        <w:t>apply</w:t>
      </w:r>
      <w:r w:rsidR="0085441D">
        <w:t>ing</w:t>
      </w:r>
      <w:r w:rsidR="006C28D7">
        <w:t xml:space="preserve"> the partially-lagged approach</w:t>
      </w:r>
      <w:r w:rsidR="0085441D">
        <w:t xml:space="preserve"> for indexation</w:t>
      </w:r>
      <w:r w:rsidR="006C28D7">
        <w:t>. However, the Victorian service providers have raised several new issues that were not before us at that time.</w:t>
      </w:r>
      <w:r w:rsidR="00904CA2">
        <w:t xml:space="preserve"> </w:t>
      </w:r>
    </w:p>
    <w:p w:rsidR="00693505" w:rsidRPr="00693505" w:rsidRDefault="00693505" w:rsidP="00693505">
      <w:r w:rsidRPr="00693505">
        <w:t xml:space="preserve">These conceptual issues relating to indexation in the RAB roll forward are relevant for all </w:t>
      </w:r>
      <w:r w:rsidR="0059467F">
        <w:t>distribution service providers</w:t>
      </w:r>
      <w:r w:rsidRPr="00693505">
        <w:t xml:space="preserve">, not just AusNet Services or the Victorian </w:t>
      </w:r>
      <w:r w:rsidR="00BB5F11">
        <w:t xml:space="preserve">service providers </w:t>
      </w:r>
      <w:r w:rsidRPr="00693505">
        <w:t xml:space="preserve">as a group. We </w:t>
      </w:r>
      <w:r w:rsidR="00BB5F11">
        <w:t>expect to</w:t>
      </w:r>
      <w:r w:rsidRPr="00693505">
        <w:t xml:space="preserve"> commence a formal update of the AER's standard RFM </w:t>
      </w:r>
      <w:r w:rsidR="00BB5F11">
        <w:t xml:space="preserve">template </w:t>
      </w:r>
      <w:r w:rsidR="00776C91">
        <w:t xml:space="preserve">for distribution networks </w:t>
      </w:r>
      <w:r w:rsidRPr="00693505">
        <w:t>later this year.</w:t>
      </w:r>
      <w:r w:rsidRPr="00693505">
        <w:rPr>
          <w:rStyle w:val="FootnoteReference"/>
        </w:rPr>
        <w:footnoteReference w:id="25"/>
      </w:r>
      <w:r w:rsidRPr="00693505">
        <w:t xml:space="preserve"> That process will allow us to </w:t>
      </w:r>
      <w:r w:rsidR="00904CA2">
        <w:t>further</w:t>
      </w:r>
      <w:r w:rsidRPr="00693505">
        <w:t xml:space="preserve"> evaluate the strengths and weaknesses of both indexation approaches (and any other alternatives). It will also </w:t>
      </w:r>
      <w:r w:rsidR="00ED720A">
        <w:t>allow</w:t>
      </w:r>
      <w:r w:rsidRPr="00693505">
        <w:t xml:space="preserve"> affected stakeholders, including other service providers and consumers, to comment.</w:t>
      </w:r>
      <w:r w:rsidRPr="00693505">
        <w:rPr>
          <w:rStyle w:val="FootnoteReference"/>
        </w:rPr>
        <w:footnoteReference w:id="26"/>
      </w:r>
      <w:r w:rsidRPr="00693505">
        <w:t xml:space="preserve"> </w:t>
      </w:r>
    </w:p>
    <w:p w:rsidR="00693505" w:rsidRPr="00693505" w:rsidRDefault="00693505" w:rsidP="00693505">
      <w:r w:rsidRPr="00693505">
        <w:t xml:space="preserve">Our decision to accept AusNet Services' revised proposed approach, therefore, reflects the specific history of the Victorian </w:t>
      </w:r>
      <w:r w:rsidR="00BB5F11">
        <w:t>service providers</w:t>
      </w:r>
      <w:r w:rsidRPr="00693505">
        <w:t xml:space="preserve"> and the current mixed state of evidence for the partially-lagged and all-lagged </w:t>
      </w:r>
      <w:r w:rsidR="00BB5F11">
        <w:t xml:space="preserve">indexation </w:t>
      </w:r>
      <w:r w:rsidRPr="00693505">
        <w:t>approaches.</w:t>
      </w:r>
      <w:r w:rsidRPr="00693505">
        <w:rPr>
          <w:rStyle w:val="FootnoteReference"/>
        </w:rPr>
        <w:footnoteReference w:id="27"/>
      </w:r>
      <w:r w:rsidRPr="00693505">
        <w:t xml:space="preserve"> </w:t>
      </w:r>
      <w:r w:rsidR="0059467F">
        <w:t>As part of this, we accept the RFM</w:t>
      </w:r>
      <w:r w:rsidRPr="00693505">
        <w:t xml:space="preserve"> implementation</w:t>
      </w:r>
      <w:r w:rsidR="0059467F">
        <w:t xml:space="preserve"> in</w:t>
      </w:r>
      <w:r w:rsidRPr="00693505">
        <w:t xml:space="preserve"> AusNet Services' revised proposal, </w:t>
      </w:r>
      <w:r w:rsidRPr="00693505">
        <w:lastRenderedPageBreak/>
        <w:t xml:space="preserve">where the inflation inputs are lagged by one year and formulae in the RFM are adjusted so that this one-year lag then flows through to </w:t>
      </w:r>
      <w:r w:rsidR="00BB5F11">
        <w:t xml:space="preserve">the </w:t>
      </w:r>
      <w:r w:rsidRPr="00693505">
        <w:t>inflation index construction.</w:t>
      </w:r>
      <w:r w:rsidRPr="00693505">
        <w:rPr>
          <w:rStyle w:val="FootnoteReference"/>
        </w:rPr>
        <w:footnoteReference w:id="28"/>
      </w:r>
    </w:p>
    <w:p w:rsidR="0020314F" w:rsidRDefault="0020314F" w:rsidP="0045117F">
      <w:pPr>
        <w:pStyle w:val="HeadingBoldBlue"/>
      </w:pPr>
      <w:r>
        <w:t>Value of asset disposal</w:t>
      </w:r>
      <w:r w:rsidR="00BD6BAB">
        <w:t>s</w:t>
      </w:r>
      <w:r>
        <w:t xml:space="preserve"> </w:t>
      </w:r>
    </w:p>
    <w:p w:rsidR="00333709" w:rsidRDefault="00333709" w:rsidP="007D21B1">
      <w:r>
        <w:t xml:space="preserve">Our final decision is to use </w:t>
      </w:r>
      <w:r w:rsidR="00635182">
        <w:t xml:space="preserve">the </w:t>
      </w:r>
      <w:r>
        <w:t xml:space="preserve">gross proceeds from asset sales for the </w:t>
      </w:r>
      <w:r w:rsidR="00E351C5">
        <w:t xml:space="preserve">disposal </w:t>
      </w:r>
      <w:r>
        <w:t>value of asset</w:t>
      </w:r>
      <w:r w:rsidR="00E351C5">
        <w:t>s</w:t>
      </w:r>
      <w:r>
        <w:t xml:space="preserve"> in the RFM. This approach is consistent with our preliminary decision.</w:t>
      </w:r>
    </w:p>
    <w:p w:rsidR="007D21B1" w:rsidRPr="00D8773B" w:rsidRDefault="00E351C5" w:rsidP="007D21B1">
      <w:r>
        <w:t xml:space="preserve">Where the </w:t>
      </w:r>
      <w:r w:rsidR="00081DC9">
        <w:t>service provider</w:t>
      </w:r>
      <w:r>
        <w:t xml:space="preserve"> has disposed of assets </w:t>
      </w:r>
      <w:r w:rsidR="001F58BB">
        <w:t xml:space="preserve">(that is, sold assets) </w:t>
      </w:r>
      <w:r>
        <w:t>the RAB must be adjusted in accordance with c</w:t>
      </w:r>
      <w:r w:rsidR="007D21B1" w:rsidRPr="00D8773B">
        <w:t>lause S6.2.1(e)</w:t>
      </w:r>
      <w:r w:rsidR="007D21B1">
        <w:t>(6) of the NER</w:t>
      </w:r>
      <w:r w:rsidR="007D21B1" w:rsidRPr="00D8773B">
        <w:t xml:space="preserve">: </w:t>
      </w:r>
    </w:p>
    <w:p w:rsidR="007D21B1" w:rsidRPr="00D8773B" w:rsidRDefault="007D21B1" w:rsidP="007D21B1">
      <w:pPr>
        <w:pStyle w:val="AERquoteindent1"/>
      </w:pPr>
      <w:r w:rsidRPr="00D8773B">
        <w:t>The previous value of the regulatory asset base must be reduced by the disposal value of any asset where that asset has been disposed of during the previous regulatory control period.</w:t>
      </w:r>
    </w:p>
    <w:p w:rsidR="007D21B1" w:rsidRDefault="00E351C5" w:rsidP="007D21B1">
      <w:r>
        <w:t>The key point of contention is the interpretation of 'disposal value' in this clause.</w:t>
      </w:r>
      <w:r w:rsidR="00010863">
        <w:rPr>
          <w:rStyle w:val="FootnoteReference"/>
        </w:rPr>
        <w:footnoteReference w:id="29"/>
      </w:r>
      <w:r>
        <w:t xml:space="preserve"> </w:t>
      </w:r>
      <w:r w:rsidR="007D21B1" w:rsidRPr="00D8773B">
        <w:t xml:space="preserve">In the preliminary decision, we did not accept AusNet Services' proposal to </w:t>
      </w:r>
      <w:r w:rsidR="00BB6F43">
        <w:t xml:space="preserve">use </w:t>
      </w:r>
      <w:r>
        <w:t xml:space="preserve">the </w:t>
      </w:r>
      <w:r w:rsidR="007D21B1" w:rsidRPr="00D8773B">
        <w:t xml:space="preserve">written down value of </w:t>
      </w:r>
      <w:r w:rsidR="007D21B1">
        <w:t xml:space="preserve">the </w:t>
      </w:r>
      <w:r w:rsidR="007D21B1" w:rsidRPr="00D8773B">
        <w:t>assets</w:t>
      </w:r>
      <w:r>
        <w:t xml:space="preserve"> (</w:t>
      </w:r>
      <w:r w:rsidR="008F0763">
        <w:t xml:space="preserve">that is, </w:t>
      </w:r>
      <w:r w:rsidR="007E1420">
        <w:t>the initial asset value less accumulated regulatory depreciation</w:t>
      </w:r>
      <w:r>
        <w:t>)</w:t>
      </w:r>
      <w:r w:rsidR="00BB6F43">
        <w:t xml:space="preserve"> as the disposal value</w:t>
      </w:r>
      <w:r w:rsidR="00081DC9">
        <w:t xml:space="preserve"> in the RAB roll forward</w:t>
      </w:r>
      <w:r w:rsidR="007D21B1" w:rsidRPr="00D8773B">
        <w:t>.</w:t>
      </w:r>
      <w:r w:rsidR="00BB6F43">
        <w:rPr>
          <w:rStyle w:val="FootnoteReference"/>
        </w:rPr>
        <w:footnoteReference w:id="30"/>
      </w:r>
      <w:r w:rsidR="007D21B1" w:rsidRPr="00D8773B">
        <w:t xml:space="preserve"> </w:t>
      </w:r>
      <w:r w:rsidR="00333709">
        <w:t xml:space="preserve">We considered </w:t>
      </w:r>
      <w:r w:rsidR="00BB6F43">
        <w:t xml:space="preserve">this </w:t>
      </w:r>
      <w:r w:rsidR="00333709">
        <w:t>approach c</w:t>
      </w:r>
      <w:r w:rsidR="00BB6F43">
        <w:t>ould</w:t>
      </w:r>
      <w:r w:rsidR="00333709">
        <w:t xml:space="preserve"> result in over compensation for the service provider's investment if the proceeds from asset sales exceed their written down value. We therefore</w:t>
      </w:r>
      <w:r w:rsidR="007D21B1" w:rsidRPr="00D8773B">
        <w:t xml:space="preserve"> use</w:t>
      </w:r>
      <w:r w:rsidR="00333709">
        <w:t>d</w:t>
      </w:r>
      <w:r w:rsidR="007D21B1" w:rsidRPr="00D8773B">
        <w:t xml:space="preserve"> the gross proceeds from asset sales</w:t>
      </w:r>
      <w:r>
        <w:t xml:space="preserve"> </w:t>
      </w:r>
      <w:r w:rsidR="007D21B1" w:rsidRPr="00D8773B">
        <w:t xml:space="preserve">for the </w:t>
      </w:r>
      <w:r>
        <w:t xml:space="preserve">disposal </w:t>
      </w:r>
      <w:r w:rsidR="007D21B1" w:rsidRPr="00D8773B">
        <w:t>value of asset</w:t>
      </w:r>
      <w:r>
        <w:t>s</w:t>
      </w:r>
      <w:r w:rsidR="007D21B1" w:rsidRPr="00D8773B">
        <w:t xml:space="preserve"> in the RFM. </w:t>
      </w:r>
    </w:p>
    <w:p w:rsidR="00E351C5" w:rsidRDefault="007D21B1" w:rsidP="007D21B1">
      <w:r w:rsidRPr="00D8773B">
        <w:t>AusNet Services</w:t>
      </w:r>
      <w:r w:rsidR="00333709">
        <w:t>' revised proposal</w:t>
      </w:r>
      <w:r w:rsidRPr="00D8773B">
        <w:t xml:space="preserve"> </w:t>
      </w:r>
      <w:r>
        <w:t xml:space="preserve">did not </w:t>
      </w:r>
      <w:r w:rsidRPr="00D8773B">
        <w:t>a</w:t>
      </w:r>
      <w:r w:rsidR="00333709">
        <w:t>dopt</w:t>
      </w:r>
      <w:r w:rsidRPr="00D8773B">
        <w:t xml:space="preserve"> our preliminary decision</w:t>
      </w:r>
      <w:r w:rsidR="00333709">
        <w:t xml:space="preserve"> on the </w:t>
      </w:r>
      <w:r w:rsidR="00E351C5">
        <w:t xml:space="preserve">disposal </w:t>
      </w:r>
      <w:r w:rsidR="00333709">
        <w:t>value of asset</w:t>
      </w:r>
      <w:r w:rsidRPr="00D8773B">
        <w:t>.</w:t>
      </w:r>
      <w:r>
        <w:t xml:space="preserve"> It </w:t>
      </w:r>
      <w:r w:rsidRPr="00D8773B">
        <w:t>stated that the AER</w:t>
      </w:r>
      <w:r>
        <w:t>'s</w:t>
      </w:r>
      <w:r w:rsidRPr="00D8773B">
        <w:t xml:space="preserve"> approach of using gross proceed</w:t>
      </w:r>
      <w:r w:rsidR="00333709">
        <w:t>s</w:t>
      </w:r>
      <w:r w:rsidR="00E351C5">
        <w:t>:</w:t>
      </w:r>
      <w:r w:rsidR="00E351C5" w:rsidRPr="00D8773B">
        <w:rPr>
          <w:rStyle w:val="FootnoteReference"/>
        </w:rPr>
        <w:footnoteReference w:id="31"/>
      </w:r>
    </w:p>
    <w:p w:rsidR="00E351C5" w:rsidRDefault="001F58BB" w:rsidP="003F3E0B">
      <w:pPr>
        <w:pStyle w:val="AERbulletlistfirststyle"/>
      </w:pPr>
      <w:r>
        <w:t>w</w:t>
      </w:r>
      <w:r w:rsidR="00E351C5">
        <w:t>as inconsistent with previous regulatory practice in Victoria</w:t>
      </w:r>
    </w:p>
    <w:p w:rsidR="00E351C5" w:rsidRDefault="001F58BB" w:rsidP="003F3E0B">
      <w:pPr>
        <w:pStyle w:val="AERbulletlistfirststyle"/>
      </w:pPr>
      <w:r>
        <w:t>w</w:t>
      </w:r>
      <w:r w:rsidR="00E351C5">
        <w:t xml:space="preserve">as </w:t>
      </w:r>
      <w:r w:rsidR="007D21B1" w:rsidRPr="00D8773B">
        <w:t>not consistent with clause 6.5.5(b)(2) of the NER</w:t>
      </w:r>
      <w:r w:rsidR="00E351C5">
        <w:t xml:space="preserve">, because it did not ensure that the sum of real value of depreciation </w:t>
      </w:r>
      <w:r w:rsidR="0087151A">
        <w:t>was equal to the initial asset value</w:t>
      </w:r>
    </w:p>
    <w:p w:rsidR="0087151A" w:rsidRDefault="001F58BB" w:rsidP="003F3E0B">
      <w:pPr>
        <w:pStyle w:val="AERbulletlistfirststyle"/>
      </w:pPr>
      <w:r>
        <w:t>h</w:t>
      </w:r>
      <w:r w:rsidR="0087151A">
        <w:t xml:space="preserve">ad undesirable incentive effects, since </w:t>
      </w:r>
      <w:r w:rsidR="00C66349">
        <w:t>service providers</w:t>
      </w:r>
      <w:r w:rsidR="0087151A">
        <w:t xml:space="preserve"> no longer stood to gain when they disposed of assets for more than their written down value. </w:t>
      </w:r>
    </w:p>
    <w:p w:rsidR="007D21B1" w:rsidRPr="00D8773B" w:rsidRDefault="007D21B1" w:rsidP="007D21B1">
      <w:r>
        <w:t>Instead</w:t>
      </w:r>
      <w:r w:rsidR="00333709">
        <w:t>,</w:t>
      </w:r>
      <w:r>
        <w:t xml:space="preserve"> AusNet Services </w:t>
      </w:r>
      <w:r w:rsidR="00333709">
        <w:t xml:space="preserve">maintained its initial </w:t>
      </w:r>
      <w:r w:rsidRPr="00D8773B">
        <w:t>propos</w:t>
      </w:r>
      <w:r w:rsidR="00333709">
        <w:t xml:space="preserve">al </w:t>
      </w:r>
      <w:r w:rsidR="0087151A">
        <w:t xml:space="preserve">to use the </w:t>
      </w:r>
      <w:r w:rsidRPr="00D8773B">
        <w:t xml:space="preserve">written down </w:t>
      </w:r>
      <w:r w:rsidR="0087151A">
        <w:t>value as the disposal value of</w:t>
      </w:r>
      <w:r w:rsidRPr="00D8773B">
        <w:t xml:space="preserve"> asset</w:t>
      </w:r>
      <w:r w:rsidR="0087151A">
        <w:t>s</w:t>
      </w:r>
      <w:r w:rsidRPr="00D8773B">
        <w:t xml:space="preserve"> in the RFM</w:t>
      </w:r>
      <w:r w:rsidR="0087151A">
        <w:t xml:space="preserve">, although it did revise its </w:t>
      </w:r>
      <w:r w:rsidR="00081DC9">
        <w:t>amount</w:t>
      </w:r>
      <w:r w:rsidR="0087151A">
        <w:t>s to correct a categorisation error</w:t>
      </w:r>
      <w:r w:rsidRPr="00D8773B">
        <w:t>.</w:t>
      </w:r>
      <w:r w:rsidR="0087151A">
        <w:rPr>
          <w:rStyle w:val="FootnoteReference"/>
        </w:rPr>
        <w:footnoteReference w:id="32"/>
      </w:r>
    </w:p>
    <w:p w:rsidR="00970294" w:rsidRDefault="000956A5" w:rsidP="007D21B1">
      <w:r>
        <w:t xml:space="preserve">AusNet Services' first </w:t>
      </w:r>
      <w:r w:rsidR="00BB5316">
        <w:t>point</w:t>
      </w:r>
      <w:r>
        <w:t xml:space="preserve"> is that using written down value is consistent with </w:t>
      </w:r>
      <w:r w:rsidR="00BB5316">
        <w:t>the</w:t>
      </w:r>
      <w:r>
        <w:t xml:space="preserve"> </w:t>
      </w:r>
      <w:r w:rsidR="00970294">
        <w:t xml:space="preserve">treatment of disposals in </w:t>
      </w:r>
      <w:r w:rsidR="00BF299E">
        <w:t xml:space="preserve">previous </w:t>
      </w:r>
      <w:r w:rsidR="00BB5316">
        <w:t>distribution</w:t>
      </w:r>
      <w:r>
        <w:t xml:space="preserve"> </w:t>
      </w:r>
      <w:r w:rsidR="00BF299E">
        <w:t>determinations</w:t>
      </w:r>
      <w:r>
        <w:t>.</w:t>
      </w:r>
      <w:r w:rsidR="00970294">
        <w:rPr>
          <w:rStyle w:val="FootnoteReference"/>
        </w:rPr>
        <w:footnoteReference w:id="33"/>
      </w:r>
      <w:r>
        <w:t xml:space="preserve"> W</w:t>
      </w:r>
      <w:r w:rsidR="00970294">
        <w:t xml:space="preserve">hile we </w:t>
      </w:r>
      <w:r w:rsidR="0087151A">
        <w:t>agree</w:t>
      </w:r>
      <w:r w:rsidR="00970294">
        <w:t xml:space="preserve"> that </w:t>
      </w:r>
      <w:r w:rsidR="00970294">
        <w:lastRenderedPageBreak/>
        <w:t xml:space="preserve">consistency with prior determinations is </w:t>
      </w:r>
      <w:r w:rsidR="006C28D7">
        <w:t>desirable</w:t>
      </w:r>
      <w:r w:rsidR="00970294">
        <w:t xml:space="preserve">, </w:t>
      </w:r>
      <w:r w:rsidR="0087151A">
        <w:t>we consider</w:t>
      </w:r>
      <w:r w:rsidR="00970294">
        <w:t xml:space="preserve"> the historical interpretation of disposals has always been </w:t>
      </w:r>
      <w:r w:rsidR="00BB5316">
        <w:t>to use gross</w:t>
      </w:r>
      <w:r w:rsidR="00970294">
        <w:t xml:space="preserve"> proceeds from sale</w:t>
      </w:r>
      <w:r w:rsidR="00BB6F43">
        <w:t>s</w:t>
      </w:r>
      <w:r w:rsidR="00970294">
        <w:t>, not written down value:</w:t>
      </w:r>
    </w:p>
    <w:p w:rsidR="002E3D4A" w:rsidRDefault="002E3D4A" w:rsidP="002E3D4A">
      <w:pPr>
        <w:pStyle w:val="AERbulletlistfirststyle"/>
      </w:pPr>
      <w:r>
        <w:t>In the 2001–05 decision by the Office of the Regulator General (Victoria) covering the AusNet Services network (then owned by TXU), the decision state</w:t>
      </w:r>
      <w:r w:rsidR="00BB5316">
        <w:t>d</w:t>
      </w:r>
      <w:r>
        <w:t xml:space="preserve"> that disposals meant proceeds from sale</w:t>
      </w:r>
      <w:r w:rsidR="00BB6F43">
        <w:t>s</w:t>
      </w:r>
      <w:r>
        <w:t>.</w:t>
      </w:r>
      <w:r>
        <w:rPr>
          <w:rStyle w:val="FootnoteReference"/>
        </w:rPr>
        <w:footnoteReference w:id="34"/>
      </w:r>
    </w:p>
    <w:p w:rsidR="002E3D4A" w:rsidRDefault="002E3D4A" w:rsidP="002E3D4A">
      <w:pPr>
        <w:pStyle w:val="AERbulletlistfirststyle"/>
      </w:pPr>
      <w:r>
        <w:t xml:space="preserve">In the 2006–10 </w:t>
      </w:r>
      <w:r w:rsidR="00BB5316">
        <w:t>decision</w:t>
      </w:r>
      <w:r>
        <w:t xml:space="preserve"> by the E</w:t>
      </w:r>
      <w:r w:rsidR="00BB5316">
        <w:t>SC</w:t>
      </w:r>
      <w:r>
        <w:t xml:space="preserve"> for AusNet Services (then known as SP</w:t>
      </w:r>
      <w:r w:rsidR="00791C36">
        <w:t> </w:t>
      </w:r>
      <w:r>
        <w:t>AusNet), it appears that gross proceeds were used. The final decision document does not make an explicit statement as to how disposals were to be defined.</w:t>
      </w:r>
      <w:r>
        <w:rPr>
          <w:rStyle w:val="FootnoteReference"/>
        </w:rPr>
        <w:footnoteReference w:id="35"/>
      </w:r>
      <w:r>
        <w:t xml:space="preserve"> In its revised proposal, AusNet Services referred to the RFM from this decision, and in particular referenced a tab in the spreadsheet which used the label 'Disposals'. We do not consider that this generic label provides support for either interpretation. However, there are two other locations in that spreadsheet which use the more explicit label 'Disposals - proceeds from sale of assets'.</w:t>
      </w:r>
      <w:r>
        <w:rPr>
          <w:rStyle w:val="FootnoteReference"/>
        </w:rPr>
        <w:footnoteReference w:id="36"/>
      </w:r>
      <w:r>
        <w:t xml:space="preserve"> This appears unambiguous.</w:t>
      </w:r>
    </w:p>
    <w:p w:rsidR="00970294" w:rsidRDefault="00ED0724" w:rsidP="003F3E0B">
      <w:pPr>
        <w:pStyle w:val="AERbulletlistfirststyle"/>
      </w:pPr>
      <w:r>
        <w:t>In our 201</w:t>
      </w:r>
      <w:r w:rsidR="000956A5">
        <w:t>1–15</w:t>
      </w:r>
      <w:r>
        <w:t xml:space="preserve"> regulatory determination for AusNet Services (</w:t>
      </w:r>
      <w:r w:rsidR="000956A5">
        <w:t xml:space="preserve">as </w:t>
      </w:r>
      <w:r>
        <w:t xml:space="preserve">SP AusNet), we </w:t>
      </w:r>
      <w:r w:rsidR="000956A5">
        <w:t>rejected AusNet's proposed use of written down value</w:t>
      </w:r>
      <w:r w:rsidR="00970294">
        <w:t>s</w:t>
      </w:r>
      <w:r w:rsidR="000956A5">
        <w:t xml:space="preserve">, and required that it record disposals as </w:t>
      </w:r>
      <w:r>
        <w:t>proceeds from sale</w:t>
      </w:r>
      <w:r w:rsidR="00970294">
        <w:t>s</w:t>
      </w:r>
      <w:r>
        <w:t>.</w:t>
      </w:r>
      <w:r>
        <w:rPr>
          <w:rStyle w:val="FootnoteReference"/>
        </w:rPr>
        <w:footnoteReference w:id="37"/>
      </w:r>
    </w:p>
    <w:p w:rsidR="00ED0724" w:rsidRDefault="00970294" w:rsidP="007D21B1">
      <w:r>
        <w:t xml:space="preserve">Hence, consistency with prior determinations would lead to the adoption of </w:t>
      </w:r>
      <w:r w:rsidR="002E3D4A">
        <w:t>gross proceeds, not written down values</w:t>
      </w:r>
      <w:r w:rsidR="006C28D7">
        <w:t>, as the relevant disposal value</w:t>
      </w:r>
      <w:r w:rsidR="002E3D4A">
        <w:t>.</w:t>
      </w:r>
    </w:p>
    <w:p w:rsidR="00D8773B" w:rsidRPr="00D8773B" w:rsidRDefault="001F58BB" w:rsidP="00D8773B">
      <w:r>
        <w:t xml:space="preserve">On AusNet Services' second </w:t>
      </w:r>
      <w:r w:rsidR="005F3019">
        <w:t>point</w:t>
      </w:r>
      <w:r>
        <w:t>, w</w:t>
      </w:r>
      <w:r w:rsidR="007D21B1">
        <w:t>e consider our</w:t>
      </w:r>
      <w:r w:rsidR="00D8773B" w:rsidRPr="00D8773B">
        <w:t xml:space="preserve"> approach is consistent with clause 6.5.5(b)(</w:t>
      </w:r>
      <w:r w:rsidR="002E04D2">
        <w:t>2) of the NER, which states</w:t>
      </w:r>
      <w:r w:rsidR="00D8773B" w:rsidRPr="00D8773B">
        <w:t xml:space="preserve">: </w:t>
      </w:r>
    </w:p>
    <w:p w:rsidR="00D8773B" w:rsidRPr="00D8773B" w:rsidRDefault="00635182" w:rsidP="00A3407D">
      <w:pPr>
        <w:pStyle w:val="AERquoteindent1"/>
      </w:pPr>
      <w:r>
        <w:t>[T</w:t>
      </w:r>
      <w:r w:rsidR="00D8773B" w:rsidRPr="00D8773B">
        <w:t>he</w:t>
      </w:r>
      <w:r>
        <w:t>]</w:t>
      </w:r>
      <w:r w:rsidR="00D8773B" w:rsidRPr="00D8773B">
        <w:t xml:space="preserve"> sum of the real value of the depreciation that is attributable to any asset or category of assets over the economic life of that asset or category of assets (such real value being calculated as at the time the value of that asset or category of assets was first included in the regulatory asset base for the relevant distribution system) must be equivalent to the value at which that asset or category of assets was first included in the regulatory asset base for the relevant distribution system</w:t>
      </w:r>
      <w:r>
        <w:t>.</w:t>
      </w:r>
    </w:p>
    <w:p w:rsidR="0029395A" w:rsidRDefault="00CC09D5" w:rsidP="00D8773B">
      <w:r>
        <w:lastRenderedPageBreak/>
        <w:t xml:space="preserve">The import of this clause is that the </w:t>
      </w:r>
      <w:r w:rsidR="0029395A">
        <w:t>service provider</w:t>
      </w:r>
      <w:r>
        <w:t xml:space="preserve"> recovers </w:t>
      </w:r>
      <w:r w:rsidR="0029395A">
        <w:t>exactly the</w:t>
      </w:r>
      <w:r>
        <w:t xml:space="preserve"> same amount of capital as </w:t>
      </w:r>
      <w:r w:rsidR="0029395A">
        <w:t>is initially invested in the business (in real terms)</w:t>
      </w:r>
      <w:r>
        <w:t>.</w:t>
      </w:r>
      <w:r w:rsidR="0029395A">
        <w:t xml:space="preserve"> The depreciation schedule must not result in the service provider recovering more capital through depreciation than it initially invested (a windfall gain).</w:t>
      </w:r>
      <w:r w:rsidR="0029395A">
        <w:rPr>
          <w:rStyle w:val="FootnoteReference"/>
        </w:rPr>
        <w:footnoteReference w:id="38"/>
      </w:r>
      <w:r w:rsidR="0029395A">
        <w:t xml:space="preserve"> Conversely, the depreciation schedule must not result in the service provider recovering less capital than it initially invested (a windfall loss).</w:t>
      </w:r>
    </w:p>
    <w:p w:rsidR="006C28D7" w:rsidRDefault="0029395A" w:rsidP="00D8773B">
      <w:r>
        <w:t>While clause 6.5.5(b)(</w:t>
      </w:r>
      <w:r w:rsidR="005F3019">
        <w:t>2</w:t>
      </w:r>
      <w:r>
        <w:t xml:space="preserve">) </w:t>
      </w:r>
      <w:r w:rsidR="00C92F0C">
        <w:t xml:space="preserve">of the NER </w:t>
      </w:r>
      <w:r>
        <w:t>does not refer explicitly to disposals, they are of the same nature</w:t>
      </w:r>
      <w:r w:rsidR="001471E4">
        <w:t xml:space="preserve"> as the return of capital through depreciation. </w:t>
      </w:r>
      <w:r w:rsidR="00C92F0C">
        <w:t xml:space="preserve">When assets are sold, they exit the asset base, and the disposal value is deducted from the RAB reflecting the </w:t>
      </w:r>
      <w:r w:rsidR="005F3019">
        <w:t xml:space="preserve">final </w:t>
      </w:r>
      <w:r w:rsidR="00C92F0C">
        <w:t>return of capital.</w:t>
      </w:r>
      <w:r w:rsidR="00C92F0C">
        <w:rPr>
          <w:rStyle w:val="FootnoteReference"/>
        </w:rPr>
        <w:footnoteReference w:id="39"/>
      </w:r>
      <w:r w:rsidR="00C92F0C">
        <w:t xml:space="preserve"> Hence, </w:t>
      </w:r>
      <w:r w:rsidR="00226F94">
        <w:t xml:space="preserve">we consider </w:t>
      </w:r>
      <w:r w:rsidR="00C92F0C">
        <w:t xml:space="preserve">the </w:t>
      </w:r>
      <w:r w:rsidR="00226F94">
        <w:t xml:space="preserve">interpretation of 'disposal value' should ensure the </w:t>
      </w:r>
      <w:r w:rsidR="00C92F0C">
        <w:t xml:space="preserve">principle behind </w:t>
      </w:r>
      <w:r w:rsidR="00E95803">
        <w:t xml:space="preserve">clause </w:t>
      </w:r>
      <w:r w:rsidR="00C92F0C">
        <w:t>6.5.5(b)(</w:t>
      </w:r>
      <w:r w:rsidR="005F3019">
        <w:t>2</w:t>
      </w:r>
      <w:r w:rsidR="00C92F0C">
        <w:t>) is preserved—the service provider always recovers the exact value of the initial capital investment.</w:t>
      </w:r>
    </w:p>
    <w:p w:rsidR="006C28D7" w:rsidRDefault="006C28D7" w:rsidP="006C28D7">
      <w:r>
        <w:t>This directly leads to AusNet Services' third point, which is that its proposed approach leads to desirable incentive effects:</w:t>
      </w:r>
    </w:p>
    <w:p w:rsidR="006C28D7" w:rsidRDefault="006C28D7" w:rsidP="006C28D7">
      <w:pPr>
        <w:pStyle w:val="AERbulletlistfirststyle"/>
      </w:pPr>
      <w:r>
        <w:t>Using written down value will provide the businesses an incentive to dispose of assets because they retain the benefit where proceeds from sale are above the written down value.</w:t>
      </w:r>
    </w:p>
    <w:p w:rsidR="006C28D7" w:rsidRDefault="006C28D7" w:rsidP="006C28D7">
      <w:pPr>
        <w:pStyle w:val="AERbulletlistfirststyle"/>
      </w:pPr>
      <w:r>
        <w:t>Customers benefit because the written down value is removed from the RAB.</w:t>
      </w:r>
    </w:p>
    <w:p w:rsidR="006C28D7" w:rsidRDefault="006C28D7" w:rsidP="006C28D7">
      <w:r>
        <w:t>We acknowledge that use of proceeds from sale removes the ability for service providers to make a gain when disposing of assets. We note that the effect is symmetrical, since it also removes the potential for losses when disposing of assets.</w:t>
      </w:r>
      <w:r>
        <w:rPr>
          <w:rStyle w:val="FootnoteReference"/>
        </w:rPr>
        <w:footnoteReference w:id="40"/>
      </w:r>
      <w:r>
        <w:t xml:space="preserve"> We consider that this is a preferable outcome, since it ensures that the service provider exactly recovers its initial capital investment.</w:t>
      </w:r>
      <w:r>
        <w:rPr>
          <w:rStyle w:val="FootnoteReference"/>
        </w:rPr>
        <w:footnoteReference w:id="41"/>
      </w:r>
      <w:r>
        <w:t xml:space="preserve"> This reflects the balancing of risk and return between customers (who must return the entire capital investment) and investors (who receive the appropriate rate of return on capital reflecting this regulatory certainty). As a result, the service provider's decision on when (or if) asset disposal should occur will not be influenced by the potential for windfall gain, but by consideration of asset specific characteristics (such as age and condition) and its remaining economic usefulness.</w:t>
      </w:r>
    </w:p>
    <w:p w:rsidR="004D14D0" w:rsidRDefault="009929E3" w:rsidP="009929E3">
      <w:r>
        <w:t xml:space="preserve">There is another </w:t>
      </w:r>
      <w:r w:rsidR="00354A84">
        <w:t>potentially problematic</w:t>
      </w:r>
      <w:r>
        <w:t xml:space="preserve"> aspect to the incentive effects arising under the written down value approach. For practical reasons, we track the regulatory </w:t>
      </w:r>
      <w:r>
        <w:lastRenderedPageBreak/>
        <w:t>depreciation at the asset class level, not for individual assets.</w:t>
      </w:r>
      <w:r>
        <w:rPr>
          <w:rStyle w:val="FootnoteReference"/>
        </w:rPr>
        <w:footnoteReference w:id="42"/>
      </w:r>
      <w:r>
        <w:t xml:space="preserve"> Hence, when a specific asset is sold, the written down value (that is, the initial value less accumulated regulatory depreciation) must be estimated using a general formula based on the standard life of the asset class and the age of the asset.</w:t>
      </w:r>
      <w:r>
        <w:rPr>
          <w:rStyle w:val="FootnoteReference"/>
        </w:rPr>
        <w:footnoteReference w:id="43"/>
      </w:r>
      <w:r>
        <w:t xml:space="preserve"> Inevitably, there will be assets within the asset class whose individual condition means their market value is above or below the value calculated using the general formula.</w:t>
      </w:r>
      <w:r>
        <w:rPr>
          <w:rStyle w:val="FootnoteReference"/>
        </w:rPr>
        <w:footnoteReference w:id="44"/>
      </w:r>
      <w:r>
        <w:t xml:space="preserve"> As a result, </w:t>
      </w:r>
      <w:r w:rsidR="00501191">
        <w:t xml:space="preserve">there is the incentive for </w:t>
      </w:r>
      <w:r>
        <w:t>a service provider to</w:t>
      </w:r>
      <w:r w:rsidR="004D14D0">
        <w:t>:</w:t>
      </w:r>
    </w:p>
    <w:p w:rsidR="004D14D0" w:rsidRDefault="004D14D0" w:rsidP="004D14D0">
      <w:pPr>
        <w:pStyle w:val="AERbulletlistfirststyle"/>
      </w:pPr>
      <w:r>
        <w:t>Dispose of</w:t>
      </w:r>
      <w:r w:rsidR="009929E3">
        <w:t xml:space="preserve"> assets in its RAB where the written down value is below the market value of the asset. These can be sold at market rates, and the service provider </w:t>
      </w:r>
      <w:r w:rsidR="00421258">
        <w:t>makes a gain by</w:t>
      </w:r>
      <w:r w:rsidR="009929E3">
        <w:t xml:space="preserve"> retain</w:t>
      </w:r>
      <w:r w:rsidR="00421258">
        <w:t>ing</w:t>
      </w:r>
      <w:r w:rsidR="009929E3">
        <w:t xml:space="preserve"> the difference.</w:t>
      </w:r>
    </w:p>
    <w:p w:rsidR="004D14D0" w:rsidRDefault="004D14D0" w:rsidP="004D14D0">
      <w:pPr>
        <w:pStyle w:val="AERbulletlistfirststyle"/>
      </w:pPr>
      <w:r>
        <w:t xml:space="preserve">Avoid disposing of </w:t>
      </w:r>
      <w:r w:rsidR="009929E3">
        <w:t>assets where the written down value is above the market value</w:t>
      </w:r>
      <w:r>
        <w:t xml:space="preserve">. The service provider would otherwise </w:t>
      </w:r>
      <w:r w:rsidR="00421258">
        <w:t>make a loss from</w:t>
      </w:r>
      <w:r>
        <w:t xml:space="preserve"> the difference</w:t>
      </w:r>
      <w:r w:rsidR="009929E3">
        <w:t>.</w:t>
      </w:r>
    </w:p>
    <w:p w:rsidR="009929E3" w:rsidRDefault="00354A84" w:rsidP="009929E3">
      <w:r>
        <w:t xml:space="preserve">In both cases, the </w:t>
      </w:r>
      <w:r w:rsidR="004D14D0">
        <w:t xml:space="preserve">incentive distorts the disposal decision that might otherwise have been made with regard to the ability of the assets to contribute to the provision of standard control services. </w:t>
      </w:r>
      <w:r w:rsidR="009929E3">
        <w:t>In contrast, th</w:t>
      </w:r>
      <w:r w:rsidR="004D14D0">
        <w:t xml:space="preserve">is </w:t>
      </w:r>
      <w:r w:rsidR="009929E3">
        <w:t xml:space="preserve">incentive </w:t>
      </w:r>
      <w:r w:rsidR="004D14D0">
        <w:t xml:space="preserve">effect </w:t>
      </w:r>
      <w:r w:rsidR="009929E3">
        <w:t xml:space="preserve">is </w:t>
      </w:r>
      <w:r w:rsidR="00816314">
        <w:t xml:space="preserve">not present under </w:t>
      </w:r>
      <w:r w:rsidR="009929E3">
        <w:t xml:space="preserve">the </w:t>
      </w:r>
      <w:r w:rsidR="000541C4">
        <w:t xml:space="preserve">gross </w:t>
      </w:r>
      <w:r w:rsidR="009929E3">
        <w:t>proceeds from sale approach.</w:t>
      </w:r>
    </w:p>
    <w:p w:rsidR="006C28D7" w:rsidRDefault="006C28D7" w:rsidP="006C28D7">
      <w:r>
        <w:t>In this context, we are not satisfied that AusNet Services correctly described the 'benefit' to customers arising under its approach. Either approach results in a deduction from the RAB. This reflects the removal of the assets which were previously used to provide services to those customers.</w:t>
      </w:r>
      <w:r>
        <w:rPr>
          <w:rStyle w:val="FootnoteReference"/>
        </w:rPr>
        <w:footnoteReference w:id="45"/>
      </w:r>
      <w:r>
        <w:t xml:space="preserve"> The benefit to customers is properly viewed as the balancing of risk and return described above. </w:t>
      </w:r>
    </w:p>
    <w:p w:rsidR="00CC09D5" w:rsidRDefault="006C28D7" w:rsidP="00D8773B">
      <w:r>
        <w:t xml:space="preserve">To illustrate the operation of the AER's approach, consider </w:t>
      </w:r>
      <w:r w:rsidR="00226F94">
        <w:t xml:space="preserve">the following </w:t>
      </w:r>
      <w:r w:rsidR="006A2B93">
        <w:t xml:space="preserve">simplified </w:t>
      </w:r>
      <w:r w:rsidR="00226F94">
        <w:t>example.</w:t>
      </w:r>
    </w:p>
    <w:p w:rsidR="00944644" w:rsidRDefault="00944644" w:rsidP="0028105B">
      <w:r>
        <w:t xml:space="preserve">Assume that </w:t>
      </w:r>
      <w:r w:rsidR="00C84FE3">
        <w:t>a</w:t>
      </w:r>
      <w:r w:rsidR="005348FC">
        <w:t xml:space="preserve"> </w:t>
      </w:r>
      <w:r w:rsidR="00C84FE3">
        <w:t>n</w:t>
      </w:r>
      <w:r w:rsidR="005348FC">
        <w:t>ew</w:t>
      </w:r>
      <w:r w:rsidR="00C84FE3">
        <w:t xml:space="preserve"> asset with a value of $100</w:t>
      </w:r>
      <w:r w:rsidR="00D8773B" w:rsidRPr="00D8773B">
        <w:t xml:space="preserve"> is included in the RAB </w:t>
      </w:r>
      <w:r w:rsidR="001F58BB">
        <w:t xml:space="preserve">at the </w:t>
      </w:r>
      <w:r w:rsidR="00D57F76">
        <w:t>start</w:t>
      </w:r>
      <w:r w:rsidR="001F58BB">
        <w:t xml:space="preserve"> of</w:t>
      </w:r>
      <w:r w:rsidR="001F58BB" w:rsidRPr="00D8773B">
        <w:t xml:space="preserve"> </w:t>
      </w:r>
      <w:r w:rsidR="00C54806" w:rsidRPr="00D8773B">
        <w:t>year</w:t>
      </w:r>
      <w:r w:rsidR="00C54806">
        <w:t> </w:t>
      </w:r>
      <w:r w:rsidR="00D57F76">
        <w:t>1</w:t>
      </w:r>
      <w:r w:rsidR="00D8773B" w:rsidRPr="00D8773B">
        <w:t xml:space="preserve">. The asset has a standard </w:t>
      </w:r>
      <w:r w:rsidR="00D57F76">
        <w:t>(economic)</w:t>
      </w:r>
      <w:r w:rsidR="00D8773B" w:rsidRPr="00D8773B">
        <w:t xml:space="preserve"> life of </w:t>
      </w:r>
      <w:r w:rsidR="008054CD">
        <w:t>5</w:t>
      </w:r>
      <w:r w:rsidR="00D8773B" w:rsidRPr="00D8773B">
        <w:t xml:space="preserve"> years.</w:t>
      </w:r>
      <w:r w:rsidR="008054CD">
        <w:t xml:space="preserve"> </w:t>
      </w:r>
      <w:r w:rsidR="0045117F">
        <w:t>We a</w:t>
      </w:r>
      <w:r w:rsidR="008054CD">
        <w:t>ssume no further capex is added to the asset</w:t>
      </w:r>
      <w:r w:rsidR="00D57F76">
        <w:t xml:space="preserve"> base</w:t>
      </w:r>
      <w:r w:rsidR="0045117F">
        <w:t xml:space="preserve"> over its economic life</w:t>
      </w:r>
      <w:r w:rsidR="0082759A">
        <w:t>, and present all figures in real terms for simplicity</w:t>
      </w:r>
      <w:r w:rsidR="008054CD">
        <w:t xml:space="preserve">. </w:t>
      </w:r>
      <w:r w:rsidR="00C54806">
        <w:t>The roll forward of the asset base</w:t>
      </w:r>
      <w:r>
        <w:t xml:space="preserve"> </w:t>
      </w:r>
      <w:r w:rsidR="00C54806">
        <w:t xml:space="preserve">each year uses </w:t>
      </w:r>
      <w:r>
        <w:t>the following formula</w:t>
      </w:r>
      <w:r w:rsidR="00C54806">
        <w:t>:</w:t>
      </w:r>
    </w:p>
    <w:p w:rsidR="00944644" w:rsidRPr="00B624B6" w:rsidRDefault="003A2B97" w:rsidP="00944644">
      <m:oMath>
        <m:sSup>
          <m:sSupPr>
            <m:ctrlPr>
              <w:rPr>
                <w:rFonts w:ascii="Cambria Math" w:hAnsi="Cambria Math"/>
              </w:rPr>
            </m:ctrlPr>
          </m:sSupPr>
          <m:e>
            <m:r>
              <w:rPr>
                <w:rFonts w:ascii="Cambria Math" w:hAnsi="Cambria Math"/>
              </w:rPr>
              <m:t>Asset value</m:t>
            </m:r>
          </m:e>
          <m:sup>
            <m:r>
              <w:rPr>
                <w:rFonts w:ascii="Cambria Math" w:hAnsi="Cambria Math"/>
              </w:rPr>
              <m:t>end year</m:t>
            </m:r>
          </m:sup>
        </m:sSup>
        <m:r>
          <w:rPr>
            <w:rFonts w:ascii="Cambria Math" w:hAnsi="Cambria Math"/>
          </w:rPr>
          <m:t>=</m:t>
        </m:r>
        <m:sSup>
          <m:sSupPr>
            <m:ctrlPr>
              <w:rPr>
                <w:rFonts w:ascii="Cambria Math" w:hAnsi="Cambria Math"/>
              </w:rPr>
            </m:ctrlPr>
          </m:sSupPr>
          <m:e>
            <m:r>
              <w:rPr>
                <w:rFonts w:ascii="Cambria Math" w:hAnsi="Cambria Math"/>
              </w:rPr>
              <m:t>Asset value</m:t>
            </m:r>
          </m:e>
          <m:sup>
            <m:r>
              <w:rPr>
                <w:rFonts w:ascii="Cambria Math" w:hAnsi="Cambria Math"/>
              </w:rPr>
              <m:t>start year</m:t>
            </m:r>
          </m:sup>
        </m:sSup>
        <m:r>
          <w:rPr>
            <w:rFonts w:ascii="Cambria Math" w:hAnsi="Cambria Math"/>
          </w:rPr>
          <m:t>-depreciation+capex -disposal value</m:t>
        </m:r>
      </m:oMath>
      <w:r w:rsidR="00944644">
        <w:t xml:space="preserve"> </w:t>
      </w:r>
    </w:p>
    <w:p w:rsidR="00B95814" w:rsidRDefault="00C54806" w:rsidP="0028105B">
      <w:r>
        <w:fldChar w:fldCharType="begin"/>
      </w:r>
      <w:r>
        <w:instrText xml:space="preserve"> REF _Ref445307329 \h </w:instrText>
      </w:r>
      <w:r>
        <w:fldChar w:fldCharType="separate"/>
      </w:r>
      <w:r w:rsidR="00060C68">
        <w:t xml:space="preserve">Table </w:t>
      </w:r>
      <w:r w:rsidR="00060C68">
        <w:rPr>
          <w:noProof/>
        </w:rPr>
        <w:t>2</w:t>
      </w:r>
      <w:r w:rsidR="00060C68">
        <w:t>.</w:t>
      </w:r>
      <w:r w:rsidR="00060C68">
        <w:rPr>
          <w:noProof/>
        </w:rPr>
        <w:t>5</w:t>
      </w:r>
      <w:r>
        <w:fldChar w:fldCharType="end"/>
      </w:r>
      <w:r>
        <w:t xml:space="preserve"> shows </w:t>
      </w:r>
      <w:r w:rsidR="00D8773B" w:rsidRPr="00D8773B">
        <w:t>scenario</w:t>
      </w:r>
      <w:r w:rsidR="00D57F76">
        <w:t xml:space="preserve"> one</w:t>
      </w:r>
      <w:r w:rsidR="00D8773B" w:rsidRPr="00D8773B">
        <w:t xml:space="preserve">, </w:t>
      </w:r>
      <w:r w:rsidR="00944644">
        <w:t xml:space="preserve">where </w:t>
      </w:r>
      <w:r w:rsidR="00D8773B" w:rsidRPr="00D8773B">
        <w:t>no asset disposal occur</w:t>
      </w:r>
      <w:r w:rsidR="00CE7F24">
        <w:t>s</w:t>
      </w:r>
      <w:r w:rsidR="00D8773B" w:rsidRPr="00D8773B">
        <w:t xml:space="preserve"> over the economic life of the asset.</w:t>
      </w:r>
      <w:r w:rsidR="008054CD">
        <w:t xml:space="preserve"> </w:t>
      </w:r>
    </w:p>
    <w:p w:rsidR="00B624B6" w:rsidRPr="00B624B6" w:rsidRDefault="00B624B6">
      <w:pPr>
        <w:pStyle w:val="Caption"/>
      </w:pPr>
      <w:bookmarkStart w:id="82" w:name="_Ref445307329"/>
      <w:bookmarkStart w:id="83" w:name="_Ref444771449"/>
      <w:r>
        <w:lastRenderedPageBreak/>
        <w:t xml:space="preserve">Table </w:t>
      </w:r>
      <w:r w:rsidR="003A2B97">
        <w:fldChar w:fldCharType="begin"/>
      </w:r>
      <w:r w:rsidR="003A2B97">
        <w:instrText xml:space="preserve"> STYLEREF 1 \s </w:instrText>
      </w:r>
      <w:r w:rsidR="003A2B97">
        <w:fldChar w:fldCharType="separate"/>
      </w:r>
      <w:r w:rsidR="00060C68">
        <w:rPr>
          <w:noProof/>
        </w:rPr>
        <w:t>2</w:t>
      </w:r>
      <w:r w:rsidR="003A2B97">
        <w:rPr>
          <w:noProof/>
        </w:rPr>
        <w:fldChar w:fldCharType="end"/>
      </w:r>
      <w:r w:rsidR="00060C68">
        <w:t>.</w:t>
      </w:r>
      <w:fldSimple w:instr=" SEQ Table \* ARABIC \s 1 ">
        <w:r w:rsidR="00060C68">
          <w:rPr>
            <w:noProof/>
          </w:rPr>
          <w:t>5</w:t>
        </w:r>
      </w:fldSimple>
      <w:bookmarkEnd w:id="82"/>
      <w:r>
        <w:tab/>
      </w:r>
      <w:r w:rsidRPr="00B624B6">
        <w:t xml:space="preserve">Scenario 1: No asset disposal </w:t>
      </w:r>
      <w:r w:rsidR="00E33027">
        <w:t>($ real)</w:t>
      </w:r>
      <w:bookmarkEnd w:id="83"/>
    </w:p>
    <w:tbl>
      <w:tblPr>
        <w:tblStyle w:val="AERtable-numbers"/>
        <w:tblW w:w="8472" w:type="dxa"/>
        <w:tblLayout w:type="fixed"/>
        <w:tblLook w:val="04A0" w:firstRow="1" w:lastRow="0" w:firstColumn="1" w:lastColumn="0" w:noHBand="0" w:noVBand="1"/>
      </w:tblPr>
      <w:tblGrid>
        <w:gridCol w:w="2802"/>
        <w:gridCol w:w="945"/>
        <w:gridCol w:w="945"/>
        <w:gridCol w:w="945"/>
        <w:gridCol w:w="945"/>
        <w:gridCol w:w="945"/>
        <w:gridCol w:w="945"/>
      </w:tblGrid>
      <w:tr w:rsidR="00D57F76" w:rsidRPr="008054CD" w:rsidTr="00D57F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D57F76" w:rsidRPr="008054CD" w:rsidRDefault="00D57F76" w:rsidP="008054CD">
            <w:r>
              <w:t>Year</w:t>
            </w:r>
          </w:p>
        </w:tc>
        <w:tc>
          <w:tcPr>
            <w:tcW w:w="945" w:type="dxa"/>
            <w:noWrap/>
            <w:hideMark/>
          </w:tcPr>
          <w:p w:rsidR="00D57F76" w:rsidRPr="008054CD" w:rsidRDefault="00D57F76" w:rsidP="0028105B">
            <w:pPr>
              <w:cnfStyle w:val="100000000000" w:firstRow="1" w:lastRow="0" w:firstColumn="0" w:lastColumn="0" w:oddVBand="0" w:evenVBand="0" w:oddHBand="0" w:evenHBand="0" w:firstRowFirstColumn="0" w:firstRowLastColumn="0" w:lastRowFirstColumn="0" w:lastRowLastColumn="0"/>
            </w:pPr>
            <w:r>
              <w:t>1</w:t>
            </w:r>
          </w:p>
        </w:tc>
        <w:tc>
          <w:tcPr>
            <w:tcW w:w="945" w:type="dxa"/>
            <w:noWrap/>
            <w:hideMark/>
          </w:tcPr>
          <w:p w:rsidR="00D57F76" w:rsidRPr="008054CD" w:rsidRDefault="00D57F76" w:rsidP="0028105B">
            <w:pPr>
              <w:cnfStyle w:val="100000000000" w:firstRow="1" w:lastRow="0" w:firstColumn="0" w:lastColumn="0" w:oddVBand="0" w:evenVBand="0" w:oddHBand="0" w:evenHBand="0" w:firstRowFirstColumn="0" w:firstRowLastColumn="0" w:lastRowFirstColumn="0" w:lastRowLastColumn="0"/>
            </w:pPr>
            <w:r>
              <w:t>2</w:t>
            </w:r>
          </w:p>
        </w:tc>
        <w:tc>
          <w:tcPr>
            <w:tcW w:w="945" w:type="dxa"/>
            <w:noWrap/>
            <w:hideMark/>
          </w:tcPr>
          <w:p w:rsidR="00D57F76" w:rsidRPr="008054CD" w:rsidRDefault="00D57F76" w:rsidP="0028105B">
            <w:pPr>
              <w:cnfStyle w:val="100000000000" w:firstRow="1" w:lastRow="0" w:firstColumn="0" w:lastColumn="0" w:oddVBand="0" w:evenVBand="0" w:oddHBand="0" w:evenHBand="0" w:firstRowFirstColumn="0" w:firstRowLastColumn="0" w:lastRowFirstColumn="0" w:lastRowLastColumn="0"/>
            </w:pPr>
            <w:r>
              <w:t>3</w:t>
            </w:r>
          </w:p>
        </w:tc>
        <w:tc>
          <w:tcPr>
            <w:tcW w:w="945" w:type="dxa"/>
            <w:noWrap/>
            <w:hideMark/>
          </w:tcPr>
          <w:p w:rsidR="00D57F76" w:rsidRPr="008054CD" w:rsidRDefault="00D57F76" w:rsidP="0028105B">
            <w:pPr>
              <w:cnfStyle w:val="100000000000" w:firstRow="1" w:lastRow="0" w:firstColumn="0" w:lastColumn="0" w:oddVBand="0" w:evenVBand="0" w:oddHBand="0" w:evenHBand="0" w:firstRowFirstColumn="0" w:firstRowLastColumn="0" w:lastRowFirstColumn="0" w:lastRowLastColumn="0"/>
            </w:pPr>
            <w:r>
              <w:t>4</w:t>
            </w:r>
          </w:p>
        </w:tc>
        <w:tc>
          <w:tcPr>
            <w:tcW w:w="945" w:type="dxa"/>
            <w:noWrap/>
            <w:hideMark/>
          </w:tcPr>
          <w:p w:rsidR="00D57F76" w:rsidRPr="008054CD" w:rsidRDefault="00D57F76" w:rsidP="0028105B">
            <w:pPr>
              <w:cnfStyle w:val="100000000000" w:firstRow="1" w:lastRow="0" w:firstColumn="0" w:lastColumn="0" w:oddVBand="0" w:evenVBand="0" w:oddHBand="0" w:evenHBand="0" w:firstRowFirstColumn="0" w:firstRowLastColumn="0" w:lastRowFirstColumn="0" w:lastRowLastColumn="0"/>
            </w:pPr>
            <w:r>
              <w:t>5</w:t>
            </w:r>
          </w:p>
        </w:tc>
        <w:tc>
          <w:tcPr>
            <w:tcW w:w="945" w:type="dxa"/>
          </w:tcPr>
          <w:p w:rsidR="00D57F76" w:rsidRPr="008054CD" w:rsidDel="0082759A" w:rsidRDefault="00D57F76" w:rsidP="0028105B">
            <w:pPr>
              <w:cnfStyle w:val="100000000000" w:firstRow="1" w:lastRow="0" w:firstColumn="0" w:lastColumn="0" w:oddVBand="0" w:evenVBand="0" w:oddHBand="0" w:evenHBand="0" w:firstRowFirstColumn="0" w:firstRowLastColumn="0" w:lastRowFirstColumn="0" w:lastRowLastColumn="0"/>
            </w:pPr>
            <w:r>
              <w:t>Total</w:t>
            </w:r>
          </w:p>
        </w:tc>
      </w:tr>
      <w:tr w:rsidR="00D57F76" w:rsidRPr="008054CD" w:rsidTr="00D57F76">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D57F76" w:rsidRPr="008054CD" w:rsidRDefault="00D57F76" w:rsidP="0028105B">
            <w:r>
              <w:t xml:space="preserve">Asset value </w:t>
            </w:r>
            <w:r w:rsidRPr="009702F6">
              <w:t>(start of year)</w:t>
            </w:r>
          </w:p>
        </w:tc>
        <w:tc>
          <w:tcPr>
            <w:tcW w:w="945" w:type="dxa"/>
            <w:noWrap/>
            <w:hideMark/>
          </w:tcPr>
          <w:p w:rsidR="00D57F76" w:rsidRPr="008054CD" w:rsidRDefault="00D57F76" w:rsidP="008054CD">
            <w:pPr>
              <w:cnfStyle w:val="000000000000" w:firstRow="0" w:lastRow="0" w:firstColumn="0" w:lastColumn="0" w:oddVBand="0" w:evenVBand="0" w:oddHBand="0" w:evenHBand="0" w:firstRowFirstColumn="0" w:firstRowLastColumn="0" w:lastRowFirstColumn="0" w:lastRowLastColumn="0"/>
            </w:pPr>
            <w:r w:rsidRPr="008054CD">
              <w:t>100</w:t>
            </w:r>
          </w:p>
        </w:tc>
        <w:tc>
          <w:tcPr>
            <w:tcW w:w="945" w:type="dxa"/>
            <w:noWrap/>
            <w:hideMark/>
          </w:tcPr>
          <w:p w:rsidR="00D57F76" w:rsidRPr="008054CD" w:rsidRDefault="00D57F76" w:rsidP="008054CD">
            <w:pPr>
              <w:cnfStyle w:val="000000000000" w:firstRow="0" w:lastRow="0" w:firstColumn="0" w:lastColumn="0" w:oddVBand="0" w:evenVBand="0" w:oddHBand="0" w:evenHBand="0" w:firstRowFirstColumn="0" w:firstRowLastColumn="0" w:lastRowFirstColumn="0" w:lastRowLastColumn="0"/>
            </w:pPr>
            <w:r w:rsidRPr="008054CD">
              <w:t>80</w:t>
            </w:r>
          </w:p>
        </w:tc>
        <w:tc>
          <w:tcPr>
            <w:tcW w:w="945" w:type="dxa"/>
            <w:noWrap/>
            <w:hideMark/>
          </w:tcPr>
          <w:p w:rsidR="00D57F76" w:rsidRPr="008054CD" w:rsidRDefault="00D57F76" w:rsidP="008054CD">
            <w:pPr>
              <w:cnfStyle w:val="000000000000" w:firstRow="0" w:lastRow="0" w:firstColumn="0" w:lastColumn="0" w:oddVBand="0" w:evenVBand="0" w:oddHBand="0" w:evenHBand="0" w:firstRowFirstColumn="0" w:firstRowLastColumn="0" w:lastRowFirstColumn="0" w:lastRowLastColumn="0"/>
            </w:pPr>
            <w:r w:rsidRPr="008054CD">
              <w:t>60</w:t>
            </w:r>
          </w:p>
        </w:tc>
        <w:tc>
          <w:tcPr>
            <w:tcW w:w="945" w:type="dxa"/>
            <w:noWrap/>
            <w:hideMark/>
          </w:tcPr>
          <w:p w:rsidR="00D57F76" w:rsidRPr="008054CD" w:rsidRDefault="00D57F76" w:rsidP="008054CD">
            <w:pPr>
              <w:cnfStyle w:val="000000000000" w:firstRow="0" w:lastRow="0" w:firstColumn="0" w:lastColumn="0" w:oddVBand="0" w:evenVBand="0" w:oddHBand="0" w:evenHBand="0" w:firstRowFirstColumn="0" w:firstRowLastColumn="0" w:lastRowFirstColumn="0" w:lastRowLastColumn="0"/>
            </w:pPr>
            <w:r w:rsidRPr="008054CD">
              <w:t>40</w:t>
            </w:r>
          </w:p>
        </w:tc>
        <w:tc>
          <w:tcPr>
            <w:tcW w:w="945" w:type="dxa"/>
            <w:noWrap/>
            <w:hideMark/>
          </w:tcPr>
          <w:p w:rsidR="00D57F76" w:rsidRPr="008054CD" w:rsidRDefault="00D57F76" w:rsidP="008054CD">
            <w:pPr>
              <w:cnfStyle w:val="000000000000" w:firstRow="0" w:lastRow="0" w:firstColumn="0" w:lastColumn="0" w:oddVBand="0" w:evenVBand="0" w:oddHBand="0" w:evenHBand="0" w:firstRowFirstColumn="0" w:firstRowLastColumn="0" w:lastRowFirstColumn="0" w:lastRowLastColumn="0"/>
            </w:pPr>
            <w:r w:rsidRPr="008054CD">
              <w:t>20</w:t>
            </w:r>
          </w:p>
        </w:tc>
        <w:tc>
          <w:tcPr>
            <w:tcW w:w="945" w:type="dxa"/>
          </w:tcPr>
          <w:p w:rsidR="00D57F76" w:rsidRPr="008054CD" w:rsidRDefault="00A36516" w:rsidP="008054CD">
            <w:pPr>
              <w:cnfStyle w:val="000000000000" w:firstRow="0" w:lastRow="0" w:firstColumn="0" w:lastColumn="0" w:oddVBand="0" w:evenVBand="0" w:oddHBand="0" w:evenHBand="0" w:firstRowFirstColumn="0" w:firstRowLastColumn="0" w:lastRowFirstColumn="0" w:lastRowLastColumn="0"/>
            </w:pPr>
            <w:r>
              <w:t>n/a</w:t>
            </w:r>
          </w:p>
        </w:tc>
      </w:tr>
      <w:tr w:rsidR="00D57F76" w:rsidRPr="008054CD" w:rsidTr="00D57F7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D57F76" w:rsidRPr="008054CD" w:rsidRDefault="00D57F76" w:rsidP="008054CD">
            <w:r>
              <w:t xml:space="preserve">– </w:t>
            </w:r>
            <w:r w:rsidRPr="008054CD">
              <w:t>Depreciation</w:t>
            </w:r>
          </w:p>
        </w:tc>
        <w:tc>
          <w:tcPr>
            <w:tcW w:w="945" w:type="dxa"/>
            <w:noWrap/>
            <w:hideMark/>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rsidRPr="008054CD">
              <w:t>20</w:t>
            </w:r>
          </w:p>
        </w:tc>
        <w:tc>
          <w:tcPr>
            <w:tcW w:w="945" w:type="dxa"/>
            <w:noWrap/>
            <w:hideMark/>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rsidRPr="008054CD">
              <w:t>20</w:t>
            </w:r>
          </w:p>
        </w:tc>
        <w:tc>
          <w:tcPr>
            <w:tcW w:w="945" w:type="dxa"/>
            <w:noWrap/>
            <w:hideMark/>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rsidRPr="008054CD">
              <w:t>20</w:t>
            </w:r>
          </w:p>
        </w:tc>
        <w:tc>
          <w:tcPr>
            <w:tcW w:w="945" w:type="dxa"/>
            <w:noWrap/>
            <w:hideMark/>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rsidRPr="008054CD">
              <w:t>20</w:t>
            </w:r>
          </w:p>
        </w:tc>
        <w:tc>
          <w:tcPr>
            <w:tcW w:w="945" w:type="dxa"/>
            <w:noWrap/>
            <w:hideMark/>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rsidRPr="008054CD">
              <w:t>20</w:t>
            </w:r>
          </w:p>
        </w:tc>
        <w:tc>
          <w:tcPr>
            <w:tcW w:w="945" w:type="dxa"/>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t>100</w:t>
            </w:r>
          </w:p>
        </w:tc>
      </w:tr>
      <w:tr w:rsidR="00D57F76" w:rsidRPr="008054CD" w:rsidTr="00D57F76">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D57F76" w:rsidRPr="008054CD" w:rsidRDefault="00D57F76" w:rsidP="001F58BB">
            <w:r>
              <w:t xml:space="preserve">+ </w:t>
            </w:r>
            <w:r w:rsidRPr="008054CD">
              <w:t>Capex</w:t>
            </w:r>
          </w:p>
        </w:tc>
        <w:tc>
          <w:tcPr>
            <w:tcW w:w="945" w:type="dxa"/>
            <w:noWrap/>
            <w:hideMark/>
          </w:tcPr>
          <w:p w:rsidR="00D57F76" w:rsidRPr="008054CD" w:rsidRDefault="00D57F76" w:rsidP="001F58BB">
            <w:pPr>
              <w:cnfStyle w:val="000000000000" w:firstRow="0" w:lastRow="0" w:firstColumn="0" w:lastColumn="0" w:oddVBand="0" w:evenVBand="0" w:oddHBand="0" w:evenHBand="0" w:firstRowFirstColumn="0" w:firstRowLastColumn="0" w:lastRowFirstColumn="0" w:lastRowLastColumn="0"/>
            </w:pPr>
            <w:r w:rsidRPr="008054CD">
              <w:t>0</w:t>
            </w:r>
          </w:p>
        </w:tc>
        <w:tc>
          <w:tcPr>
            <w:tcW w:w="945" w:type="dxa"/>
            <w:noWrap/>
            <w:hideMark/>
          </w:tcPr>
          <w:p w:rsidR="00D57F76" w:rsidRPr="008054CD" w:rsidRDefault="00D57F76" w:rsidP="001F58BB">
            <w:pPr>
              <w:cnfStyle w:val="000000000000" w:firstRow="0" w:lastRow="0" w:firstColumn="0" w:lastColumn="0" w:oddVBand="0" w:evenVBand="0" w:oddHBand="0" w:evenHBand="0" w:firstRowFirstColumn="0" w:firstRowLastColumn="0" w:lastRowFirstColumn="0" w:lastRowLastColumn="0"/>
            </w:pPr>
            <w:r w:rsidRPr="008054CD">
              <w:t>0</w:t>
            </w:r>
          </w:p>
        </w:tc>
        <w:tc>
          <w:tcPr>
            <w:tcW w:w="945" w:type="dxa"/>
            <w:noWrap/>
            <w:hideMark/>
          </w:tcPr>
          <w:p w:rsidR="00D57F76" w:rsidRPr="008054CD" w:rsidRDefault="00D57F76" w:rsidP="001F58BB">
            <w:pPr>
              <w:cnfStyle w:val="000000000000" w:firstRow="0" w:lastRow="0" w:firstColumn="0" w:lastColumn="0" w:oddVBand="0" w:evenVBand="0" w:oddHBand="0" w:evenHBand="0" w:firstRowFirstColumn="0" w:firstRowLastColumn="0" w:lastRowFirstColumn="0" w:lastRowLastColumn="0"/>
            </w:pPr>
            <w:r w:rsidRPr="008054CD">
              <w:t>0</w:t>
            </w:r>
          </w:p>
        </w:tc>
        <w:tc>
          <w:tcPr>
            <w:tcW w:w="945" w:type="dxa"/>
            <w:noWrap/>
            <w:hideMark/>
          </w:tcPr>
          <w:p w:rsidR="00D57F76" w:rsidRPr="008054CD" w:rsidRDefault="00D57F76" w:rsidP="001F58BB">
            <w:pPr>
              <w:cnfStyle w:val="000000000000" w:firstRow="0" w:lastRow="0" w:firstColumn="0" w:lastColumn="0" w:oddVBand="0" w:evenVBand="0" w:oddHBand="0" w:evenHBand="0" w:firstRowFirstColumn="0" w:firstRowLastColumn="0" w:lastRowFirstColumn="0" w:lastRowLastColumn="0"/>
            </w:pPr>
            <w:r w:rsidRPr="008054CD">
              <w:t>0</w:t>
            </w:r>
          </w:p>
        </w:tc>
        <w:tc>
          <w:tcPr>
            <w:tcW w:w="945" w:type="dxa"/>
            <w:noWrap/>
            <w:hideMark/>
          </w:tcPr>
          <w:p w:rsidR="00D57F76" w:rsidRPr="008054CD" w:rsidRDefault="00D57F76" w:rsidP="001F58BB">
            <w:pPr>
              <w:cnfStyle w:val="000000000000" w:firstRow="0" w:lastRow="0" w:firstColumn="0" w:lastColumn="0" w:oddVBand="0" w:evenVBand="0" w:oddHBand="0" w:evenHBand="0" w:firstRowFirstColumn="0" w:firstRowLastColumn="0" w:lastRowFirstColumn="0" w:lastRowLastColumn="0"/>
            </w:pPr>
            <w:r w:rsidRPr="008054CD">
              <w:t>0</w:t>
            </w:r>
          </w:p>
        </w:tc>
        <w:tc>
          <w:tcPr>
            <w:tcW w:w="945" w:type="dxa"/>
          </w:tcPr>
          <w:p w:rsidR="00D57F76" w:rsidRPr="008054CD" w:rsidRDefault="00A36516" w:rsidP="001F58BB">
            <w:pPr>
              <w:cnfStyle w:val="000000000000" w:firstRow="0" w:lastRow="0" w:firstColumn="0" w:lastColumn="0" w:oddVBand="0" w:evenVBand="0" w:oddHBand="0" w:evenHBand="0" w:firstRowFirstColumn="0" w:firstRowLastColumn="0" w:lastRowFirstColumn="0" w:lastRowLastColumn="0"/>
            </w:pPr>
            <w:r>
              <w:t>0</w:t>
            </w:r>
          </w:p>
        </w:tc>
      </w:tr>
      <w:tr w:rsidR="00D57F76" w:rsidRPr="008054CD" w:rsidTr="00D57F7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D57F76" w:rsidRPr="008054CD" w:rsidRDefault="00D57F76" w:rsidP="0028105B">
            <w:r>
              <w:t>– D</w:t>
            </w:r>
            <w:r w:rsidRPr="008054CD">
              <w:t xml:space="preserve">isposal </w:t>
            </w:r>
            <w:r>
              <w:t>value</w:t>
            </w:r>
          </w:p>
        </w:tc>
        <w:tc>
          <w:tcPr>
            <w:tcW w:w="945" w:type="dxa"/>
            <w:noWrap/>
            <w:hideMark/>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rsidRPr="008054CD">
              <w:t>0</w:t>
            </w:r>
          </w:p>
        </w:tc>
        <w:tc>
          <w:tcPr>
            <w:tcW w:w="945" w:type="dxa"/>
            <w:noWrap/>
            <w:hideMark/>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rsidRPr="008054CD">
              <w:t>0</w:t>
            </w:r>
          </w:p>
        </w:tc>
        <w:tc>
          <w:tcPr>
            <w:tcW w:w="945" w:type="dxa"/>
            <w:noWrap/>
            <w:hideMark/>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rsidRPr="008054CD">
              <w:t>0</w:t>
            </w:r>
          </w:p>
        </w:tc>
        <w:tc>
          <w:tcPr>
            <w:tcW w:w="945" w:type="dxa"/>
            <w:noWrap/>
            <w:hideMark/>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rsidRPr="008054CD">
              <w:t>0</w:t>
            </w:r>
          </w:p>
        </w:tc>
        <w:tc>
          <w:tcPr>
            <w:tcW w:w="945" w:type="dxa"/>
            <w:noWrap/>
            <w:hideMark/>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rsidRPr="008054CD">
              <w:t>0</w:t>
            </w:r>
          </w:p>
        </w:tc>
        <w:tc>
          <w:tcPr>
            <w:tcW w:w="945" w:type="dxa"/>
          </w:tcPr>
          <w:p w:rsidR="00D57F76" w:rsidRPr="008054CD" w:rsidRDefault="00A36516" w:rsidP="008054CD">
            <w:pPr>
              <w:cnfStyle w:val="000000010000" w:firstRow="0" w:lastRow="0" w:firstColumn="0" w:lastColumn="0" w:oddVBand="0" w:evenVBand="0" w:oddHBand="0" w:evenHBand="1" w:firstRowFirstColumn="0" w:firstRowLastColumn="0" w:lastRowFirstColumn="0" w:lastRowLastColumn="0"/>
            </w:pPr>
            <w:r>
              <w:t>0</w:t>
            </w:r>
          </w:p>
        </w:tc>
      </w:tr>
      <w:tr w:rsidR="00D57F76" w:rsidRPr="008054CD" w:rsidTr="00D57F76">
        <w:trPr>
          <w:trHeight w:val="315"/>
        </w:trPr>
        <w:tc>
          <w:tcPr>
            <w:cnfStyle w:val="001000000000" w:firstRow="0" w:lastRow="0" w:firstColumn="1" w:lastColumn="0" w:oddVBand="0" w:evenVBand="0" w:oddHBand="0" w:evenHBand="0" w:firstRowFirstColumn="0" w:firstRowLastColumn="0" w:lastRowFirstColumn="0" w:lastRowLastColumn="0"/>
            <w:tcW w:w="2802" w:type="dxa"/>
            <w:noWrap/>
            <w:hideMark/>
          </w:tcPr>
          <w:p w:rsidR="00D57F76" w:rsidRPr="008054CD" w:rsidRDefault="00D57F76" w:rsidP="0028105B">
            <w:r>
              <w:t xml:space="preserve">= </w:t>
            </w:r>
            <w:r w:rsidRPr="009702F6">
              <w:t>Asset value (end of year)</w:t>
            </w:r>
          </w:p>
        </w:tc>
        <w:tc>
          <w:tcPr>
            <w:tcW w:w="945" w:type="dxa"/>
            <w:noWrap/>
            <w:hideMark/>
          </w:tcPr>
          <w:p w:rsidR="00D57F76" w:rsidRPr="008054CD" w:rsidRDefault="00D57F76" w:rsidP="008054CD">
            <w:pPr>
              <w:cnfStyle w:val="000000000000" w:firstRow="0" w:lastRow="0" w:firstColumn="0" w:lastColumn="0" w:oddVBand="0" w:evenVBand="0" w:oddHBand="0" w:evenHBand="0" w:firstRowFirstColumn="0" w:firstRowLastColumn="0" w:lastRowFirstColumn="0" w:lastRowLastColumn="0"/>
            </w:pPr>
            <w:r w:rsidRPr="008054CD">
              <w:t>80</w:t>
            </w:r>
          </w:p>
        </w:tc>
        <w:tc>
          <w:tcPr>
            <w:tcW w:w="945" w:type="dxa"/>
            <w:noWrap/>
            <w:hideMark/>
          </w:tcPr>
          <w:p w:rsidR="00D57F76" w:rsidRPr="008054CD" w:rsidRDefault="00D57F76" w:rsidP="008054CD">
            <w:pPr>
              <w:cnfStyle w:val="000000000000" w:firstRow="0" w:lastRow="0" w:firstColumn="0" w:lastColumn="0" w:oddVBand="0" w:evenVBand="0" w:oddHBand="0" w:evenHBand="0" w:firstRowFirstColumn="0" w:firstRowLastColumn="0" w:lastRowFirstColumn="0" w:lastRowLastColumn="0"/>
            </w:pPr>
            <w:r w:rsidRPr="008054CD">
              <w:t>60</w:t>
            </w:r>
          </w:p>
        </w:tc>
        <w:tc>
          <w:tcPr>
            <w:tcW w:w="945" w:type="dxa"/>
            <w:noWrap/>
            <w:hideMark/>
          </w:tcPr>
          <w:p w:rsidR="00D57F76" w:rsidRPr="008054CD" w:rsidRDefault="00D57F76" w:rsidP="008054CD">
            <w:pPr>
              <w:cnfStyle w:val="000000000000" w:firstRow="0" w:lastRow="0" w:firstColumn="0" w:lastColumn="0" w:oddVBand="0" w:evenVBand="0" w:oddHBand="0" w:evenHBand="0" w:firstRowFirstColumn="0" w:firstRowLastColumn="0" w:lastRowFirstColumn="0" w:lastRowLastColumn="0"/>
            </w:pPr>
            <w:r w:rsidRPr="008054CD">
              <w:t>40</w:t>
            </w:r>
          </w:p>
        </w:tc>
        <w:tc>
          <w:tcPr>
            <w:tcW w:w="945" w:type="dxa"/>
            <w:noWrap/>
            <w:hideMark/>
          </w:tcPr>
          <w:p w:rsidR="00D57F76" w:rsidRPr="008054CD" w:rsidRDefault="00D57F76" w:rsidP="008054CD">
            <w:pPr>
              <w:cnfStyle w:val="000000000000" w:firstRow="0" w:lastRow="0" w:firstColumn="0" w:lastColumn="0" w:oddVBand="0" w:evenVBand="0" w:oddHBand="0" w:evenHBand="0" w:firstRowFirstColumn="0" w:firstRowLastColumn="0" w:lastRowFirstColumn="0" w:lastRowLastColumn="0"/>
            </w:pPr>
            <w:r w:rsidRPr="008054CD">
              <w:t>20</w:t>
            </w:r>
          </w:p>
        </w:tc>
        <w:tc>
          <w:tcPr>
            <w:tcW w:w="945" w:type="dxa"/>
            <w:noWrap/>
            <w:hideMark/>
          </w:tcPr>
          <w:p w:rsidR="00D57F76" w:rsidRPr="008054CD" w:rsidRDefault="00D57F76" w:rsidP="008054CD">
            <w:pPr>
              <w:cnfStyle w:val="000000000000" w:firstRow="0" w:lastRow="0" w:firstColumn="0" w:lastColumn="0" w:oddVBand="0" w:evenVBand="0" w:oddHBand="0" w:evenHBand="0" w:firstRowFirstColumn="0" w:firstRowLastColumn="0" w:lastRowFirstColumn="0" w:lastRowLastColumn="0"/>
            </w:pPr>
            <w:r w:rsidRPr="008054CD">
              <w:t>0</w:t>
            </w:r>
          </w:p>
        </w:tc>
        <w:tc>
          <w:tcPr>
            <w:tcW w:w="945" w:type="dxa"/>
          </w:tcPr>
          <w:p w:rsidR="00D57F76" w:rsidRPr="008054CD" w:rsidRDefault="00A36516" w:rsidP="008054CD">
            <w:pPr>
              <w:cnfStyle w:val="000000000000" w:firstRow="0" w:lastRow="0" w:firstColumn="0" w:lastColumn="0" w:oddVBand="0" w:evenVBand="0" w:oddHBand="0" w:evenHBand="0" w:firstRowFirstColumn="0" w:firstRowLastColumn="0" w:lastRowFirstColumn="0" w:lastRowLastColumn="0"/>
            </w:pPr>
            <w:r>
              <w:t>n/a</w:t>
            </w:r>
          </w:p>
        </w:tc>
      </w:tr>
      <w:tr w:rsidR="00D57F76" w:rsidRPr="008054CD" w:rsidTr="00D57F7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02" w:type="dxa"/>
            <w:noWrap/>
          </w:tcPr>
          <w:p w:rsidR="00D57F76" w:rsidRDefault="00A36516">
            <w:r>
              <w:t>Service provider</w:t>
            </w:r>
            <w:r w:rsidR="00D57F76">
              <w:t xml:space="preserve"> cash flow</w:t>
            </w:r>
          </w:p>
        </w:tc>
        <w:tc>
          <w:tcPr>
            <w:tcW w:w="945" w:type="dxa"/>
            <w:noWrap/>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t>20</w:t>
            </w:r>
          </w:p>
        </w:tc>
        <w:tc>
          <w:tcPr>
            <w:tcW w:w="945" w:type="dxa"/>
            <w:noWrap/>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t>20</w:t>
            </w:r>
          </w:p>
        </w:tc>
        <w:tc>
          <w:tcPr>
            <w:tcW w:w="945" w:type="dxa"/>
            <w:noWrap/>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t>20</w:t>
            </w:r>
          </w:p>
        </w:tc>
        <w:tc>
          <w:tcPr>
            <w:tcW w:w="945" w:type="dxa"/>
            <w:noWrap/>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t>20</w:t>
            </w:r>
          </w:p>
        </w:tc>
        <w:tc>
          <w:tcPr>
            <w:tcW w:w="945" w:type="dxa"/>
            <w:noWrap/>
          </w:tcPr>
          <w:p w:rsidR="00D57F76" w:rsidRPr="008054CD" w:rsidRDefault="00D57F76" w:rsidP="008054CD">
            <w:pPr>
              <w:cnfStyle w:val="000000010000" w:firstRow="0" w:lastRow="0" w:firstColumn="0" w:lastColumn="0" w:oddVBand="0" w:evenVBand="0" w:oddHBand="0" w:evenHBand="1" w:firstRowFirstColumn="0" w:firstRowLastColumn="0" w:lastRowFirstColumn="0" w:lastRowLastColumn="0"/>
            </w:pPr>
            <w:r>
              <w:t>20</w:t>
            </w:r>
          </w:p>
        </w:tc>
        <w:tc>
          <w:tcPr>
            <w:tcW w:w="945" w:type="dxa"/>
          </w:tcPr>
          <w:p w:rsidR="00D57F76" w:rsidRPr="008054CD" w:rsidRDefault="00A36516" w:rsidP="008054CD">
            <w:pPr>
              <w:cnfStyle w:val="000000010000" w:firstRow="0" w:lastRow="0" w:firstColumn="0" w:lastColumn="0" w:oddVBand="0" w:evenVBand="0" w:oddHBand="0" w:evenHBand="1" w:firstRowFirstColumn="0" w:firstRowLastColumn="0" w:lastRowFirstColumn="0" w:lastRowLastColumn="0"/>
            </w:pPr>
            <w:r>
              <w:t>10</w:t>
            </w:r>
            <w:r w:rsidR="00D57F76">
              <w:t>0</w:t>
            </w:r>
          </w:p>
        </w:tc>
      </w:tr>
    </w:tbl>
    <w:p w:rsidR="00CC09D5" w:rsidRDefault="00944644" w:rsidP="00944644">
      <w:r w:rsidRPr="00D8773B">
        <w:t>Under the straight-line depreciation approach</w:t>
      </w:r>
      <w:r>
        <w:t xml:space="preserve">, </w:t>
      </w:r>
      <w:r w:rsidRPr="00D8773B">
        <w:t>the depreciation schedule</w:t>
      </w:r>
      <w:r w:rsidR="00C54806">
        <w:t xml:space="preserve"> (</w:t>
      </w:r>
      <w:r>
        <w:t xml:space="preserve">reflected in </w:t>
      </w:r>
      <w:r w:rsidRPr="00D8773B">
        <w:t>r</w:t>
      </w:r>
      <w:r>
        <w:t>o</w:t>
      </w:r>
      <w:r w:rsidRPr="00D8773B">
        <w:t xml:space="preserve">w </w:t>
      </w:r>
      <w:r w:rsidR="00C92F0C">
        <w:t>three</w:t>
      </w:r>
      <w:r>
        <w:t xml:space="preserve"> of</w:t>
      </w:r>
      <w:r w:rsidR="00CC09D5">
        <w:t xml:space="preserve"> </w:t>
      </w:r>
      <w:r w:rsidR="005A3158">
        <w:fldChar w:fldCharType="begin"/>
      </w:r>
      <w:r w:rsidR="005A3158">
        <w:instrText xml:space="preserve"> REF  _Ref445307329 \* Lower \h </w:instrText>
      </w:r>
      <w:r w:rsidR="005A3158">
        <w:fldChar w:fldCharType="separate"/>
      </w:r>
      <w:r w:rsidR="00060C68">
        <w:t xml:space="preserve">table </w:t>
      </w:r>
      <w:r w:rsidR="00060C68">
        <w:rPr>
          <w:noProof/>
        </w:rPr>
        <w:t>2</w:t>
      </w:r>
      <w:r w:rsidR="00060C68">
        <w:t>.</w:t>
      </w:r>
      <w:r w:rsidR="00060C68">
        <w:rPr>
          <w:noProof/>
        </w:rPr>
        <w:t>5</w:t>
      </w:r>
      <w:r w:rsidR="005A3158">
        <w:fldChar w:fldCharType="end"/>
      </w:r>
      <w:r w:rsidR="00C54806">
        <w:t>)</w:t>
      </w:r>
      <w:r w:rsidRPr="00D8773B">
        <w:t xml:space="preserve"> is $</w:t>
      </w:r>
      <w:r>
        <w:t>20</w:t>
      </w:r>
      <w:r w:rsidRPr="00D8773B">
        <w:t xml:space="preserve"> </w:t>
      </w:r>
      <w:r>
        <w:t>a year over</w:t>
      </w:r>
      <w:r w:rsidRPr="00D8773B">
        <w:t xml:space="preserve"> </w:t>
      </w:r>
      <w:r>
        <w:t xml:space="preserve">the </w:t>
      </w:r>
      <w:r w:rsidR="00C54806">
        <w:t xml:space="preserve">five year </w:t>
      </w:r>
      <w:r>
        <w:t>economic life of the asset</w:t>
      </w:r>
      <w:r w:rsidRPr="00D8773B">
        <w:t xml:space="preserve">. </w:t>
      </w:r>
      <w:r>
        <w:t>T</w:t>
      </w:r>
      <w:r w:rsidRPr="00D8773B">
        <w:t xml:space="preserve">he </w:t>
      </w:r>
      <w:r w:rsidR="00D57F76">
        <w:t xml:space="preserve">remaining </w:t>
      </w:r>
      <w:r w:rsidRPr="00D8773B">
        <w:t xml:space="preserve">value of the </w:t>
      </w:r>
      <w:r>
        <w:t xml:space="preserve">asset measured at the end of each year is </w:t>
      </w:r>
      <w:r w:rsidRPr="00D8773B">
        <w:t>show</w:t>
      </w:r>
      <w:r>
        <w:t xml:space="preserve">n </w:t>
      </w:r>
      <w:r w:rsidR="00C54806">
        <w:t xml:space="preserve">in the </w:t>
      </w:r>
      <w:r w:rsidR="00CC09D5">
        <w:t xml:space="preserve">second </w:t>
      </w:r>
      <w:r w:rsidR="00C54806">
        <w:t>last ro</w:t>
      </w:r>
      <w:r w:rsidRPr="00D8773B">
        <w:t>w</w:t>
      </w:r>
      <w:r w:rsidR="00C92F0C">
        <w:t xml:space="preserve"> of the table</w:t>
      </w:r>
      <w:r>
        <w:t xml:space="preserve">. Consistent with </w:t>
      </w:r>
      <w:r w:rsidRPr="00C84FE3">
        <w:t>clause 6.5.5(b)(2) of the NER</w:t>
      </w:r>
      <w:r>
        <w:t>,</w:t>
      </w:r>
      <w:r w:rsidRPr="0082759A">
        <w:t xml:space="preserve"> </w:t>
      </w:r>
      <w:r>
        <w:t>t</w:t>
      </w:r>
      <w:r w:rsidRPr="00D8773B">
        <w:t>he sum of the real value of the depreciation of the asset over its economic life is $100</w:t>
      </w:r>
      <w:r>
        <w:t xml:space="preserve">, equivalent to the real value of the asset when it is first introduced to the </w:t>
      </w:r>
      <w:r w:rsidR="00D57F76">
        <w:t>RAB</w:t>
      </w:r>
      <w:r w:rsidR="00C54806">
        <w:t>.</w:t>
      </w:r>
    </w:p>
    <w:p w:rsidR="00C54806" w:rsidRDefault="00CC09D5" w:rsidP="00944644">
      <w:r>
        <w:t>The final row shows cash</w:t>
      </w:r>
      <w:r w:rsidR="00D57F76">
        <w:t xml:space="preserve"> </w:t>
      </w:r>
      <w:r>
        <w:t xml:space="preserve">flow each year from the perspective of the </w:t>
      </w:r>
      <w:r w:rsidR="001471E4">
        <w:t>service provider (but only in relation to capital</w:t>
      </w:r>
      <w:r w:rsidR="00AF0236">
        <w:t xml:space="preserve"> inflows</w:t>
      </w:r>
      <w:r w:rsidR="001471E4">
        <w:t>)</w:t>
      </w:r>
      <w:r>
        <w:t>.</w:t>
      </w:r>
      <w:r w:rsidR="00226F94">
        <w:rPr>
          <w:rStyle w:val="FootnoteReference"/>
        </w:rPr>
        <w:footnoteReference w:id="46"/>
      </w:r>
      <w:r>
        <w:t xml:space="preserve"> It spen</w:t>
      </w:r>
      <w:r w:rsidR="00D57F76">
        <w:t>t</w:t>
      </w:r>
      <w:r>
        <w:t xml:space="preserve"> $100 in</w:t>
      </w:r>
      <w:r w:rsidR="00D57F76">
        <w:t>itially</w:t>
      </w:r>
      <w:r w:rsidR="00B9555F">
        <w:t xml:space="preserve"> prior to the start of</w:t>
      </w:r>
      <w:r>
        <w:t xml:space="preserve"> year</w:t>
      </w:r>
      <w:r w:rsidR="00E95803">
        <w:t> </w:t>
      </w:r>
      <w:r w:rsidR="00B9555F">
        <w:t>1</w:t>
      </w:r>
      <w:r w:rsidR="0029395A">
        <w:t>, but does not immediately recover this amount from customers as revenue</w:t>
      </w:r>
      <w:r>
        <w:t xml:space="preserve">. </w:t>
      </w:r>
      <w:r w:rsidR="0029395A">
        <w:t>Instead, e</w:t>
      </w:r>
      <w:r>
        <w:t>ach year from year</w:t>
      </w:r>
      <w:r w:rsidR="00E95803">
        <w:t> </w:t>
      </w:r>
      <w:r>
        <w:t>1 to year</w:t>
      </w:r>
      <w:r w:rsidR="00E95803">
        <w:t> </w:t>
      </w:r>
      <w:r>
        <w:t>5, it receives $20 in depreciation</w:t>
      </w:r>
      <w:r w:rsidR="00B9555F">
        <w:t>—</w:t>
      </w:r>
      <w:r w:rsidR="001471E4">
        <w:t xml:space="preserve">that is, revenue from </w:t>
      </w:r>
      <w:r w:rsidR="00AF0236">
        <w:t>the return of</w:t>
      </w:r>
      <w:r>
        <w:t xml:space="preserve"> capital building block. The net result is </w:t>
      </w:r>
      <w:r w:rsidR="0029395A">
        <w:t xml:space="preserve">$100 </w:t>
      </w:r>
      <w:r w:rsidR="001471E4">
        <w:t xml:space="preserve">in total expenditure </w:t>
      </w:r>
      <w:r w:rsidR="0029395A">
        <w:t xml:space="preserve">matched by $100 in </w:t>
      </w:r>
      <w:r w:rsidR="001471E4">
        <w:t xml:space="preserve">total </w:t>
      </w:r>
      <w:r w:rsidR="0029395A">
        <w:t xml:space="preserve">revenue, </w:t>
      </w:r>
      <w:r w:rsidR="001471E4">
        <w:t xml:space="preserve">and </w:t>
      </w:r>
      <w:r w:rsidR="00AF0236">
        <w:t>the exact return of all capital invested in the business.</w:t>
      </w:r>
    </w:p>
    <w:p w:rsidR="00944644" w:rsidRDefault="0082759A" w:rsidP="00944644">
      <w:r>
        <w:t xml:space="preserve">Next, </w:t>
      </w:r>
      <w:r w:rsidR="00944644">
        <w:t xml:space="preserve">we alter the </w:t>
      </w:r>
      <w:r w:rsidR="00D8773B" w:rsidRPr="00D8773B">
        <w:t xml:space="preserve">scenario </w:t>
      </w:r>
      <w:r w:rsidR="00944644">
        <w:t xml:space="preserve">so that the </w:t>
      </w:r>
      <w:r w:rsidR="00D8773B" w:rsidRPr="00D8773B">
        <w:t xml:space="preserve">asset is </w:t>
      </w:r>
      <w:r>
        <w:t xml:space="preserve">sold </w:t>
      </w:r>
      <w:r w:rsidR="00B9555F">
        <w:t>during</w:t>
      </w:r>
      <w:r>
        <w:t xml:space="preserve"> year 4. The written down value of the asset at this time is $20,</w:t>
      </w:r>
      <w:r w:rsidR="00944644">
        <w:rPr>
          <w:rStyle w:val="FootnoteReference"/>
        </w:rPr>
        <w:footnoteReference w:id="47"/>
      </w:r>
      <w:r>
        <w:t xml:space="preserve"> but we assume the proceeds from sale is $30</w:t>
      </w:r>
      <w:r w:rsidR="00944644">
        <w:t>—t</w:t>
      </w:r>
      <w:r w:rsidR="00D8773B" w:rsidRPr="00D8773B">
        <w:t>hat is</w:t>
      </w:r>
      <w:r>
        <w:t>,</w:t>
      </w:r>
      <w:r w:rsidR="00D8773B" w:rsidRPr="00D8773B">
        <w:t xml:space="preserve"> the sale </w:t>
      </w:r>
      <w:r w:rsidR="00944644">
        <w:t xml:space="preserve">amount </w:t>
      </w:r>
      <w:r w:rsidR="00D8773B" w:rsidRPr="00D8773B">
        <w:t xml:space="preserve">is higher than the written down value. </w:t>
      </w:r>
      <w:r w:rsidR="00944644">
        <w:t>Therefore, u</w:t>
      </w:r>
      <w:r w:rsidR="00D8773B" w:rsidRPr="00D8773B">
        <w:t xml:space="preserve">nder </w:t>
      </w:r>
      <w:r w:rsidR="00944644">
        <w:t xml:space="preserve">AusNet Services' approach, the disposal value is $20, but under the </w:t>
      </w:r>
      <w:r w:rsidR="00D8773B" w:rsidRPr="00D8773B">
        <w:t xml:space="preserve">AER's approach, </w:t>
      </w:r>
      <w:r w:rsidR="00626F24">
        <w:t xml:space="preserve">the </w:t>
      </w:r>
      <w:r w:rsidR="00944644">
        <w:t xml:space="preserve">disposal </w:t>
      </w:r>
      <w:r w:rsidR="00894349">
        <w:t xml:space="preserve">value </w:t>
      </w:r>
      <w:r w:rsidR="00626F24">
        <w:t>is $30</w:t>
      </w:r>
      <w:r w:rsidR="00EA3033">
        <w:t>.</w:t>
      </w:r>
    </w:p>
    <w:p w:rsidR="0036238D" w:rsidRDefault="00C92F0C" w:rsidP="0036238D">
      <w:r>
        <w:fldChar w:fldCharType="begin"/>
      </w:r>
      <w:r>
        <w:instrText xml:space="preserve"> REF _Ref445477878 \h </w:instrText>
      </w:r>
      <w:r>
        <w:fldChar w:fldCharType="separate"/>
      </w:r>
      <w:r w:rsidR="00060C68">
        <w:t xml:space="preserve">Table </w:t>
      </w:r>
      <w:r w:rsidR="00060C68">
        <w:rPr>
          <w:noProof/>
        </w:rPr>
        <w:t>2</w:t>
      </w:r>
      <w:r w:rsidR="00060C68">
        <w:t>.</w:t>
      </w:r>
      <w:r w:rsidR="00060C68">
        <w:rPr>
          <w:noProof/>
        </w:rPr>
        <w:t>6</w:t>
      </w:r>
      <w:r>
        <w:fldChar w:fldCharType="end"/>
      </w:r>
      <w:r>
        <w:t xml:space="preserve"> </w:t>
      </w:r>
      <w:r w:rsidR="00944644">
        <w:t xml:space="preserve">shows the calculations under </w:t>
      </w:r>
      <w:r w:rsidR="002A4C4F">
        <w:t xml:space="preserve">the </w:t>
      </w:r>
      <w:r w:rsidR="00372CF3">
        <w:t>AER</w:t>
      </w:r>
      <w:r>
        <w:t xml:space="preserve"> </w:t>
      </w:r>
      <w:r w:rsidR="00372CF3">
        <w:t>approach</w:t>
      </w:r>
      <w:r w:rsidR="00944644">
        <w:t>.</w:t>
      </w:r>
      <w:r w:rsidR="0036238D">
        <w:t xml:space="preserve"> Row five shows that the disposal value of $30 (proceeds from sale) is recorded in year 4. The asset value at the end of this year will therefore be negative.</w:t>
      </w:r>
      <w:r w:rsidR="0036238D">
        <w:rPr>
          <w:rStyle w:val="FootnoteReference"/>
        </w:rPr>
        <w:footnoteReference w:id="48"/>
      </w:r>
      <w:r w:rsidR="0036238D">
        <w:t xml:space="preserve"> Accordingly, the depreciation schedule will become negative in year 5, and $10 will be returned to consumers for that year.</w:t>
      </w:r>
      <w:r w:rsidR="0036238D">
        <w:rPr>
          <w:rStyle w:val="FootnoteReference"/>
        </w:rPr>
        <w:footnoteReference w:id="49"/>
      </w:r>
      <w:r w:rsidR="0036238D" w:rsidRPr="00AA24DC">
        <w:t xml:space="preserve"> </w:t>
      </w:r>
      <w:r w:rsidR="0036238D">
        <w:t xml:space="preserve">The initial value of the asset ($100) is equal to the sum of depreciation ($70) and the </w:t>
      </w:r>
      <w:r w:rsidR="0036238D">
        <w:lastRenderedPageBreak/>
        <w:t>disposal value adjustment ($30).</w:t>
      </w:r>
      <w:r w:rsidR="0036238D">
        <w:rPr>
          <w:rStyle w:val="FootnoteReference"/>
        </w:rPr>
        <w:footnoteReference w:id="50"/>
      </w:r>
      <w:r w:rsidR="0036238D">
        <w:t xml:space="preserve"> These calculations reflect the operation of clauses 6.5.5(b)(2) and S6.2.1(e)(6) of the NER.</w:t>
      </w:r>
    </w:p>
    <w:p w:rsidR="00C92F0C" w:rsidRDefault="00C92F0C" w:rsidP="00C92F0C">
      <w:pPr>
        <w:pStyle w:val="Caption"/>
      </w:pPr>
      <w:bookmarkStart w:id="84" w:name="_Ref445477878"/>
      <w:r>
        <w:t xml:space="preserve">Table </w:t>
      </w:r>
      <w:r w:rsidR="003A2B97">
        <w:fldChar w:fldCharType="begin"/>
      </w:r>
      <w:r w:rsidR="003A2B97">
        <w:instrText xml:space="preserve"> STYLEREF 1 \s </w:instrText>
      </w:r>
      <w:r w:rsidR="003A2B97">
        <w:fldChar w:fldCharType="separate"/>
      </w:r>
      <w:r w:rsidR="00060C68">
        <w:rPr>
          <w:noProof/>
        </w:rPr>
        <w:t>2</w:t>
      </w:r>
      <w:r w:rsidR="003A2B97">
        <w:rPr>
          <w:noProof/>
        </w:rPr>
        <w:fldChar w:fldCharType="end"/>
      </w:r>
      <w:r w:rsidR="00060C68">
        <w:t>.</w:t>
      </w:r>
      <w:fldSimple w:instr=" SEQ Table \* ARABIC \s 1 ">
        <w:r w:rsidR="00060C68">
          <w:rPr>
            <w:noProof/>
          </w:rPr>
          <w:t>6</w:t>
        </w:r>
      </w:fldSimple>
      <w:bookmarkEnd w:id="84"/>
      <w:r w:rsidR="00372CF3">
        <w:tab/>
        <w:t>Scenario 2</w:t>
      </w:r>
      <w:r>
        <w:t>: Asset disposal using proceeds from sale ($ real)</w:t>
      </w:r>
    </w:p>
    <w:tbl>
      <w:tblPr>
        <w:tblStyle w:val="AERtable-numbers"/>
        <w:tblW w:w="8472" w:type="dxa"/>
        <w:tblLayout w:type="fixed"/>
        <w:tblLook w:val="04A0" w:firstRow="1" w:lastRow="0" w:firstColumn="1" w:lastColumn="0" w:noHBand="0" w:noVBand="1"/>
      </w:tblPr>
      <w:tblGrid>
        <w:gridCol w:w="2943"/>
        <w:gridCol w:w="921"/>
        <w:gridCol w:w="922"/>
        <w:gridCol w:w="921"/>
        <w:gridCol w:w="922"/>
        <w:gridCol w:w="921"/>
        <w:gridCol w:w="922"/>
      </w:tblGrid>
      <w:tr w:rsidR="00B07128" w:rsidRPr="00B95814" w:rsidTr="00A340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B07128" w:rsidRPr="00C92F0C" w:rsidRDefault="00B07128" w:rsidP="00C92F0C">
            <w:r>
              <w:t>Year</w:t>
            </w:r>
          </w:p>
        </w:tc>
        <w:tc>
          <w:tcPr>
            <w:tcW w:w="921" w:type="dxa"/>
            <w:noWrap/>
            <w:hideMark/>
          </w:tcPr>
          <w:p w:rsidR="00B07128" w:rsidRPr="00C92F0C" w:rsidRDefault="00B07128" w:rsidP="00C92F0C">
            <w:pPr>
              <w:cnfStyle w:val="100000000000" w:firstRow="1" w:lastRow="0" w:firstColumn="0" w:lastColumn="0" w:oddVBand="0" w:evenVBand="0" w:oddHBand="0" w:evenHBand="0" w:firstRowFirstColumn="0" w:firstRowLastColumn="0" w:lastRowFirstColumn="0" w:lastRowLastColumn="0"/>
            </w:pPr>
            <w:r>
              <w:t>1</w:t>
            </w:r>
          </w:p>
        </w:tc>
        <w:tc>
          <w:tcPr>
            <w:tcW w:w="922" w:type="dxa"/>
            <w:noWrap/>
            <w:hideMark/>
          </w:tcPr>
          <w:p w:rsidR="00B07128" w:rsidRPr="00C92F0C" w:rsidRDefault="00B07128" w:rsidP="00C92F0C">
            <w:pPr>
              <w:cnfStyle w:val="100000000000" w:firstRow="1" w:lastRow="0" w:firstColumn="0" w:lastColumn="0" w:oddVBand="0" w:evenVBand="0" w:oddHBand="0" w:evenHBand="0" w:firstRowFirstColumn="0" w:firstRowLastColumn="0" w:lastRowFirstColumn="0" w:lastRowLastColumn="0"/>
            </w:pPr>
            <w:r>
              <w:t>2</w:t>
            </w:r>
          </w:p>
        </w:tc>
        <w:tc>
          <w:tcPr>
            <w:tcW w:w="921" w:type="dxa"/>
            <w:noWrap/>
            <w:hideMark/>
          </w:tcPr>
          <w:p w:rsidR="00B07128" w:rsidRPr="00C92F0C" w:rsidRDefault="00B07128" w:rsidP="00C92F0C">
            <w:pPr>
              <w:cnfStyle w:val="100000000000" w:firstRow="1" w:lastRow="0" w:firstColumn="0" w:lastColumn="0" w:oddVBand="0" w:evenVBand="0" w:oddHBand="0" w:evenHBand="0" w:firstRowFirstColumn="0" w:firstRowLastColumn="0" w:lastRowFirstColumn="0" w:lastRowLastColumn="0"/>
            </w:pPr>
            <w:r>
              <w:t>3</w:t>
            </w:r>
          </w:p>
        </w:tc>
        <w:tc>
          <w:tcPr>
            <w:tcW w:w="922" w:type="dxa"/>
            <w:noWrap/>
            <w:hideMark/>
          </w:tcPr>
          <w:p w:rsidR="00B07128" w:rsidRPr="00C92F0C" w:rsidRDefault="00B07128" w:rsidP="00C92F0C">
            <w:pPr>
              <w:cnfStyle w:val="100000000000" w:firstRow="1" w:lastRow="0" w:firstColumn="0" w:lastColumn="0" w:oddVBand="0" w:evenVBand="0" w:oddHBand="0" w:evenHBand="0" w:firstRowFirstColumn="0" w:firstRowLastColumn="0" w:lastRowFirstColumn="0" w:lastRowLastColumn="0"/>
            </w:pPr>
            <w:r>
              <w:t>4</w:t>
            </w:r>
          </w:p>
        </w:tc>
        <w:tc>
          <w:tcPr>
            <w:tcW w:w="921" w:type="dxa"/>
            <w:noWrap/>
            <w:hideMark/>
          </w:tcPr>
          <w:p w:rsidR="00B07128" w:rsidRPr="00C92F0C" w:rsidRDefault="00B07128" w:rsidP="00C92F0C">
            <w:pPr>
              <w:cnfStyle w:val="100000000000" w:firstRow="1" w:lastRow="0" w:firstColumn="0" w:lastColumn="0" w:oddVBand="0" w:evenVBand="0" w:oddHBand="0" w:evenHBand="0" w:firstRowFirstColumn="0" w:firstRowLastColumn="0" w:lastRowFirstColumn="0" w:lastRowLastColumn="0"/>
            </w:pPr>
            <w:r>
              <w:t>5</w:t>
            </w:r>
          </w:p>
        </w:tc>
        <w:tc>
          <w:tcPr>
            <w:tcW w:w="922" w:type="dxa"/>
          </w:tcPr>
          <w:p w:rsidR="00B07128" w:rsidRPr="00C92F0C" w:rsidRDefault="00B07128" w:rsidP="00C92F0C">
            <w:pPr>
              <w:cnfStyle w:val="100000000000" w:firstRow="1" w:lastRow="0" w:firstColumn="0" w:lastColumn="0" w:oddVBand="0" w:evenVBand="0" w:oddHBand="0" w:evenHBand="0" w:firstRowFirstColumn="0" w:firstRowLastColumn="0" w:lastRowFirstColumn="0" w:lastRowLastColumn="0"/>
            </w:pPr>
            <w:r>
              <w:t>Total</w:t>
            </w:r>
          </w:p>
        </w:tc>
      </w:tr>
      <w:tr w:rsidR="00B07128" w:rsidRPr="008054CD" w:rsidTr="00A3407D">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B07128" w:rsidRPr="00C92F0C" w:rsidRDefault="00B07128" w:rsidP="00C92F0C">
            <w:r>
              <w:t>Asset value (</w:t>
            </w:r>
            <w:r w:rsidRPr="00C92F0C">
              <w:t>start of year)</w:t>
            </w:r>
          </w:p>
        </w:tc>
        <w:tc>
          <w:tcPr>
            <w:tcW w:w="921"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rsidRPr="008054CD">
              <w:t>100</w:t>
            </w:r>
          </w:p>
        </w:tc>
        <w:tc>
          <w:tcPr>
            <w:tcW w:w="922"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rsidRPr="008054CD">
              <w:t>80</w:t>
            </w:r>
          </w:p>
        </w:tc>
        <w:tc>
          <w:tcPr>
            <w:tcW w:w="921"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rsidRPr="008054CD">
              <w:t>60</w:t>
            </w:r>
          </w:p>
        </w:tc>
        <w:tc>
          <w:tcPr>
            <w:tcW w:w="922"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rsidRPr="008054CD">
              <w:t>40</w:t>
            </w:r>
          </w:p>
        </w:tc>
        <w:tc>
          <w:tcPr>
            <w:tcW w:w="921"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t>–1</w:t>
            </w:r>
            <w:r w:rsidRPr="00C92F0C">
              <w:t>0</w:t>
            </w:r>
          </w:p>
        </w:tc>
        <w:tc>
          <w:tcPr>
            <w:tcW w:w="922" w:type="dxa"/>
          </w:tcPr>
          <w:p w:rsidR="00B07128" w:rsidRDefault="00B07128" w:rsidP="00C92F0C">
            <w:pPr>
              <w:cnfStyle w:val="000000000000" w:firstRow="0" w:lastRow="0" w:firstColumn="0" w:lastColumn="0" w:oddVBand="0" w:evenVBand="0" w:oddHBand="0" w:evenHBand="0" w:firstRowFirstColumn="0" w:firstRowLastColumn="0" w:lastRowFirstColumn="0" w:lastRowLastColumn="0"/>
            </w:pPr>
            <w:r>
              <w:t>n/a</w:t>
            </w:r>
          </w:p>
        </w:tc>
      </w:tr>
      <w:tr w:rsidR="00B07128" w:rsidRPr="008054CD" w:rsidTr="00A340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B07128" w:rsidRPr="00C92F0C" w:rsidRDefault="00B07128" w:rsidP="00C92F0C">
            <w:r>
              <w:t xml:space="preserve">– </w:t>
            </w:r>
            <w:r w:rsidRPr="00C92F0C">
              <w:t>Depreciation</w:t>
            </w:r>
          </w:p>
        </w:tc>
        <w:tc>
          <w:tcPr>
            <w:tcW w:w="921" w:type="dxa"/>
            <w:noWrap/>
            <w:hideMark/>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rsidRPr="008054CD">
              <w:t>20</w:t>
            </w:r>
          </w:p>
        </w:tc>
        <w:tc>
          <w:tcPr>
            <w:tcW w:w="922" w:type="dxa"/>
            <w:noWrap/>
            <w:hideMark/>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rsidRPr="008054CD">
              <w:t>20</w:t>
            </w:r>
          </w:p>
        </w:tc>
        <w:tc>
          <w:tcPr>
            <w:tcW w:w="921" w:type="dxa"/>
            <w:noWrap/>
            <w:hideMark/>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rsidRPr="008054CD">
              <w:t>20</w:t>
            </w:r>
          </w:p>
        </w:tc>
        <w:tc>
          <w:tcPr>
            <w:tcW w:w="922" w:type="dxa"/>
            <w:noWrap/>
            <w:hideMark/>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rsidRPr="008054CD">
              <w:t>20</w:t>
            </w:r>
          </w:p>
        </w:tc>
        <w:tc>
          <w:tcPr>
            <w:tcW w:w="921" w:type="dxa"/>
            <w:noWrap/>
            <w:hideMark/>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t>–1</w:t>
            </w:r>
            <w:r w:rsidRPr="00C92F0C">
              <w:t>0</w:t>
            </w:r>
          </w:p>
        </w:tc>
        <w:tc>
          <w:tcPr>
            <w:tcW w:w="922" w:type="dxa"/>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t>70</w:t>
            </w:r>
          </w:p>
        </w:tc>
      </w:tr>
      <w:tr w:rsidR="00B07128" w:rsidRPr="008054CD" w:rsidTr="00A3407D">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B07128" w:rsidRPr="00C92F0C" w:rsidRDefault="00B07128" w:rsidP="00C92F0C">
            <w:r>
              <w:t xml:space="preserve">+ </w:t>
            </w:r>
            <w:r w:rsidRPr="00C92F0C">
              <w:t>Capex</w:t>
            </w:r>
          </w:p>
        </w:tc>
        <w:tc>
          <w:tcPr>
            <w:tcW w:w="921"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rsidRPr="008054CD">
              <w:t>0</w:t>
            </w:r>
          </w:p>
        </w:tc>
        <w:tc>
          <w:tcPr>
            <w:tcW w:w="922"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rsidRPr="008054CD">
              <w:t>0</w:t>
            </w:r>
          </w:p>
        </w:tc>
        <w:tc>
          <w:tcPr>
            <w:tcW w:w="921"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rsidRPr="008054CD">
              <w:t>0</w:t>
            </w:r>
          </w:p>
        </w:tc>
        <w:tc>
          <w:tcPr>
            <w:tcW w:w="922"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rsidRPr="008054CD">
              <w:t>0</w:t>
            </w:r>
          </w:p>
        </w:tc>
        <w:tc>
          <w:tcPr>
            <w:tcW w:w="921"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rsidRPr="008054CD">
              <w:t>0</w:t>
            </w:r>
          </w:p>
        </w:tc>
        <w:tc>
          <w:tcPr>
            <w:tcW w:w="922" w:type="dxa"/>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t>0</w:t>
            </w:r>
          </w:p>
        </w:tc>
      </w:tr>
      <w:tr w:rsidR="00B07128" w:rsidRPr="008054CD" w:rsidTr="00A340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B07128" w:rsidRPr="00C92F0C" w:rsidRDefault="00B07128" w:rsidP="00C92F0C">
            <w:r>
              <w:t xml:space="preserve">– </w:t>
            </w:r>
            <w:r w:rsidRPr="00C92F0C">
              <w:t>Disposal value (proceeds from sale)</w:t>
            </w:r>
          </w:p>
        </w:tc>
        <w:tc>
          <w:tcPr>
            <w:tcW w:w="921" w:type="dxa"/>
            <w:noWrap/>
            <w:hideMark/>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rsidRPr="008054CD">
              <w:t>0</w:t>
            </w:r>
          </w:p>
        </w:tc>
        <w:tc>
          <w:tcPr>
            <w:tcW w:w="922" w:type="dxa"/>
            <w:noWrap/>
            <w:hideMark/>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rsidRPr="008054CD">
              <w:t>0</w:t>
            </w:r>
          </w:p>
        </w:tc>
        <w:tc>
          <w:tcPr>
            <w:tcW w:w="921" w:type="dxa"/>
            <w:noWrap/>
            <w:hideMark/>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rsidRPr="008054CD">
              <w:t>0</w:t>
            </w:r>
          </w:p>
        </w:tc>
        <w:tc>
          <w:tcPr>
            <w:tcW w:w="922" w:type="dxa"/>
            <w:noWrap/>
            <w:hideMark/>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rPr>
                <w:rStyle w:val="Strong"/>
              </w:rPr>
            </w:pPr>
            <w:r w:rsidRPr="006B5030">
              <w:rPr>
                <w:rStyle w:val="Strong"/>
              </w:rPr>
              <w:t>30</w:t>
            </w:r>
          </w:p>
        </w:tc>
        <w:tc>
          <w:tcPr>
            <w:tcW w:w="921" w:type="dxa"/>
            <w:noWrap/>
            <w:hideMark/>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rsidRPr="008054CD">
              <w:t>0</w:t>
            </w:r>
          </w:p>
        </w:tc>
        <w:tc>
          <w:tcPr>
            <w:tcW w:w="922" w:type="dxa"/>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t>30</w:t>
            </w:r>
          </w:p>
        </w:tc>
      </w:tr>
      <w:tr w:rsidR="00B07128" w:rsidRPr="008054CD" w:rsidTr="00A3407D">
        <w:trPr>
          <w:trHeight w:val="315"/>
        </w:trPr>
        <w:tc>
          <w:tcPr>
            <w:cnfStyle w:val="001000000000" w:firstRow="0" w:lastRow="0" w:firstColumn="1" w:lastColumn="0" w:oddVBand="0" w:evenVBand="0" w:oddHBand="0" w:evenHBand="0" w:firstRowFirstColumn="0" w:firstRowLastColumn="0" w:lastRowFirstColumn="0" w:lastRowLastColumn="0"/>
            <w:tcW w:w="2943" w:type="dxa"/>
            <w:noWrap/>
            <w:hideMark/>
          </w:tcPr>
          <w:p w:rsidR="00B07128" w:rsidRPr="00C92F0C" w:rsidRDefault="00B07128" w:rsidP="00C92F0C">
            <w:r>
              <w:t>= Asset value (</w:t>
            </w:r>
            <w:r w:rsidRPr="00C92F0C">
              <w:t>end of year)</w:t>
            </w:r>
          </w:p>
        </w:tc>
        <w:tc>
          <w:tcPr>
            <w:tcW w:w="921"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rsidRPr="008054CD">
              <w:t>80</w:t>
            </w:r>
          </w:p>
        </w:tc>
        <w:tc>
          <w:tcPr>
            <w:tcW w:w="922"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rsidRPr="008054CD">
              <w:t>60</w:t>
            </w:r>
          </w:p>
        </w:tc>
        <w:tc>
          <w:tcPr>
            <w:tcW w:w="921"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rsidRPr="008054CD">
              <w:t>40</w:t>
            </w:r>
          </w:p>
        </w:tc>
        <w:tc>
          <w:tcPr>
            <w:tcW w:w="922"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t>–</w:t>
            </w:r>
            <w:r w:rsidRPr="00C92F0C">
              <w:t>10</w:t>
            </w:r>
          </w:p>
        </w:tc>
        <w:tc>
          <w:tcPr>
            <w:tcW w:w="921" w:type="dxa"/>
            <w:noWrap/>
            <w:hideMark/>
          </w:tcPr>
          <w:p w:rsidR="00B07128" w:rsidRPr="00C92F0C" w:rsidRDefault="00B07128" w:rsidP="00C92F0C">
            <w:pPr>
              <w:cnfStyle w:val="000000000000" w:firstRow="0" w:lastRow="0" w:firstColumn="0" w:lastColumn="0" w:oddVBand="0" w:evenVBand="0" w:oddHBand="0" w:evenHBand="0" w:firstRowFirstColumn="0" w:firstRowLastColumn="0" w:lastRowFirstColumn="0" w:lastRowLastColumn="0"/>
            </w:pPr>
            <w:r w:rsidRPr="008054CD">
              <w:t>0</w:t>
            </w:r>
          </w:p>
        </w:tc>
        <w:tc>
          <w:tcPr>
            <w:tcW w:w="922" w:type="dxa"/>
          </w:tcPr>
          <w:p w:rsidR="00B07128" w:rsidRPr="008054CD" w:rsidRDefault="00B07128" w:rsidP="00C92F0C">
            <w:pPr>
              <w:cnfStyle w:val="000000000000" w:firstRow="0" w:lastRow="0" w:firstColumn="0" w:lastColumn="0" w:oddVBand="0" w:evenVBand="0" w:oddHBand="0" w:evenHBand="0" w:firstRowFirstColumn="0" w:firstRowLastColumn="0" w:lastRowFirstColumn="0" w:lastRowLastColumn="0"/>
            </w:pPr>
            <w:r>
              <w:t>n/a</w:t>
            </w:r>
          </w:p>
        </w:tc>
      </w:tr>
      <w:tr w:rsidR="00B07128" w:rsidRPr="008054CD" w:rsidTr="00A3407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43" w:type="dxa"/>
            <w:noWrap/>
          </w:tcPr>
          <w:p w:rsidR="00B07128" w:rsidRPr="00C92F0C" w:rsidRDefault="00B07128" w:rsidP="00C92F0C">
            <w:r>
              <w:t xml:space="preserve">Service provider </w:t>
            </w:r>
            <w:r w:rsidRPr="00C92F0C">
              <w:t>cash</w:t>
            </w:r>
            <w:r>
              <w:t xml:space="preserve"> </w:t>
            </w:r>
            <w:r w:rsidRPr="00C92F0C">
              <w:t>flow</w:t>
            </w:r>
          </w:p>
        </w:tc>
        <w:tc>
          <w:tcPr>
            <w:tcW w:w="921" w:type="dxa"/>
            <w:noWrap/>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t>20</w:t>
            </w:r>
          </w:p>
        </w:tc>
        <w:tc>
          <w:tcPr>
            <w:tcW w:w="922" w:type="dxa"/>
            <w:noWrap/>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t>20</w:t>
            </w:r>
          </w:p>
        </w:tc>
        <w:tc>
          <w:tcPr>
            <w:tcW w:w="921" w:type="dxa"/>
            <w:noWrap/>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pPr>
            <w:r>
              <w:t>20</w:t>
            </w:r>
          </w:p>
        </w:tc>
        <w:tc>
          <w:tcPr>
            <w:tcW w:w="922" w:type="dxa"/>
            <w:noWrap/>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rPr>
                <w:rStyle w:val="Strong"/>
              </w:rPr>
            </w:pPr>
            <w:r w:rsidRPr="006B5030">
              <w:rPr>
                <w:rStyle w:val="Strong"/>
              </w:rPr>
              <w:t>50</w:t>
            </w:r>
          </w:p>
        </w:tc>
        <w:tc>
          <w:tcPr>
            <w:tcW w:w="921" w:type="dxa"/>
            <w:noWrap/>
          </w:tcPr>
          <w:p w:rsidR="00B07128" w:rsidRPr="00C92F0C" w:rsidRDefault="00B07128" w:rsidP="00C92F0C">
            <w:pPr>
              <w:cnfStyle w:val="000000010000" w:firstRow="0" w:lastRow="0" w:firstColumn="0" w:lastColumn="0" w:oddVBand="0" w:evenVBand="0" w:oddHBand="0" w:evenHBand="1" w:firstRowFirstColumn="0" w:firstRowLastColumn="0" w:lastRowFirstColumn="0" w:lastRowLastColumn="0"/>
              <w:rPr>
                <w:rStyle w:val="Strong"/>
              </w:rPr>
            </w:pPr>
            <w:r w:rsidRPr="006B5030">
              <w:rPr>
                <w:rStyle w:val="Strong"/>
              </w:rPr>
              <w:t>–10</w:t>
            </w:r>
          </w:p>
        </w:tc>
        <w:tc>
          <w:tcPr>
            <w:tcW w:w="922" w:type="dxa"/>
          </w:tcPr>
          <w:p w:rsidR="00B07128" w:rsidRPr="00C92F0C" w:rsidRDefault="00B07128" w:rsidP="00B07128">
            <w:pPr>
              <w:cnfStyle w:val="000000010000" w:firstRow="0" w:lastRow="0" w:firstColumn="0" w:lastColumn="0" w:oddVBand="0" w:evenVBand="0" w:oddHBand="0" w:evenHBand="1" w:firstRowFirstColumn="0" w:firstRowLastColumn="0" w:lastRowFirstColumn="0" w:lastRowLastColumn="0"/>
            </w:pPr>
            <w:r>
              <w:t>100</w:t>
            </w:r>
          </w:p>
        </w:tc>
      </w:tr>
    </w:tbl>
    <w:p w:rsidR="00372CF3" w:rsidRDefault="00372CF3" w:rsidP="00C92F0C">
      <w:r>
        <w:t>From the perspective of the service provider's cash</w:t>
      </w:r>
      <w:r w:rsidR="002A4C4F">
        <w:t xml:space="preserve"> </w:t>
      </w:r>
      <w:r>
        <w:t xml:space="preserve">flow, there is exact return of all capital invested in the entity. </w:t>
      </w:r>
      <w:r w:rsidR="00E95803">
        <w:t>There is a</w:t>
      </w:r>
      <w:r>
        <w:t>n initial outlay of $100</w:t>
      </w:r>
      <w:r w:rsidR="00E95803">
        <w:t xml:space="preserve"> </w:t>
      </w:r>
      <w:r w:rsidR="002A4C4F">
        <w:t>before the start of</w:t>
      </w:r>
      <w:r w:rsidR="00E95803">
        <w:t xml:space="preserve"> year </w:t>
      </w:r>
      <w:r w:rsidR="002A4C4F">
        <w:t>1</w:t>
      </w:r>
      <w:r w:rsidR="00E95803">
        <w:t xml:space="preserve">, then recovery of $20 in the return of capital building block (depreciation) in year 1, year 2 and year 3. In year four, there is revenue of $50, comprising $20 return of capital and $30 proceeds from sale. Finally, the negative depreciation in year 5 represents a $10 outflow for the </w:t>
      </w:r>
      <w:r w:rsidR="00A36516">
        <w:t>service provider</w:t>
      </w:r>
      <w:r w:rsidR="00E95803">
        <w:t>.</w:t>
      </w:r>
      <w:r w:rsidR="00E95803">
        <w:rPr>
          <w:rStyle w:val="FootnoteReference"/>
        </w:rPr>
        <w:footnoteReference w:id="51"/>
      </w:r>
      <w:r w:rsidR="00E95803">
        <w:t xml:space="preserve"> Across the five years, the service provider will exactly recover its initial capital investment.</w:t>
      </w:r>
    </w:p>
    <w:p w:rsidR="00E95803" w:rsidRDefault="00E95803" w:rsidP="00E95803">
      <w:r>
        <w:fldChar w:fldCharType="begin"/>
      </w:r>
      <w:r>
        <w:instrText xml:space="preserve"> REF _Ref445478853 \h </w:instrText>
      </w:r>
      <w:r>
        <w:fldChar w:fldCharType="separate"/>
      </w:r>
      <w:r w:rsidR="00060C68" w:rsidRPr="00B53C66">
        <w:t xml:space="preserve">Table </w:t>
      </w:r>
      <w:r w:rsidR="00060C68">
        <w:rPr>
          <w:noProof/>
        </w:rPr>
        <w:t>2</w:t>
      </w:r>
      <w:r w:rsidR="00060C68">
        <w:t>.</w:t>
      </w:r>
      <w:r w:rsidR="00060C68">
        <w:rPr>
          <w:noProof/>
        </w:rPr>
        <w:t>7</w:t>
      </w:r>
      <w:r>
        <w:fldChar w:fldCharType="end"/>
      </w:r>
      <w:r>
        <w:t xml:space="preserve"> shows the equivalent calculations under AusNet Services' proposed approach.</w:t>
      </w:r>
    </w:p>
    <w:p w:rsidR="00B53C66" w:rsidRPr="00B53C66" w:rsidRDefault="00B53C66" w:rsidP="00B53C66">
      <w:pPr>
        <w:pStyle w:val="Caption"/>
      </w:pPr>
      <w:bookmarkStart w:id="85" w:name="_Ref445478853"/>
      <w:r w:rsidRPr="00B53C66">
        <w:t xml:space="preserve">Table </w:t>
      </w:r>
      <w:r w:rsidR="003A2B97">
        <w:fldChar w:fldCharType="begin"/>
      </w:r>
      <w:r w:rsidR="003A2B97">
        <w:instrText xml:space="preserve"> STYLEREF 1 \s </w:instrText>
      </w:r>
      <w:r w:rsidR="003A2B97">
        <w:fldChar w:fldCharType="separate"/>
      </w:r>
      <w:r w:rsidR="00060C68">
        <w:rPr>
          <w:noProof/>
        </w:rPr>
        <w:t>2</w:t>
      </w:r>
      <w:r w:rsidR="003A2B97">
        <w:rPr>
          <w:noProof/>
        </w:rPr>
        <w:fldChar w:fldCharType="end"/>
      </w:r>
      <w:r w:rsidR="00060C68">
        <w:t>.</w:t>
      </w:r>
      <w:fldSimple w:instr=" SEQ Table \* ARABIC \s 1 ">
        <w:r w:rsidR="00060C68">
          <w:rPr>
            <w:noProof/>
          </w:rPr>
          <w:t>7</w:t>
        </w:r>
      </w:fldSimple>
      <w:bookmarkEnd w:id="85"/>
      <w:r w:rsidRPr="00B53C66">
        <w:tab/>
        <w:t xml:space="preserve">Scenario </w:t>
      </w:r>
      <w:r w:rsidR="00226F94">
        <w:t>3</w:t>
      </w:r>
      <w:r w:rsidR="00AA24DC">
        <w:t>:</w:t>
      </w:r>
      <w:r>
        <w:t xml:space="preserve"> </w:t>
      </w:r>
      <w:r w:rsidRPr="00B53C66">
        <w:t>A</w:t>
      </w:r>
      <w:r w:rsidR="00180D92">
        <w:t>sset disposal</w:t>
      </w:r>
      <w:r w:rsidR="00C54806">
        <w:t xml:space="preserve"> using </w:t>
      </w:r>
      <w:r w:rsidRPr="00B53C66">
        <w:t xml:space="preserve">written down value </w:t>
      </w:r>
      <w:r w:rsidR="00E33027">
        <w:t>($ real)</w:t>
      </w:r>
    </w:p>
    <w:tbl>
      <w:tblPr>
        <w:tblStyle w:val="AERtable-numbers"/>
        <w:tblW w:w="8472" w:type="dxa"/>
        <w:tblLayout w:type="fixed"/>
        <w:tblLook w:val="04A0" w:firstRow="1" w:lastRow="0" w:firstColumn="1" w:lastColumn="0" w:noHBand="0" w:noVBand="1"/>
      </w:tblPr>
      <w:tblGrid>
        <w:gridCol w:w="2943"/>
        <w:gridCol w:w="921"/>
        <w:gridCol w:w="922"/>
        <w:gridCol w:w="921"/>
        <w:gridCol w:w="922"/>
        <w:gridCol w:w="921"/>
        <w:gridCol w:w="922"/>
      </w:tblGrid>
      <w:tr w:rsidR="00B07128" w:rsidRPr="00B95814" w:rsidTr="00A340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B07128" w:rsidRPr="0082759A" w:rsidRDefault="00B07128" w:rsidP="0082759A">
            <w:r>
              <w:t>Year</w:t>
            </w:r>
          </w:p>
        </w:tc>
        <w:tc>
          <w:tcPr>
            <w:tcW w:w="921" w:type="dxa"/>
            <w:noWrap/>
            <w:hideMark/>
          </w:tcPr>
          <w:p w:rsidR="00B07128" w:rsidRPr="0082759A" w:rsidRDefault="00B07128" w:rsidP="0082759A">
            <w:pPr>
              <w:cnfStyle w:val="100000000000" w:firstRow="1" w:lastRow="0" w:firstColumn="0" w:lastColumn="0" w:oddVBand="0" w:evenVBand="0" w:oddHBand="0" w:evenHBand="0" w:firstRowFirstColumn="0" w:firstRowLastColumn="0" w:lastRowFirstColumn="0" w:lastRowLastColumn="0"/>
            </w:pPr>
            <w:r>
              <w:t>1</w:t>
            </w:r>
          </w:p>
        </w:tc>
        <w:tc>
          <w:tcPr>
            <w:tcW w:w="922" w:type="dxa"/>
            <w:noWrap/>
            <w:hideMark/>
          </w:tcPr>
          <w:p w:rsidR="00B07128" w:rsidRPr="0082759A" w:rsidRDefault="00B07128" w:rsidP="0082759A">
            <w:pPr>
              <w:cnfStyle w:val="100000000000" w:firstRow="1" w:lastRow="0" w:firstColumn="0" w:lastColumn="0" w:oddVBand="0" w:evenVBand="0" w:oddHBand="0" w:evenHBand="0" w:firstRowFirstColumn="0" w:firstRowLastColumn="0" w:lastRowFirstColumn="0" w:lastRowLastColumn="0"/>
            </w:pPr>
            <w:r>
              <w:t>2</w:t>
            </w:r>
          </w:p>
        </w:tc>
        <w:tc>
          <w:tcPr>
            <w:tcW w:w="921" w:type="dxa"/>
            <w:noWrap/>
            <w:hideMark/>
          </w:tcPr>
          <w:p w:rsidR="00B07128" w:rsidRPr="0082759A" w:rsidRDefault="00B07128" w:rsidP="0082759A">
            <w:pPr>
              <w:cnfStyle w:val="100000000000" w:firstRow="1" w:lastRow="0" w:firstColumn="0" w:lastColumn="0" w:oddVBand="0" w:evenVBand="0" w:oddHBand="0" w:evenHBand="0" w:firstRowFirstColumn="0" w:firstRowLastColumn="0" w:lastRowFirstColumn="0" w:lastRowLastColumn="0"/>
            </w:pPr>
            <w:r>
              <w:t>3</w:t>
            </w:r>
          </w:p>
        </w:tc>
        <w:tc>
          <w:tcPr>
            <w:tcW w:w="922" w:type="dxa"/>
            <w:noWrap/>
            <w:hideMark/>
          </w:tcPr>
          <w:p w:rsidR="00B07128" w:rsidRPr="0082759A" w:rsidRDefault="00B07128" w:rsidP="0082759A">
            <w:pPr>
              <w:cnfStyle w:val="100000000000" w:firstRow="1" w:lastRow="0" w:firstColumn="0" w:lastColumn="0" w:oddVBand="0" w:evenVBand="0" w:oddHBand="0" w:evenHBand="0" w:firstRowFirstColumn="0" w:firstRowLastColumn="0" w:lastRowFirstColumn="0" w:lastRowLastColumn="0"/>
            </w:pPr>
            <w:r>
              <w:t>4</w:t>
            </w:r>
          </w:p>
        </w:tc>
        <w:tc>
          <w:tcPr>
            <w:tcW w:w="921" w:type="dxa"/>
            <w:noWrap/>
            <w:hideMark/>
          </w:tcPr>
          <w:p w:rsidR="00B07128" w:rsidRPr="0082759A" w:rsidRDefault="00B07128" w:rsidP="0082759A">
            <w:pPr>
              <w:cnfStyle w:val="100000000000" w:firstRow="1" w:lastRow="0" w:firstColumn="0" w:lastColumn="0" w:oddVBand="0" w:evenVBand="0" w:oddHBand="0" w:evenHBand="0" w:firstRowFirstColumn="0" w:firstRowLastColumn="0" w:lastRowFirstColumn="0" w:lastRowLastColumn="0"/>
            </w:pPr>
            <w:r>
              <w:t>5</w:t>
            </w:r>
          </w:p>
        </w:tc>
        <w:tc>
          <w:tcPr>
            <w:tcW w:w="922" w:type="dxa"/>
          </w:tcPr>
          <w:p w:rsidR="00B07128" w:rsidRDefault="00B07128" w:rsidP="0082759A">
            <w:pPr>
              <w:cnfStyle w:val="100000000000" w:firstRow="1" w:lastRow="0" w:firstColumn="0" w:lastColumn="0" w:oddVBand="0" w:evenVBand="0" w:oddHBand="0" w:evenHBand="0" w:firstRowFirstColumn="0" w:firstRowLastColumn="0" w:lastRowFirstColumn="0" w:lastRowLastColumn="0"/>
            </w:pPr>
            <w:r>
              <w:t>Total</w:t>
            </w:r>
          </w:p>
        </w:tc>
      </w:tr>
      <w:tr w:rsidR="00B07128" w:rsidRPr="008054CD" w:rsidTr="00A3407D">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B07128" w:rsidRPr="00C54806" w:rsidRDefault="00B07128" w:rsidP="00C54806">
            <w:r>
              <w:t xml:space="preserve">Asset value </w:t>
            </w:r>
            <w:r w:rsidRPr="009702F6">
              <w:t>(start of year)</w:t>
            </w:r>
          </w:p>
        </w:tc>
        <w:tc>
          <w:tcPr>
            <w:tcW w:w="921" w:type="dxa"/>
            <w:noWrap/>
            <w:hideMark/>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rsidRPr="008054CD">
              <w:t>100</w:t>
            </w:r>
          </w:p>
        </w:tc>
        <w:tc>
          <w:tcPr>
            <w:tcW w:w="922" w:type="dxa"/>
            <w:noWrap/>
            <w:hideMark/>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rsidRPr="008054CD">
              <w:t>80</w:t>
            </w:r>
          </w:p>
        </w:tc>
        <w:tc>
          <w:tcPr>
            <w:tcW w:w="921" w:type="dxa"/>
            <w:noWrap/>
            <w:hideMark/>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rsidRPr="008054CD">
              <w:t>60</w:t>
            </w:r>
          </w:p>
        </w:tc>
        <w:tc>
          <w:tcPr>
            <w:tcW w:w="922" w:type="dxa"/>
            <w:noWrap/>
            <w:hideMark/>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rsidRPr="008054CD">
              <w:t>40</w:t>
            </w:r>
          </w:p>
        </w:tc>
        <w:tc>
          <w:tcPr>
            <w:tcW w:w="921" w:type="dxa"/>
            <w:noWrap/>
            <w:hideMark/>
          </w:tcPr>
          <w:p w:rsidR="00B07128" w:rsidRPr="00C54806" w:rsidRDefault="00B07128" w:rsidP="0028105B">
            <w:pPr>
              <w:cnfStyle w:val="000000000000" w:firstRow="0" w:lastRow="0" w:firstColumn="0" w:lastColumn="0" w:oddVBand="0" w:evenVBand="0" w:oddHBand="0" w:evenHBand="0" w:firstRowFirstColumn="0" w:firstRowLastColumn="0" w:lastRowFirstColumn="0" w:lastRowLastColumn="0"/>
            </w:pPr>
            <w:r>
              <w:t>0</w:t>
            </w:r>
          </w:p>
        </w:tc>
        <w:tc>
          <w:tcPr>
            <w:tcW w:w="922" w:type="dxa"/>
          </w:tcPr>
          <w:p w:rsidR="00B07128" w:rsidRDefault="00B07128" w:rsidP="0028105B">
            <w:pPr>
              <w:cnfStyle w:val="000000000000" w:firstRow="0" w:lastRow="0" w:firstColumn="0" w:lastColumn="0" w:oddVBand="0" w:evenVBand="0" w:oddHBand="0" w:evenHBand="0" w:firstRowFirstColumn="0" w:firstRowLastColumn="0" w:lastRowFirstColumn="0" w:lastRowLastColumn="0"/>
            </w:pPr>
            <w:r>
              <w:t>n/a</w:t>
            </w:r>
          </w:p>
        </w:tc>
      </w:tr>
      <w:tr w:rsidR="00B07128" w:rsidRPr="008054CD" w:rsidTr="00A340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B07128" w:rsidRPr="00C54806" w:rsidRDefault="00B07128" w:rsidP="00C54806">
            <w:r>
              <w:t xml:space="preserve">– </w:t>
            </w:r>
            <w:r w:rsidRPr="00C54806">
              <w:t>Depreciation</w:t>
            </w:r>
          </w:p>
        </w:tc>
        <w:tc>
          <w:tcPr>
            <w:tcW w:w="921" w:type="dxa"/>
            <w:noWrap/>
            <w:hideMark/>
          </w:tcPr>
          <w:p w:rsidR="00B07128" w:rsidRPr="008054CD" w:rsidRDefault="00B07128" w:rsidP="00C54806">
            <w:pPr>
              <w:cnfStyle w:val="000000010000" w:firstRow="0" w:lastRow="0" w:firstColumn="0" w:lastColumn="0" w:oddVBand="0" w:evenVBand="0" w:oddHBand="0" w:evenHBand="1" w:firstRowFirstColumn="0" w:firstRowLastColumn="0" w:lastRowFirstColumn="0" w:lastRowLastColumn="0"/>
            </w:pPr>
            <w:r w:rsidRPr="008054CD">
              <w:t>20</w:t>
            </w:r>
          </w:p>
        </w:tc>
        <w:tc>
          <w:tcPr>
            <w:tcW w:w="922" w:type="dxa"/>
            <w:noWrap/>
            <w:hideMark/>
          </w:tcPr>
          <w:p w:rsidR="00B07128" w:rsidRPr="008054CD" w:rsidRDefault="00B07128" w:rsidP="00C54806">
            <w:pPr>
              <w:cnfStyle w:val="000000010000" w:firstRow="0" w:lastRow="0" w:firstColumn="0" w:lastColumn="0" w:oddVBand="0" w:evenVBand="0" w:oddHBand="0" w:evenHBand="1" w:firstRowFirstColumn="0" w:firstRowLastColumn="0" w:lastRowFirstColumn="0" w:lastRowLastColumn="0"/>
            </w:pPr>
            <w:r w:rsidRPr="008054CD">
              <w:t>20</w:t>
            </w:r>
          </w:p>
        </w:tc>
        <w:tc>
          <w:tcPr>
            <w:tcW w:w="921" w:type="dxa"/>
            <w:noWrap/>
            <w:hideMark/>
          </w:tcPr>
          <w:p w:rsidR="00B07128" w:rsidRPr="008054CD" w:rsidRDefault="00B07128" w:rsidP="00C54806">
            <w:pPr>
              <w:cnfStyle w:val="000000010000" w:firstRow="0" w:lastRow="0" w:firstColumn="0" w:lastColumn="0" w:oddVBand="0" w:evenVBand="0" w:oddHBand="0" w:evenHBand="1" w:firstRowFirstColumn="0" w:firstRowLastColumn="0" w:lastRowFirstColumn="0" w:lastRowLastColumn="0"/>
            </w:pPr>
            <w:r w:rsidRPr="008054CD">
              <w:t>20</w:t>
            </w:r>
          </w:p>
        </w:tc>
        <w:tc>
          <w:tcPr>
            <w:tcW w:w="922" w:type="dxa"/>
            <w:noWrap/>
            <w:hideMark/>
          </w:tcPr>
          <w:p w:rsidR="00B07128" w:rsidRPr="008054CD" w:rsidRDefault="00B07128" w:rsidP="00C54806">
            <w:pPr>
              <w:cnfStyle w:val="000000010000" w:firstRow="0" w:lastRow="0" w:firstColumn="0" w:lastColumn="0" w:oddVBand="0" w:evenVBand="0" w:oddHBand="0" w:evenHBand="1" w:firstRowFirstColumn="0" w:firstRowLastColumn="0" w:lastRowFirstColumn="0" w:lastRowLastColumn="0"/>
            </w:pPr>
            <w:r w:rsidRPr="008054CD">
              <w:t>20</w:t>
            </w:r>
          </w:p>
        </w:tc>
        <w:tc>
          <w:tcPr>
            <w:tcW w:w="921" w:type="dxa"/>
            <w:noWrap/>
            <w:hideMark/>
          </w:tcPr>
          <w:p w:rsidR="00B07128" w:rsidRPr="00C54806" w:rsidRDefault="00B07128" w:rsidP="00C54806">
            <w:pPr>
              <w:cnfStyle w:val="000000010000" w:firstRow="0" w:lastRow="0" w:firstColumn="0" w:lastColumn="0" w:oddVBand="0" w:evenVBand="0" w:oddHBand="0" w:evenHBand="1" w:firstRowFirstColumn="0" w:firstRowLastColumn="0" w:lastRowFirstColumn="0" w:lastRowLastColumn="0"/>
            </w:pPr>
            <w:r>
              <w:t>0</w:t>
            </w:r>
          </w:p>
        </w:tc>
        <w:tc>
          <w:tcPr>
            <w:tcW w:w="922" w:type="dxa"/>
          </w:tcPr>
          <w:p w:rsidR="00B07128" w:rsidRDefault="00B07128" w:rsidP="00C54806">
            <w:pPr>
              <w:cnfStyle w:val="000000010000" w:firstRow="0" w:lastRow="0" w:firstColumn="0" w:lastColumn="0" w:oddVBand="0" w:evenVBand="0" w:oddHBand="0" w:evenHBand="1" w:firstRowFirstColumn="0" w:firstRowLastColumn="0" w:lastRowFirstColumn="0" w:lastRowLastColumn="0"/>
            </w:pPr>
            <w:r>
              <w:t>80</w:t>
            </w:r>
          </w:p>
        </w:tc>
      </w:tr>
      <w:tr w:rsidR="00B07128" w:rsidRPr="008054CD" w:rsidTr="00A3407D">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B07128" w:rsidRPr="00C54806" w:rsidRDefault="00B07128" w:rsidP="00C54806">
            <w:r>
              <w:t xml:space="preserve">+ </w:t>
            </w:r>
            <w:r w:rsidRPr="00C54806">
              <w:t>Capex</w:t>
            </w:r>
          </w:p>
        </w:tc>
        <w:tc>
          <w:tcPr>
            <w:tcW w:w="921" w:type="dxa"/>
            <w:noWrap/>
            <w:hideMark/>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rsidRPr="008054CD">
              <w:t>0</w:t>
            </w:r>
          </w:p>
        </w:tc>
        <w:tc>
          <w:tcPr>
            <w:tcW w:w="922" w:type="dxa"/>
            <w:noWrap/>
            <w:hideMark/>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rsidRPr="008054CD">
              <w:t>0</w:t>
            </w:r>
          </w:p>
        </w:tc>
        <w:tc>
          <w:tcPr>
            <w:tcW w:w="921" w:type="dxa"/>
            <w:noWrap/>
            <w:hideMark/>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rsidRPr="008054CD">
              <w:t>0</w:t>
            </w:r>
          </w:p>
        </w:tc>
        <w:tc>
          <w:tcPr>
            <w:tcW w:w="922" w:type="dxa"/>
            <w:noWrap/>
            <w:hideMark/>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rsidRPr="008054CD">
              <w:t>0</w:t>
            </w:r>
          </w:p>
        </w:tc>
        <w:tc>
          <w:tcPr>
            <w:tcW w:w="921" w:type="dxa"/>
            <w:noWrap/>
            <w:hideMark/>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rsidRPr="008054CD">
              <w:t>0</w:t>
            </w:r>
          </w:p>
        </w:tc>
        <w:tc>
          <w:tcPr>
            <w:tcW w:w="922" w:type="dxa"/>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t>0</w:t>
            </w:r>
          </w:p>
        </w:tc>
      </w:tr>
      <w:tr w:rsidR="00B07128" w:rsidRPr="008054CD" w:rsidTr="00A340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B07128" w:rsidRPr="00C54806" w:rsidRDefault="00B07128" w:rsidP="00C54806">
            <w:r>
              <w:t xml:space="preserve">– </w:t>
            </w:r>
            <w:r w:rsidRPr="00C54806">
              <w:t>Disposal value</w:t>
            </w:r>
            <w:r>
              <w:t xml:space="preserve"> (written down value)</w:t>
            </w:r>
          </w:p>
        </w:tc>
        <w:tc>
          <w:tcPr>
            <w:tcW w:w="921" w:type="dxa"/>
            <w:noWrap/>
            <w:hideMark/>
          </w:tcPr>
          <w:p w:rsidR="00B07128" w:rsidRPr="008054CD" w:rsidRDefault="00B07128" w:rsidP="00C54806">
            <w:pPr>
              <w:cnfStyle w:val="000000010000" w:firstRow="0" w:lastRow="0" w:firstColumn="0" w:lastColumn="0" w:oddVBand="0" w:evenVBand="0" w:oddHBand="0" w:evenHBand="1" w:firstRowFirstColumn="0" w:firstRowLastColumn="0" w:lastRowFirstColumn="0" w:lastRowLastColumn="0"/>
            </w:pPr>
            <w:r w:rsidRPr="008054CD">
              <w:t>0</w:t>
            </w:r>
          </w:p>
        </w:tc>
        <w:tc>
          <w:tcPr>
            <w:tcW w:w="922" w:type="dxa"/>
            <w:noWrap/>
            <w:hideMark/>
          </w:tcPr>
          <w:p w:rsidR="00B07128" w:rsidRPr="008054CD" w:rsidRDefault="00B07128" w:rsidP="00C54806">
            <w:pPr>
              <w:cnfStyle w:val="000000010000" w:firstRow="0" w:lastRow="0" w:firstColumn="0" w:lastColumn="0" w:oddVBand="0" w:evenVBand="0" w:oddHBand="0" w:evenHBand="1" w:firstRowFirstColumn="0" w:firstRowLastColumn="0" w:lastRowFirstColumn="0" w:lastRowLastColumn="0"/>
            </w:pPr>
            <w:r w:rsidRPr="008054CD">
              <w:t>0</w:t>
            </w:r>
          </w:p>
        </w:tc>
        <w:tc>
          <w:tcPr>
            <w:tcW w:w="921" w:type="dxa"/>
            <w:noWrap/>
            <w:hideMark/>
          </w:tcPr>
          <w:p w:rsidR="00B07128" w:rsidRPr="008054CD" w:rsidRDefault="00B07128" w:rsidP="00C54806">
            <w:pPr>
              <w:cnfStyle w:val="000000010000" w:firstRow="0" w:lastRow="0" w:firstColumn="0" w:lastColumn="0" w:oddVBand="0" w:evenVBand="0" w:oddHBand="0" w:evenHBand="1" w:firstRowFirstColumn="0" w:firstRowLastColumn="0" w:lastRowFirstColumn="0" w:lastRowLastColumn="0"/>
            </w:pPr>
            <w:r w:rsidRPr="008054CD">
              <w:t>0</w:t>
            </w:r>
          </w:p>
        </w:tc>
        <w:tc>
          <w:tcPr>
            <w:tcW w:w="922" w:type="dxa"/>
            <w:noWrap/>
            <w:hideMark/>
          </w:tcPr>
          <w:p w:rsidR="00B07128" w:rsidRPr="003F3E0B" w:rsidRDefault="00B07128" w:rsidP="00C54806">
            <w:pPr>
              <w:cnfStyle w:val="000000010000" w:firstRow="0" w:lastRow="0" w:firstColumn="0" w:lastColumn="0" w:oddVBand="0" w:evenVBand="0" w:oddHBand="0" w:evenHBand="1" w:firstRowFirstColumn="0" w:firstRowLastColumn="0" w:lastRowFirstColumn="0" w:lastRowLastColumn="0"/>
              <w:rPr>
                <w:rStyle w:val="Strong"/>
              </w:rPr>
            </w:pPr>
            <w:r w:rsidRPr="003F3E0B">
              <w:rPr>
                <w:rStyle w:val="Strong"/>
              </w:rPr>
              <w:t>20</w:t>
            </w:r>
          </w:p>
        </w:tc>
        <w:tc>
          <w:tcPr>
            <w:tcW w:w="921" w:type="dxa"/>
            <w:noWrap/>
            <w:hideMark/>
          </w:tcPr>
          <w:p w:rsidR="00B07128" w:rsidRPr="008054CD" w:rsidRDefault="00B07128" w:rsidP="00C54806">
            <w:pPr>
              <w:cnfStyle w:val="000000010000" w:firstRow="0" w:lastRow="0" w:firstColumn="0" w:lastColumn="0" w:oddVBand="0" w:evenVBand="0" w:oddHBand="0" w:evenHBand="1" w:firstRowFirstColumn="0" w:firstRowLastColumn="0" w:lastRowFirstColumn="0" w:lastRowLastColumn="0"/>
            </w:pPr>
            <w:r w:rsidRPr="008054CD">
              <w:t>0</w:t>
            </w:r>
          </w:p>
        </w:tc>
        <w:tc>
          <w:tcPr>
            <w:tcW w:w="922" w:type="dxa"/>
          </w:tcPr>
          <w:p w:rsidR="00B07128" w:rsidRPr="008054CD" w:rsidRDefault="00B07128" w:rsidP="00C54806">
            <w:pPr>
              <w:cnfStyle w:val="000000010000" w:firstRow="0" w:lastRow="0" w:firstColumn="0" w:lastColumn="0" w:oddVBand="0" w:evenVBand="0" w:oddHBand="0" w:evenHBand="1" w:firstRowFirstColumn="0" w:firstRowLastColumn="0" w:lastRowFirstColumn="0" w:lastRowLastColumn="0"/>
            </w:pPr>
            <w:r>
              <w:t>20</w:t>
            </w:r>
          </w:p>
        </w:tc>
      </w:tr>
      <w:tr w:rsidR="00B07128" w:rsidRPr="008054CD" w:rsidTr="00A3407D">
        <w:trPr>
          <w:trHeight w:val="315"/>
        </w:trPr>
        <w:tc>
          <w:tcPr>
            <w:cnfStyle w:val="001000000000" w:firstRow="0" w:lastRow="0" w:firstColumn="1" w:lastColumn="0" w:oddVBand="0" w:evenVBand="0" w:oddHBand="0" w:evenHBand="0" w:firstRowFirstColumn="0" w:firstRowLastColumn="0" w:lastRowFirstColumn="0" w:lastRowLastColumn="0"/>
            <w:tcW w:w="2943" w:type="dxa"/>
            <w:noWrap/>
            <w:hideMark/>
          </w:tcPr>
          <w:p w:rsidR="00B07128" w:rsidRPr="00C54806" w:rsidRDefault="00B07128" w:rsidP="00C54806">
            <w:r>
              <w:t xml:space="preserve">= </w:t>
            </w:r>
            <w:r w:rsidRPr="009702F6">
              <w:t>Asset value (end of year)</w:t>
            </w:r>
          </w:p>
        </w:tc>
        <w:tc>
          <w:tcPr>
            <w:tcW w:w="921" w:type="dxa"/>
            <w:noWrap/>
            <w:hideMark/>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rsidRPr="008054CD">
              <w:t>80</w:t>
            </w:r>
          </w:p>
        </w:tc>
        <w:tc>
          <w:tcPr>
            <w:tcW w:w="922" w:type="dxa"/>
            <w:noWrap/>
            <w:hideMark/>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rsidRPr="008054CD">
              <w:t>60</w:t>
            </w:r>
          </w:p>
        </w:tc>
        <w:tc>
          <w:tcPr>
            <w:tcW w:w="921" w:type="dxa"/>
            <w:noWrap/>
            <w:hideMark/>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rsidRPr="008054CD">
              <w:t>40</w:t>
            </w:r>
          </w:p>
        </w:tc>
        <w:tc>
          <w:tcPr>
            <w:tcW w:w="922" w:type="dxa"/>
            <w:noWrap/>
            <w:hideMark/>
          </w:tcPr>
          <w:p w:rsidR="00B07128" w:rsidRPr="00C54806" w:rsidRDefault="00B07128" w:rsidP="0028105B">
            <w:pPr>
              <w:cnfStyle w:val="000000000000" w:firstRow="0" w:lastRow="0" w:firstColumn="0" w:lastColumn="0" w:oddVBand="0" w:evenVBand="0" w:oddHBand="0" w:evenHBand="0" w:firstRowFirstColumn="0" w:firstRowLastColumn="0" w:lastRowFirstColumn="0" w:lastRowLastColumn="0"/>
            </w:pPr>
            <w:r>
              <w:t>0</w:t>
            </w:r>
          </w:p>
        </w:tc>
        <w:tc>
          <w:tcPr>
            <w:tcW w:w="921" w:type="dxa"/>
            <w:noWrap/>
            <w:hideMark/>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rsidRPr="008054CD">
              <w:t>0</w:t>
            </w:r>
          </w:p>
        </w:tc>
        <w:tc>
          <w:tcPr>
            <w:tcW w:w="922" w:type="dxa"/>
          </w:tcPr>
          <w:p w:rsidR="00B07128" w:rsidRPr="008054CD" w:rsidRDefault="00B07128" w:rsidP="00C54806">
            <w:pPr>
              <w:cnfStyle w:val="000000000000" w:firstRow="0" w:lastRow="0" w:firstColumn="0" w:lastColumn="0" w:oddVBand="0" w:evenVBand="0" w:oddHBand="0" w:evenHBand="0" w:firstRowFirstColumn="0" w:firstRowLastColumn="0" w:lastRowFirstColumn="0" w:lastRowLastColumn="0"/>
            </w:pPr>
            <w:r>
              <w:t>n/a</w:t>
            </w:r>
          </w:p>
        </w:tc>
      </w:tr>
      <w:tr w:rsidR="00B07128" w:rsidRPr="008054CD" w:rsidTr="00A3407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43" w:type="dxa"/>
            <w:noWrap/>
          </w:tcPr>
          <w:p w:rsidR="00B07128" w:rsidRPr="00CC09D5" w:rsidRDefault="00B07128" w:rsidP="00CC09D5">
            <w:r>
              <w:t xml:space="preserve">Service provider </w:t>
            </w:r>
            <w:r w:rsidRPr="00CC09D5">
              <w:t>cash</w:t>
            </w:r>
            <w:r>
              <w:t xml:space="preserve"> </w:t>
            </w:r>
            <w:r w:rsidRPr="00CC09D5">
              <w:t>flow</w:t>
            </w:r>
          </w:p>
        </w:tc>
        <w:tc>
          <w:tcPr>
            <w:tcW w:w="921" w:type="dxa"/>
            <w:noWrap/>
          </w:tcPr>
          <w:p w:rsidR="00B07128" w:rsidRPr="00CC09D5" w:rsidRDefault="00B07128" w:rsidP="00CC09D5">
            <w:pPr>
              <w:cnfStyle w:val="000000010000" w:firstRow="0" w:lastRow="0" w:firstColumn="0" w:lastColumn="0" w:oddVBand="0" w:evenVBand="0" w:oddHBand="0" w:evenHBand="1" w:firstRowFirstColumn="0" w:firstRowLastColumn="0" w:lastRowFirstColumn="0" w:lastRowLastColumn="0"/>
            </w:pPr>
            <w:r>
              <w:t>20</w:t>
            </w:r>
          </w:p>
        </w:tc>
        <w:tc>
          <w:tcPr>
            <w:tcW w:w="922" w:type="dxa"/>
            <w:noWrap/>
          </w:tcPr>
          <w:p w:rsidR="00B07128" w:rsidRPr="00CC09D5" w:rsidRDefault="00B07128" w:rsidP="00CC09D5">
            <w:pPr>
              <w:cnfStyle w:val="000000010000" w:firstRow="0" w:lastRow="0" w:firstColumn="0" w:lastColumn="0" w:oddVBand="0" w:evenVBand="0" w:oddHBand="0" w:evenHBand="1" w:firstRowFirstColumn="0" w:firstRowLastColumn="0" w:lastRowFirstColumn="0" w:lastRowLastColumn="0"/>
            </w:pPr>
            <w:r>
              <w:t>20</w:t>
            </w:r>
          </w:p>
        </w:tc>
        <w:tc>
          <w:tcPr>
            <w:tcW w:w="921" w:type="dxa"/>
            <w:noWrap/>
          </w:tcPr>
          <w:p w:rsidR="00B07128" w:rsidRPr="00CC09D5" w:rsidRDefault="00B07128" w:rsidP="00CC09D5">
            <w:pPr>
              <w:cnfStyle w:val="000000010000" w:firstRow="0" w:lastRow="0" w:firstColumn="0" w:lastColumn="0" w:oddVBand="0" w:evenVBand="0" w:oddHBand="0" w:evenHBand="1" w:firstRowFirstColumn="0" w:firstRowLastColumn="0" w:lastRowFirstColumn="0" w:lastRowLastColumn="0"/>
            </w:pPr>
            <w:r>
              <w:t>20</w:t>
            </w:r>
          </w:p>
        </w:tc>
        <w:tc>
          <w:tcPr>
            <w:tcW w:w="922" w:type="dxa"/>
            <w:noWrap/>
          </w:tcPr>
          <w:p w:rsidR="00B07128" w:rsidRPr="003F3E0B" w:rsidRDefault="00B07128" w:rsidP="00CC09D5">
            <w:pPr>
              <w:cnfStyle w:val="000000010000" w:firstRow="0" w:lastRow="0" w:firstColumn="0" w:lastColumn="0" w:oddVBand="0" w:evenVBand="0" w:oddHBand="0" w:evenHBand="1" w:firstRowFirstColumn="0" w:firstRowLastColumn="0" w:lastRowFirstColumn="0" w:lastRowLastColumn="0"/>
              <w:rPr>
                <w:rStyle w:val="Strong"/>
              </w:rPr>
            </w:pPr>
            <w:r w:rsidRPr="003F3E0B">
              <w:rPr>
                <w:rStyle w:val="Strong"/>
              </w:rPr>
              <w:t>50</w:t>
            </w:r>
          </w:p>
        </w:tc>
        <w:tc>
          <w:tcPr>
            <w:tcW w:w="921" w:type="dxa"/>
            <w:noWrap/>
          </w:tcPr>
          <w:p w:rsidR="00B07128" w:rsidRPr="003F3E0B" w:rsidRDefault="00B07128" w:rsidP="00CC09D5">
            <w:pPr>
              <w:cnfStyle w:val="000000010000" w:firstRow="0" w:lastRow="0" w:firstColumn="0" w:lastColumn="0" w:oddVBand="0" w:evenVBand="0" w:oddHBand="0" w:evenHBand="1" w:firstRowFirstColumn="0" w:firstRowLastColumn="0" w:lastRowFirstColumn="0" w:lastRowLastColumn="0"/>
              <w:rPr>
                <w:rStyle w:val="Strong"/>
              </w:rPr>
            </w:pPr>
            <w:r w:rsidRPr="003F3E0B">
              <w:rPr>
                <w:rStyle w:val="Strong"/>
              </w:rPr>
              <w:t>0</w:t>
            </w:r>
          </w:p>
        </w:tc>
        <w:tc>
          <w:tcPr>
            <w:tcW w:w="922" w:type="dxa"/>
          </w:tcPr>
          <w:p w:rsidR="00B07128" w:rsidRPr="00CC09D5" w:rsidRDefault="00B07128" w:rsidP="00CC09D5">
            <w:pPr>
              <w:cnfStyle w:val="000000010000" w:firstRow="0" w:lastRow="0" w:firstColumn="0" w:lastColumn="0" w:oddVBand="0" w:evenVBand="0" w:oddHBand="0" w:evenHBand="1" w:firstRowFirstColumn="0" w:firstRowLastColumn="0" w:lastRowFirstColumn="0" w:lastRowLastColumn="0"/>
            </w:pPr>
            <w:r>
              <w:t>110</w:t>
            </w:r>
          </w:p>
        </w:tc>
      </w:tr>
    </w:tbl>
    <w:p w:rsidR="00E95803" w:rsidRDefault="00696F37" w:rsidP="00D8773B">
      <w:r>
        <w:t>R</w:t>
      </w:r>
      <w:r w:rsidR="00E95803">
        <w:t xml:space="preserve">ow five of </w:t>
      </w:r>
      <w:r w:rsidR="005A3158">
        <w:fldChar w:fldCharType="begin"/>
      </w:r>
      <w:r w:rsidR="005A3158">
        <w:instrText xml:space="preserve"> REF  _Ref445478853 \* Lower \h </w:instrText>
      </w:r>
      <w:r w:rsidR="005A3158">
        <w:fldChar w:fldCharType="separate"/>
      </w:r>
      <w:r w:rsidR="00060C68" w:rsidRPr="00B53C66">
        <w:t xml:space="preserve">table </w:t>
      </w:r>
      <w:r w:rsidR="00060C68">
        <w:rPr>
          <w:noProof/>
        </w:rPr>
        <w:t>2</w:t>
      </w:r>
      <w:r w:rsidR="00060C68">
        <w:t>.</w:t>
      </w:r>
      <w:r w:rsidR="00060C68">
        <w:rPr>
          <w:noProof/>
        </w:rPr>
        <w:t>7</w:t>
      </w:r>
      <w:r w:rsidR="005A3158">
        <w:fldChar w:fldCharType="end"/>
      </w:r>
      <w:r w:rsidR="009E7630">
        <w:t xml:space="preserve"> </w:t>
      </w:r>
      <w:r w:rsidR="00C54806">
        <w:t xml:space="preserve">shows that </w:t>
      </w:r>
      <w:r w:rsidR="00012C4E">
        <w:t xml:space="preserve">the </w:t>
      </w:r>
      <w:r w:rsidR="00C54806">
        <w:t xml:space="preserve">disposal value of </w:t>
      </w:r>
      <w:r w:rsidR="009E7630">
        <w:t>$</w:t>
      </w:r>
      <w:r w:rsidR="009E7630" w:rsidRPr="009E7630">
        <w:t>20</w:t>
      </w:r>
      <w:r w:rsidR="00C54806">
        <w:t xml:space="preserve"> </w:t>
      </w:r>
      <w:r w:rsidR="00012C4E">
        <w:t xml:space="preserve">(written down value) </w:t>
      </w:r>
      <w:r w:rsidR="00C54806">
        <w:t>is recorded in year 4</w:t>
      </w:r>
      <w:r w:rsidR="007B4759">
        <w:t xml:space="preserve">, </w:t>
      </w:r>
      <w:r w:rsidR="00A36516">
        <w:t>which is lower than</w:t>
      </w:r>
      <w:r w:rsidR="007B4759">
        <w:t xml:space="preserve"> the actual proceeds from sale of $30</w:t>
      </w:r>
      <w:r w:rsidR="00A8593E">
        <w:t xml:space="preserve">. </w:t>
      </w:r>
      <w:r w:rsidR="00C54806">
        <w:t xml:space="preserve">The asset </w:t>
      </w:r>
      <w:r w:rsidR="00C54806">
        <w:lastRenderedPageBreak/>
        <w:t xml:space="preserve">value at the end of year </w:t>
      </w:r>
      <w:r w:rsidR="009702F6">
        <w:t xml:space="preserve">4 </w:t>
      </w:r>
      <w:r w:rsidR="00C54806">
        <w:t xml:space="preserve">is therefore </w:t>
      </w:r>
      <w:r w:rsidR="00E95803">
        <w:t>$</w:t>
      </w:r>
      <w:r w:rsidR="00C54806">
        <w:t>0</w:t>
      </w:r>
      <w:r>
        <w:t>. In contrast to the AER approach, this means</w:t>
      </w:r>
      <w:r w:rsidR="00C54806">
        <w:t xml:space="preserve"> no depreciation occurs in year 5.</w:t>
      </w:r>
    </w:p>
    <w:p w:rsidR="00A8593E" w:rsidRDefault="00696F37" w:rsidP="00D8773B">
      <w:r>
        <w:t xml:space="preserve">Analysis of the </w:t>
      </w:r>
      <w:r w:rsidR="00A36516">
        <w:t>service provider</w:t>
      </w:r>
      <w:r>
        <w:t>'</w:t>
      </w:r>
      <w:r w:rsidR="00A36516">
        <w:t>s</w:t>
      </w:r>
      <w:r>
        <w:t xml:space="preserve"> cash</w:t>
      </w:r>
      <w:r w:rsidR="00A36516">
        <w:t xml:space="preserve"> </w:t>
      </w:r>
      <w:r>
        <w:t xml:space="preserve">flow shows that </w:t>
      </w:r>
      <w:r w:rsidR="00A36516">
        <w:t>it</w:t>
      </w:r>
      <w:r>
        <w:t xml:space="preserve"> recovers more than initially invested in the business. There is expenditure of $100 in</w:t>
      </w:r>
      <w:r w:rsidR="00A36516">
        <w:t>itially before the start of</w:t>
      </w:r>
      <w:r>
        <w:t xml:space="preserve"> year </w:t>
      </w:r>
      <w:r w:rsidR="00A36516">
        <w:t>1</w:t>
      </w:r>
      <w:r>
        <w:t xml:space="preserve">, and revenue of $20 in year 1, year 2 and year 3 reflecting the depreciation allowance in each of these years. In year 4, even though the RAB was adjusted by the written down value </w:t>
      </w:r>
      <w:r w:rsidR="00226F94">
        <w:t xml:space="preserve">of </w:t>
      </w:r>
      <w:r>
        <w:t xml:space="preserve">$20, the business actually receives $30 proceeds from the sale. Hence, revenue </w:t>
      </w:r>
      <w:r w:rsidR="00A36516">
        <w:t>for</w:t>
      </w:r>
      <w:r>
        <w:t xml:space="preserve"> year</w:t>
      </w:r>
      <w:r w:rsidR="00A36516">
        <w:t xml:space="preserve"> 4</w:t>
      </w:r>
      <w:r>
        <w:t xml:space="preserve"> is $50, </w:t>
      </w:r>
      <w:r w:rsidR="00A36516">
        <w:t>being</w:t>
      </w:r>
      <w:r>
        <w:t xml:space="preserve"> the sum of depreciation ($20) and proceeds from sale ($30). Unlike the AER approach, there is no </w:t>
      </w:r>
      <w:r w:rsidR="00226F94">
        <w:t>outflow in year </w:t>
      </w:r>
      <w:r>
        <w:t>5</w:t>
      </w:r>
      <w:r w:rsidR="00226F94">
        <w:t>. The total capital return is $110, $10 more than initially invested. Hence, the principle behind clause 6.5.5(b)(2)</w:t>
      </w:r>
      <w:r w:rsidR="00A3407D">
        <w:t xml:space="preserve"> of the NER</w:t>
      </w:r>
      <w:r w:rsidR="00226F94">
        <w:t xml:space="preserve"> is not preserved.</w:t>
      </w:r>
    </w:p>
    <w:p w:rsidR="00F867BA" w:rsidRDefault="00F867BA" w:rsidP="00B35737">
      <w:r>
        <w:t>Having reviewed all the material before us, we consider that using proceeds from sale:</w:t>
      </w:r>
    </w:p>
    <w:p w:rsidR="00F867BA" w:rsidRDefault="003938A8" w:rsidP="003F3E0B">
      <w:pPr>
        <w:pStyle w:val="AERbulletlistfirststyle"/>
      </w:pPr>
      <w:r>
        <w:t>i</w:t>
      </w:r>
      <w:r w:rsidR="00F867BA">
        <w:t>s consistent with past historical treatment for AusNet Services</w:t>
      </w:r>
    </w:p>
    <w:p w:rsidR="00F867BA" w:rsidRDefault="003938A8" w:rsidP="003F3E0B">
      <w:pPr>
        <w:pStyle w:val="AERbulletlistfirststyle"/>
      </w:pPr>
      <w:r>
        <w:t>m</w:t>
      </w:r>
      <w:r w:rsidR="00F867BA">
        <w:t xml:space="preserve">eets the requirements of </w:t>
      </w:r>
      <w:r w:rsidR="00F867BA" w:rsidRPr="0024177C">
        <w:t>clause</w:t>
      </w:r>
      <w:r w:rsidR="00B07128">
        <w:t>s</w:t>
      </w:r>
      <w:r w:rsidR="00F867BA" w:rsidRPr="0024177C">
        <w:t xml:space="preserve"> 6.5.5(b)(2) and S6.2.1(e)(6) of the NER</w:t>
      </w:r>
    </w:p>
    <w:p w:rsidR="00F867BA" w:rsidRDefault="003938A8" w:rsidP="003F3E0B">
      <w:pPr>
        <w:pStyle w:val="AERbulletlistfirststyle"/>
      </w:pPr>
      <w:r>
        <w:t>p</w:t>
      </w:r>
      <w:r w:rsidR="00F867BA">
        <w:t>rovides appropriate incentives to the service provider.</w:t>
      </w:r>
    </w:p>
    <w:p w:rsidR="009019E3" w:rsidRDefault="003938A8" w:rsidP="009019E3">
      <w:r>
        <w:t xml:space="preserve">Therefore, consistent with our preliminary decision, we </w:t>
      </w:r>
      <w:r w:rsidR="007D060D">
        <w:t>consider t</w:t>
      </w:r>
      <w:r w:rsidR="00A32DD3">
        <w:t xml:space="preserve">he </w:t>
      </w:r>
      <w:r>
        <w:t xml:space="preserve">disposal </w:t>
      </w:r>
      <w:r w:rsidR="00A32DD3">
        <w:t>value of asset</w:t>
      </w:r>
      <w:r>
        <w:t xml:space="preserve">s </w:t>
      </w:r>
      <w:r w:rsidR="00A32DD3">
        <w:t>should be the gross proceeds from sales</w:t>
      </w:r>
      <w:r w:rsidR="00E33027">
        <w:t>.</w:t>
      </w:r>
      <w:r>
        <w:rPr>
          <w:rStyle w:val="FootnoteReference"/>
        </w:rPr>
        <w:footnoteReference w:id="52"/>
      </w:r>
      <w:r>
        <w:t xml:space="preserve"> </w:t>
      </w:r>
      <w:r w:rsidR="00BB5316">
        <w:t xml:space="preserve">We note the other Victorian service providers have adopted the use of gross proceeds for their disposal </w:t>
      </w:r>
      <w:r w:rsidR="00BB5316" w:rsidRPr="009019E3">
        <w:rPr>
          <w:rStyle w:val="AERbody"/>
        </w:rPr>
        <w:t>values</w:t>
      </w:r>
      <w:r w:rsidR="00BB5316">
        <w:t xml:space="preserve"> in the RFM. </w:t>
      </w:r>
      <w:r w:rsidR="00E33027">
        <w:t xml:space="preserve">Our final decision on the </w:t>
      </w:r>
      <w:r w:rsidR="00BB5316">
        <w:t xml:space="preserve">total </w:t>
      </w:r>
      <w:r w:rsidR="00E33027">
        <w:t xml:space="preserve">value of </w:t>
      </w:r>
      <w:r w:rsidR="00BB5316">
        <w:t xml:space="preserve">AusNet Services' </w:t>
      </w:r>
      <w:r w:rsidR="00E33027">
        <w:t>asset disposal</w:t>
      </w:r>
      <w:r w:rsidR="00BB5316">
        <w:t>s</w:t>
      </w:r>
      <w:r w:rsidR="00E33027">
        <w:t xml:space="preserve"> for the 2011–15 regulatory control period is </w:t>
      </w:r>
      <w:r w:rsidR="005F3019">
        <w:t xml:space="preserve">$6.1 million ($ nominal) as </w:t>
      </w:r>
      <w:r w:rsidR="00E33027">
        <w:t>set out in</w:t>
      </w:r>
      <w:r w:rsidR="002C1B51">
        <w:t xml:space="preserve"> </w:t>
      </w:r>
      <w:r w:rsidR="005A3158">
        <w:fldChar w:fldCharType="begin"/>
      </w:r>
      <w:r w:rsidR="005A3158">
        <w:instrText xml:space="preserve"> REF  _Ref451355212 \* Lower \h </w:instrText>
      </w:r>
      <w:r w:rsidR="005A3158">
        <w:fldChar w:fldCharType="separate"/>
      </w:r>
      <w:r w:rsidR="00060C68">
        <w:t xml:space="preserve">table </w:t>
      </w:r>
      <w:r w:rsidR="00060C68">
        <w:rPr>
          <w:noProof/>
        </w:rPr>
        <w:t>2</w:t>
      </w:r>
      <w:r w:rsidR="00060C68">
        <w:t>.</w:t>
      </w:r>
      <w:r w:rsidR="00060C68">
        <w:rPr>
          <w:noProof/>
        </w:rPr>
        <w:t>8</w:t>
      </w:r>
      <w:r w:rsidR="005A3158">
        <w:fldChar w:fldCharType="end"/>
      </w:r>
      <w:r w:rsidR="009019E3">
        <w:t>.</w:t>
      </w:r>
      <w:bookmarkStart w:id="86" w:name="_Ref445216450"/>
    </w:p>
    <w:p w:rsidR="002C1B51" w:rsidRDefault="002C1B51" w:rsidP="002C1B51">
      <w:pPr>
        <w:pStyle w:val="Caption"/>
      </w:pPr>
      <w:bookmarkStart w:id="87" w:name="_Ref451355212"/>
      <w:bookmarkEnd w:id="86"/>
      <w:r>
        <w:t xml:space="preserve">Table </w:t>
      </w:r>
      <w:r w:rsidR="003A2B97">
        <w:fldChar w:fldCharType="begin"/>
      </w:r>
      <w:r w:rsidR="003A2B97">
        <w:instrText xml:space="preserve"> STYLEREF 1 \s </w:instrText>
      </w:r>
      <w:r w:rsidR="003A2B97">
        <w:fldChar w:fldCharType="separate"/>
      </w:r>
      <w:r w:rsidR="00060C68">
        <w:rPr>
          <w:noProof/>
        </w:rPr>
        <w:t>2</w:t>
      </w:r>
      <w:r w:rsidR="003A2B97">
        <w:rPr>
          <w:noProof/>
        </w:rPr>
        <w:fldChar w:fldCharType="end"/>
      </w:r>
      <w:r w:rsidR="00060C68">
        <w:t>.</w:t>
      </w:r>
      <w:r w:rsidR="003A2B97">
        <w:fldChar w:fldCharType="begin"/>
      </w:r>
      <w:r w:rsidR="003A2B97">
        <w:instrText xml:space="preserve"> SEQ Table \* ARABIC \s 1 </w:instrText>
      </w:r>
      <w:r w:rsidR="003A2B97">
        <w:fldChar w:fldCharType="separate"/>
      </w:r>
      <w:r w:rsidR="00060C68">
        <w:rPr>
          <w:noProof/>
        </w:rPr>
        <w:t>8</w:t>
      </w:r>
      <w:r w:rsidR="003A2B97">
        <w:rPr>
          <w:noProof/>
        </w:rPr>
        <w:fldChar w:fldCharType="end"/>
      </w:r>
      <w:bookmarkEnd w:id="87"/>
      <w:r w:rsidRPr="002C1B51">
        <w:t xml:space="preserve"> </w:t>
      </w:r>
      <w:r>
        <w:tab/>
        <w:t>AER final decision on disposal value of assets for the 2011–15 regulatory control period, ($million, nominal)</w:t>
      </w:r>
    </w:p>
    <w:tbl>
      <w:tblPr>
        <w:tblStyle w:val="AERtable-numbers"/>
        <w:tblW w:w="8693" w:type="dxa"/>
        <w:tblLayout w:type="fixed"/>
        <w:tblLook w:val="04A0" w:firstRow="1" w:lastRow="0" w:firstColumn="1" w:lastColumn="0" w:noHBand="0" w:noVBand="1"/>
      </w:tblPr>
      <w:tblGrid>
        <w:gridCol w:w="2802"/>
        <w:gridCol w:w="736"/>
        <w:gridCol w:w="1031"/>
        <w:gridCol w:w="1031"/>
        <w:gridCol w:w="1031"/>
        <w:gridCol w:w="1031"/>
        <w:gridCol w:w="1031"/>
      </w:tblGrid>
      <w:tr w:rsidR="00BB5316" w:rsidRPr="00E33027" w:rsidTr="00A3407D">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802" w:type="dxa"/>
            <w:noWrap/>
            <w:hideMark/>
          </w:tcPr>
          <w:p w:rsidR="00BB5316" w:rsidRPr="00E33027" w:rsidRDefault="00BB5316" w:rsidP="00E33027"/>
        </w:tc>
        <w:tc>
          <w:tcPr>
            <w:tcW w:w="736" w:type="dxa"/>
            <w:noWrap/>
            <w:hideMark/>
          </w:tcPr>
          <w:p w:rsidR="00BB5316" w:rsidRPr="00E33027" w:rsidRDefault="00BB5316" w:rsidP="00E33027">
            <w:pPr>
              <w:cnfStyle w:val="100000000000" w:firstRow="1" w:lastRow="0" w:firstColumn="0" w:lastColumn="0" w:oddVBand="0" w:evenVBand="0" w:oddHBand="0" w:evenHBand="0" w:firstRowFirstColumn="0" w:firstRowLastColumn="0" w:lastRowFirstColumn="0" w:lastRowLastColumn="0"/>
            </w:pPr>
            <w:r w:rsidRPr="00E33027">
              <w:t>2011</w:t>
            </w:r>
          </w:p>
        </w:tc>
        <w:tc>
          <w:tcPr>
            <w:tcW w:w="1031" w:type="dxa"/>
            <w:noWrap/>
            <w:hideMark/>
          </w:tcPr>
          <w:p w:rsidR="00BB5316" w:rsidRPr="00E33027" w:rsidRDefault="00BB5316" w:rsidP="00E33027">
            <w:pPr>
              <w:cnfStyle w:val="100000000000" w:firstRow="1" w:lastRow="0" w:firstColumn="0" w:lastColumn="0" w:oddVBand="0" w:evenVBand="0" w:oddHBand="0" w:evenHBand="0" w:firstRowFirstColumn="0" w:firstRowLastColumn="0" w:lastRowFirstColumn="0" w:lastRowLastColumn="0"/>
            </w:pPr>
            <w:r w:rsidRPr="00E33027">
              <w:t>2012</w:t>
            </w:r>
          </w:p>
        </w:tc>
        <w:tc>
          <w:tcPr>
            <w:tcW w:w="1031" w:type="dxa"/>
            <w:noWrap/>
            <w:hideMark/>
          </w:tcPr>
          <w:p w:rsidR="00BB5316" w:rsidRPr="00E33027" w:rsidRDefault="00BB5316" w:rsidP="00E33027">
            <w:pPr>
              <w:cnfStyle w:val="100000000000" w:firstRow="1" w:lastRow="0" w:firstColumn="0" w:lastColumn="0" w:oddVBand="0" w:evenVBand="0" w:oddHBand="0" w:evenHBand="0" w:firstRowFirstColumn="0" w:firstRowLastColumn="0" w:lastRowFirstColumn="0" w:lastRowLastColumn="0"/>
            </w:pPr>
            <w:r w:rsidRPr="00E33027">
              <w:t>2013</w:t>
            </w:r>
          </w:p>
        </w:tc>
        <w:tc>
          <w:tcPr>
            <w:tcW w:w="1031" w:type="dxa"/>
            <w:noWrap/>
            <w:hideMark/>
          </w:tcPr>
          <w:p w:rsidR="00BB5316" w:rsidRPr="00E33027" w:rsidRDefault="00BB5316" w:rsidP="00E33027">
            <w:pPr>
              <w:cnfStyle w:val="100000000000" w:firstRow="1" w:lastRow="0" w:firstColumn="0" w:lastColumn="0" w:oddVBand="0" w:evenVBand="0" w:oddHBand="0" w:evenHBand="0" w:firstRowFirstColumn="0" w:firstRowLastColumn="0" w:lastRowFirstColumn="0" w:lastRowLastColumn="0"/>
            </w:pPr>
            <w:r w:rsidRPr="00E33027">
              <w:t>2014</w:t>
            </w:r>
          </w:p>
        </w:tc>
        <w:tc>
          <w:tcPr>
            <w:tcW w:w="1031" w:type="dxa"/>
            <w:noWrap/>
            <w:hideMark/>
          </w:tcPr>
          <w:p w:rsidR="00BB5316" w:rsidRPr="00E33027" w:rsidRDefault="00BB5316" w:rsidP="00E33027">
            <w:pPr>
              <w:cnfStyle w:val="100000000000" w:firstRow="1" w:lastRow="0" w:firstColumn="0" w:lastColumn="0" w:oddVBand="0" w:evenVBand="0" w:oddHBand="0" w:evenHBand="0" w:firstRowFirstColumn="0" w:firstRowLastColumn="0" w:lastRowFirstColumn="0" w:lastRowLastColumn="0"/>
            </w:pPr>
            <w:r w:rsidRPr="00E33027">
              <w:t>2015</w:t>
            </w:r>
            <w:r w:rsidRPr="001B604E">
              <w:rPr>
                <w:rStyle w:val="AERsuperscript"/>
              </w:rPr>
              <w:t>a</w:t>
            </w:r>
          </w:p>
        </w:tc>
        <w:tc>
          <w:tcPr>
            <w:tcW w:w="1031" w:type="dxa"/>
          </w:tcPr>
          <w:p w:rsidR="00BB5316" w:rsidRPr="00E33027" w:rsidRDefault="00BB5316" w:rsidP="00E33027">
            <w:pPr>
              <w:cnfStyle w:val="100000000000" w:firstRow="1" w:lastRow="0" w:firstColumn="0" w:lastColumn="0" w:oddVBand="0" w:evenVBand="0" w:oddHBand="0" w:evenHBand="0" w:firstRowFirstColumn="0" w:firstRowLastColumn="0" w:lastRowFirstColumn="0" w:lastRowLastColumn="0"/>
            </w:pPr>
            <w:r>
              <w:t>Total</w:t>
            </w:r>
          </w:p>
        </w:tc>
      </w:tr>
      <w:tr w:rsidR="00BB5316" w:rsidRPr="00E33027" w:rsidTr="00A3407D">
        <w:trPr>
          <w:trHeight w:val="412"/>
        </w:trPr>
        <w:tc>
          <w:tcPr>
            <w:cnfStyle w:val="001000000000" w:firstRow="0" w:lastRow="0" w:firstColumn="1" w:lastColumn="0" w:oddVBand="0" w:evenVBand="0" w:oddHBand="0" w:evenHBand="0" w:firstRowFirstColumn="0" w:firstRowLastColumn="0" w:lastRowFirstColumn="0" w:lastRowLastColumn="0"/>
            <w:tcW w:w="2802" w:type="dxa"/>
            <w:noWrap/>
            <w:hideMark/>
          </w:tcPr>
          <w:p w:rsidR="00BB5316" w:rsidRPr="00E33027" w:rsidRDefault="00BB5316" w:rsidP="00160097">
            <w:r>
              <w:t>Disposal v</w:t>
            </w:r>
            <w:r w:rsidRPr="00E33027">
              <w:t xml:space="preserve">alue </w:t>
            </w:r>
            <w:r>
              <w:t>(proceeds from sale)</w:t>
            </w:r>
            <w:r w:rsidRPr="00E33027">
              <w:t xml:space="preserve"> </w:t>
            </w:r>
          </w:p>
        </w:tc>
        <w:tc>
          <w:tcPr>
            <w:tcW w:w="736" w:type="dxa"/>
            <w:noWrap/>
            <w:hideMark/>
          </w:tcPr>
          <w:p w:rsidR="00BB5316" w:rsidRPr="00E33027" w:rsidRDefault="00BB5316">
            <w:pPr>
              <w:cnfStyle w:val="000000000000" w:firstRow="0" w:lastRow="0" w:firstColumn="0" w:lastColumn="0" w:oddVBand="0" w:evenVBand="0" w:oddHBand="0" w:evenHBand="0" w:firstRowFirstColumn="0" w:firstRowLastColumn="0" w:lastRowFirstColumn="0" w:lastRowLastColumn="0"/>
            </w:pPr>
            <w:r w:rsidRPr="00E33027">
              <w:t>0.3</w:t>
            </w:r>
          </w:p>
        </w:tc>
        <w:tc>
          <w:tcPr>
            <w:tcW w:w="1031" w:type="dxa"/>
            <w:noWrap/>
            <w:hideMark/>
          </w:tcPr>
          <w:p w:rsidR="00BB5316" w:rsidRPr="00E33027" w:rsidRDefault="00BB5316">
            <w:pPr>
              <w:cnfStyle w:val="000000000000" w:firstRow="0" w:lastRow="0" w:firstColumn="0" w:lastColumn="0" w:oddVBand="0" w:evenVBand="0" w:oddHBand="0" w:evenHBand="0" w:firstRowFirstColumn="0" w:firstRowLastColumn="0" w:lastRowFirstColumn="0" w:lastRowLastColumn="0"/>
            </w:pPr>
            <w:r w:rsidRPr="00E33027">
              <w:t>3.8</w:t>
            </w:r>
          </w:p>
        </w:tc>
        <w:tc>
          <w:tcPr>
            <w:tcW w:w="1031" w:type="dxa"/>
            <w:noWrap/>
            <w:hideMark/>
          </w:tcPr>
          <w:p w:rsidR="00BB5316" w:rsidRPr="00E33027" w:rsidRDefault="00BB5316">
            <w:pPr>
              <w:cnfStyle w:val="000000000000" w:firstRow="0" w:lastRow="0" w:firstColumn="0" w:lastColumn="0" w:oddVBand="0" w:evenVBand="0" w:oddHBand="0" w:evenHBand="0" w:firstRowFirstColumn="0" w:firstRowLastColumn="0" w:lastRowFirstColumn="0" w:lastRowLastColumn="0"/>
            </w:pPr>
            <w:r w:rsidRPr="00E33027">
              <w:t>0.</w:t>
            </w:r>
            <w:r>
              <w:t>4</w:t>
            </w:r>
          </w:p>
        </w:tc>
        <w:tc>
          <w:tcPr>
            <w:tcW w:w="1031" w:type="dxa"/>
            <w:noWrap/>
            <w:hideMark/>
          </w:tcPr>
          <w:p w:rsidR="00BB5316" w:rsidRPr="00E33027" w:rsidRDefault="00BB5316">
            <w:pPr>
              <w:cnfStyle w:val="000000000000" w:firstRow="0" w:lastRow="0" w:firstColumn="0" w:lastColumn="0" w:oddVBand="0" w:evenVBand="0" w:oddHBand="0" w:evenHBand="0" w:firstRowFirstColumn="0" w:firstRowLastColumn="0" w:lastRowFirstColumn="0" w:lastRowLastColumn="0"/>
            </w:pPr>
            <w:r w:rsidRPr="00E33027">
              <w:t>0.4</w:t>
            </w:r>
          </w:p>
        </w:tc>
        <w:tc>
          <w:tcPr>
            <w:tcW w:w="1031" w:type="dxa"/>
            <w:noWrap/>
            <w:hideMark/>
          </w:tcPr>
          <w:p w:rsidR="00BB5316" w:rsidRPr="00E33027" w:rsidRDefault="00BB5316">
            <w:pPr>
              <w:cnfStyle w:val="000000000000" w:firstRow="0" w:lastRow="0" w:firstColumn="0" w:lastColumn="0" w:oddVBand="0" w:evenVBand="0" w:oddHBand="0" w:evenHBand="0" w:firstRowFirstColumn="0" w:firstRowLastColumn="0" w:lastRowFirstColumn="0" w:lastRowLastColumn="0"/>
            </w:pPr>
            <w:r w:rsidRPr="00E33027">
              <w:t>1.</w:t>
            </w:r>
            <w:r>
              <w:t>2</w:t>
            </w:r>
          </w:p>
        </w:tc>
        <w:tc>
          <w:tcPr>
            <w:tcW w:w="1031" w:type="dxa"/>
          </w:tcPr>
          <w:p w:rsidR="00BB5316" w:rsidRPr="00E33027" w:rsidRDefault="00BB5316">
            <w:pPr>
              <w:cnfStyle w:val="000000000000" w:firstRow="0" w:lastRow="0" w:firstColumn="0" w:lastColumn="0" w:oddVBand="0" w:evenVBand="0" w:oddHBand="0" w:evenHBand="0" w:firstRowFirstColumn="0" w:firstRowLastColumn="0" w:lastRowFirstColumn="0" w:lastRowLastColumn="0"/>
            </w:pPr>
            <w:r>
              <w:t>6.1</w:t>
            </w:r>
          </w:p>
        </w:tc>
      </w:tr>
    </w:tbl>
    <w:p w:rsidR="001B604E" w:rsidRPr="001B604E" w:rsidRDefault="001B604E" w:rsidP="001B604E">
      <w:pPr>
        <w:pStyle w:val="AERtablesource"/>
      </w:pPr>
      <w:r w:rsidRPr="001B604E">
        <w:t>(a)</w:t>
      </w:r>
      <w:r w:rsidRPr="001B604E">
        <w:tab/>
      </w:r>
      <w:r>
        <w:t>Based on estimate</w:t>
      </w:r>
      <w:r w:rsidRPr="001B604E">
        <w:t>.</w:t>
      </w:r>
    </w:p>
    <w:p w:rsidR="00B35737" w:rsidRPr="0020314F" w:rsidRDefault="00BD6BAB" w:rsidP="001F5A2B">
      <w:pPr>
        <w:pStyle w:val="HeadingBoldBlue"/>
      </w:pPr>
      <w:r>
        <w:t>Inflation adjustment to p</w:t>
      </w:r>
      <w:r w:rsidR="00B35737" w:rsidRPr="0020314F">
        <w:t xml:space="preserve">revious period </w:t>
      </w:r>
      <w:r>
        <w:t>capex</w:t>
      </w:r>
    </w:p>
    <w:p w:rsidR="00B35737" w:rsidRDefault="00B35737" w:rsidP="00B35737">
      <w:r>
        <w:t xml:space="preserve">The template </w:t>
      </w:r>
      <w:r w:rsidR="001408B6">
        <w:t xml:space="preserve">distribution </w:t>
      </w:r>
      <w:r>
        <w:t xml:space="preserve">RFM has an input in the 'Adjustment for previous period' </w:t>
      </w:r>
      <w:r w:rsidR="001408B6">
        <w:t>work</w:t>
      </w:r>
      <w:r>
        <w:t xml:space="preserve">sheet for 2009 inflation. This inflation rate is used when calculating the difference between estimated and actual 2010 </w:t>
      </w:r>
      <w:r w:rsidR="001408B6">
        <w:t xml:space="preserve">(previous period) </w:t>
      </w:r>
      <w:r>
        <w:t>capex to be trued-up in this determination. When th</w:t>
      </w:r>
      <w:r w:rsidR="001408B6">
        <w:t>is</w:t>
      </w:r>
      <w:r>
        <w:t xml:space="preserve"> template RFM was developed</w:t>
      </w:r>
      <w:r w:rsidR="003640A2">
        <w:t>,</w:t>
      </w:r>
      <w:r>
        <w:t xml:space="preserve"> i</w:t>
      </w:r>
      <w:r w:rsidR="001408B6">
        <w:t>t</w:t>
      </w:r>
      <w:r>
        <w:t xml:space="preserve"> was determined that an inflation adjustment was required to</w:t>
      </w:r>
      <w:r w:rsidRPr="004A60B7">
        <w:t xml:space="preserve"> ensure that actual net capex is consistent in nominal terms with the forecast net capex rolled into the RAB as allowed in the </w:t>
      </w:r>
      <w:r w:rsidRPr="004A60B7">
        <w:lastRenderedPageBreak/>
        <w:t xml:space="preserve">previous </w:t>
      </w:r>
      <w:r w:rsidR="001408B6">
        <w:t xml:space="preserve">decision </w:t>
      </w:r>
      <w:r w:rsidRPr="004A60B7">
        <w:t>RFM.</w:t>
      </w:r>
      <w:r>
        <w:t xml:space="preserve"> In our recent review of the </w:t>
      </w:r>
      <w:r w:rsidR="001408B6">
        <w:t xml:space="preserve">template </w:t>
      </w:r>
      <w:r>
        <w:t>transmission RFM</w:t>
      </w:r>
      <w:r w:rsidR="003640A2">
        <w:t xml:space="preserve">, </w:t>
      </w:r>
      <w:r>
        <w:t xml:space="preserve">this </w:t>
      </w:r>
      <w:r w:rsidR="001408B6">
        <w:t>same inflation</w:t>
      </w:r>
      <w:r>
        <w:t xml:space="preserve"> adjustment was removed from the calculation, after further analysis determined that the adjustment was not required when comparing the capex values.</w:t>
      </w:r>
      <w:r>
        <w:rPr>
          <w:rStyle w:val="FootnoteReference"/>
        </w:rPr>
        <w:footnoteReference w:id="53"/>
      </w:r>
    </w:p>
    <w:p w:rsidR="00905FE5" w:rsidRDefault="001408B6" w:rsidP="00B35737">
      <w:r>
        <w:t xml:space="preserve">We note </w:t>
      </w:r>
      <w:r w:rsidR="00046461">
        <w:t xml:space="preserve">AusNet Services' revised proposal </w:t>
      </w:r>
      <w:r w:rsidR="00B35737">
        <w:t xml:space="preserve">removed this </w:t>
      </w:r>
      <w:r>
        <w:t xml:space="preserve">inflation </w:t>
      </w:r>
      <w:r w:rsidR="00B35737">
        <w:t>adjustment</w:t>
      </w:r>
      <w:r>
        <w:t xml:space="preserve"> from the RFM</w:t>
      </w:r>
      <w:r w:rsidR="00C02DEA">
        <w:t>.</w:t>
      </w:r>
      <w:r w:rsidR="00B35737">
        <w:rPr>
          <w:rStyle w:val="FootnoteReference"/>
        </w:rPr>
        <w:footnoteReference w:id="54"/>
      </w:r>
      <w:r w:rsidR="00B35737">
        <w:t xml:space="preserve"> Our final decision is to </w:t>
      </w:r>
      <w:r w:rsidR="00C02DEA">
        <w:t xml:space="preserve">accept AusNet Service's </w:t>
      </w:r>
      <w:r>
        <w:t xml:space="preserve">revised </w:t>
      </w:r>
      <w:r w:rsidR="00C02DEA">
        <w:t xml:space="preserve">proposal to remove </w:t>
      </w:r>
      <w:r w:rsidR="00B35737">
        <w:t xml:space="preserve">the inflation adjustment to </w:t>
      </w:r>
      <w:r>
        <w:t>the previous period</w:t>
      </w:r>
      <w:r w:rsidR="00B35737">
        <w:t xml:space="preserve"> capex, consistent with the </w:t>
      </w:r>
      <w:r>
        <w:t xml:space="preserve">template </w:t>
      </w:r>
      <w:r w:rsidR="00B35737">
        <w:t>transmission RFM.</w:t>
      </w:r>
    </w:p>
    <w:p w:rsidR="00B35737" w:rsidRPr="00905FE5" w:rsidRDefault="00B35737" w:rsidP="00277210">
      <w:pPr>
        <w:pStyle w:val="Heading3"/>
        <w:ind w:left="578" w:hanging="578"/>
      </w:pPr>
      <w:bookmarkStart w:id="88" w:name="_Toc451520806"/>
      <w:r w:rsidRPr="00905FE5">
        <w:t>Forecast closing RAB as at 31 December 2020</w:t>
      </w:r>
      <w:bookmarkEnd w:id="88"/>
    </w:p>
    <w:p w:rsidR="00B35737" w:rsidRDefault="00B35737" w:rsidP="00277210">
      <w:pPr>
        <w:rPr>
          <w:rStyle w:val="AERbody"/>
        </w:rPr>
      </w:pPr>
      <w:r w:rsidRPr="0071683B">
        <w:rPr>
          <w:rStyle w:val="AERbody"/>
        </w:rPr>
        <w:t xml:space="preserve">We forecast a closing RAB value of </w:t>
      </w:r>
      <w:r w:rsidRPr="00277210">
        <w:t>$</w:t>
      </w:r>
      <w:r w:rsidR="00EF6E21" w:rsidRPr="00277210">
        <w:t>4715.4</w:t>
      </w:r>
      <w:r w:rsidR="001F0EC6" w:rsidRPr="00277210">
        <w:t xml:space="preserve"> </w:t>
      </w:r>
      <w:r w:rsidRPr="00277210">
        <w:t xml:space="preserve">million by 31 December 2020 for </w:t>
      </w:r>
      <w:r w:rsidR="000401C7" w:rsidRPr="00277210">
        <w:t>AusNet Services</w:t>
      </w:r>
      <w:r w:rsidRPr="00277210">
        <w:t>. This represents a reduction of $</w:t>
      </w:r>
      <w:r w:rsidR="00EF6E21" w:rsidRPr="00277210">
        <w:t>130.2</w:t>
      </w:r>
      <w:r w:rsidRPr="00277210">
        <w:t xml:space="preserve"> million, or </w:t>
      </w:r>
      <w:r w:rsidR="00EF6E21" w:rsidRPr="00277210">
        <w:t>2.7</w:t>
      </w:r>
      <w:r w:rsidRPr="00277210">
        <w:t xml:space="preserve"> per cent to </w:t>
      </w:r>
      <w:r w:rsidR="000401C7" w:rsidRPr="00277210">
        <w:t>AusNet</w:t>
      </w:r>
      <w:r w:rsidR="000401C7">
        <w:rPr>
          <w:rStyle w:val="AERbody"/>
        </w:rPr>
        <w:t xml:space="preserve"> Services'</w:t>
      </w:r>
      <w:r w:rsidRPr="0071683B">
        <w:rPr>
          <w:rStyle w:val="AERbody"/>
        </w:rPr>
        <w:t xml:space="preserve"> revised proposal. This reduction reflects our final decision on the required inputs for determining the forecast RAB in the PTRM. To determine the forecast RAB value, we have amended the PTRM inputs as a result of the following changes:</w:t>
      </w:r>
    </w:p>
    <w:p w:rsidR="00B35737" w:rsidRPr="00277210" w:rsidRDefault="00B35737" w:rsidP="00277210">
      <w:pPr>
        <w:pStyle w:val="AERbulletlistfirststyle"/>
      </w:pPr>
      <w:r w:rsidRPr="00277210">
        <w:t xml:space="preserve">We reduced </w:t>
      </w:r>
      <w:r w:rsidR="000401C7" w:rsidRPr="00277210">
        <w:t>AusNet Services'</w:t>
      </w:r>
      <w:r w:rsidRPr="00277210">
        <w:t xml:space="preserve"> revised proposed opening RAB as at 1 January 2016 by $</w:t>
      </w:r>
      <w:r w:rsidR="003D464F" w:rsidRPr="00277210">
        <w:t>2</w:t>
      </w:r>
      <w:r w:rsidR="00705B22" w:rsidRPr="00277210">
        <w:t>.</w:t>
      </w:r>
      <w:r w:rsidR="003D464F" w:rsidRPr="00277210">
        <w:t>5</w:t>
      </w:r>
      <w:r w:rsidR="00705B22" w:rsidRPr="00277210">
        <w:t xml:space="preserve"> </w:t>
      </w:r>
      <w:r w:rsidRPr="00277210">
        <w:t xml:space="preserve">million or </w:t>
      </w:r>
      <w:r w:rsidR="003D464F" w:rsidRPr="00277210">
        <w:t>0.1</w:t>
      </w:r>
      <w:r w:rsidRPr="00277210">
        <w:t> per cent (section 2.4.1).</w:t>
      </w:r>
    </w:p>
    <w:p w:rsidR="00B35737" w:rsidRPr="00277210" w:rsidRDefault="00B35737" w:rsidP="00277210">
      <w:pPr>
        <w:pStyle w:val="AERbulletlistfirststyle"/>
      </w:pPr>
      <w:r w:rsidRPr="00277210">
        <w:t xml:space="preserve">We reduced </w:t>
      </w:r>
      <w:r w:rsidR="000401C7" w:rsidRPr="00277210">
        <w:t>AusNet Services</w:t>
      </w:r>
      <w:r w:rsidR="00705B22" w:rsidRPr="00277210">
        <w:t>'</w:t>
      </w:r>
      <w:r w:rsidRPr="00277210">
        <w:t xml:space="preserve"> revised proposed forecast capex for the 2016–20</w:t>
      </w:r>
      <w:r w:rsidR="003619C3" w:rsidRPr="00277210">
        <w:t xml:space="preserve"> </w:t>
      </w:r>
      <w:r w:rsidRPr="00277210">
        <w:t>regulatory control period by $</w:t>
      </w:r>
      <w:r w:rsidR="00EF6E21" w:rsidRPr="00277210">
        <w:t>171.6</w:t>
      </w:r>
      <w:r w:rsidR="003619C3" w:rsidRPr="00277210">
        <w:t xml:space="preserve"> </w:t>
      </w:r>
      <w:r w:rsidRPr="00277210">
        <w:t xml:space="preserve">million ($ 2015) or </w:t>
      </w:r>
      <w:r w:rsidR="00EF6E21" w:rsidRPr="00277210">
        <w:t>8.9</w:t>
      </w:r>
      <w:r w:rsidRPr="00277210">
        <w:t> per cent (attachment 6).</w:t>
      </w:r>
    </w:p>
    <w:p w:rsidR="00B35737" w:rsidRPr="00277210" w:rsidRDefault="00B35737" w:rsidP="00277210">
      <w:pPr>
        <w:pStyle w:val="AERbulletlistfirststyle"/>
      </w:pPr>
      <w:r w:rsidRPr="00277210">
        <w:t xml:space="preserve">We increased </w:t>
      </w:r>
      <w:r w:rsidR="000401C7" w:rsidRPr="00277210">
        <w:t>AusNet Services</w:t>
      </w:r>
      <w:r w:rsidR="00705B22" w:rsidRPr="00277210">
        <w:t>'</w:t>
      </w:r>
      <w:r w:rsidRPr="00277210">
        <w:t xml:space="preserve"> revised proposed </w:t>
      </w:r>
      <w:r w:rsidR="004461DB">
        <w:t xml:space="preserve">expected </w:t>
      </w:r>
      <w:r w:rsidRPr="00277210">
        <w:t xml:space="preserve">inflation </w:t>
      </w:r>
      <w:r w:rsidR="002A7F98">
        <w:t xml:space="preserve">rate </w:t>
      </w:r>
      <w:r w:rsidRPr="00277210">
        <w:t>from 2.1</w:t>
      </w:r>
      <w:r w:rsidR="00705B22" w:rsidRPr="00277210">
        <w:t>9</w:t>
      </w:r>
      <w:r w:rsidR="00430CA5" w:rsidRPr="00277210">
        <w:t xml:space="preserve"> per cent</w:t>
      </w:r>
      <w:r w:rsidRPr="00277210">
        <w:t xml:space="preserve"> to </w:t>
      </w:r>
      <w:r w:rsidR="0035591D" w:rsidRPr="00277210">
        <w:t>2.</w:t>
      </w:r>
      <w:r w:rsidR="00EF6E21" w:rsidRPr="00277210">
        <w:t>3</w:t>
      </w:r>
      <w:r w:rsidR="00B758D1" w:rsidRPr="00277210">
        <w:t>2</w:t>
      </w:r>
      <w:r w:rsidRPr="00277210">
        <w:t> per cent (attachment 3).</w:t>
      </w:r>
      <w:r w:rsidR="0035591D" w:rsidRPr="00277210">
        <w:t xml:space="preserve"> This results in an increase to the indexation of the RAB component for the 2015–20 regulatory control period by $</w:t>
      </w:r>
      <w:r w:rsidR="00EF6E21" w:rsidRPr="00277210">
        <w:t>19.6</w:t>
      </w:r>
      <w:r w:rsidR="009019E3" w:rsidRPr="00277210">
        <w:t> </w:t>
      </w:r>
      <w:r w:rsidR="0035591D" w:rsidRPr="00277210">
        <w:t xml:space="preserve">million ($ nominal) or </w:t>
      </w:r>
      <w:r w:rsidR="00EF6E21" w:rsidRPr="00277210">
        <w:t>4.4</w:t>
      </w:r>
      <w:r w:rsidR="0035591D" w:rsidRPr="00277210">
        <w:t xml:space="preserve"> per cent.</w:t>
      </w:r>
    </w:p>
    <w:p w:rsidR="00B35737" w:rsidRPr="00277210" w:rsidRDefault="00B35737" w:rsidP="00277210">
      <w:pPr>
        <w:pStyle w:val="AERbulletlistfirststyle"/>
      </w:pPr>
      <w:r w:rsidRPr="00277210">
        <w:t xml:space="preserve">We reduced </w:t>
      </w:r>
      <w:r w:rsidR="000401C7" w:rsidRPr="00277210">
        <w:t>AusNet Services</w:t>
      </w:r>
      <w:r w:rsidR="00C02DEA" w:rsidRPr="00277210">
        <w:t>'</w:t>
      </w:r>
      <w:r w:rsidRPr="00277210">
        <w:t xml:space="preserve"> revised proposed forecast </w:t>
      </w:r>
      <w:r w:rsidR="00E41978" w:rsidRPr="00277210">
        <w:t>straight-line</w:t>
      </w:r>
      <w:r w:rsidRPr="00277210">
        <w:t xml:space="preserve"> depreciation for the 201</w:t>
      </w:r>
      <w:r w:rsidR="0030434E">
        <w:t>6</w:t>
      </w:r>
      <w:r w:rsidRPr="00277210">
        <w:t>–20 regulatory control period by $</w:t>
      </w:r>
      <w:r w:rsidR="00EF6E21" w:rsidRPr="00277210">
        <w:t>24.4</w:t>
      </w:r>
      <w:r w:rsidRPr="00277210">
        <w:t> million ($</w:t>
      </w:r>
      <w:r w:rsidR="00FE1E1F" w:rsidRPr="00277210">
        <w:t> </w:t>
      </w:r>
      <w:r w:rsidRPr="00277210">
        <w:t xml:space="preserve">nominal) or </w:t>
      </w:r>
      <w:r w:rsidR="00EF6E21" w:rsidRPr="00277210">
        <w:t>2.5</w:t>
      </w:r>
      <w:r w:rsidRPr="00277210">
        <w:t> per cent (attachment 5).</w:t>
      </w:r>
    </w:p>
    <w:p w:rsidR="00B35737" w:rsidRDefault="00B35737" w:rsidP="00B112CB">
      <w:pPr>
        <w:pStyle w:val="Heading3"/>
        <w:ind w:left="1021" w:hanging="1021"/>
      </w:pPr>
      <w:bookmarkStart w:id="89" w:name="_Toc451520807"/>
      <w:r w:rsidRPr="002D64E3">
        <w:t>Application of depreciation approach in RAB roll forward for next reset</w:t>
      </w:r>
      <w:bookmarkEnd w:id="89"/>
    </w:p>
    <w:p w:rsidR="00B35737" w:rsidRDefault="00B35737" w:rsidP="00B35737">
      <w:r w:rsidRPr="002D64E3">
        <w:t xml:space="preserve">Our final decision </w:t>
      </w:r>
      <w:r w:rsidR="00705B22">
        <w:t xml:space="preserve">is to </w:t>
      </w:r>
      <w:r w:rsidRPr="002D64E3">
        <w:t xml:space="preserve">roll forward the RAB for the commencement of </w:t>
      </w:r>
      <w:r w:rsidR="00C24BE9">
        <w:t>AusNet Services'</w:t>
      </w:r>
      <w:r w:rsidR="00C24BE9" w:rsidRPr="002D64E3">
        <w:t xml:space="preserve"> </w:t>
      </w:r>
      <w:r w:rsidRPr="002D64E3">
        <w:t>2021–25 regulatory control period</w:t>
      </w:r>
      <w:r>
        <w:t xml:space="preserve"> using </w:t>
      </w:r>
      <w:r w:rsidRPr="002D64E3">
        <w:t>depreciation based on forecast capex (updated for actual inflation)</w:t>
      </w:r>
      <w:r>
        <w:t xml:space="preserve">. This approach is consistent with our preliminary decision and </w:t>
      </w:r>
      <w:r w:rsidRPr="00BC2C2F">
        <w:t>the framework and approach.</w:t>
      </w:r>
      <w:r>
        <w:rPr>
          <w:rStyle w:val="FootnoteReference"/>
        </w:rPr>
        <w:footnoteReference w:id="55"/>
      </w:r>
      <w:r w:rsidR="00430CA5">
        <w:t xml:space="preserve"> </w:t>
      </w:r>
      <w:r w:rsidR="00430CA5" w:rsidRPr="00D5100F">
        <w:rPr>
          <w:rStyle w:val="AERbody"/>
        </w:rPr>
        <w:t xml:space="preserve">We note </w:t>
      </w:r>
      <w:r w:rsidR="00430CA5">
        <w:rPr>
          <w:rStyle w:val="AERbody"/>
        </w:rPr>
        <w:t>AusNet Services'</w:t>
      </w:r>
      <w:r w:rsidR="00430CA5" w:rsidRPr="00D5100F">
        <w:rPr>
          <w:rStyle w:val="AERbody"/>
        </w:rPr>
        <w:t xml:space="preserve"> revised pro</w:t>
      </w:r>
      <w:r w:rsidR="00430CA5">
        <w:rPr>
          <w:rStyle w:val="AERbody"/>
        </w:rPr>
        <w:t>posal did not discuss this issue</w:t>
      </w:r>
      <w:r w:rsidR="00430CA5" w:rsidRPr="00D5100F">
        <w:rPr>
          <w:rStyle w:val="AERbody"/>
        </w:rPr>
        <w:t>.</w:t>
      </w:r>
    </w:p>
    <w:p w:rsidR="00132D43" w:rsidRDefault="00132D43" w:rsidP="00132D43"/>
    <w:sectPr w:rsidR="00132D43" w:rsidSect="00CF42AA">
      <w:headerReference w:type="default" r:id="rId15"/>
      <w:footerReference w:type="even"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51" w:rsidRPr="00290C63" w:rsidRDefault="002C1B51" w:rsidP="00290C63">
      <w:r>
        <w:separator/>
      </w:r>
    </w:p>
    <w:p w:rsidR="002C1B51" w:rsidRDefault="002C1B51"/>
  </w:endnote>
  <w:endnote w:type="continuationSeparator" w:id="0">
    <w:p w:rsidR="002C1B51" w:rsidRPr="00290C63" w:rsidRDefault="002C1B51" w:rsidP="00290C63">
      <w:r>
        <w:continuationSeparator/>
      </w:r>
    </w:p>
    <w:p w:rsidR="002C1B51" w:rsidRDefault="002C1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51" w:rsidRPr="00290C63" w:rsidRDefault="002C1B5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C1B51" w:rsidRDefault="002C1B51"/>
  <w:p w:rsidR="002C1B51" w:rsidRDefault="002C1B51"/>
  <w:p w:rsidR="002C1B51" w:rsidRDefault="002C1B51"/>
  <w:p w:rsidR="002C1B51" w:rsidRDefault="002C1B51"/>
  <w:p w:rsidR="002C1B51" w:rsidRDefault="002C1B51"/>
  <w:p w:rsidR="002C1B51" w:rsidRDefault="002C1B51"/>
  <w:p w:rsidR="002C1B51" w:rsidRDefault="002C1B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2C1B51" w:rsidRPr="009B6F84" w:rsidRDefault="002C1B51">
        <w:pPr>
          <w:pStyle w:val="Footer"/>
          <w:rPr>
            <w:sz w:val="20"/>
          </w:rPr>
        </w:pPr>
        <w:r>
          <w:fldChar w:fldCharType="begin"/>
        </w:r>
        <w:r>
          <w:instrText xml:space="preserve"> PAGE   \* MERGEFORMAT </w:instrText>
        </w:r>
        <w:r>
          <w:fldChar w:fldCharType="separate"/>
        </w:r>
        <w:r w:rsidR="003A2B97">
          <w:rPr>
            <w:noProof/>
          </w:rPr>
          <w:t>2-0</w:t>
        </w:r>
        <w:r>
          <w:rPr>
            <w:noProof/>
          </w:rPr>
          <w:fldChar w:fldCharType="end"/>
        </w:r>
        <w:r>
          <w:rPr>
            <w:noProof/>
          </w:rPr>
          <w:t xml:space="preserve">  </w:t>
        </w:r>
        <w:r w:rsidRPr="008F78AD">
          <w:t xml:space="preserve">Attachment </w:t>
        </w:r>
        <w:r>
          <w:t>2</w:t>
        </w:r>
        <w:r w:rsidRPr="008F78AD">
          <w:t xml:space="preserve"> – </w:t>
        </w:r>
        <w:r>
          <w:t xml:space="preserve">Regulatory asset base </w:t>
        </w:r>
        <w:r w:rsidRPr="004523B2">
          <w:t xml:space="preserve">| </w:t>
        </w:r>
        <w:r>
          <w:t>AusNet Services distribution determination final decision</w:t>
        </w:r>
        <w:r w:rsidRPr="004523B2">
          <w:t xml:space="preserve"> 201</w:t>
        </w:r>
        <w:r>
          <w:t>6</w:t>
        </w:r>
        <w:r w:rsidRPr="004523B2">
          <w:t>–</w:t>
        </w:r>
        <w:r>
          <w:t>20</w:t>
        </w:r>
      </w:p>
    </w:sdtContent>
  </w:sdt>
  <w:p w:rsidR="002C1B51" w:rsidRDefault="002C1B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51" w:rsidRPr="00290C63" w:rsidRDefault="002C1B5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C1B51" w:rsidRDefault="002C1B51">
    <w:pPr>
      <w:pStyle w:val="Footer"/>
    </w:pPr>
  </w:p>
  <w:p w:rsidR="002C1B51" w:rsidRDefault="002C1B51"/>
  <w:p w:rsidR="002C1B51" w:rsidRDefault="002C1B51"/>
  <w:p w:rsidR="002C1B51" w:rsidRDefault="002C1B51"/>
  <w:p w:rsidR="002C1B51" w:rsidRDefault="002C1B51"/>
  <w:p w:rsidR="002C1B51" w:rsidRDefault="002C1B51"/>
  <w:p w:rsidR="002C1B51" w:rsidRDefault="002C1B51"/>
  <w:p w:rsidR="002C1B51" w:rsidRDefault="002C1B5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51" w:rsidRPr="00290C63" w:rsidRDefault="002C1B5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C1B51" w:rsidRDefault="002C1B51"/>
  <w:p w:rsidR="002C1B51" w:rsidRDefault="002C1B51"/>
  <w:p w:rsidR="002C1B51" w:rsidRDefault="002C1B51"/>
  <w:p w:rsidR="002C1B51" w:rsidRDefault="002C1B51"/>
  <w:p w:rsidR="002C1B51" w:rsidRDefault="002C1B51"/>
  <w:p w:rsidR="002C1B51" w:rsidRDefault="002C1B51"/>
  <w:p w:rsidR="002C1B51" w:rsidRDefault="002C1B5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51" w:rsidRPr="00290C63" w:rsidRDefault="002C1B5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C1B51" w:rsidRDefault="002C1B51">
    <w:pPr>
      <w:pStyle w:val="Footer"/>
    </w:pPr>
  </w:p>
  <w:p w:rsidR="002C1B51" w:rsidRDefault="002C1B51"/>
  <w:p w:rsidR="002C1B51" w:rsidRDefault="002C1B51"/>
  <w:p w:rsidR="002C1B51" w:rsidRDefault="002C1B51"/>
  <w:p w:rsidR="002C1B51" w:rsidRDefault="002C1B51"/>
  <w:p w:rsidR="002C1B51" w:rsidRDefault="002C1B51"/>
  <w:p w:rsidR="002C1B51" w:rsidRDefault="002C1B51"/>
  <w:p w:rsidR="002C1B51" w:rsidRDefault="002C1B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51" w:rsidRPr="00290C63" w:rsidRDefault="002C1B51" w:rsidP="00290C63">
      <w:r>
        <w:separator/>
      </w:r>
    </w:p>
    <w:p w:rsidR="002C1B51" w:rsidRDefault="002C1B51"/>
  </w:footnote>
  <w:footnote w:type="continuationSeparator" w:id="0">
    <w:p w:rsidR="002C1B51" w:rsidRPr="00290C63" w:rsidRDefault="002C1B51" w:rsidP="00290C63">
      <w:r>
        <w:continuationSeparator/>
      </w:r>
    </w:p>
    <w:p w:rsidR="002C1B51" w:rsidRDefault="002C1B51"/>
  </w:footnote>
  <w:footnote w:id="1">
    <w:p w:rsidR="002C1B51" w:rsidRDefault="002C1B51" w:rsidP="007178AE">
      <w:pPr>
        <w:pStyle w:val="FootnoteText"/>
      </w:pPr>
      <w:r>
        <w:rPr>
          <w:rStyle w:val="FootnoteReference"/>
        </w:rPr>
        <w:footnoteRef/>
      </w:r>
      <w:r>
        <w:t xml:space="preserve"> </w:t>
      </w:r>
      <w:r>
        <w:tab/>
      </w:r>
      <w:r w:rsidRPr="00C37607">
        <w:t>NER, cl. 6.12.1(6).</w:t>
      </w:r>
    </w:p>
  </w:footnote>
  <w:footnote w:id="2">
    <w:p w:rsidR="002C1B51" w:rsidRDefault="002C1B51" w:rsidP="00333D26">
      <w:pPr>
        <w:pStyle w:val="FootnoteText"/>
      </w:pPr>
      <w:r>
        <w:rPr>
          <w:rStyle w:val="FootnoteReference"/>
        </w:rPr>
        <w:footnoteRef/>
      </w:r>
      <w:r>
        <w:t xml:space="preserve"> </w:t>
      </w:r>
      <w:r>
        <w:tab/>
        <w:t xml:space="preserve">AusNet Services, </w:t>
      </w:r>
      <w:r>
        <w:rPr>
          <w:rStyle w:val="AERtextitalic"/>
        </w:rPr>
        <w:t xml:space="preserve">Revised regulatory proposal, </w:t>
      </w:r>
      <w:r>
        <w:t xml:space="preserve">January 2016, </w:t>
      </w:r>
      <w:r w:rsidRPr="00333D26">
        <w:t>p. 8–10</w:t>
      </w:r>
      <w:r>
        <w:t>.</w:t>
      </w:r>
    </w:p>
  </w:footnote>
  <w:footnote w:id="3">
    <w:p w:rsidR="002C1B51" w:rsidRDefault="002C1B51" w:rsidP="00647F95">
      <w:pPr>
        <w:pStyle w:val="FootnoteText"/>
      </w:pPr>
      <w:r>
        <w:rPr>
          <w:rStyle w:val="FootnoteReference"/>
        </w:rPr>
        <w:footnoteRef/>
      </w:r>
      <w:r>
        <w:t xml:space="preserve"> </w:t>
      </w:r>
      <w:r>
        <w:tab/>
      </w:r>
      <w:r w:rsidRPr="00CA76D5">
        <w:t>NER, cl. 6.12.1(18).</w:t>
      </w:r>
    </w:p>
  </w:footnote>
  <w:footnote w:id="4">
    <w:p w:rsidR="002C1B51" w:rsidRDefault="002C1B51" w:rsidP="00C40F83">
      <w:pPr>
        <w:pStyle w:val="FootnoteText"/>
      </w:pPr>
      <w:r>
        <w:rPr>
          <w:rStyle w:val="FootnoteReference"/>
        </w:rPr>
        <w:footnoteRef/>
      </w:r>
      <w:r>
        <w:t xml:space="preserve"> </w:t>
      </w:r>
      <w:r>
        <w:tab/>
        <w:t xml:space="preserve">AusNet Services, </w:t>
      </w:r>
      <w:r>
        <w:rPr>
          <w:rStyle w:val="AERtextitalic"/>
        </w:rPr>
        <w:t>Revised regulatory proposal</w:t>
      </w:r>
      <w:r>
        <w:t>, January 2016, p. 8–5.</w:t>
      </w:r>
    </w:p>
  </w:footnote>
  <w:footnote w:id="5">
    <w:p w:rsidR="002C1B51" w:rsidRDefault="002C1B51" w:rsidP="00B35737">
      <w:pPr>
        <w:pStyle w:val="FootnoteText"/>
      </w:pPr>
      <w:r>
        <w:rPr>
          <w:rStyle w:val="FootnoteReference"/>
        </w:rPr>
        <w:footnoteRef/>
      </w:r>
      <w:r>
        <w:t xml:space="preserve"> </w:t>
      </w:r>
      <w:r>
        <w:tab/>
        <w:t xml:space="preserve">AusNet Services, </w:t>
      </w:r>
      <w:r>
        <w:rPr>
          <w:rStyle w:val="AERtextitalic"/>
        </w:rPr>
        <w:t>Revised regulatory proposal</w:t>
      </w:r>
      <w:r>
        <w:t>, January 2016, p. 8–2.</w:t>
      </w:r>
    </w:p>
  </w:footnote>
  <w:footnote w:id="6">
    <w:p w:rsidR="002C1B51" w:rsidRDefault="002C1B51" w:rsidP="00B35737">
      <w:pPr>
        <w:pStyle w:val="FootnoteText"/>
      </w:pPr>
      <w:r>
        <w:rPr>
          <w:rStyle w:val="FootnoteReference"/>
        </w:rPr>
        <w:footnoteRef/>
      </w:r>
      <w:r>
        <w:t xml:space="preserve"> </w:t>
      </w:r>
      <w:r>
        <w:tab/>
        <w:t xml:space="preserve">AusNet Services, </w:t>
      </w:r>
      <w:r>
        <w:rPr>
          <w:rStyle w:val="AERtextitalic"/>
        </w:rPr>
        <w:t>Revised regulatory proposal</w:t>
      </w:r>
      <w:r>
        <w:t>, January 2016, p. 8–4.</w:t>
      </w:r>
    </w:p>
  </w:footnote>
  <w:footnote w:id="7">
    <w:p w:rsidR="002C1B51" w:rsidRDefault="002C1B51">
      <w:pPr>
        <w:pStyle w:val="FootnoteText"/>
      </w:pPr>
      <w:r>
        <w:rPr>
          <w:rStyle w:val="FootnoteReference"/>
        </w:rPr>
        <w:footnoteRef/>
      </w:r>
      <w:r>
        <w:t xml:space="preserve"> </w:t>
      </w:r>
      <w:r>
        <w:tab/>
        <w:t xml:space="preserve">AusNet Services, </w:t>
      </w:r>
      <w:r>
        <w:rPr>
          <w:rStyle w:val="AERtextitalic"/>
        </w:rPr>
        <w:t>Revised regulatory proposal</w:t>
      </w:r>
      <w:r>
        <w:t>, January 2016, p. 8–2.</w:t>
      </w:r>
    </w:p>
  </w:footnote>
  <w:footnote w:id="8">
    <w:p w:rsidR="002C1B51" w:rsidRDefault="002C1B51" w:rsidP="00B35737">
      <w:pPr>
        <w:pStyle w:val="FootnoteText"/>
      </w:pPr>
      <w:r>
        <w:rPr>
          <w:rStyle w:val="FootnoteReference"/>
        </w:rPr>
        <w:footnoteRef/>
      </w:r>
      <w:r>
        <w:t xml:space="preserve"> </w:t>
      </w:r>
      <w:r>
        <w:tab/>
        <w:t xml:space="preserve">AusNet Services, </w:t>
      </w:r>
      <w:r>
        <w:rPr>
          <w:rStyle w:val="AERtextitalic"/>
        </w:rPr>
        <w:t>Revised regulatory proposal, PTRM</w:t>
      </w:r>
      <w:r>
        <w:t>, January 2016.</w:t>
      </w:r>
    </w:p>
  </w:footnote>
  <w:footnote w:id="9">
    <w:p w:rsidR="002C1B51" w:rsidRDefault="002C1B51" w:rsidP="00C978EA">
      <w:pPr>
        <w:pStyle w:val="FootnoteText"/>
      </w:pPr>
      <w:r>
        <w:rPr>
          <w:rStyle w:val="FootnoteReference"/>
        </w:rPr>
        <w:footnoteRef/>
      </w:r>
      <w:r>
        <w:t xml:space="preserve"> </w:t>
      </w:r>
      <w:r>
        <w:tab/>
      </w:r>
      <w:r w:rsidRPr="00D033BE">
        <w:t xml:space="preserve">AER, </w:t>
      </w:r>
      <w:r w:rsidRPr="00B10347">
        <w:rPr>
          <w:rStyle w:val="AERtextitalic"/>
        </w:rPr>
        <w:t xml:space="preserve">Preliminary decision, </w:t>
      </w:r>
      <w:r>
        <w:rPr>
          <w:rStyle w:val="AERtextitalic"/>
        </w:rPr>
        <w:t>AusNet Services</w:t>
      </w:r>
      <w:r w:rsidRPr="00B10347">
        <w:rPr>
          <w:rStyle w:val="AERtextitalic"/>
        </w:rPr>
        <w:t xml:space="preserve"> determination 2016 to 2020: Attachment 2 – Regulatory asset base</w:t>
      </w:r>
      <w:r w:rsidRPr="00D033BE">
        <w:t xml:space="preserve">, </w:t>
      </w:r>
      <w:r>
        <w:t>October 2015, pp. 10</w:t>
      </w:r>
      <w:r w:rsidRPr="00D033BE">
        <w:t>–13.</w:t>
      </w:r>
    </w:p>
  </w:footnote>
  <w:footnote w:id="10">
    <w:p w:rsidR="002C1B51" w:rsidRDefault="002C1B51">
      <w:pPr>
        <w:pStyle w:val="FootnoteText"/>
      </w:pPr>
      <w:r>
        <w:rPr>
          <w:rStyle w:val="FootnoteReference"/>
        </w:rPr>
        <w:footnoteRef/>
      </w:r>
      <w:r>
        <w:t xml:space="preserve"> </w:t>
      </w:r>
      <w:r>
        <w:tab/>
        <w:t>NER, cl S6.2.1(e)(2).</w:t>
      </w:r>
    </w:p>
  </w:footnote>
  <w:footnote w:id="11">
    <w:p w:rsidR="002C1B51" w:rsidRDefault="002C1B51">
      <w:pPr>
        <w:pStyle w:val="FootnoteText"/>
      </w:pPr>
      <w:r>
        <w:rPr>
          <w:rStyle w:val="FootnoteReference"/>
        </w:rPr>
        <w:footnoteRef/>
      </w:r>
      <w:r>
        <w:t xml:space="preserve"> </w:t>
      </w:r>
      <w:r>
        <w:tab/>
        <w:t>AusNet Services</w:t>
      </w:r>
      <w:r w:rsidRPr="001F5B55">
        <w:t xml:space="preserve">, </w:t>
      </w:r>
      <w:r w:rsidRPr="001F5B55">
        <w:rPr>
          <w:rStyle w:val="AERtextitalic"/>
        </w:rPr>
        <w:t>RE: AER information request – Jemena - #0</w:t>
      </w:r>
      <w:r>
        <w:rPr>
          <w:rStyle w:val="AERtextitalic"/>
        </w:rPr>
        <w:t>30</w:t>
      </w:r>
      <w:r w:rsidRPr="001F5B55">
        <w:rPr>
          <w:rStyle w:val="AERtextitalic"/>
        </w:rPr>
        <w:t xml:space="preserve"> – 2015 estimated capex update</w:t>
      </w:r>
      <w:r>
        <w:rPr>
          <w:rStyle w:val="AERtextitalic"/>
        </w:rPr>
        <w:t xml:space="preserve"> </w:t>
      </w:r>
      <w:r w:rsidRPr="00B112CB">
        <w:rPr>
          <w:rStyle w:val="AERtextsize8"/>
        </w:rPr>
        <w:t>[email to AER]</w:t>
      </w:r>
      <w:r>
        <w:t>, 8 </w:t>
      </w:r>
      <w:r w:rsidRPr="001F5B55">
        <w:t>February 2016.</w:t>
      </w:r>
    </w:p>
  </w:footnote>
  <w:footnote w:id="12">
    <w:p w:rsidR="002C1B51" w:rsidRDefault="002C1B51" w:rsidP="00D8773B">
      <w:pPr>
        <w:pStyle w:val="FootnoteText"/>
      </w:pPr>
      <w:r>
        <w:rPr>
          <w:rStyle w:val="FootnoteReference"/>
        </w:rPr>
        <w:footnoteRef/>
      </w:r>
      <w:r>
        <w:t xml:space="preserve"> </w:t>
      </w:r>
      <w:r>
        <w:tab/>
      </w:r>
      <w:r w:rsidRPr="00CF0900">
        <w:t>NER, cl</w:t>
      </w:r>
      <w:r>
        <w:t>l</w:t>
      </w:r>
      <w:r w:rsidRPr="00CF0900">
        <w:t>. S6.2.1(e)</w:t>
      </w:r>
      <w:r>
        <w:t>(2)–</w:t>
      </w:r>
      <w:r w:rsidRPr="00CF0900">
        <w:t>(3).</w:t>
      </w:r>
    </w:p>
  </w:footnote>
  <w:footnote w:id="13">
    <w:p w:rsidR="002C1B51" w:rsidRDefault="002C1B51" w:rsidP="00E21336">
      <w:pPr>
        <w:pStyle w:val="FootnoteText"/>
      </w:pPr>
      <w:r>
        <w:rPr>
          <w:rStyle w:val="FootnoteReference"/>
        </w:rPr>
        <w:footnoteRef/>
      </w:r>
      <w:r>
        <w:t xml:space="preserve"> </w:t>
      </w:r>
      <w:r>
        <w:tab/>
        <w:t>NER, cl. 6.12.2(b).</w:t>
      </w:r>
    </w:p>
  </w:footnote>
  <w:footnote w:id="14">
    <w:p w:rsidR="002C1B51" w:rsidRDefault="002C1B51" w:rsidP="001C6409">
      <w:pPr>
        <w:pStyle w:val="FootnoteText"/>
      </w:pPr>
      <w:r>
        <w:rPr>
          <w:rStyle w:val="FootnoteReference"/>
        </w:rPr>
        <w:footnoteRef/>
      </w:r>
      <w:r>
        <w:t xml:space="preserve"> </w:t>
      </w:r>
      <w:r>
        <w:tab/>
        <w:t>NER, cl. 11.60.5.</w:t>
      </w:r>
    </w:p>
  </w:footnote>
  <w:footnote w:id="15">
    <w:p w:rsidR="002C1B51" w:rsidRDefault="002C1B51" w:rsidP="001C6409">
      <w:pPr>
        <w:pStyle w:val="FootnoteText"/>
      </w:pPr>
      <w:r>
        <w:rPr>
          <w:rStyle w:val="FootnoteReference"/>
        </w:rPr>
        <w:footnoteRef/>
      </w:r>
      <w:r>
        <w:t xml:space="preserve"> </w:t>
      </w:r>
      <w:r>
        <w:tab/>
        <w:t xml:space="preserve">Here, 'inefficient' past capex refers to three specific assessments (labelled the overspending, margin and capitalisation requirements) detailed in NER, cl. S6.2.2A. The details of our assessment approach for inefficient capex are set out in AER, </w:t>
      </w:r>
      <w:r w:rsidRPr="00965D78">
        <w:rPr>
          <w:rStyle w:val="Emphasis"/>
        </w:rPr>
        <w:t>Capital expenditure incentive guideline</w:t>
      </w:r>
      <w:r>
        <w:t>, November 2013, pp. 12–20.</w:t>
      </w:r>
    </w:p>
  </w:footnote>
  <w:footnote w:id="16">
    <w:p w:rsidR="002C1B51" w:rsidRDefault="002C1B51">
      <w:pPr>
        <w:pStyle w:val="FootnoteText"/>
      </w:pPr>
      <w:r>
        <w:rPr>
          <w:rStyle w:val="FootnoteReference"/>
        </w:rPr>
        <w:footnoteRef/>
      </w:r>
      <w:r>
        <w:t xml:space="preserve"> </w:t>
      </w:r>
      <w:r>
        <w:tab/>
        <w:t xml:space="preserve">See </w:t>
      </w:r>
      <w:r w:rsidRPr="001A00C0">
        <w:t xml:space="preserve">AER, </w:t>
      </w:r>
      <w:r w:rsidRPr="001A00C0">
        <w:rPr>
          <w:rStyle w:val="Emphasis"/>
        </w:rPr>
        <w:t>Final decision, Victorian electricity distribution network service providers, Distribution determination 2011–15</w:t>
      </w:r>
      <w:r w:rsidRPr="001A00C0">
        <w:t>, October 2010, pp. 459–462.</w:t>
      </w:r>
    </w:p>
  </w:footnote>
  <w:footnote w:id="17">
    <w:p w:rsidR="002C1B51" w:rsidRDefault="002C1B51">
      <w:pPr>
        <w:pStyle w:val="FootnoteText"/>
      </w:pPr>
      <w:r>
        <w:rPr>
          <w:rStyle w:val="FootnoteReference"/>
        </w:rPr>
        <w:footnoteRef/>
      </w:r>
      <w:r>
        <w:t xml:space="preserve"> </w:t>
      </w:r>
      <w:r>
        <w:tab/>
        <w:t>NER, cll. 6.5.7(a) and (c).</w:t>
      </w:r>
    </w:p>
  </w:footnote>
  <w:footnote w:id="18">
    <w:p w:rsidR="002C1B51" w:rsidRDefault="002C1B51" w:rsidP="00693505">
      <w:pPr>
        <w:pStyle w:val="FootnoteText"/>
      </w:pPr>
      <w:r>
        <w:rPr>
          <w:rStyle w:val="FootnoteReference"/>
        </w:rPr>
        <w:footnoteRef/>
      </w:r>
      <w:r>
        <w:t xml:space="preserve"> </w:t>
      </w:r>
      <w:r>
        <w:tab/>
        <w:t xml:space="preserve">Although we describe this as one-year lag (as does AusNet Services), the series is lagged by one year and three months. The additional three months reflects a practical delay to allow for the publication of CPI data and implementation in the annual pricing approval process. This additional three month delay is accepted by both parties and not considered contentious. </w:t>
      </w:r>
    </w:p>
  </w:footnote>
  <w:footnote w:id="19">
    <w:p w:rsidR="002C1B51" w:rsidRDefault="002C1B51" w:rsidP="00693505">
      <w:pPr>
        <w:pStyle w:val="FootnoteText"/>
      </w:pPr>
      <w:r>
        <w:rPr>
          <w:rStyle w:val="FootnoteReference"/>
        </w:rPr>
        <w:footnoteRef/>
      </w:r>
      <w:r>
        <w:t xml:space="preserve"> </w:t>
      </w:r>
      <w:r>
        <w:tab/>
      </w:r>
      <w:r w:rsidRPr="00F54A21">
        <w:t xml:space="preserve">Under </w:t>
      </w:r>
      <w:r>
        <w:t>the partially lagged approach, two</w:t>
      </w:r>
      <w:r w:rsidRPr="00F54A21">
        <w:t xml:space="preserve"> aspects of</w:t>
      </w:r>
      <w:r>
        <w:t xml:space="preserve"> the</w:t>
      </w:r>
      <w:r w:rsidRPr="00F54A21">
        <w:t xml:space="preserve"> RFM indexation use a one-year lagged inflation series</w:t>
      </w:r>
      <w:r>
        <w:t xml:space="preserve"> (straight line depreciation and new capex)</w:t>
      </w:r>
      <w:r w:rsidRPr="00F54A21">
        <w:t xml:space="preserve">, but </w:t>
      </w:r>
      <w:r>
        <w:t>one aspect</w:t>
      </w:r>
      <w:r w:rsidRPr="00F54A21">
        <w:t xml:space="preserve"> use</w:t>
      </w:r>
      <w:r>
        <w:t>s</w:t>
      </w:r>
      <w:r w:rsidRPr="00F54A21">
        <w:t xml:space="preserve"> the actual (</w:t>
      </w:r>
      <w:r>
        <w:t>non</w:t>
      </w:r>
      <w:r w:rsidRPr="00F54A21">
        <w:t>-lagged) inflation outcomes</w:t>
      </w:r>
      <w:r>
        <w:t xml:space="preserve"> (opening RAB). Note that, as per the previous footnote, the actual (non-</w:t>
      </w:r>
      <w:r w:rsidRPr="00F54A21">
        <w:t>lagged) inflation series is lagged by three months</w:t>
      </w:r>
      <w:r>
        <w:t xml:space="preserve"> to allow for publication of CPI data and pricing implementation</w:t>
      </w:r>
      <w:r w:rsidRPr="00F54A21">
        <w:t>.</w:t>
      </w:r>
    </w:p>
  </w:footnote>
  <w:footnote w:id="20">
    <w:p w:rsidR="002C1B51" w:rsidRDefault="002C1B51" w:rsidP="00693505">
      <w:pPr>
        <w:pStyle w:val="FootnoteText"/>
      </w:pPr>
      <w:r>
        <w:rPr>
          <w:rStyle w:val="FootnoteReference"/>
        </w:rPr>
        <w:footnoteRef/>
      </w:r>
      <w:r>
        <w:t xml:space="preserve"> </w:t>
      </w:r>
      <w:r>
        <w:tab/>
        <w:t xml:space="preserve">In our 2010 determination for AusNet Services (then SP AusNet) we applied the RAB roll forward from 2006 to 2010 in accordance with the ESC approach under transitional rules. AER, </w:t>
      </w:r>
      <w:r w:rsidRPr="009C6132">
        <w:rPr>
          <w:rStyle w:val="AERtextitalic"/>
        </w:rPr>
        <w:t>Final decision, Victorian electricity distribution network service providers, Distribution determination 2011–2015</w:t>
      </w:r>
      <w:r>
        <w:t xml:space="preserve">, </w:t>
      </w:r>
      <w:r w:rsidRPr="00301060">
        <w:t>attachment 'SP AusNet RFM Final Decision.xls'</w:t>
      </w:r>
      <w:r>
        <w:t>, October 2010.</w:t>
      </w:r>
    </w:p>
  </w:footnote>
  <w:footnote w:id="21">
    <w:p w:rsidR="002C1B51" w:rsidRDefault="002C1B51">
      <w:pPr>
        <w:pStyle w:val="FootnoteText"/>
      </w:pPr>
      <w:r>
        <w:rPr>
          <w:rStyle w:val="FootnoteReference"/>
        </w:rPr>
        <w:footnoteRef/>
      </w:r>
      <w:r>
        <w:t xml:space="preserve"> </w:t>
      </w:r>
      <w:r>
        <w:tab/>
        <w:t xml:space="preserve">AusNet Services, </w:t>
      </w:r>
      <w:r w:rsidRPr="009C653F">
        <w:rPr>
          <w:rStyle w:val="AERtextitalic"/>
        </w:rPr>
        <w:t>Revised regulatory proposal</w:t>
      </w:r>
      <w:r>
        <w:t xml:space="preserve">, 6 January 2016, pp. 8-7 to 8-8; CitiPower, </w:t>
      </w:r>
      <w:r w:rsidRPr="00333053">
        <w:rPr>
          <w:rStyle w:val="AERtextitalic"/>
        </w:rPr>
        <w:t>Revised regulatory proposal</w:t>
      </w:r>
      <w:r>
        <w:t xml:space="preserve">, 6 January 2016, pp. 256–257; Jemena, </w:t>
      </w:r>
      <w:r>
        <w:rPr>
          <w:rStyle w:val="AERtextitalic"/>
        </w:rPr>
        <w:t>Revised r</w:t>
      </w:r>
      <w:r w:rsidRPr="00333053">
        <w:rPr>
          <w:rStyle w:val="AERtextitalic"/>
        </w:rPr>
        <w:t>egulatory proposal, Attachment 5-4 Asset base roll-forward and depreciation</w:t>
      </w:r>
      <w:r>
        <w:t xml:space="preserve">, 6 January 2016, pp. 2–3; Powercor, </w:t>
      </w:r>
      <w:r w:rsidRPr="00333053">
        <w:rPr>
          <w:rStyle w:val="AERtextitalic"/>
        </w:rPr>
        <w:t>Revised regulatory proposal</w:t>
      </w:r>
      <w:r>
        <w:t xml:space="preserve">, 6 January 2016, pp. 250–251; and United Energy, </w:t>
      </w:r>
      <w:r w:rsidRPr="00333053">
        <w:rPr>
          <w:rStyle w:val="AERtextitalic"/>
        </w:rPr>
        <w:t>Revised regulatory proposal</w:t>
      </w:r>
      <w:r>
        <w:t>, 6 January 2016, pp. 72–73.</w:t>
      </w:r>
    </w:p>
  </w:footnote>
  <w:footnote w:id="22">
    <w:p w:rsidR="002C1B51" w:rsidRDefault="002C1B51" w:rsidP="00693505">
      <w:pPr>
        <w:pStyle w:val="FootnoteText"/>
      </w:pPr>
      <w:r>
        <w:rPr>
          <w:rStyle w:val="FootnoteReference"/>
        </w:rPr>
        <w:footnoteRef/>
      </w:r>
      <w:r>
        <w:t xml:space="preserve"> </w:t>
      </w:r>
      <w:r>
        <w:tab/>
        <w:t xml:space="preserve">AusNet Services, </w:t>
      </w:r>
      <w:r w:rsidRPr="00107D90">
        <w:rPr>
          <w:rStyle w:val="AERtextitalic"/>
        </w:rPr>
        <w:t>Revised regulatory proposal</w:t>
      </w:r>
      <w:r>
        <w:t>, 6 January 2016, pp. 8-6 to 8-9.</w:t>
      </w:r>
    </w:p>
  </w:footnote>
  <w:footnote w:id="23">
    <w:p w:rsidR="002C1B51" w:rsidRDefault="002C1B51">
      <w:pPr>
        <w:pStyle w:val="FootnoteText"/>
      </w:pPr>
      <w:r>
        <w:rPr>
          <w:rStyle w:val="FootnoteReference"/>
        </w:rPr>
        <w:footnoteRef/>
      </w:r>
      <w:r>
        <w:t xml:space="preserve"> </w:t>
      </w:r>
      <w:r>
        <w:tab/>
        <w:t xml:space="preserve">CitiPower, </w:t>
      </w:r>
      <w:r w:rsidRPr="00333053">
        <w:rPr>
          <w:rStyle w:val="AERtextitalic"/>
        </w:rPr>
        <w:t>Revised regulatory proposal</w:t>
      </w:r>
      <w:r>
        <w:t xml:space="preserve">, 6 January 2016, pp. 254–258; Jemena, </w:t>
      </w:r>
      <w:r>
        <w:rPr>
          <w:rStyle w:val="AERtextitalic"/>
        </w:rPr>
        <w:t>Revised regulatory proposal</w:t>
      </w:r>
      <w:r w:rsidRPr="00333053">
        <w:rPr>
          <w:rStyle w:val="AERtextitalic"/>
        </w:rPr>
        <w:t>, Attachment 5-4 Asset base roll-forward and depreciation</w:t>
      </w:r>
      <w:r>
        <w:t xml:space="preserve">, 6 January 2016, pp. 1–6; Powercor, </w:t>
      </w:r>
      <w:r w:rsidRPr="00333053">
        <w:rPr>
          <w:rStyle w:val="AERtextitalic"/>
        </w:rPr>
        <w:t>Revised regulatory proposal</w:t>
      </w:r>
      <w:r>
        <w:t xml:space="preserve">, 6 January 2016, pp. 248–252; and United Energy, </w:t>
      </w:r>
      <w:r w:rsidRPr="00333053">
        <w:rPr>
          <w:rStyle w:val="AERtextitalic"/>
        </w:rPr>
        <w:t>Revised regulatory proposal</w:t>
      </w:r>
      <w:r>
        <w:t>, 6 January 2016, pp. 72–73.</w:t>
      </w:r>
    </w:p>
  </w:footnote>
  <w:footnote w:id="24">
    <w:p w:rsidR="002C1B51" w:rsidRDefault="002C1B51">
      <w:pPr>
        <w:pStyle w:val="FootnoteText"/>
      </w:pPr>
      <w:r>
        <w:rPr>
          <w:rStyle w:val="FootnoteReference"/>
        </w:rPr>
        <w:footnoteRef/>
      </w:r>
      <w:r>
        <w:t xml:space="preserve"> </w:t>
      </w:r>
      <w:r>
        <w:tab/>
        <w:t xml:space="preserve">AER, </w:t>
      </w:r>
      <w:r w:rsidRPr="00107D90">
        <w:rPr>
          <w:rStyle w:val="AERtextitalic"/>
        </w:rPr>
        <w:t>Final decision, Amendment, Electricity transmission network service providers, Roll forward model (version 3)</w:t>
      </w:r>
      <w:r>
        <w:t>, 23 October 2015, p. 11–12.</w:t>
      </w:r>
    </w:p>
  </w:footnote>
  <w:footnote w:id="25">
    <w:p w:rsidR="002C1B51" w:rsidRDefault="002C1B51" w:rsidP="00693505">
      <w:pPr>
        <w:pStyle w:val="FootnoteText"/>
      </w:pPr>
      <w:r>
        <w:rPr>
          <w:rStyle w:val="FootnoteReference"/>
        </w:rPr>
        <w:footnoteRef/>
      </w:r>
      <w:r>
        <w:t xml:space="preserve"> </w:t>
      </w:r>
      <w:r>
        <w:tab/>
        <w:t>NER, cl. 6.5.1(b)–(d).</w:t>
      </w:r>
    </w:p>
  </w:footnote>
  <w:footnote w:id="26">
    <w:p w:rsidR="002C1B51" w:rsidRDefault="002C1B51" w:rsidP="00693505">
      <w:pPr>
        <w:pStyle w:val="FootnoteText"/>
      </w:pPr>
      <w:r>
        <w:rPr>
          <w:rStyle w:val="FootnoteReference"/>
        </w:rPr>
        <w:footnoteRef/>
      </w:r>
      <w:r>
        <w:t xml:space="preserve"> </w:t>
      </w:r>
      <w:r>
        <w:tab/>
        <w:t xml:space="preserve">We note that the AER's current approach had support from service providers when the current RFM template was developed in 2008. See the submissions available online at </w:t>
      </w:r>
      <w:r w:rsidRPr="00C113FF">
        <w:t>http://www.aer.gov.au/networks-pipelines/guidelines-schemes-models-reviews/roll-forward-model-2008/draft-decision</w:t>
      </w:r>
      <w:r>
        <w:t>.</w:t>
      </w:r>
    </w:p>
  </w:footnote>
  <w:footnote w:id="27">
    <w:p w:rsidR="002C1B51" w:rsidRDefault="002C1B51" w:rsidP="00693505">
      <w:pPr>
        <w:pStyle w:val="FootnoteText"/>
      </w:pPr>
      <w:r>
        <w:rPr>
          <w:rStyle w:val="FootnoteReference"/>
        </w:rPr>
        <w:footnoteRef/>
      </w:r>
      <w:r>
        <w:t xml:space="preserve"> </w:t>
      </w:r>
      <w:r>
        <w:tab/>
      </w:r>
      <w:r w:rsidRPr="00C113FF">
        <w:t>Further, it is likely that there would not be a material difference in revenue outcomes</w:t>
      </w:r>
      <w:r>
        <w:t xml:space="preserve"> even if we were to change our final decision from all-lagged to the partially-lagged approach. This is because, when changing from one inflation series to another, we would give consideration to a transitional adjustment reflecting the impact of the change.</w:t>
      </w:r>
    </w:p>
  </w:footnote>
  <w:footnote w:id="28">
    <w:p w:rsidR="002C1B51" w:rsidRDefault="002C1B51" w:rsidP="00693505">
      <w:pPr>
        <w:pStyle w:val="FootnoteText"/>
      </w:pPr>
      <w:r>
        <w:rPr>
          <w:rStyle w:val="FootnoteReference"/>
        </w:rPr>
        <w:footnoteRef/>
      </w:r>
      <w:r>
        <w:t xml:space="preserve"> </w:t>
      </w:r>
      <w:r>
        <w:tab/>
        <w:t xml:space="preserve">In contrast, AusNet Services' initial proposal used lagged inputs but did not adjust the formulae. This meant it applied a two-year lag to some RFM components. AusNet Services no longer proposes this approach. </w:t>
      </w:r>
    </w:p>
  </w:footnote>
  <w:footnote w:id="29">
    <w:p w:rsidR="002C1B51" w:rsidRDefault="002C1B51">
      <w:pPr>
        <w:pStyle w:val="FootnoteText"/>
      </w:pPr>
      <w:r>
        <w:rPr>
          <w:rStyle w:val="FootnoteReference"/>
        </w:rPr>
        <w:footnoteRef/>
      </w:r>
      <w:r>
        <w:t xml:space="preserve"> </w:t>
      </w:r>
      <w:r>
        <w:tab/>
        <w:t>The term 'disposal value' is not defined elsewhere in the NER.</w:t>
      </w:r>
    </w:p>
  </w:footnote>
  <w:footnote w:id="30">
    <w:p w:rsidR="002C1B51" w:rsidRDefault="002C1B51">
      <w:pPr>
        <w:pStyle w:val="FootnoteText"/>
      </w:pPr>
      <w:r>
        <w:rPr>
          <w:rStyle w:val="FootnoteReference"/>
        </w:rPr>
        <w:footnoteRef/>
      </w:r>
      <w:r>
        <w:t xml:space="preserve"> </w:t>
      </w:r>
      <w:r>
        <w:tab/>
      </w:r>
      <w:r w:rsidRPr="00D033BE">
        <w:t xml:space="preserve">AER, </w:t>
      </w:r>
      <w:r w:rsidRPr="00B10347">
        <w:rPr>
          <w:rStyle w:val="AERtextitalic"/>
        </w:rPr>
        <w:t xml:space="preserve">Preliminary decision, </w:t>
      </w:r>
      <w:r>
        <w:rPr>
          <w:rStyle w:val="AERtextitalic"/>
        </w:rPr>
        <w:t>AusNet Services</w:t>
      </w:r>
      <w:r w:rsidRPr="00B10347">
        <w:rPr>
          <w:rStyle w:val="AERtextitalic"/>
        </w:rPr>
        <w:t xml:space="preserve"> determination 2016 to 2020: Attachment 2 – Regulatory asset base</w:t>
      </w:r>
      <w:r w:rsidRPr="00D033BE">
        <w:t xml:space="preserve">, </w:t>
      </w:r>
      <w:r>
        <w:t>October 2015, p. 2-15</w:t>
      </w:r>
      <w:r w:rsidRPr="00D033BE">
        <w:t>.</w:t>
      </w:r>
    </w:p>
  </w:footnote>
  <w:footnote w:id="31">
    <w:p w:rsidR="002C1B51" w:rsidRDefault="002C1B51" w:rsidP="00E351C5">
      <w:pPr>
        <w:pStyle w:val="FootnoteText"/>
      </w:pPr>
      <w:r>
        <w:rPr>
          <w:rStyle w:val="FootnoteReference"/>
        </w:rPr>
        <w:footnoteRef/>
      </w:r>
      <w:r>
        <w:t xml:space="preserve"> </w:t>
      </w:r>
      <w:r>
        <w:tab/>
        <w:t>AusNet Services</w:t>
      </w:r>
      <w:r w:rsidRPr="00E5295B">
        <w:t xml:space="preserve"> </w:t>
      </w:r>
      <w:r w:rsidRPr="00E5295B">
        <w:rPr>
          <w:rStyle w:val="AERtextitalic"/>
        </w:rPr>
        <w:t xml:space="preserve">Revised regulatory </w:t>
      </w:r>
      <w:r w:rsidRPr="006F125B">
        <w:rPr>
          <w:rStyle w:val="AERtextitalic"/>
        </w:rPr>
        <w:t>proposal</w:t>
      </w:r>
      <w:r>
        <w:rPr>
          <w:rStyle w:val="AERtextitalic"/>
        </w:rPr>
        <w:t>:</w:t>
      </w:r>
      <w:r w:rsidRPr="006F125B">
        <w:rPr>
          <w:rStyle w:val="AERtextitalic"/>
        </w:rPr>
        <w:t xml:space="preserve"> Attachment 5–4</w:t>
      </w:r>
      <w:r w:rsidRPr="00E5295B">
        <w:t>, January 2016,</w:t>
      </w:r>
      <w:r>
        <w:t xml:space="preserve"> p. 8-10 and p.  8-11</w:t>
      </w:r>
      <w:r w:rsidRPr="00E5295B">
        <w:t>.</w:t>
      </w:r>
    </w:p>
  </w:footnote>
  <w:footnote w:id="32">
    <w:p w:rsidR="002C1B51" w:rsidRDefault="002C1B51">
      <w:pPr>
        <w:pStyle w:val="FootnoteText"/>
      </w:pPr>
      <w:r>
        <w:rPr>
          <w:rStyle w:val="FootnoteReference"/>
        </w:rPr>
        <w:footnoteRef/>
      </w:r>
      <w:r>
        <w:t xml:space="preserve"> </w:t>
      </w:r>
      <w:r>
        <w:tab/>
      </w:r>
      <w:r w:rsidRPr="00D8773B">
        <w:t xml:space="preserve">AusNet Services </w:t>
      </w:r>
      <w:r>
        <w:t xml:space="preserve">revised the </w:t>
      </w:r>
      <w:r w:rsidRPr="00D8773B">
        <w:t xml:space="preserve">disposal values for 2012 and 2013 </w:t>
      </w:r>
      <w:r>
        <w:t xml:space="preserve">because the values </w:t>
      </w:r>
      <w:r w:rsidRPr="00D8773B">
        <w:t>reported in the initial proposal represent</w:t>
      </w:r>
      <w:r>
        <w:t>ed</w:t>
      </w:r>
      <w:r w:rsidRPr="00D8773B">
        <w:t xml:space="preserve"> the resid</w:t>
      </w:r>
      <w:r>
        <w:t>ual</w:t>
      </w:r>
      <w:r w:rsidRPr="00D8773B">
        <w:t xml:space="preserve"> value of the assets retired and/or removed from service</w:t>
      </w:r>
      <w:r>
        <w:t>;</w:t>
      </w:r>
      <w:r w:rsidRPr="00D8773B">
        <w:t xml:space="preserve"> rather than the residual values of the assets sold.</w:t>
      </w:r>
      <w:r>
        <w:t xml:space="preserve"> AusNet Services,</w:t>
      </w:r>
      <w:r w:rsidRPr="00E5295B">
        <w:t xml:space="preserve"> </w:t>
      </w:r>
      <w:r w:rsidRPr="00E5295B">
        <w:rPr>
          <w:rStyle w:val="AERtextitalic"/>
        </w:rPr>
        <w:t xml:space="preserve">Revised regulatory </w:t>
      </w:r>
      <w:r w:rsidRPr="006F125B">
        <w:rPr>
          <w:rStyle w:val="AERtextitalic"/>
        </w:rPr>
        <w:t>proposal</w:t>
      </w:r>
      <w:r w:rsidRPr="00E5295B">
        <w:t>, January 2016,</w:t>
      </w:r>
      <w:r>
        <w:t xml:space="preserve"> p. 8-11</w:t>
      </w:r>
      <w:r w:rsidRPr="00E5295B">
        <w:t>.</w:t>
      </w:r>
    </w:p>
  </w:footnote>
  <w:footnote w:id="33">
    <w:p w:rsidR="002C1B51" w:rsidRDefault="002C1B51">
      <w:pPr>
        <w:pStyle w:val="FootnoteText"/>
      </w:pPr>
      <w:r>
        <w:rPr>
          <w:rStyle w:val="FootnoteReference"/>
        </w:rPr>
        <w:footnoteRef/>
      </w:r>
      <w:r>
        <w:t xml:space="preserve"> </w:t>
      </w:r>
      <w:r>
        <w:tab/>
        <w:t>AusNet Services,</w:t>
      </w:r>
      <w:r w:rsidRPr="00E5295B">
        <w:t xml:space="preserve"> </w:t>
      </w:r>
      <w:r w:rsidRPr="00E5295B">
        <w:rPr>
          <w:rStyle w:val="AERtextitalic"/>
        </w:rPr>
        <w:t xml:space="preserve">Revised regulatory </w:t>
      </w:r>
      <w:r w:rsidRPr="006F125B">
        <w:rPr>
          <w:rStyle w:val="AERtextitalic"/>
        </w:rPr>
        <w:t>proposal</w:t>
      </w:r>
      <w:r w:rsidRPr="00E5295B">
        <w:t>, January 2016,</w:t>
      </w:r>
      <w:r>
        <w:t xml:space="preserve"> p. 8-11</w:t>
      </w:r>
      <w:r w:rsidRPr="00E5295B">
        <w:t>.</w:t>
      </w:r>
    </w:p>
  </w:footnote>
  <w:footnote w:id="34">
    <w:p w:rsidR="002C1B51" w:rsidRDefault="002C1B51" w:rsidP="002E3D4A">
      <w:pPr>
        <w:pStyle w:val="FootnoteText"/>
      </w:pPr>
      <w:r>
        <w:rPr>
          <w:rStyle w:val="FootnoteReference"/>
        </w:rPr>
        <w:footnoteRef/>
      </w:r>
      <w:r>
        <w:t xml:space="preserve"> </w:t>
      </w:r>
      <w:r>
        <w:tab/>
        <w:t xml:space="preserve">Office of the Regulator-General Victoria, </w:t>
      </w:r>
      <w:r w:rsidRPr="003F3E0B">
        <w:rPr>
          <w:rStyle w:val="AERtextitalic"/>
        </w:rPr>
        <w:t>2001 Electricity distribution price review, Draft decision</w:t>
      </w:r>
      <w:r>
        <w:t xml:space="preserve">, May 2000, p. 130. There was no commentary on the definition of disposals in the subsequent final decision, as it appears the issue was settled. See Office of the Regulator-General Victoria, </w:t>
      </w:r>
      <w:r w:rsidRPr="003F3E0B">
        <w:rPr>
          <w:rStyle w:val="AERtextitalic"/>
        </w:rPr>
        <w:t>Electricity distribution price determination 2001–05, Volume 1 statement of purpose and reasons</w:t>
      </w:r>
      <w:r>
        <w:t>, September 2000, p. 111.</w:t>
      </w:r>
    </w:p>
  </w:footnote>
  <w:footnote w:id="35">
    <w:p w:rsidR="002C1B51" w:rsidRDefault="002C1B51" w:rsidP="002E3D4A">
      <w:pPr>
        <w:pStyle w:val="FootnoteText"/>
      </w:pPr>
      <w:r>
        <w:rPr>
          <w:rStyle w:val="FootnoteReference"/>
        </w:rPr>
        <w:footnoteRef/>
      </w:r>
      <w:r>
        <w:t xml:space="preserve"> </w:t>
      </w:r>
      <w:r>
        <w:tab/>
        <w:t xml:space="preserve">ESC, </w:t>
      </w:r>
      <w:r w:rsidRPr="003F3E0B">
        <w:rPr>
          <w:rStyle w:val="AERtextitalic"/>
        </w:rPr>
        <w:t>Final Decision, Electricity Distribution Price Review 2006–10, October 2005 Price Determination as amended in accordance with a decision of the Appeal Panel dated 17 February 2006, Final decision volume 1: Statement of purpose and reasons</w:t>
      </w:r>
      <w:r>
        <w:t>, October 2006, p. 321.</w:t>
      </w:r>
    </w:p>
  </w:footnote>
  <w:footnote w:id="36">
    <w:p w:rsidR="002C1B51" w:rsidRDefault="002C1B51" w:rsidP="002E3D4A">
      <w:pPr>
        <w:pStyle w:val="FootnoteText"/>
      </w:pPr>
      <w:r>
        <w:rPr>
          <w:rStyle w:val="FootnoteReference"/>
        </w:rPr>
        <w:footnoteRef/>
      </w:r>
      <w:r>
        <w:t xml:space="preserve"> </w:t>
      </w:r>
      <w:r>
        <w:tab/>
        <w:t xml:space="preserve">ESC </w:t>
      </w:r>
      <w:r w:rsidRPr="003F3E0B">
        <w:rPr>
          <w:rStyle w:val="AERtextitalic"/>
        </w:rPr>
        <w:t>Final decision,</w:t>
      </w:r>
      <w:r>
        <w:t xml:space="preserve"> </w:t>
      </w:r>
      <w:r w:rsidRPr="0028105B">
        <w:rPr>
          <w:rStyle w:val="AERtextitalic"/>
        </w:rPr>
        <w:t>2006–10</w:t>
      </w:r>
      <w:r w:rsidRPr="003F3E0B">
        <w:rPr>
          <w:rStyle w:val="AERtextitalic"/>
        </w:rPr>
        <w:t xml:space="preserve"> Electricity Distribution Final Determination, SP AusNet RFM Final Decision (2006–10) amended 20130718.xls</w:t>
      </w:r>
      <w:r>
        <w:t>, tab 'EDPR 2006–10 Data Inputs July $, cell A69; and tab 'EDPR 2006–10 Data Inputs', cell A69.</w:t>
      </w:r>
    </w:p>
  </w:footnote>
  <w:footnote w:id="37">
    <w:p w:rsidR="002C1B51" w:rsidRDefault="002C1B51">
      <w:pPr>
        <w:pStyle w:val="FootnoteText"/>
      </w:pPr>
      <w:r>
        <w:rPr>
          <w:rStyle w:val="FootnoteReference"/>
        </w:rPr>
        <w:footnoteRef/>
      </w:r>
      <w:r>
        <w:t xml:space="preserve"> </w:t>
      </w:r>
      <w:r>
        <w:tab/>
        <w:t xml:space="preserve">AER, </w:t>
      </w:r>
      <w:r w:rsidRPr="003F3E0B">
        <w:rPr>
          <w:rStyle w:val="AERtextitalic"/>
        </w:rPr>
        <w:t>Final decision, Victorian electricity distribution network service providers, Distribution determination 2011–2015</w:t>
      </w:r>
      <w:r>
        <w:t>, October 2010, p. 450.</w:t>
      </w:r>
    </w:p>
  </w:footnote>
  <w:footnote w:id="38">
    <w:p w:rsidR="002C1B51" w:rsidRDefault="002C1B51" w:rsidP="0029395A">
      <w:pPr>
        <w:pStyle w:val="FootnoteText"/>
      </w:pPr>
      <w:r>
        <w:rPr>
          <w:rStyle w:val="FootnoteReference"/>
        </w:rPr>
        <w:footnoteRef/>
      </w:r>
      <w:r>
        <w:t xml:space="preserve"> </w:t>
      </w:r>
      <w:r>
        <w:tab/>
        <w:t xml:space="preserve">The DNSP also recovers a return </w:t>
      </w:r>
      <w:r w:rsidRPr="003F3E0B">
        <w:rPr>
          <w:rStyle w:val="AERtextitalic"/>
        </w:rPr>
        <w:t>on</w:t>
      </w:r>
      <w:r>
        <w:t xml:space="preserve"> capital for the time period where capital is invested, separate from the return </w:t>
      </w:r>
      <w:r w:rsidRPr="003F3E0B">
        <w:rPr>
          <w:rStyle w:val="AERtextitalic"/>
        </w:rPr>
        <w:t>of</w:t>
      </w:r>
      <w:r>
        <w:t xml:space="preserve"> capital itself. Hence, the total amount recovered by the DNSP will be greater than the amount invested, if both the return on capital and the return of capital are summed. Clause 6.5.5(b)(5) only refers to the latter component.</w:t>
      </w:r>
    </w:p>
  </w:footnote>
  <w:footnote w:id="39">
    <w:p w:rsidR="002C1B51" w:rsidRDefault="002C1B51">
      <w:pPr>
        <w:pStyle w:val="FootnoteText"/>
      </w:pPr>
      <w:r>
        <w:rPr>
          <w:rStyle w:val="FootnoteReference"/>
        </w:rPr>
        <w:footnoteRef/>
      </w:r>
      <w:r>
        <w:t xml:space="preserve"> </w:t>
      </w:r>
      <w:r>
        <w:tab/>
        <w:t>NER, cl. S</w:t>
      </w:r>
      <w:r w:rsidRPr="00D8773B">
        <w:t>6.2.1(e)</w:t>
      </w:r>
      <w:r>
        <w:t>(6).</w:t>
      </w:r>
    </w:p>
  </w:footnote>
  <w:footnote w:id="40">
    <w:p w:rsidR="002C1B51" w:rsidRDefault="002C1B51" w:rsidP="006C28D7">
      <w:pPr>
        <w:pStyle w:val="FootnoteText"/>
      </w:pPr>
      <w:r>
        <w:rPr>
          <w:rStyle w:val="FootnoteReference"/>
        </w:rPr>
        <w:footnoteRef/>
      </w:r>
      <w:r>
        <w:t xml:space="preserve"> </w:t>
      </w:r>
      <w:r>
        <w:tab/>
        <w:t>In the worked example above, if the service provider sold the asset for $10 (instead of $30), AusNet Services' approach (written down value) would result in a $10 capital loss on the initial $100 capital outlay. The AER approach (proceeds from sale) would still return exactly $100 to the service provider (there would be $10 depreciation in year 5).</w:t>
      </w:r>
    </w:p>
  </w:footnote>
  <w:footnote w:id="41">
    <w:p w:rsidR="002C1B51" w:rsidRDefault="002C1B51" w:rsidP="006C28D7">
      <w:pPr>
        <w:pStyle w:val="FootnoteText"/>
      </w:pPr>
      <w:r>
        <w:rPr>
          <w:rStyle w:val="FootnoteReference"/>
        </w:rPr>
        <w:footnoteRef/>
      </w:r>
      <w:r>
        <w:t xml:space="preserve"> </w:t>
      </w:r>
      <w:r>
        <w:tab/>
        <w:t>As noted above, this is consistent with the principle behind NER cl. 6.5.5.(b)(2).</w:t>
      </w:r>
    </w:p>
  </w:footnote>
  <w:footnote w:id="42">
    <w:p w:rsidR="002C1B51" w:rsidRDefault="002C1B51" w:rsidP="009929E3">
      <w:pPr>
        <w:pStyle w:val="FootnoteText"/>
      </w:pPr>
      <w:r>
        <w:rPr>
          <w:rStyle w:val="FootnoteReference"/>
        </w:rPr>
        <w:footnoteRef/>
      </w:r>
      <w:r>
        <w:t xml:space="preserve"> </w:t>
      </w:r>
      <w:r>
        <w:tab/>
        <w:t>It would be prohibitively complex to individually track all assets in the RAB. Clause 6.5.5 of the NER explicitly recognises the use of assets grouped into categories,</w:t>
      </w:r>
    </w:p>
  </w:footnote>
  <w:footnote w:id="43">
    <w:p w:rsidR="002C1B51" w:rsidRDefault="002C1B51" w:rsidP="009929E3">
      <w:pPr>
        <w:pStyle w:val="FootnoteText"/>
      </w:pPr>
      <w:r>
        <w:rPr>
          <w:rStyle w:val="FootnoteReference"/>
        </w:rPr>
        <w:footnoteRef/>
      </w:r>
      <w:r>
        <w:t xml:space="preserve"> </w:t>
      </w:r>
      <w:r>
        <w:tab/>
        <w:t>For example, under straight-line depreciation, the simplified formula in real terms is:</w:t>
      </w:r>
      <w:r>
        <w:br/>
      </w:r>
      <w:r w:rsidRPr="00ED2D24">
        <w:rPr>
          <w:rStyle w:val="AERtextitalic"/>
        </w:rPr>
        <w:t>Written down value = Initial asset value – [(Initial asset value / Standard asset life)  x Asset age]</w:t>
      </w:r>
    </w:p>
  </w:footnote>
  <w:footnote w:id="44">
    <w:p w:rsidR="002C1B51" w:rsidRDefault="002C1B51" w:rsidP="009929E3">
      <w:pPr>
        <w:pStyle w:val="FootnoteText"/>
      </w:pPr>
      <w:r>
        <w:rPr>
          <w:rStyle w:val="FootnoteReference"/>
        </w:rPr>
        <w:footnoteRef/>
      </w:r>
      <w:r>
        <w:t xml:space="preserve"> </w:t>
      </w:r>
      <w:r>
        <w:tab/>
        <w:t>With a broad spread of asset conditions, the aggregate value of the asset class may be accurate even though the value of individual assets varies substantially.</w:t>
      </w:r>
    </w:p>
  </w:footnote>
  <w:footnote w:id="45">
    <w:p w:rsidR="002C1B51" w:rsidRDefault="002C1B51" w:rsidP="006C28D7">
      <w:pPr>
        <w:pStyle w:val="FootnoteText"/>
      </w:pPr>
      <w:r>
        <w:rPr>
          <w:rStyle w:val="FootnoteReference"/>
        </w:rPr>
        <w:footnoteRef/>
      </w:r>
      <w:r>
        <w:t xml:space="preserve"> </w:t>
      </w:r>
      <w:r>
        <w:tab/>
        <w:t>However, only the proceeds from sale approach values these assets at market value.</w:t>
      </w:r>
    </w:p>
  </w:footnote>
  <w:footnote w:id="46">
    <w:p w:rsidR="002C1B51" w:rsidRDefault="002C1B51">
      <w:pPr>
        <w:pStyle w:val="FootnoteText"/>
      </w:pPr>
      <w:r>
        <w:rPr>
          <w:rStyle w:val="FootnoteReference"/>
        </w:rPr>
        <w:footnoteRef/>
      </w:r>
      <w:r>
        <w:t xml:space="preserve"> </w:t>
      </w:r>
      <w:r>
        <w:tab/>
        <w:t>Including other building block components (for example, return on capital, opex, and tax) would complicate the example but would not change the core result.</w:t>
      </w:r>
    </w:p>
  </w:footnote>
  <w:footnote w:id="47">
    <w:p w:rsidR="002C1B51" w:rsidRDefault="002C1B51">
      <w:pPr>
        <w:pStyle w:val="FootnoteText"/>
      </w:pPr>
      <w:r>
        <w:rPr>
          <w:rStyle w:val="FootnoteReference"/>
        </w:rPr>
        <w:footnoteRef/>
      </w:r>
      <w:r>
        <w:t xml:space="preserve"> </w:t>
      </w:r>
      <w:r>
        <w:tab/>
        <w:t>The asset value at the start of year 4 was $40, but $20 of depreciation has been incurred during year 4.</w:t>
      </w:r>
    </w:p>
  </w:footnote>
  <w:footnote w:id="48">
    <w:p w:rsidR="002C1B51" w:rsidRDefault="002C1B51" w:rsidP="0036238D">
      <w:pPr>
        <w:pStyle w:val="FootnoteText"/>
      </w:pPr>
      <w:r>
        <w:rPr>
          <w:rStyle w:val="FootnoteReference"/>
        </w:rPr>
        <w:footnoteRef/>
      </w:r>
      <w:r>
        <w:t xml:space="preserve"> </w:t>
      </w:r>
      <w:r>
        <w:tab/>
        <w:t>Calculated as: 40 –20 +0 –30 = –10 (Starting value – depreciation + capex –disposal value = Ending value).</w:t>
      </w:r>
    </w:p>
  </w:footnote>
  <w:footnote w:id="49">
    <w:p w:rsidR="002C1B51" w:rsidRDefault="002C1B51" w:rsidP="0036238D">
      <w:pPr>
        <w:pStyle w:val="FootnoteText"/>
      </w:pPr>
      <w:r>
        <w:rPr>
          <w:rStyle w:val="FootnoteReference"/>
        </w:rPr>
        <w:footnoteRef/>
      </w:r>
      <w:r>
        <w:t xml:space="preserve"> </w:t>
      </w:r>
      <w:r>
        <w:tab/>
        <w:t>In this simplified example the entire asset class has negative value, and accordingly we set the remaining life to one year so that this amount is immediately returned to consumers. In practice, we would expect there to be other assets within the class with positive values and so the negative depreciation would be offset against ongoing positive capex.</w:t>
      </w:r>
    </w:p>
  </w:footnote>
  <w:footnote w:id="50">
    <w:p w:rsidR="002C1B51" w:rsidRDefault="002C1B51" w:rsidP="0036238D">
      <w:pPr>
        <w:pStyle w:val="FootnoteText"/>
      </w:pPr>
      <w:r>
        <w:rPr>
          <w:rStyle w:val="FootnoteReference"/>
        </w:rPr>
        <w:footnoteRef/>
      </w:r>
      <w:r>
        <w:t xml:space="preserve"> </w:t>
      </w:r>
      <w:r>
        <w:tab/>
        <w:t>Alternatively, this is equivalent to stating that the initial value of the asset ($100) less the disposal value adjustment ($30) is equal to depreciation ($70).</w:t>
      </w:r>
    </w:p>
  </w:footnote>
  <w:footnote w:id="51">
    <w:p w:rsidR="002C1B51" w:rsidRDefault="002C1B51">
      <w:pPr>
        <w:pStyle w:val="FootnoteText"/>
      </w:pPr>
      <w:r>
        <w:rPr>
          <w:rStyle w:val="FootnoteReference"/>
        </w:rPr>
        <w:footnoteRef/>
      </w:r>
      <w:r>
        <w:t xml:space="preserve"> </w:t>
      </w:r>
      <w:r>
        <w:tab/>
        <w:t>In this simplified example there is only one asset with negative depreciation. In practice, we would expect the service provider would have positive depreciation relating to other assets, so the negative depreciation would offset against this and result in a smaller (but still positive) return of capital building block.</w:t>
      </w:r>
    </w:p>
  </w:footnote>
  <w:footnote w:id="52">
    <w:p w:rsidR="002C1B51" w:rsidRDefault="002C1B51">
      <w:pPr>
        <w:pStyle w:val="FootnoteText"/>
      </w:pPr>
      <w:r>
        <w:rPr>
          <w:rStyle w:val="FootnoteReference"/>
        </w:rPr>
        <w:footnoteRef/>
      </w:r>
      <w:r>
        <w:t xml:space="preserve"> </w:t>
      </w:r>
      <w:r>
        <w:tab/>
        <w:t xml:space="preserve">We also accept AusNet Services' revised proposal that </w:t>
      </w:r>
      <w:r w:rsidRPr="00A32DD3">
        <w:t xml:space="preserve">the assets reported under the asset disposal section of the RFM </w:t>
      </w:r>
      <w:r>
        <w:t>should</w:t>
      </w:r>
      <w:r w:rsidRPr="00A32DD3">
        <w:t xml:space="preserve"> </w:t>
      </w:r>
      <w:r>
        <w:t xml:space="preserve">only </w:t>
      </w:r>
      <w:r w:rsidRPr="00A32DD3">
        <w:t xml:space="preserve">include </w:t>
      </w:r>
      <w:r>
        <w:t xml:space="preserve">retired </w:t>
      </w:r>
      <w:r w:rsidRPr="00A32DD3">
        <w:t>assets</w:t>
      </w:r>
      <w:r>
        <w:t xml:space="preserve"> that are sold </w:t>
      </w:r>
      <w:r w:rsidRPr="00A32DD3">
        <w:t xml:space="preserve">rather than </w:t>
      </w:r>
      <w:r>
        <w:t xml:space="preserve">all retired </w:t>
      </w:r>
      <w:r w:rsidRPr="00A32DD3">
        <w:t>assets</w:t>
      </w:r>
      <w:r>
        <w:t>. However, our use of proceeds from sale (instead of written down value) reduces the importance of this point, since the values for proceeds from sale only ever reflected sold assets.</w:t>
      </w:r>
    </w:p>
  </w:footnote>
  <w:footnote w:id="53">
    <w:p w:rsidR="002C1B51" w:rsidRDefault="002C1B51" w:rsidP="00B35737">
      <w:pPr>
        <w:pStyle w:val="FootnoteText"/>
      </w:pPr>
      <w:r>
        <w:rPr>
          <w:rStyle w:val="FootnoteReference"/>
        </w:rPr>
        <w:footnoteRef/>
      </w:r>
      <w:r>
        <w:t xml:space="preserve"> </w:t>
      </w:r>
      <w:r>
        <w:tab/>
        <w:t xml:space="preserve">AER, </w:t>
      </w:r>
      <w:r w:rsidRPr="0005012F">
        <w:rPr>
          <w:rStyle w:val="AERtextitalic"/>
        </w:rPr>
        <w:t>Final decision - Amendments to the electricity transmission roll forward model</w:t>
      </w:r>
      <w:r>
        <w:t xml:space="preserve">, </w:t>
      </w:r>
      <w:r w:rsidRPr="00301060">
        <w:t>Appendix A - Transmission roll forward model - Version 3</w:t>
      </w:r>
      <w:r>
        <w:t xml:space="preserve">, </w:t>
      </w:r>
      <w:r w:rsidRPr="0005012F">
        <w:t>October 2015</w:t>
      </w:r>
      <w:r>
        <w:t>.</w:t>
      </w:r>
    </w:p>
  </w:footnote>
  <w:footnote w:id="54">
    <w:p w:rsidR="002C1B51" w:rsidRDefault="002C1B51" w:rsidP="00B35737">
      <w:pPr>
        <w:pStyle w:val="FootnoteText"/>
      </w:pPr>
      <w:r>
        <w:rPr>
          <w:rStyle w:val="FootnoteReference"/>
        </w:rPr>
        <w:footnoteRef/>
      </w:r>
      <w:r>
        <w:t xml:space="preserve"> </w:t>
      </w:r>
      <w:r>
        <w:tab/>
      </w:r>
      <w:r w:rsidRPr="00705B22">
        <w:t>AusNet Services</w:t>
      </w:r>
      <w:r>
        <w:t>,</w:t>
      </w:r>
      <w:r w:rsidRPr="00705B22">
        <w:t xml:space="preserve"> </w:t>
      </w:r>
      <w:r w:rsidRPr="00705B22">
        <w:rPr>
          <w:rStyle w:val="AERtextitalic"/>
        </w:rPr>
        <w:t>Revised regulatory proposal</w:t>
      </w:r>
      <w:r w:rsidRPr="00705B22">
        <w:t>, January 2016,</w:t>
      </w:r>
      <w:r>
        <w:t xml:space="preserve"> p. 8-2</w:t>
      </w:r>
      <w:r w:rsidRPr="00705B22">
        <w:t>.</w:t>
      </w:r>
    </w:p>
  </w:footnote>
  <w:footnote w:id="55">
    <w:p w:rsidR="002C1B51" w:rsidRDefault="002C1B51" w:rsidP="00B35737">
      <w:pPr>
        <w:pStyle w:val="FootnoteText"/>
      </w:pPr>
      <w:r>
        <w:rPr>
          <w:rStyle w:val="FootnoteReference"/>
        </w:rPr>
        <w:footnoteRef/>
      </w:r>
      <w:r>
        <w:t xml:space="preserve"> </w:t>
      </w:r>
      <w:r>
        <w:tab/>
        <w:t xml:space="preserve">AER, </w:t>
      </w:r>
      <w:r w:rsidRPr="002D64E3">
        <w:rPr>
          <w:rStyle w:val="AERtextitalic"/>
        </w:rPr>
        <w:t xml:space="preserve">Preliminary decision </w:t>
      </w:r>
      <w:r>
        <w:rPr>
          <w:rStyle w:val="AERtextitalic"/>
        </w:rPr>
        <w:t xml:space="preserve">AusNet Services </w:t>
      </w:r>
      <w:r w:rsidRPr="002D64E3">
        <w:rPr>
          <w:rStyle w:val="AERtextitalic"/>
        </w:rPr>
        <w:t>distribution determination - Attachment 2 - Regulatory asset base</w:t>
      </w:r>
      <w:r>
        <w:t xml:space="preserve">, </w:t>
      </w:r>
      <w:r w:rsidRPr="002D64E3">
        <w:t>October 2015</w:t>
      </w:r>
      <w:r w:rsidRPr="002D64E3">
        <w:rPr>
          <w:rStyle w:val="AERtextitalic"/>
          <w:i w:val="0"/>
        </w:rPr>
        <w:t>, p. 16</w:t>
      </w:r>
      <w:r>
        <w:t xml:space="preserve">; AER, </w:t>
      </w:r>
      <w:r w:rsidRPr="00BC2C2F">
        <w:rPr>
          <w:rStyle w:val="AERtextitalic"/>
        </w:rPr>
        <w:t>Final Framework and Approach for the Victorian Electricity Distributors</w:t>
      </w:r>
      <w:r>
        <w:t>,</w:t>
      </w:r>
      <w:r w:rsidRPr="00BC2C2F">
        <w:t xml:space="preserve"> October 2014</w:t>
      </w:r>
      <w:r>
        <w:t>, pp. 121–126.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51" w:rsidRDefault="002C1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E65AAAF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1"/>
  </w:num>
  <w:num w:numId="15">
    <w:abstractNumId w:val="14"/>
  </w:num>
  <w:num w:numId="16">
    <w:abstractNumId w:val="23"/>
  </w:num>
  <w:num w:numId="17">
    <w:abstractNumId w:val="10"/>
  </w:num>
  <w:num w:numId="18">
    <w:abstractNumId w:val="16"/>
  </w:num>
  <w:num w:numId="19">
    <w:abstractNumId w:val="24"/>
  </w:num>
  <w:num w:numId="20">
    <w:abstractNumId w:val="30"/>
  </w:num>
  <w:num w:numId="21">
    <w:abstractNumId w:val="27"/>
  </w:num>
  <w:num w:numId="22">
    <w:abstractNumId w:val="25"/>
  </w:num>
  <w:num w:numId="23">
    <w:abstractNumId w:val="17"/>
  </w:num>
  <w:num w:numId="24">
    <w:abstractNumId w:val="26"/>
  </w:num>
  <w:num w:numId="25">
    <w:abstractNumId w:val="28"/>
  </w:num>
  <w:num w:numId="26">
    <w:abstractNumId w:val="18"/>
  </w:num>
  <w:num w:numId="27">
    <w:abstractNumId w:val="15"/>
  </w:num>
  <w:num w:numId="28">
    <w:abstractNumId w:val="32"/>
  </w:num>
  <w:num w:numId="29">
    <w:abstractNumId w:val="21"/>
  </w:num>
  <w:num w:numId="30">
    <w:abstractNumId w:val="9"/>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9"/>
  </w:num>
  <w:num w:numId="37">
    <w:abstractNumId w:val="22"/>
  </w:num>
  <w:num w:numId="38">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436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bston\AppData\Local\Microsoft\Windows\Temporary Internet Files\Content.MSO\2453649B.docx"/>
  </w:docVars>
  <w:rsids>
    <w:rsidRoot w:val="00961A4A"/>
    <w:rsid w:val="00001512"/>
    <w:rsid w:val="00004CBC"/>
    <w:rsid w:val="000051DC"/>
    <w:rsid w:val="0000658F"/>
    <w:rsid w:val="00010863"/>
    <w:rsid w:val="00011DBF"/>
    <w:rsid w:val="00012C4E"/>
    <w:rsid w:val="0001507B"/>
    <w:rsid w:val="00015BD4"/>
    <w:rsid w:val="00020016"/>
    <w:rsid w:val="00021202"/>
    <w:rsid w:val="00021C2B"/>
    <w:rsid w:val="0002498B"/>
    <w:rsid w:val="0002517F"/>
    <w:rsid w:val="00026187"/>
    <w:rsid w:val="000266FC"/>
    <w:rsid w:val="000273B3"/>
    <w:rsid w:val="00027E2D"/>
    <w:rsid w:val="0003578C"/>
    <w:rsid w:val="000401C7"/>
    <w:rsid w:val="00044DA3"/>
    <w:rsid w:val="00046461"/>
    <w:rsid w:val="000474DF"/>
    <w:rsid w:val="000541C4"/>
    <w:rsid w:val="00055A67"/>
    <w:rsid w:val="00060C68"/>
    <w:rsid w:val="00061F39"/>
    <w:rsid w:val="00063247"/>
    <w:rsid w:val="0006605B"/>
    <w:rsid w:val="0006624E"/>
    <w:rsid w:val="00070F9F"/>
    <w:rsid w:val="0007137B"/>
    <w:rsid w:val="00073B74"/>
    <w:rsid w:val="00076416"/>
    <w:rsid w:val="00077383"/>
    <w:rsid w:val="000805A8"/>
    <w:rsid w:val="000806A3"/>
    <w:rsid w:val="0008190B"/>
    <w:rsid w:val="00081DC9"/>
    <w:rsid w:val="000836D9"/>
    <w:rsid w:val="00085663"/>
    <w:rsid w:val="00085EBF"/>
    <w:rsid w:val="00087BBD"/>
    <w:rsid w:val="00087F68"/>
    <w:rsid w:val="00091B15"/>
    <w:rsid w:val="00095186"/>
    <w:rsid w:val="000956A5"/>
    <w:rsid w:val="000A0E71"/>
    <w:rsid w:val="000A1C0C"/>
    <w:rsid w:val="000A3020"/>
    <w:rsid w:val="000A4840"/>
    <w:rsid w:val="000A62C1"/>
    <w:rsid w:val="000A6A79"/>
    <w:rsid w:val="000A6C7B"/>
    <w:rsid w:val="000B0A7B"/>
    <w:rsid w:val="000B1173"/>
    <w:rsid w:val="000B4B1C"/>
    <w:rsid w:val="000B5827"/>
    <w:rsid w:val="000B7037"/>
    <w:rsid w:val="000C02D1"/>
    <w:rsid w:val="000C06EC"/>
    <w:rsid w:val="000C0C63"/>
    <w:rsid w:val="000C2B40"/>
    <w:rsid w:val="000C5255"/>
    <w:rsid w:val="000D07A7"/>
    <w:rsid w:val="000D122C"/>
    <w:rsid w:val="000D27AF"/>
    <w:rsid w:val="000D75B0"/>
    <w:rsid w:val="000E1819"/>
    <w:rsid w:val="000E4821"/>
    <w:rsid w:val="000E4AA9"/>
    <w:rsid w:val="000E6C72"/>
    <w:rsid w:val="000E7F39"/>
    <w:rsid w:val="000F0F0A"/>
    <w:rsid w:val="000F58E8"/>
    <w:rsid w:val="000F65B0"/>
    <w:rsid w:val="00100EA2"/>
    <w:rsid w:val="00101AA1"/>
    <w:rsid w:val="00102338"/>
    <w:rsid w:val="00104566"/>
    <w:rsid w:val="00104FF6"/>
    <w:rsid w:val="001114AA"/>
    <w:rsid w:val="00113B50"/>
    <w:rsid w:val="00115743"/>
    <w:rsid w:val="00116EB2"/>
    <w:rsid w:val="0012115E"/>
    <w:rsid w:val="0012132C"/>
    <w:rsid w:val="00124609"/>
    <w:rsid w:val="00124BBB"/>
    <w:rsid w:val="00126A4C"/>
    <w:rsid w:val="001270E3"/>
    <w:rsid w:val="00132D43"/>
    <w:rsid w:val="001332D9"/>
    <w:rsid w:val="00133366"/>
    <w:rsid w:val="00133F47"/>
    <w:rsid w:val="00134029"/>
    <w:rsid w:val="001408B6"/>
    <w:rsid w:val="00142C2D"/>
    <w:rsid w:val="00144C96"/>
    <w:rsid w:val="0014573B"/>
    <w:rsid w:val="001463A3"/>
    <w:rsid w:val="001471E4"/>
    <w:rsid w:val="0015073A"/>
    <w:rsid w:val="001573E4"/>
    <w:rsid w:val="00160097"/>
    <w:rsid w:val="00160756"/>
    <w:rsid w:val="00161DC8"/>
    <w:rsid w:val="00166760"/>
    <w:rsid w:val="0017232E"/>
    <w:rsid w:val="00174102"/>
    <w:rsid w:val="001754EE"/>
    <w:rsid w:val="00180157"/>
    <w:rsid w:val="001809BC"/>
    <w:rsid w:val="00180D92"/>
    <w:rsid w:val="00180E97"/>
    <w:rsid w:val="00181027"/>
    <w:rsid w:val="001820B4"/>
    <w:rsid w:val="00184351"/>
    <w:rsid w:val="00184AC8"/>
    <w:rsid w:val="00185BA5"/>
    <w:rsid w:val="00185CB9"/>
    <w:rsid w:val="00185DBE"/>
    <w:rsid w:val="00186ADC"/>
    <w:rsid w:val="00186F77"/>
    <w:rsid w:val="001877A4"/>
    <w:rsid w:val="001926A4"/>
    <w:rsid w:val="00192AD5"/>
    <w:rsid w:val="001938F6"/>
    <w:rsid w:val="00194597"/>
    <w:rsid w:val="00194E00"/>
    <w:rsid w:val="0019745E"/>
    <w:rsid w:val="00197B16"/>
    <w:rsid w:val="001A00C0"/>
    <w:rsid w:val="001A530D"/>
    <w:rsid w:val="001A5FB3"/>
    <w:rsid w:val="001A7155"/>
    <w:rsid w:val="001B327D"/>
    <w:rsid w:val="001B45A0"/>
    <w:rsid w:val="001B604E"/>
    <w:rsid w:val="001B680E"/>
    <w:rsid w:val="001C0D6E"/>
    <w:rsid w:val="001C6409"/>
    <w:rsid w:val="001D055E"/>
    <w:rsid w:val="001D3015"/>
    <w:rsid w:val="001D3A3A"/>
    <w:rsid w:val="001E1B3F"/>
    <w:rsid w:val="001E22FC"/>
    <w:rsid w:val="001E7161"/>
    <w:rsid w:val="001F05A4"/>
    <w:rsid w:val="001F0EC6"/>
    <w:rsid w:val="001F1046"/>
    <w:rsid w:val="001F3D4A"/>
    <w:rsid w:val="001F492E"/>
    <w:rsid w:val="001F58BB"/>
    <w:rsid w:val="001F5A2B"/>
    <w:rsid w:val="001F5B55"/>
    <w:rsid w:val="001F64EF"/>
    <w:rsid w:val="001F6DA3"/>
    <w:rsid w:val="002010BC"/>
    <w:rsid w:val="002016E7"/>
    <w:rsid w:val="00202E03"/>
    <w:rsid w:val="0020314F"/>
    <w:rsid w:val="002033B9"/>
    <w:rsid w:val="002043D0"/>
    <w:rsid w:val="0020492C"/>
    <w:rsid w:val="00204EC9"/>
    <w:rsid w:val="00206505"/>
    <w:rsid w:val="0020743F"/>
    <w:rsid w:val="0021097E"/>
    <w:rsid w:val="00216C93"/>
    <w:rsid w:val="00223051"/>
    <w:rsid w:val="00224DB9"/>
    <w:rsid w:val="0022569A"/>
    <w:rsid w:val="00226F94"/>
    <w:rsid w:val="0023005C"/>
    <w:rsid w:val="00231012"/>
    <w:rsid w:val="00233775"/>
    <w:rsid w:val="0023414B"/>
    <w:rsid w:val="0024177C"/>
    <w:rsid w:val="00243635"/>
    <w:rsid w:val="00247079"/>
    <w:rsid w:val="00251745"/>
    <w:rsid w:val="002552BA"/>
    <w:rsid w:val="00260016"/>
    <w:rsid w:val="00263AC0"/>
    <w:rsid w:val="00264264"/>
    <w:rsid w:val="0026689B"/>
    <w:rsid w:val="0026772D"/>
    <w:rsid w:val="002730B2"/>
    <w:rsid w:val="00274C7E"/>
    <w:rsid w:val="00277210"/>
    <w:rsid w:val="002777CF"/>
    <w:rsid w:val="0028105B"/>
    <w:rsid w:val="002810F2"/>
    <w:rsid w:val="00286874"/>
    <w:rsid w:val="00290C63"/>
    <w:rsid w:val="00290F66"/>
    <w:rsid w:val="00291A99"/>
    <w:rsid w:val="0029395A"/>
    <w:rsid w:val="00293B6D"/>
    <w:rsid w:val="00294B08"/>
    <w:rsid w:val="0029518C"/>
    <w:rsid w:val="002963DD"/>
    <w:rsid w:val="00296B65"/>
    <w:rsid w:val="002A28D5"/>
    <w:rsid w:val="002A4C4F"/>
    <w:rsid w:val="002A7DEF"/>
    <w:rsid w:val="002A7F98"/>
    <w:rsid w:val="002B0696"/>
    <w:rsid w:val="002B19D3"/>
    <w:rsid w:val="002C0222"/>
    <w:rsid w:val="002C1499"/>
    <w:rsid w:val="002C19B3"/>
    <w:rsid w:val="002C1B51"/>
    <w:rsid w:val="002C233C"/>
    <w:rsid w:val="002C517B"/>
    <w:rsid w:val="002D3509"/>
    <w:rsid w:val="002D5457"/>
    <w:rsid w:val="002D72E8"/>
    <w:rsid w:val="002D79AD"/>
    <w:rsid w:val="002E04D2"/>
    <w:rsid w:val="002E268F"/>
    <w:rsid w:val="002E27C3"/>
    <w:rsid w:val="002E346D"/>
    <w:rsid w:val="002E3D4A"/>
    <w:rsid w:val="002E78DD"/>
    <w:rsid w:val="002E7B22"/>
    <w:rsid w:val="002F0381"/>
    <w:rsid w:val="002F12EC"/>
    <w:rsid w:val="002F3E7C"/>
    <w:rsid w:val="002F7986"/>
    <w:rsid w:val="00301060"/>
    <w:rsid w:val="00301B40"/>
    <w:rsid w:val="00301C82"/>
    <w:rsid w:val="003029EE"/>
    <w:rsid w:val="0030434E"/>
    <w:rsid w:val="0030477A"/>
    <w:rsid w:val="00304D38"/>
    <w:rsid w:val="00305CC8"/>
    <w:rsid w:val="00307F6D"/>
    <w:rsid w:val="00311661"/>
    <w:rsid w:val="00314D83"/>
    <w:rsid w:val="0031571F"/>
    <w:rsid w:val="00316018"/>
    <w:rsid w:val="003177A2"/>
    <w:rsid w:val="00317E02"/>
    <w:rsid w:val="003271B5"/>
    <w:rsid w:val="00327A1E"/>
    <w:rsid w:val="00327E28"/>
    <w:rsid w:val="00331264"/>
    <w:rsid w:val="00333053"/>
    <w:rsid w:val="00333709"/>
    <w:rsid w:val="00333D26"/>
    <w:rsid w:val="00334C8D"/>
    <w:rsid w:val="003378BD"/>
    <w:rsid w:val="003424EA"/>
    <w:rsid w:val="00342C2F"/>
    <w:rsid w:val="003436EB"/>
    <w:rsid w:val="00343A18"/>
    <w:rsid w:val="00345744"/>
    <w:rsid w:val="003518B3"/>
    <w:rsid w:val="00353032"/>
    <w:rsid w:val="00353E79"/>
    <w:rsid w:val="00354A84"/>
    <w:rsid w:val="0035591D"/>
    <w:rsid w:val="003619C3"/>
    <w:rsid w:val="0036238D"/>
    <w:rsid w:val="003640A2"/>
    <w:rsid w:val="00364EA0"/>
    <w:rsid w:val="00366981"/>
    <w:rsid w:val="0037028B"/>
    <w:rsid w:val="00370678"/>
    <w:rsid w:val="0037214E"/>
    <w:rsid w:val="00372C85"/>
    <w:rsid w:val="00372CF3"/>
    <w:rsid w:val="00373845"/>
    <w:rsid w:val="003744E3"/>
    <w:rsid w:val="00375F71"/>
    <w:rsid w:val="00376219"/>
    <w:rsid w:val="0037663E"/>
    <w:rsid w:val="0037699E"/>
    <w:rsid w:val="00377A29"/>
    <w:rsid w:val="00377C69"/>
    <w:rsid w:val="00377D9A"/>
    <w:rsid w:val="0038415D"/>
    <w:rsid w:val="0038461C"/>
    <w:rsid w:val="003846F1"/>
    <w:rsid w:val="0038590D"/>
    <w:rsid w:val="00390E6A"/>
    <w:rsid w:val="003938A8"/>
    <w:rsid w:val="00393ABE"/>
    <w:rsid w:val="00395DB6"/>
    <w:rsid w:val="00397398"/>
    <w:rsid w:val="003A2B97"/>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0B0B"/>
    <w:rsid w:val="003D41F1"/>
    <w:rsid w:val="003D42AB"/>
    <w:rsid w:val="003D464F"/>
    <w:rsid w:val="003D5B94"/>
    <w:rsid w:val="003E0D3A"/>
    <w:rsid w:val="003E3AAB"/>
    <w:rsid w:val="003E7FE9"/>
    <w:rsid w:val="003F07D4"/>
    <w:rsid w:val="003F174D"/>
    <w:rsid w:val="003F2329"/>
    <w:rsid w:val="003F2346"/>
    <w:rsid w:val="003F3E0B"/>
    <w:rsid w:val="00400FD2"/>
    <w:rsid w:val="00403711"/>
    <w:rsid w:val="00403720"/>
    <w:rsid w:val="00404C52"/>
    <w:rsid w:val="004156D5"/>
    <w:rsid w:val="00415BA9"/>
    <w:rsid w:val="00415F31"/>
    <w:rsid w:val="0041691D"/>
    <w:rsid w:val="0042000C"/>
    <w:rsid w:val="0042090E"/>
    <w:rsid w:val="00421258"/>
    <w:rsid w:val="00421F27"/>
    <w:rsid w:val="004238D8"/>
    <w:rsid w:val="00423A77"/>
    <w:rsid w:val="00430CA5"/>
    <w:rsid w:val="004324F4"/>
    <w:rsid w:val="00434544"/>
    <w:rsid w:val="004358C7"/>
    <w:rsid w:val="00440CE1"/>
    <w:rsid w:val="00441F4E"/>
    <w:rsid w:val="00445D43"/>
    <w:rsid w:val="004461DB"/>
    <w:rsid w:val="00446CD2"/>
    <w:rsid w:val="0045117F"/>
    <w:rsid w:val="004523B2"/>
    <w:rsid w:val="0045777E"/>
    <w:rsid w:val="00465258"/>
    <w:rsid w:val="00471BC6"/>
    <w:rsid w:val="00476221"/>
    <w:rsid w:val="004766F5"/>
    <w:rsid w:val="0047741A"/>
    <w:rsid w:val="00480B4B"/>
    <w:rsid w:val="004838D8"/>
    <w:rsid w:val="00485DC4"/>
    <w:rsid w:val="00486C2C"/>
    <w:rsid w:val="00493DC7"/>
    <w:rsid w:val="00494D04"/>
    <w:rsid w:val="004A40BA"/>
    <w:rsid w:val="004A43D1"/>
    <w:rsid w:val="004A492B"/>
    <w:rsid w:val="004A4E59"/>
    <w:rsid w:val="004B4412"/>
    <w:rsid w:val="004B6269"/>
    <w:rsid w:val="004C348C"/>
    <w:rsid w:val="004C462E"/>
    <w:rsid w:val="004C5490"/>
    <w:rsid w:val="004C6CA3"/>
    <w:rsid w:val="004C7F5E"/>
    <w:rsid w:val="004D14D0"/>
    <w:rsid w:val="004D343C"/>
    <w:rsid w:val="004D372A"/>
    <w:rsid w:val="004D55BA"/>
    <w:rsid w:val="004D720C"/>
    <w:rsid w:val="004E05BA"/>
    <w:rsid w:val="004E0FA7"/>
    <w:rsid w:val="004E22EC"/>
    <w:rsid w:val="004F0BFA"/>
    <w:rsid w:val="004F13DA"/>
    <w:rsid w:val="004F4D69"/>
    <w:rsid w:val="004F6883"/>
    <w:rsid w:val="004F6A0E"/>
    <w:rsid w:val="004F6BB3"/>
    <w:rsid w:val="005009CD"/>
    <w:rsid w:val="00501191"/>
    <w:rsid w:val="00502747"/>
    <w:rsid w:val="00504E5F"/>
    <w:rsid w:val="0051337E"/>
    <w:rsid w:val="00513FA7"/>
    <w:rsid w:val="00515C3A"/>
    <w:rsid w:val="0051768F"/>
    <w:rsid w:val="0052192F"/>
    <w:rsid w:val="00522DC2"/>
    <w:rsid w:val="00530128"/>
    <w:rsid w:val="00532467"/>
    <w:rsid w:val="005332A9"/>
    <w:rsid w:val="005348FC"/>
    <w:rsid w:val="0053603C"/>
    <w:rsid w:val="00537871"/>
    <w:rsid w:val="00542FE9"/>
    <w:rsid w:val="00543887"/>
    <w:rsid w:val="00543DA5"/>
    <w:rsid w:val="00544598"/>
    <w:rsid w:val="00544C8D"/>
    <w:rsid w:val="00544DFD"/>
    <w:rsid w:val="00544FFC"/>
    <w:rsid w:val="0055322F"/>
    <w:rsid w:val="00556B1E"/>
    <w:rsid w:val="00557590"/>
    <w:rsid w:val="00564A4D"/>
    <w:rsid w:val="0056598C"/>
    <w:rsid w:val="00566E0B"/>
    <w:rsid w:val="00567BA5"/>
    <w:rsid w:val="00571B35"/>
    <w:rsid w:val="00571B43"/>
    <w:rsid w:val="00571D57"/>
    <w:rsid w:val="00573A3B"/>
    <w:rsid w:val="0057404E"/>
    <w:rsid w:val="00576E87"/>
    <w:rsid w:val="00577716"/>
    <w:rsid w:val="00577A09"/>
    <w:rsid w:val="00581CDC"/>
    <w:rsid w:val="005829C2"/>
    <w:rsid w:val="00584D8F"/>
    <w:rsid w:val="00585BF2"/>
    <w:rsid w:val="00587933"/>
    <w:rsid w:val="00587A18"/>
    <w:rsid w:val="00587ADE"/>
    <w:rsid w:val="00592FC3"/>
    <w:rsid w:val="0059467F"/>
    <w:rsid w:val="0059479A"/>
    <w:rsid w:val="005A0BEC"/>
    <w:rsid w:val="005A3158"/>
    <w:rsid w:val="005A404D"/>
    <w:rsid w:val="005B1E3C"/>
    <w:rsid w:val="005B6518"/>
    <w:rsid w:val="005B704A"/>
    <w:rsid w:val="005B72D7"/>
    <w:rsid w:val="005C0364"/>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E5279"/>
    <w:rsid w:val="005F2FC0"/>
    <w:rsid w:val="005F3019"/>
    <w:rsid w:val="005F387E"/>
    <w:rsid w:val="005F73CF"/>
    <w:rsid w:val="00601E0B"/>
    <w:rsid w:val="0060258B"/>
    <w:rsid w:val="00606692"/>
    <w:rsid w:val="00610EF9"/>
    <w:rsid w:val="00612F4F"/>
    <w:rsid w:val="00614EA0"/>
    <w:rsid w:val="00615C6B"/>
    <w:rsid w:val="00617D4C"/>
    <w:rsid w:val="00621DCE"/>
    <w:rsid w:val="00621FC5"/>
    <w:rsid w:val="00624F2C"/>
    <w:rsid w:val="006256F8"/>
    <w:rsid w:val="00626F24"/>
    <w:rsid w:val="00632D6D"/>
    <w:rsid w:val="00635182"/>
    <w:rsid w:val="00636569"/>
    <w:rsid w:val="00636EF9"/>
    <w:rsid w:val="00642C3E"/>
    <w:rsid w:val="00644A01"/>
    <w:rsid w:val="00647F95"/>
    <w:rsid w:val="00651E2D"/>
    <w:rsid w:val="00652324"/>
    <w:rsid w:val="00654711"/>
    <w:rsid w:val="006577FB"/>
    <w:rsid w:val="00660EA9"/>
    <w:rsid w:val="0066104A"/>
    <w:rsid w:val="00663066"/>
    <w:rsid w:val="00663DAD"/>
    <w:rsid w:val="00664206"/>
    <w:rsid w:val="006649E7"/>
    <w:rsid w:val="00666634"/>
    <w:rsid w:val="00671692"/>
    <w:rsid w:val="00675E20"/>
    <w:rsid w:val="00676679"/>
    <w:rsid w:val="00683222"/>
    <w:rsid w:val="00683C89"/>
    <w:rsid w:val="00686BA3"/>
    <w:rsid w:val="006912A7"/>
    <w:rsid w:val="0069194E"/>
    <w:rsid w:val="00691B53"/>
    <w:rsid w:val="00693505"/>
    <w:rsid w:val="00696F37"/>
    <w:rsid w:val="00697D0B"/>
    <w:rsid w:val="006A12BA"/>
    <w:rsid w:val="006A2362"/>
    <w:rsid w:val="006A2B93"/>
    <w:rsid w:val="006A4739"/>
    <w:rsid w:val="006A66A1"/>
    <w:rsid w:val="006B0284"/>
    <w:rsid w:val="006B032D"/>
    <w:rsid w:val="006B2053"/>
    <w:rsid w:val="006B2395"/>
    <w:rsid w:val="006B40AC"/>
    <w:rsid w:val="006B4CF9"/>
    <w:rsid w:val="006B70F4"/>
    <w:rsid w:val="006B797C"/>
    <w:rsid w:val="006B7AC8"/>
    <w:rsid w:val="006C1736"/>
    <w:rsid w:val="006C28D7"/>
    <w:rsid w:val="006C329B"/>
    <w:rsid w:val="006C6303"/>
    <w:rsid w:val="006D51C2"/>
    <w:rsid w:val="006D550F"/>
    <w:rsid w:val="006D6146"/>
    <w:rsid w:val="006D7F7E"/>
    <w:rsid w:val="006E0CFF"/>
    <w:rsid w:val="006E116D"/>
    <w:rsid w:val="006E2D05"/>
    <w:rsid w:val="006F0D92"/>
    <w:rsid w:val="006F267D"/>
    <w:rsid w:val="0070011E"/>
    <w:rsid w:val="00701CAB"/>
    <w:rsid w:val="007023BB"/>
    <w:rsid w:val="00704DD7"/>
    <w:rsid w:val="00705B22"/>
    <w:rsid w:val="00707563"/>
    <w:rsid w:val="00715F61"/>
    <w:rsid w:val="007178AE"/>
    <w:rsid w:val="00717A48"/>
    <w:rsid w:val="00722132"/>
    <w:rsid w:val="007228F7"/>
    <w:rsid w:val="0072348C"/>
    <w:rsid w:val="00724A37"/>
    <w:rsid w:val="007303C3"/>
    <w:rsid w:val="00731188"/>
    <w:rsid w:val="007356CC"/>
    <w:rsid w:val="007368E6"/>
    <w:rsid w:val="007375DF"/>
    <w:rsid w:val="007429BE"/>
    <w:rsid w:val="00743223"/>
    <w:rsid w:val="00743349"/>
    <w:rsid w:val="0074403A"/>
    <w:rsid w:val="00744531"/>
    <w:rsid w:val="00746E01"/>
    <w:rsid w:val="00751DCD"/>
    <w:rsid w:val="0075235F"/>
    <w:rsid w:val="0075422F"/>
    <w:rsid w:val="00754B23"/>
    <w:rsid w:val="00755084"/>
    <w:rsid w:val="00757364"/>
    <w:rsid w:val="00757A77"/>
    <w:rsid w:val="00757BDF"/>
    <w:rsid w:val="007609D0"/>
    <w:rsid w:val="00761454"/>
    <w:rsid w:val="0076193D"/>
    <w:rsid w:val="00763E5D"/>
    <w:rsid w:val="00767740"/>
    <w:rsid w:val="00767B5E"/>
    <w:rsid w:val="00770064"/>
    <w:rsid w:val="00775460"/>
    <w:rsid w:val="00776C91"/>
    <w:rsid w:val="00777EE6"/>
    <w:rsid w:val="00782EEA"/>
    <w:rsid w:val="00786CA4"/>
    <w:rsid w:val="007909B4"/>
    <w:rsid w:val="00790E86"/>
    <w:rsid w:val="00791C36"/>
    <w:rsid w:val="007949D7"/>
    <w:rsid w:val="0079769A"/>
    <w:rsid w:val="007A0143"/>
    <w:rsid w:val="007A34C2"/>
    <w:rsid w:val="007A396C"/>
    <w:rsid w:val="007A4B02"/>
    <w:rsid w:val="007B0BE3"/>
    <w:rsid w:val="007B1816"/>
    <w:rsid w:val="007B186E"/>
    <w:rsid w:val="007B25DC"/>
    <w:rsid w:val="007B2C72"/>
    <w:rsid w:val="007B3789"/>
    <w:rsid w:val="007B4759"/>
    <w:rsid w:val="007B651F"/>
    <w:rsid w:val="007B686B"/>
    <w:rsid w:val="007B6E52"/>
    <w:rsid w:val="007B7BB5"/>
    <w:rsid w:val="007C1C53"/>
    <w:rsid w:val="007C284C"/>
    <w:rsid w:val="007C4B82"/>
    <w:rsid w:val="007C74BB"/>
    <w:rsid w:val="007C7F64"/>
    <w:rsid w:val="007D060D"/>
    <w:rsid w:val="007D0A95"/>
    <w:rsid w:val="007D0EB5"/>
    <w:rsid w:val="007D21B1"/>
    <w:rsid w:val="007D42C6"/>
    <w:rsid w:val="007D456E"/>
    <w:rsid w:val="007D5837"/>
    <w:rsid w:val="007D7AB7"/>
    <w:rsid w:val="007E0FD8"/>
    <w:rsid w:val="007E1420"/>
    <w:rsid w:val="007E4904"/>
    <w:rsid w:val="007E4CB5"/>
    <w:rsid w:val="007E4DAE"/>
    <w:rsid w:val="007F066B"/>
    <w:rsid w:val="007F1EDC"/>
    <w:rsid w:val="007F323A"/>
    <w:rsid w:val="007F4EAB"/>
    <w:rsid w:val="007F5B16"/>
    <w:rsid w:val="007F7C9D"/>
    <w:rsid w:val="008033C4"/>
    <w:rsid w:val="008054CD"/>
    <w:rsid w:val="00806086"/>
    <w:rsid w:val="00806731"/>
    <w:rsid w:val="00806C88"/>
    <w:rsid w:val="00807FCF"/>
    <w:rsid w:val="0081034E"/>
    <w:rsid w:val="00810806"/>
    <w:rsid w:val="00815882"/>
    <w:rsid w:val="00816314"/>
    <w:rsid w:val="00820454"/>
    <w:rsid w:val="00822AC7"/>
    <w:rsid w:val="00822E86"/>
    <w:rsid w:val="0082759A"/>
    <w:rsid w:val="008344F6"/>
    <w:rsid w:val="0083510F"/>
    <w:rsid w:val="00837BF3"/>
    <w:rsid w:val="008415DE"/>
    <w:rsid w:val="008420DE"/>
    <w:rsid w:val="00845865"/>
    <w:rsid w:val="0084799B"/>
    <w:rsid w:val="00850C90"/>
    <w:rsid w:val="00851209"/>
    <w:rsid w:val="0085171F"/>
    <w:rsid w:val="0085441D"/>
    <w:rsid w:val="00856A10"/>
    <w:rsid w:val="00857C21"/>
    <w:rsid w:val="008658A1"/>
    <w:rsid w:val="0086716A"/>
    <w:rsid w:val="00870613"/>
    <w:rsid w:val="0087151A"/>
    <w:rsid w:val="0087380F"/>
    <w:rsid w:val="0087648F"/>
    <w:rsid w:val="00876612"/>
    <w:rsid w:val="0087718C"/>
    <w:rsid w:val="00882BB1"/>
    <w:rsid w:val="008837AC"/>
    <w:rsid w:val="008845E0"/>
    <w:rsid w:val="008909DC"/>
    <w:rsid w:val="00894004"/>
    <w:rsid w:val="00894255"/>
    <w:rsid w:val="00894349"/>
    <w:rsid w:val="008945AD"/>
    <w:rsid w:val="00896D92"/>
    <w:rsid w:val="008A0645"/>
    <w:rsid w:val="008A07D2"/>
    <w:rsid w:val="008A1C02"/>
    <w:rsid w:val="008A370D"/>
    <w:rsid w:val="008A439E"/>
    <w:rsid w:val="008A587D"/>
    <w:rsid w:val="008B1646"/>
    <w:rsid w:val="008B16B0"/>
    <w:rsid w:val="008B1BD5"/>
    <w:rsid w:val="008B35CD"/>
    <w:rsid w:val="008B4093"/>
    <w:rsid w:val="008B5FCC"/>
    <w:rsid w:val="008B6A2F"/>
    <w:rsid w:val="008B7052"/>
    <w:rsid w:val="008B78AD"/>
    <w:rsid w:val="008B7F36"/>
    <w:rsid w:val="008C357F"/>
    <w:rsid w:val="008C4662"/>
    <w:rsid w:val="008C5486"/>
    <w:rsid w:val="008D144A"/>
    <w:rsid w:val="008D1661"/>
    <w:rsid w:val="008D27E0"/>
    <w:rsid w:val="008D5F90"/>
    <w:rsid w:val="008D6800"/>
    <w:rsid w:val="008D72F1"/>
    <w:rsid w:val="008E1691"/>
    <w:rsid w:val="008E4089"/>
    <w:rsid w:val="008E5AFF"/>
    <w:rsid w:val="008E7031"/>
    <w:rsid w:val="008E77DE"/>
    <w:rsid w:val="008F040C"/>
    <w:rsid w:val="008F0763"/>
    <w:rsid w:val="008F07A3"/>
    <w:rsid w:val="008F3322"/>
    <w:rsid w:val="008F3519"/>
    <w:rsid w:val="008F3A0D"/>
    <w:rsid w:val="008F4711"/>
    <w:rsid w:val="008F7591"/>
    <w:rsid w:val="008F78AD"/>
    <w:rsid w:val="009001B6"/>
    <w:rsid w:val="00900E1B"/>
    <w:rsid w:val="0090131F"/>
    <w:rsid w:val="009019E3"/>
    <w:rsid w:val="00904CA2"/>
    <w:rsid w:val="00904FB6"/>
    <w:rsid w:val="00905FE5"/>
    <w:rsid w:val="00906C57"/>
    <w:rsid w:val="00907683"/>
    <w:rsid w:val="009132B7"/>
    <w:rsid w:val="009162E8"/>
    <w:rsid w:val="00916A2C"/>
    <w:rsid w:val="009233EE"/>
    <w:rsid w:val="00930B1A"/>
    <w:rsid w:val="00932612"/>
    <w:rsid w:val="009327DC"/>
    <w:rsid w:val="009338D9"/>
    <w:rsid w:val="009339BD"/>
    <w:rsid w:val="009356CF"/>
    <w:rsid w:val="00944644"/>
    <w:rsid w:val="00945E53"/>
    <w:rsid w:val="009460AA"/>
    <w:rsid w:val="00951978"/>
    <w:rsid w:val="00952C8B"/>
    <w:rsid w:val="00955F86"/>
    <w:rsid w:val="00961A4A"/>
    <w:rsid w:val="00964703"/>
    <w:rsid w:val="00965D78"/>
    <w:rsid w:val="009661DE"/>
    <w:rsid w:val="00970294"/>
    <w:rsid w:val="009702F6"/>
    <w:rsid w:val="009710A8"/>
    <w:rsid w:val="00971348"/>
    <w:rsid w:val="00972C7C"/>
    <w:rsid w:val="009746E5"/>
    <w:rsid w:val="009776F4"/>
    <w:rsid w:val="00977CCB"/>
    <w:rsid w:val="00982DA2"/>
    <w:rsid w:val="00983C25"/>
    <w:rsid w:val="0098466D"/>
    <w:rsid w:val="009856B7"/>
    <w:rsid w:val="009859D6"/>
    <w:rsid w:val="00985C86"/>
    <w:rsid w:val="00986E68"/>
    <w:rsid w:val="009929E3"/>
    <w:rsid w:val="009A17AF"/>
    <w:rsid w:val="009A40A3"/>
    <w:rsid w:val="009A5FC3"/>
    <w:rsid w:val="009B6F84"/>
    <w:rsid w:val="009B74B0"/>
    <w:rsid w:val="009C0152"/>
    <w:rsid w:val="009C1A74"/>
    <w:rsid w:val="009C3D42"/>
    <w:rsid w:val="009C4292"/>
    <w:rsid w:val="009C491E"/>
    <w:rsid w:val="009C6132"/>
    <w:rsid w:val="009C653F"/>
    <w:rsid w:val="009D0725"/>
    <w:rsid w:val="009D0DF1"/>
    <w:rsid w:val="009D10EC"/>
    <w:rsid w:val="009D22D6"/>
    <w:rsid w:val="009D2790"/>
    <w:rsid w:val="009D2C84"/>
    <w:rsid w:val="009D3906"/>
    <w:rsid w:val="009D5E35"/>
    <w:rsid w:val="009D6B46"/>
    <w:rsid w:val="009E0B88"/>
    <w:rsid w:val="009E35B6"/>
    <w:rsid w:val="009E5ABC"/>
    <w:rsid w:val="009E7630"/>
    <w:rsid w:val="009F3BBA"/>
    <w:rsid w:val="009F43B4"/>
    <w:rsid w:val="009F4940"/>
    <w:rsid w:val="009F5BA1"/>
    <w:rsid w:val="009F62FC"/>
    <w:rsid w:val="00A02A88"/>
    <w:rsid w:val="00A04012"/>
    <w:rsid w:val="00A046FA"/>
    <w:rsid w:val="00A0562E"/>
    <w:rsid w:val="00A0726D"/>
    <w:rsid w:val="00A073AE"/>
    <w:rsid w:val="00A11E73"/>
    <w:rsid w:val="00A12204"/>
    <w:rsid w:val="00A12750"/>
    <w:rsid w:val="00A13CB0"/>
    <w:rsid w:val="00A1561F"/>
    <w:rsid w:val="00A16544"/>
    <w:rsid w:val="00A30BF5"/>
    <w:rsid w:val="00A31BE6"/>
    <w:rsid w:val="00A32DD3"/>
    <w:rsid w:val="00A32FBB"/>
    <w:rsid w:val="00A3407D"/>
    <w:rsid w:val="00A36516"/>
    <w:rsid w:val="00A40068"/>
    <w:rsid w:val="00A40BE9"/>
    <w:rsid w:val="00A428EE"/>
    <w:rsid w:val="00A443C2"/>
    <w:rsid w:val="00A4478A"/>
    <w:rsid w:val="00A44852"/>
    <w:rsid w:val="00A50502"/>
    <w:rsid w:val="00A5087B"/>
    <w:rsid w:val="00A512BB"/>
    <w:rsid w:val="00A51DA8"/>
    <w:rsid w:val="00A53409"/>
    <w:rsid w:val="00A53796"/>
    <w:rsid w:val="00A53848"/>
    <w:rsid w:val="00A56945"/>
    <w:rsid w:val="00A56A6E"/>
    <w:rsid w:val="00A57D04"/>
    <w:rsid w:val="00A60A26"/>
    <w:rsid w:val="00A61598"/>
    <w:rsid w:val="00A61777"/>
    <w:rsid w:val="00A63646"/>
    <w:rsid w:val="00A63914"/>
    <w:rsid w:val="00A67CC5"/>
    <w:rsid w:val="00A72EB7"/>
    <w:rsid w:val="00A81BCA"/>
    <w:rsid w:val="00A84A99"/>
    <w:rsid w:val="00A84F46"/>
    <w:rsid w:val="00A8593E"/>
    <w:rsid w:val="00A85E87"/>
    <w:rsid w:val="00A86239"/>
    <w:rsid w:val="00A86AEA"/>
    <w:rsid w:val="00A871F4"/>
    <w:rsid w:val="00A92493"/>
    <w:rsid w:val="00A9431A"/>
    <w:rsid w:val="00A95988"/>
    <w:rsid w:val="00A959DF"/>
    <w:rsid w:val="00A9636C"/>
    <w:rsid w:val="00A97A1B"/>
    <w:rsid w:val="00AA24DC"/>
    <w:rsid w:val="00AA2927"/>
    <w:rsid w:val="00AA5FBC"/>
    <w:rsid w:val="00AB2CB8"/>
    <w:rsid w:val="00AB4617"/>
    <w:rsid w:val="00AB4AE7"/>
    <w:rsid w:val="00AB50F1"/>
    <w:rsid w:val="00AB6E92"/>
    <w:rsid w:val="00AC07BA"/>
    <w:rsid w:val="00AC1B2C"/>
    <w:rsid w:val="00AC3264"/>
    <w:rsid w:val="00AC46AD"/>
    <w:rsid w:val="00AC4D2D"/>
    <w:rsid w:val="00AC4DFF"/>
    <w:rsid w:val="00AC58EC"/>
    <w:rsid w:val="00AC7282"/>
    <w:rsid w:val="00AC7961"/>
    <w:rsid w:val="00AD314E"/>
    <w:rsid w:val="00AD3EEA"/>
    <w:rsid w:val="00AD5FCD"/>
    <w:rsid w:val="00AD6B48"/>
    <w:rsid w:val="00AD7A27"/>
    <w:rsid w:val="00AD7A3A"/>
    <w:rsid w:val="00AE1BF1"/>
    <w:rsid w:val="00AE23AB"/>
    <w:rsid w:val="00AE58FB"/>
    <w:rsid w:val="00AE5AF0"/>
    <w:rsid w:val="00AE663D"/>
    <w:rsid w:val="00AE73B3"/>
    <w:rsid w:val="00AF0236"/>
    <w:rsid w:val="00AF07E7"/>
    <w:rsid w:val="00AF0DD2"/>
    <w:rsid w:val="00AF31E1"/>
    <w:rsid w:val="00AF3BBA"/>
    <w:rsid w:val="00AF4231"/>
    <w:rsid w:val="00B00B0E"/>
    <w:rsid w:val="00B00B26"/>
    <w:rsid w:val="00B02385"/>
    <w:rsid w:val="00B029C5"/>
    <w:rsid w:val="00B02F9D"/>
    <w:rsid w:val="00B046E3"/>
    <w:rsid w:val="00B05766"/>
    <w:rsid w:val="00B0599C"/>
    <w:rsid w:val="00B07128"/>
    <w:rsid w:val="00B112CB"/>
    <w:rsid w:val="00B12735"/>
    <w:rsid w:val="00B13048"/>
    <w:rsid w:val="00B13883"/>
    <w:rsid w:val="00B14672"/>
    <w:rsid w:val="00B15A76"/>
    <w:rsid w:val="00B1716D"/>
    <w:rsid w:val="00B17A1D"/>
    <w:rsid w:val="00B207A0"/>
    <w:rsid w:val="00B21C21"/>
    <w:rsid w:val="00B22F54"/>
    <w:rsid w:val="00B24A7E"/>
    <w:rsid w:val="00B25C0C"/>
    <w:rsid w:val="00B304B5"/>
    <w:rsid w:val="00B308A9"/>
    <w:rsid w:val="00B31047"/>
    <w:rsid w:val="00B33148"/>
    <w:rsid w:val="00B35737"/>
    <w:rsid w:val="00B35CDF"/>
    <w:rsid w:val="00B403C2"/>
    <w:rsid w:val="00B405A1"/>
    <w:rsid w:val="00B40B34"/>
    <w:rsid w:val="00B4438A"/>
    <w:rsid w:val="00B45AA2"/>
    <w:rsid w:val="00B479CA"/>
    <w:rsid w:val="00B5084F"/>
    <w:rsid w:val="00B514DD"/>
    <w:rsid w:val="00B52AF0"/>
    <w:rsid w:val="00B53C66"/>
    <w:rsid w:val="00B53D5F"/>
    <w:rsid w:val="00B54051"/>
    <w:rsid w:val="00B55F15"/>
    <w:rsid w:val="00B561BD"/>
    <w:rsid w:val="00B56E03"/>
    <w:rsid w:val="00B624B6"/>
    <w:rsid w:val="00B62765"/>
    <w:rsid w:val="00B637C1"/>
    <w:rsid w:val="00B65DF5"/>
    <w:rsid w:val="00B758D1"/>
    <w:rsid w:val="00B76588"/>
    <w:rsid w:val="00B7679F"/>
    <w:rsid w:val="00B77159"/>
    <w:rsid w:val="00B8080B"/>
    <w:rsid w:val="00B815CD"/>
    <w:rsid w:val="00B82223"/>
    <w:rsid w:val="00B87BA5"/>
    <w:rsid w:val="00B87C39"/>
    <w:rsid w:val="00B93891"/>
    <w:rsid w:val="00B9555F"/>
    <w:rsid w:val="00B9562D"/>
    <w:rsid w:val="00B95814"/>
    <w:rsid w:val="00BA21DA"/>
    <w:rsid w:val="00BA2B60"/>
    <w:rsid w:val="00BA3C93"/>
    <w:rsid w:val="00BA450A"/>
    <w:rsid w:val="00BA4665"/>
    <w:rsid w:val="00BA7FD7"/>
    <w:rsid w:val="00BB1681"/>
    <w:rsid w:val="00BB2FB2"/>
    <w:rsid w:val="00BB3304"/>
    <w:rsid w:val="00BB5316"/>
    <w:rsid w:val="00BB5F11"/>
    <w:rsid w:val="00BB6551"/>
    <w:rsid w:val="00BB6F43"/>
    <w:rsid w:val="00BC4A10"/>
    <w:rsid w:val="00BD30F4"/>
    <w:rsid w:val="00BD3446"/>
    <w:rsid w:val="00BD59CF"/>
    <w:rsid w:val="00BD6BAB"/>
    <w:rsid w:val="00BE1312"/>
    <w:rsid w:val="00BE1F1B"/>
    <w:rsid w:val="00BE3F89"/>
    <w:rsid w:val="00BE47B5"/>
    <w:rsid w:val="00BE53D6"/>
    <w:rsid w:val="00BE5FCE"/>
    <w:rsid w:val="00BF299E"/>
    <w:rsid w:val="00C00530"/>
    <w:rsid w:val="00C0079E"/>
    <w:rsid w:val="00C01AA9"/>
    <w:rsid w:val="00C02DEA"/>
    <w:rsid w:val="00C0572A"/>
    <w:rsid w:val="00C10144"/>
    <w:rsid w:val="00C113FF"/>
    <w:rsid w:val="00C13EBD"/>
    <w:rsid w:val="00C1631B"/>
    <w:rsid w:val="00C163AB"/>
    <w:rsid w:val="00C170F0"/>
    <w:rsid w:val="00C221F4"/>
    <w:rsid w:val="00C24BE9"/>
    <w:rsid w:val="00C25962"/>
    <w:rsid w:val="00C25FA6"/>
    <w:rsid w:val="00C27F38"/>
    <w:rsid w:val="00C3099D"/>
    <w:rsid w:val="00C33011"/>
    <w:rsid w:val="00C343A2"/>
    <w:rsid w:val="00C362C1"/>
    <w:rsid w:val="00C36D3F"/>
    <w:rsid w:val="00C36D68"/>
    <w:rsid w:val="00C40F83"/>
    <w:rsid w:val="00C41950"/>
    <w:rsid w:val="00C42C3B"/>
    <w:rsid w:val="00C47445"/>
    <w:rsid w:val="00C51672"/>
    <w:rsid w:val="00C538A9"/>
    <w:rsid w:val="00C53B5A"/>
    <w:rsid w:val="00C53CB4"/>
    <w:rsid w:val="00C53E41"/>
    <w:rsid w:val="00C54806"/>
    <w:rsid w:val="00C54909"/>
    <w:rsid w:val="00C54AF3"/>
    <w:rsid w:val="00C54F5A"/>
    <w:rsid w:val="00C569B4"/>
    <w:rsid w:val="00C57DDE"/>
    <w:rsid w:val="00C61468"/>
    <w:rsid w:val="00C61A97"/>
    <w:rsid w:val="00C61E44"/>
    <w:rsid w:val="00C63A92"/>
    <w:rsid w:val="00C64FF3"/>
    <w:rsid w:val="00C662AD"/>
    <w:rsid w:val="00C66349"/>
    <w:rsid w:val="00C666BF"/>
    <w:rsid w:val="00C67A92"/>
    <w:rsid w:val="00C71280"/>
    <w:rsid w:val="00C717BF"/>
    <w:rsid w:val="00C71FF1"/>
    <w:rsid w:val="00C7417D"/>
    <w:rsid w:val="00C75E3E"/>
    <w:rsid w:val="00C76178"/>
    <w:rsid w:val="00C763CA"/>
    <w:rsid w:val="00C84560"/>
    <w:rsid w:val="00C84FE3"/>
    <w:rsid w:val="00C86679"/>
    <w:rsid w:val="00C8792F"/>
    <w:rsid w:val="00C90472"/>
    <w:rsid w:val="00C91BA0"/>
    <w:rsid w:val="00C91D6E"/>
    <w:rsid w:val="00C92F0C"/>
    <w:rsid w:val="00C9357A"/>
    <w:rsid w:val="00C96B49"/>
    <w:rsid w:val="00C978EA"/>
    <w:rsid w:val="00CA489E"/>
    <w:rsid w:val="00CB0279"/>
    <w:rsid w:val="00CB666B"/>
    <w:rsid w:val="00CB734B"/>
    <w:rsid w:val="00CC058C"/>
    <w:rsid w:val="00CC09D5"/>
    <w:rsid w:val="00CC41B6"/>
    <w:rsid w:val="00CC44C4"/>
    <w:rsid w:val="00CC7ADA"/>
    <w:rsid w:val="00CC7F1D"/>
    <w:rsid w:val="00CD0A88"/>
    <w:rsid w:val="00CD125D"/>
    <w:rsid w:val="00CD283C"/>
    <w:rsid w:val="00CD3641"/>
    <w:rsid w:val="00CD66EA"/>
    <w:rsid w:val="00CD7432"/>
    <w:rsid w:val="00CE0FA5"/>
    <w:rsid w:val="00CE2136"/>
    <w:rsid w:val="00CE2A23"/>
    <w:rsid w:val="00CE31C8"/>
    <w:rsid w:val="00CE484B"/>
    <w:rsid w:val="00CE7CBA"/>
    <w:rsid w:val="00CE7F24"/>
    <w:rsid w:val="00CF0DEE"/>
    <w:rsid w:val="00CF42AA"/>
    <w:rsid w:val="00CF5EAA"/>
    <w:rsid w:val="00CF6AE3"/>
    <w:rsid w:val="00CF77BB"/>
    <w:rsid w:val="00D006AE"/>
    <w:rsid w:val="00D00905"/>
    <w:rsid w:val="00D00BA1"/>
    <w:rsid w:val="00D010C1"/>
    <w:rsid w:val="00D01CF0"/>
    <w:rsid w:val="00D0442A"/>
    <w:rsid w:val="00D1219F"/>
    <w:rsid w:val="00D12A7B"/>
    <w:rsid w:val="00D12ADB"/>
    <w:rsid w:val="00D12F4C"/>
    <w:rsid w:val="00D14D1D"/>
    <w:rsid w:val="00D15E63"/>
    <w:rsid w:val="00D2329A"/>
    <w:rsid w:val="00D25A39"/>
    <w:rsid w:val="00D26423"/>
    <w:rsid w:val="00D27CFA"/>
    <w:rsid w:val="00D310FA"/>
    <w:rsid w:val="00D325C6"/>
    <w:rsid w:val="00D3300B"/>
    <w:rsid w:val="00D37213"/>
    <w:rsid w:val="00D37C6D"/>
    <w:rsid w:val="00D4360D"/>
    <w:rsid w:val="00D5607F"/>
    <w:rsid w:val="00D57EDA"/>
    <w:rsid w:val="00D57F76"/>
    <w:rsid w:val="00D61388"/>
    <w:rsid w:val="00D614E4"/>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1C87"/>
    <w:rsid w:val="00D82519"/>
    <w:rsid w:val="00D83A13"/>
    <w:rsid w:val="00D84854"/>
    <w:rsid w:val="00D84AE1"/>
    <w:rsid w:val="00D86556"/>
    <w:rsid w:val="00D8773B"/>
    <w:rsid w:val="00D878B4"/>
    <w:rsid w:val="00D924AE"/>
    <w:rsid w:val="00D92CF1"/>
    <w:rsid w:val="00D92D38"/>
    <w:rsid w:val="00D9309B"/>
    <w:rsid w:val="00D950F5"/>
    <w:rsid w:val="00D97379"/>
    <w:rsid w:val="00DA4752"/>
    <w:rsid w:val="00DA4C09"/>
    <w:rsid w:val="00DA61F3"/>
    <w:rsid w:val="00DA7CB3"/>
    <w:rsid w:val="00DB0D00"/>
    <w:rsid w:val="00DB0F93"/>
    <w:rsid w:val="00DB167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202E"/>
    <w:rsid w:val="00DE2150"/>
    <w:rsid w:val="00DE4EFA"/>
    <w:rsid w:val="00DE5520"/>
    <w:rsid w:val="00DE563D"/>
    <w:rsid w:val="00DE7AB5"/>
    <w:rsid w:val="00DF0152"/>
    <w:rsid w:val="00DF1419"/>
    <w:rsid w:val="00DF1958"/>
    <w:rsid w:val="00E04818"/>
    <w:rsid w:val="00E06442"/>
    <w:rsid w:val="00E06952"/>
    <w:rsid w:val="00E11E61"/>
    <w:rsid w:val="00E157B2"/>
    <w:rsid w:val="00E15A2F"/>
    <w:rsid w:val="00E16055"/>
    <w:rsid w:val="00E21336"/>
    <w:rsid w:val="00E21F82"/>
    <w:rsid w:val="00E2332D"/>
    <w:rsid w:val="00E23993"/>
    <w:rsid w:val="00E2574F"/>
    <w:rsid w:val="00E25951"/>
    <w:rsid w:val="00E25B8C"/>
    <w:rsid w:val="00E26F59"/>
    <w:rsid w:val="00E30BB4"/>
    <w:rsid w:val="00E31CF6"/>
    <w:rsid w:val="00E33027"/>
    <w:rsid w:val="00E34A4A"/>
    <w:rsid w:val="00E351C5"/>
    <w:rsid w:val="00E35AFC"/>
    <w:rsid w:val="00E41978"/>
    <w:rsid w:val="00E41D39"/>
    <w:rsid w:val="00E42ED4"/>
    <w:rsid w:val="00E44852"/>
    <w:rsid w:val="00E50A02"/>
    <w:rsid w:val="00E52707"/>
    <w:rsid w:val="00E54106"/>
    <w:rsid w:val="00E54697"/>
    <w:rsid w:val="00E57A08"/>
    <w:rsid w:val="00E63631"/>
    <w:rsid w:val="00E64C2A"/>
    <w:rsid w:val="00E65C85"/>
    <w:rsid w:val="00E66199"/>
    <w:rsid w:val="00E70526"/>
    <w:rsid w:val="00E750A6"/>
    <w:rsid w:val="00E754B4"/>
    <w:rsid w:val="00E755EC"/>
    <w:rsid w:val="00E7624D"/>
    <w:rsid w:val="00E81724"/>
    <w:rsid w:val="00E819A4"/>
    <w:rsid w:val="00E833FA"/>
    <w:rsid w:val="00E84B74"/>
    <w:rsid w:val="00E87066"/>
    <w:rsid w:val="00E95803"/>
    <w:rsid w:val="00E966BF"/>
    <w:rsid w:val="00EA010F"/>
    <w:rsid w:val="00EA0C04"/>
    <w:rsid w:val="00EA3033"/>
    <w:rsid w:val="00EA3D42"/>
    <w:rsid w:val="00EA6B1B"/>
    <w:rsid w:val="00EB1CBD"/>
    <w:rsid w:val="00EB3A34"/>
    <w:rsid w:val="00EB3C3F"/>
    <w:rsid w:val="00EB52B2"/>
    <w:rsid w:val="00EC04F1"/>
    <w:rsid w:val="00EC237F"/>
    <w:rsid w:val="00EC573A"/>
    <w:rsid w:val="00EC7922"/>
    <w:rsid w:val="00ED0724"/>
    <w:rsid w:val="00ED2D24"/>
    <w:rsid w:val="00ED35C8"/>
    <w:rsid w:val="00ED3968"/>
    <w:rsid w:val="00ED720A"/>
    <w:rsid w:val="00ED7323"/>
    <w:rsid w:val="00EE28F3"/>
    <w:rsid w:val="00EE50D1"/>
    <w:rsid w:val="00EE5F30"/>
    <w:rsid w:val="00EE7614"/>
    <w:rsid w:val="00EF5110"/>
    <w:rsid w:val="00EF5890"/>
    <w:rsid w:val="00EF6E21"/>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2B7B"/>
    <w:rsid w:val="00F44B0A"/>
    <w:rsid w:val="00F47559"/>
    <w:rsid w:val="00F50B30"/>
    <w:rsid w:val="00F51F5F"/>
    <w:rsid w:val="00F52D75"/>
    <w:rsid w:val="00F54A21"/>
    <w:rsid w:val="00F55582"/>
    <w:rsid w:val="00F57647"/>
    <w:rsid w:val="00F62A14"/>
    <w:rsid w:val="00F644AB"/>
    <w:rsid w:val="00F64C7B"/>
    <w:rsid w:val="00F676DD"/>
    <w:rsid w:val="00F67AB6"/>
    <w:rsid w:val="00F70028"/>
    <w:rsid w:val="00F70434"/>
    <w:rsid w:val="00F72BE6"/>
    <w:rsid w:val="00F75A26"/>
    <w:rsid w:val="00F76706"/>
    <w:rsid w:val="00F77D6D"/>
    <w:rsid w:val="00F80206"/>
    <w:rsid w:val="00F83034"/>
    <w:rsid w:val="00F83FAD"/>
    <w:rsid w:val="00F844C6"/>
    <w:rsid w:val="00F85E40"/>
    <w:rsid w:val="00F8676D"/>
    <w:rsid w:val="00F867BA"/>
    <w:rsid w:val="00F92FA6"/>
    <w:rsid w:val="00F9353B"/>
    <w:rsid w:val="00F937F1"/>
    <w:rsid w:val="00F952A0"/>
    <w:rsid w:val="00FA31B1"/>
    <w:rsid w:val="00FA3320"/>
    <w:rsid w:val="00FA3C7F"/>
    <w:rsid w:val="00FA6246"/>
    <w:rsid w:val="00FA64E2"/>
    <w:rsid w:val="00FB24ED"/>
    <w:rsid w:val="00FB3304"/>
    <w:rsid w:val="00FB5005"/>
    <w:rsid w:val="00FB60FE"/>
    <w:rsid w:val="00FB74E2"/>
    <w:rsid w:val="00FB778B"/>
    <w:rsid w:val="00FD00FB"/>
    <w:rsid w:val="00FD5614"/>
    <w:rsid w:val="00FD5E78"/>
    <w:rsid w:val="00FE0BE1"/>
    <w:rsid w:val="00FE11BB"/>
    <w:rsid w:val="00FE1DE9"/>
    <w:rsid w:val="00FE1E1F"/>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6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533">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4502148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71904194">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51168286">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451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21</Pages>
  <Words>5521</Words>
  <Characters>31472</Characters>
  <Application>Microsoft Office Word</Application>
  <DocSecurity>0</DocSecurity>
  <Lines>262</Lines>
  <Paragraphs>73</Paragraphs>
  <ScaleCrop>false</ScaleCrop>
  <LinksUpToDate>false</LinksUpToDate>
  <CharactersWithSpaces>36920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2016-05-20T08:04:00Z</dcterms:created>
  <dcterms:modified xsi:type="dcterms:W3CDTF">2016-05-20T08:04:00Z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8578136</vt:lpwstr>
  </property>
</Properties>
</file>