
<file path=[Content_Types].xml><?xml version="1.0" encoding="utf-8"?>
<Types xmlns="http://schemas.openxmlformats.org/package/2006/content-types">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charts/chart1.xml" ContentType="application/vnd.openxmlformats-officedocument.drawingml.chart+xml"/>
  <Override PartName="/word/header1.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displacedByCustomXml="next"/>
    <w:bookmarkEnd w:id="0" w:displacedByCustomXml="next"/>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DE7AB5" w:rsidP="00290C63">
          <w:r w:rsidRPr="00DB723B">
            <w:rPr>
              <w:noProof/>
              <w:lang w:eastAsia="en-AU"/>
            </w:rPr>
            <w:drawing>
              <wp:anchor distT="0" distB="0" distL="114300" distR="114300" simplePos="0" relativeHeight="251661312" behindDoc="1" locked="0" layoutInCell="1" allowOverlap="1" wp14:anchorId="53A4C23F" wp14:editId="72BCBA15">
                <wp:simplePos x="0" y="0"/>
                <wp:positionH relativeFrom="column">
                  <wp:posOffset>-1116965</wp:posOffset>
                </wp:positionH>
                <wp:positionV relativeFrom="paragraph">
                  <wp:posOffset>-997406</wp:posOffset>
                </wp:positionV>
                <wp:extent cx="7734300" cy="10927003"/>
                <wp:effectExtent l="0" t="0" r="0" b="825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tretch>
                          <a:fillRect/>
                        </a:stretch>
                      </pic:blipFill>
                      <pic:spPr bwMode="auto">
                        <a:xfrm>
                          <a:off x="0" y="0"/>
                          <a:ext cx="7734300" cy="10927003"/>
                        </a:xfrm>
                        <a:prstGeom prst="rect">
                          <a:avLst/>
                        </a:prstGeom>
                        <a:noFill/>
                      </pic:spPr>
                    </pic:pic>
                  </a:graphicData>
                </a:graphic>
                <wp14:sizeRelH relativeFrom="page">
                  <wp14:pctWidth>0</wp14:pctWidth>
                </wp14:sizeRelH>
                <wp14:sizeRelV relativeFrom="page">
                  <wp14:pctHeight>0</wp14:pctHeight>
                </wp14:sizeRelV>
              </wp:anchor>
            </w:drawing>
          </w:r>
          <w:r w:rsidR="000A6C7B" w:rsidRPr="00290C63">
            <w:rPr>
              <w:noProof/>
              <w:lang w:eastAsia="en-AU"/>
            </w:rPr>
            <w:drawing>
              <wp:anchor distT="0" distB="0" distL="114300" distR="114300" simplePos="0" relativeHeight="251659264" behindDoc="1" locked="0" layoutInCell="1" allowOverlap="1" wp14:anchorId="4D3BB79B" wp14:editId="06FF9871">
                <wp:simplePos x="0" y="0"/>
                <wp:positionH relativeFrom="column">
                  <wp:posOffset>-1112520</wp:posOffset>
                </wp:positionH>
                <wp:positionV relativeFrom="paragraph">
                  <wp:posOffset>-919138</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5C16FE" w:rsidRDefault="005C16FE" w:rsidP="00F171E0"/>
        <w:p w:rsidR="00327A1E" w:rsidRDefault="001754EE" w:rsidP="001754EE">
          <w:pPr>
            <w:pStyle w:val="ReportSubtitle"/>
            <w:tabs>
              <w:tab w:val="left" w:pos="1122"/>
              <w:tab w:val="center" w:pos="4238"/>
            </w:tabs>
            <w:jc w:val="left"/>
          </w:pPr>
          <w:r>
            <w:tab/>
          </w:r>
          <w:r>
            <w:tab/>
          </w:r>
          <w:r w:rsidR="00DB4E34">
            <w:t>FINAL</w:t>
          </w:r>
          <w:r w:rsidR="00DA4752">
            <w:t xml:space="preserve"> DECISION</w:t>
          </w:r>
        </w:p>
        <w:p w:rsidR="00415F31" w:rsidRDefault="00DB4E34" w:rsidP="008F07A3">
          <w:pPr>
            <w:pStyle w:val="ReportSubtitle"/>
          </w:pPr>
          <w:r>
            <w:t>AusNet Services</w:t>
          </w:r>
          <w:r w:rsidR="004523B2">
            <w:t xml:space="preserve"> distribution</w:t>
          </w:r>
          <w:r w:rsidR="00415F31">
            <w:t xml:space="preserve"> </w:t>
          </w:r>
          <w:r w:rsidR="00DA4752">
            <w:t>determination</w:t>
          </w:r>
        </w:p>
        <w:p w:rsidR="000A6C7B" w:rsidRDefault="00DA4752" w:rsidP="008F07A3">
          <w:pPr>
            <w:pStyle w:val="ReportSubtitle"/>
          </w:pPr>
          <w:r>
            <w:t xml:space="preserve"> </w:t>
          </w:r>
          <w:r w:rsidR="00DB4E34">
            <w:t>2016 to 2020</w:t>
          </w:r>
        </w:p>
        <w:p w:rsidR="008F07A3" w:rsidRPr="000A6C7B" w:rsidRDefault="008F07A3" w:rsidP="008F07A3">
          <w:pPr>
            <w:pStyle w:val="ReportSubtitle"/>
          </w:pPr>
        </w:p>
        <w:p w:rsidR="000A6C7B" w:rsidRDefault="0037699E" w:rsidP="008F07A3">
          <w:pPr>
            <w:pStyle w:val="ReportSubtitle"/>
          </w:pPr>
          <w:r>
            <w:t xml:space="preserve">Attachment </w:t>
          </w:r>
          <w:r w:rsidR="008F78AD">
            <w:t>4</w:t>
          </w:r>
          <w:r w:rsidR="000474DF">
            <w:t xml:space="preserve"> </w:t>
          </w:r>
          <w:r w:rsidR="00185BA5">
            <w:t>–</w:t>
          </w:r>
          <w:r w:rsidR="000474DF">
            <w:t xml:space="preserve"> </w:t>
          </w:r>
          <w:r w:rsidR="008F78AD">
            <w:t>Value of imputation credits</w:t>
          </w:r>
        </w:p>
        <w:p w:rsidR="000A6C7B" w:rsidRPr="00327A1E" w:rsidRDefault="005D06E1" w:rsidP="00327A1E">
          <w:pPr>
            <w:pStyle w:val="ReportDate"/>
          </w:pPr>
          <w:r>
            <w:t>May</w:t>
          </w:r>
          <w:r w:rsidR="00DB4E34">
            <w:t xml:space="preserve"> 2016</w:t>
          </w:r>
        </w:p>
      </w:sdtContent>
    </w:sdt>
    <w:p w:rsidR="00327A1E" w:rsidRPr="00290C63" w:rsidRDefault="00327A1E" w:rsidP="00290C63">
      <w:r>
        <w:br w:type="page"/>
      </w:r>
    </w:p>
    <w:p w:rsidR="00CE2A23" w:rsidRDefault="00CE2A23" w:rsidP="00761454">
      <w:bookmarkStart w:id="1" w:name="_Toc411428008"/>
      <w:r>
        <w:lastRenderedPageBreak/>
        <w:t>© Commonwealth of Australia 201</w:t>
      </w:r>
      <w:r w:rsidR="000474DF">
        <w:t>6</w:t>
      </w:r>
    </w:p>
    <w:p w:rsidR="00CE2A23" w:rsidRDefault="00CE2A23" w:rsidP="00761454">
      <w:r>
        <w:t>This work is copyright. In addition to any use permitted under the Copyright Act 1968, all material contained within this work is provided under a Creative Commons Attributions 3.0 Australia licence, with the exception of:</w:t>
      </w:r>
    </w:p>
    <w:p w:rsidR="00CE2A23" w:rsidRPr="00CE2A23" w:rsidRDefault="00CE2A23" w:rsidP="00CE2A23">
      <w:pPr>
        <w:pStyle w:val="AERbulletlistfirststyle"/>
      </w:pPr>
      <w:r w:rsidRPr="00CE2A23">
        <w:t>the Commonwealth Coat of Arms</w:t>
      </w:r>
    </w:p>
    <w:p w:rsidR="00CE2A23" w:rsidRPr="00CB734B" w:rsidRDefault="00CE2A23" w:rsidP="00CE2A23">
      <w:pPr>
        <w:pStyle w:val="AERbulletlistfirststyle"/>
      </w:pPr>
      <w:r w:rsidRPr="00CE2A23">
        <w:t>the ACCC and AER logos</w:t>
      </w:r>
    </w:p>
    <w:p w:rsidR="00CE2A23" w:rsidRPr="00CE2A23" w:rsidRDefault="00CE2A23" w:rsidP="00CB734B">
      <w:pPr>
        <w:pStyle w:val="AERbulletlistfirststyle"/>
      </w:pPr>
      <w:r w:rsidRPr="00CE2A23">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CE2A23" w:rsidRDefault="00CE2A23" w:rsidP="00761454">
      <w:r>
        <w:t>Requests and inquiries concerning reproduction and rights should be addressed to the:</w:t>
      </w:r>
    </w:p>
    <w:p w:rsidR="00CE2A23" w:rsidRDefault="00CE2A23" w:rsidP="00761454">
      <w:r>
        <w:t>Director, Corporate Communications</w:t>
      </w:r>
      <w:r>
        <w:br/>
        <w:t xml:space="preserve">Australian Competition and Consumer Commission </w:t>
      </w:r>
      <w:r>
        <w:br/>
        <w:t>GPO Box 4141, Canberra ACT 2601</w:t>
      </w:r>
    </w:p>
    <w:p w:rsidR="00CE2A23" w:rsidRDefault="00CE2A23" w:rsidP="00761454">
      <w:r>
        <w:t>or publishing.unit@accc.gov.au.</w:t>
      </w:r>
    </w:p>
    <w:p w:rsidR="00CE2A23" w:rsidRDefault="00CE2A23" w:rsidP="00761454">
      <w:r>
        <w:t>Inquiries about this publication should be addressed to:</w:t>
      </w:r>
    </w:p>
    <w:p w:rsidR="00CE2A23" w:rsidRDefault="00CE2A23" w:rsidP="00761454">
      <w:r>
        <w:t xml:space="preserve">Australian Energy </w:t>
      </w:r>
      <w:r w:rsidRPr="00F171E0">
        <w:t>Regulator</w:t>
      </w:r>
      <w:r>
        <w:br/>
        <w:t>GPO Box 520</w:t>
      </w:r>
      <w:r>
        <w:br/>
      </w:r>
      <w:r w:rsidR="008658A1">
        <w:t>Melbourne Vic 3001</w:t>
      </w:r>
    </w:p>
    <w:p w:rsidR="00CE2A23" w:rsidRDefault="00CE2A23" w:rsidP="00761454">
      <w:r>
        <w:t>Tel: (03) 9290 1444</w:t>
      </w:r>
      <w:r>
        <w:br/>
        <w:t>Fax: (03) 9290 1457</w:t>
      </w:r>
    </w:p>
    <w:p w:rsidR="00CE2A23" w:rsidRDefault="00CE2A23" w:rsidP="00761454">
      <w:r>
        <w:t xml:space="preserve">Email: </w:t>
      </w:r>
      <w:hyperlink r:id="rId12" w:history="1">
        <w:r w:rsidRPr="00D64888">
          <w:rPr>
            <w:rStyle w:val="Hyperlink"/>
          </w:rPr>
          <w:t>AERInquiry@aer.gov.au</w:t>
        </w:r>
      </w:hyperlink>
      <w:r>
        <w:rPr>
          <w:rStyle w:val="Hyperlink"/>
        </w:rPr>
        <w:br/>
      </w:r>
    </w:p>
    <w:p w:rsidR="00291A99" w:rsidRDefault="00291A99" w:rsidP="00761454"/>
    <w:p w:rsidR="00761454" w:rsidRDefault="00761454">
      <w:pPr>
        <w:spacing w:line="240" w:lineRule="auto"/>
      </w:pPr>
      <w:r>
        <w:br w:type="page"/>
      </w:r>
    </w:p>
    <w:p w:rsidR="00761454" w:rsidRDefault="00761454" w:rsidP="00761454">
      <w:pPr>
        <w:pStyle w:val="UnnumberedHeading"/>
        <w:numPr>
          <w:ilvl w:val="0"/>
          <w:numId w:val="23"/>
        </w:numPr>
      </w:pPr>
      <w:bookmarkStart w:id="2" w:name="_Toc404153950"/>
      <w:bookmarkStart w:id="3" w:name="_Toc404437593"/>
      <w:bookmarkStart w:id="4" w:name="_Toc451938285"/>
      <w:r>
        <w:lastRenderedPageBreak/>
        <w:t>Note</w:t>
      </w:r>
      <w:bookmarkEnd w:id="2"/>
      <w:bookmarkEnd w:id="3"/>
      <w:bookmarkEnd w:id="4"/>
    </w:p>
    <w:p w:rsidR="00761454" w:rsidRDefault="00761454" w:rsidP="00761454">
      <w:pPr>
        <w:numPr>
          <w:ilvl w:val="0"/>
          <w:numId w:val="24"/>
        </w:numPr>
      </w:pPr>
      <w:r>
        <w:t xml:space="preserve">This </w:t>
      </w:r>
      <w:r w:rsidR="00247000">
        <w:t>attachment</w:t>
      </w:r>
      <w:r>
        <w:t xml:space="preserve"> forms part of the AER's </w:t>
      </w:r>
      <w:r w:rsidR="00DB4E34">
        <w:t>final</w:t>
      </w:r>
      <w:r w:rsidR="000474DF">
        <w:t xml:space="preserve"> </w:t>
      </w:r>
      <w:r>
        <w:t xml:space="preserve">decision on </w:t>
      </w:r>
      <w:r w:rsidR="00DB4E34">
        <w:t>AusNet Services'</w:t>
      </w:r>
      <w:r w:rsidR="004523B2">
        <w:t xml:space="preserve"> distribution</w:t>
      </w:r>
      <w:r>
        <w:t xml:space="preserve"> determination for 201</w:t>
      </w:r>
      <w:r w:rsidR="00C75E3E">
        <w:t>6</w:t>
      </w:r>
      <w:r w:rsidRPr="00F02D30">
        <w:t>–</w:t>
      </w:r>
      <w:r w:rsidR="00C75E3E">
        <w:t>20</w:t>
      </w:r>
      <w:r>
        <w:t xml:space="preserve">. It should be read with </w:t>
      </w:r>
      <w:r w:rsidR="000474DF">
        <w:t xml:space="preserve">all </w:t>
      </w:r>
      <w:r>
        <w:t xml:space="preserve">other parts of the </w:t>
      </w:r>
      <w:r w:rsidR="00DB4E34">
        <w:t>final</w:t>
      </w:r>
      <w:r>
        <w:t xml:space="preserve"> decision.</w:t>
      </w:r>
    </w:p>
    <w:p w:rsidR="00761454" w:rsidRDefault="00761454" w:rsidP="00761454">
      <w:pPr>
        <w:numPr>
          <w:ilvl w:val="0"/>
          <w:numId w:val="24"/>
        </w:numPr>
      </w:pPr>
      <w:r>
        <w:t xml:space="preserve">The </w:t>
      </w:r>
      <w:r w:rsidR="00DB4E34">
        <w:t>final</w:t>
      </w:r>
      <w:r>
        <w:t xml:space="preserve"> decision includes the following documents:</w:t>
      </w:r>
    </w:p>
    <w:p w:rsidR="00761454" w:rsidRDefault="00761454" w:rsidP="00761454">
      <w:pPr>
        <w:numPr>
          <w:ilvl w:val="0"/>
          <w:numId w:val="24"/>
        </w:numPr>
      </w:pPr>
      <w:r>
        <w:t>Overview</w:t>
      </w:r>
    </w:p>
    <w:p w:rsidR="00761454" w:rsidRDefault="000474DF" w:rsidP="00761454">
      <w:pPr>
        <w:numPr>
          <w:ilvl w:val="0"/>
          <w:numId w:val="24"/>
        </w:numPr>
      </w:pPr>
      <w:r>
        <w:t xml:space="preserve">Attachment 1 – </w:t>
      </w:r>
      <w:r w:rsidR="004523B2">
        <w:t>Annual revenue requirement</w:t>
      </w:r>
    </w:p>
    <w:p w:rsidR="00761454" w:rsidRDefault="000474DF" w:rsidP="00761454">
      <w:pPr>
        <w:numPr>
          <w:ilvl w:val="0"/>
          <w:numId w:val="24"/>
        </w:numPr>
      </w:pPr>
      <w:r>
        <w:t>Attachment 2 – R</w:t>
      </w:r>
      <w:r w:rsidR="00761454">
        <w:t>egulatory asset base</w:t>
      </w:r>
    </w:p>
    <w:p w:rsidR="00761454" w:rsidRDefault="000474DF" w:rsidP="00761454">
      <w:pPr>
        <w:numPr>
          <w:ilvl w:val="0"/>
          <w:numId w:val="24"/>
        </w:numPr>
      </w:pPr>
      <w:r>
        <w:t>Attachment 3 – R</w:t>
      </w:r>
      <w:r w:rsidR="00761454">
        <w:t>ate of return</w:t>
      </w:r>
    </w:p>
    <w:p w:rsidR="00761454" w:rsidRDefault="000474DF" w:rsidP="00761454">
      <w:pPr>
        <w:numPr>
          <w:ilvl w:val="0"/>
          <w:numId w:val="24"/>
        </w:numPr>
      </w:pPr>
      <w:r>
        <w:t>Attachment 4 – V</w:t>
      </w:r>
      <w:r w:rsidR="00761454">
        <w:t>alue of imputation credits</w:t>
      </w:r>
    </w:p>
    <w:p w:rsidR="00761454" w:rsidRDefault="00761454" w:rsidP="00761454">
      <w:pPr>
        <w:numPr>
          <w:ilvl w:val="0"/>
          <w:numId w:val="24"/>
        </w:numPr>
      </w:pPr>
      <w:r>
        <w:t xml:space="preserve">Attachment 5 – </w:t>
      </w:r>
      <w:r w:rsidR="000474DF">
        <w:t>R</w:t>
      </w:r>
      <w:r>
        <w:t>egulatory depreciation</w:t>
      </w:r>
    </w:p>
    <w:p w:rsidR="00761454" w:rsidRDefault="000474DF" w:rsidP="00761454">
      <w:pPr>
        <w:numPr>
          <w:ilvl w:val="0"/>
          <w:numId w:val="24"/>
        </w:numPr>
      </w:pPr>
      <w:r>
        <w:t>Attachment 6 – C</w:t>
      </w:r>
      <w:r w:rsidR="00761454">
        <w:t xml:space="preserve">apital expenditure </w:t>
      </w:r>
    </w:p>
    <w:p w:rsidR="00761454" w:rsidRDefault="000474DF" w:rsidP="00761454">
      <w:pPr>
        <w:numPr>
          <w:ilvl w:val="0"/>
          <w:numId w:val="24"/>
        </w:numPr>
      </w:pPr>
      <w:r>
        <w:t>Attachment 7 – O</w:t>
      </w:r>
      <w:r w:rsidR="00761454">
        <w:t>perating expenditure</w:t>
      </w:r>
    </w:p>
    <w:p w:rsidR="00761454" w:rsidRDefault="00761454" w:rsidP="00761454">
      <w:pPr>
        <w:numPr>
          <w:ilvl w:val="0"/>
          <w:numId w:val="24"/>
        </w:numPr>
      </w:pPr>
      <w:r>
        <w:t xml:space="preserve">Attachment 8 – </w:t>
      </w:r>
      <w:r w:rsidR="000474DF">
        <w:t>C</w:t>
      </w:r>
      <w:r>
        <w:t>orporate income tax</w:t>
      </w:r>
    </w:p>
    <w:p w:rsidR="00761454" w:rsidRDefault="000474DF" w:rsidP="00761454">
      <w:pPr>
        <w:numPr>
          <w:ilvl w:val="0"/>
          <w:numId w:val="24"/>
        </w:numPr>
      </w:pPr>
      <w:r>
        <w:t>Attachment 9 – E</w:t>
      </w:r>
      <w:r w:rsidR="00761454">
        <w:t>fficiency benefit sharing scheme</w:t>
      </w:r>
    </w:p>
    <w:p w:rsidR="00761454" w:rsidRDefault="000474DF" w:rsidP="00761454">
      <w:pPr>
        <w:numPr>
          <w:ilvl w:val="0"/>
          <w:numId w:val="24"/>
        </w:numPr>
      </w:pPr>
      <w:r>
        <w:t>Attachment 10 – C</w:t>
      </w:r>
      <w:r w:rsidR="00761454">
        <w:t>apital expenditure sharing scheme</w:t>
      </w:r>
    </w:p>
    <w:p w:rsidR="00761454" w:rsidRDefault="000474DF" w:rsidP="00761454">
      <w:pPr>
        <w:numPr>
          <w:ilvl w:val="0"/>
          <w:numId w:val="24"/>
        </w:numPr>
      </w:pPr>
      <w:r>
        <w:t>Attachment 11 – S</w:t>
      </w:r>
      <w:r w:rsidR="00761454">
        <w:t>ervice target performance incentive scheme</w:t>
      </w:r>
    </w:p>
    <w:p w:rsidR="00761454" w:rsidRPr="00F02D30" w:rsidRDefault="00761454" w:rsidP="00761454">
      <w:pPr>
        <w:numPr>
          <w:ilvl w:val="0"/>
          <w:numId w:val="24"/>
        </w:numPr>
      </w:pPr>
      <w:r>
        <w:t xml:space="preserve">Attachment 12 – </w:t>
      </w:r>
      <w:r w:rsidR="004523B2">
        <w:t>Demand management incentive scheme</w:t>
      </w:r>
    </w:p>
    <w:p w:rsidR="00761454" w:rsidRPr="00F02D30" w:rsidRDefault="00761454" w:rsidP="00761454">
      <w:pPr>
        <w:numPr>
          <w:ilvl w:val="0"/>
          <w:numId w:val="24"/>
        </w:numPr>
      </w:pPr>
      <w:r>
        <w:t xml:space="preserve">Attachment 13 </w:t>
      </w:r>
      <w:r w:rsidR="000474DF">
        <w:t xml:space="preserve">– </w:t>
      </w:r>
      <w:r w:rsidR="004523B2">
        <w:t>Classification of services</w:t>
      </w:r>
    </w:p>
    <w:p w:rsidR="00761454" w:rsidRDefault="00761454" w:rsidP="00761454">
      <w:pPr>
        <w:numPr>
          <w:ilvl w:val="0"/>
          <w:numId w:val="24"/>
        </w:numPr>
      </w:pPr>
      <w:r>
        <w:t xml:space="preserve">Attachment 14 </w:t>
      </w:r>
      <w:r w:rsidR="000474DF">
        <w:t xml:space="preserve">– </w:t>
      </w:r>
      <w:r w:rsidR="004523B2">
        <w:t>Control mechanisms</w:t>
      </w:r>
    </w:p>
    <w:p w:rsidR="004523B2" w:rsidRDefault="004523B2" w:rsidP="00761454">
      <w:pPr>
        <w:numPr>
          <w:ilvl w:val="0"/>
          <w:numId w:val="24"/>
        </w:numPr>
      </w:pPr>
      <w:r>
        <w:t>Attachment 15 – Pass through events</w:t>
      </w:r>
    </w:p>
    <w:p w:rsidR="004523B2" w:rsidRDefault="004523B2" w:rsidP="00761454">
      <w:pPr>
        <w:numPr>
          <w:ilvl w:val="0"/>
          <w:numId w:val="24"/>
        </w:numPr>
      </w:pPr>
      <w:r>
        <w:t>Attachment 16 – Alternative control services</w:t>
      </w:r>
    </w:p>
    <w:p w:rsidR="004523B2" w:rsidRDefault="004523B2" w:rsidP="00761454">
      <w:pPr>
        <w:numPr>
          <w:ilvl w:val="0"/>
          <w:numId w:val="24"/>
        </w:numPr>
      </w:pPr>
      <w:r>
        <w:t>Attachment 17 – Negotiated services framework and criteria</w:t>
      </w:r>
    </w:p>
    <w:p w:rsidR="004523B2" w:rsidRDefault="004523B2" w:rsidP="00761454">
      <w:pPr>
        <w:numPr>
          <w:ilvl w:val="0"/>
          <w:numId w:val="24"/>
        </w:numPr>
      </w:pPr>
      <w:r>
        <w:t xml:space="preserve">Attachment 18 – </w:t>
      </w:r>
      <w:r w:rsidR="00DB4E34">
        <w:t>f-factor scheme</w:t>
      </w:r>
    </w:p>
    <w:p w:rsidR="004523B2" w:rsidRPr="00F02D30" w:rsidRDefault="004523B2" w:rsidP="00761454">
      <w:pPr>
        <w:numPr>
          <w:ilvl w:val="0"/>
          <w:numId w:val="24"/>
        </w:numPr>
      </w:pPr>
    </w:p>
    <w:p w:rsidR="00761454" w:rsidRPr="009D3906" w:rsidRDefault="00761454" w:rsidP="00761454"/>
    <w:p w:rsidR="00CE2A23" w:rsidRPr="00CE2A23" w:rsidRDefault="00CE2A23" w:rsidP="00CE2A23">
      <w:bookmarkStart w:id="5" w:name="_Toc404354899"/>
      <w:bookmarkStart w:id="6" w:name="_Toc404353070"/>
      <w:bookmarkStart w:id="7" w:name="_Toc404684201"/>
      <w:bookmarkStart w:id="8" w:name="_Toc404700923"/>
      <w:r>
        <w:br w:type="page"/>
      </w:r>
    </w:p>
    <w:bookmarkEnd w:id="5"/>
    <w:bookmarkEnd w:id="6"/>
    <w:bookmarkEnd w:id="7"/>
    <w:bookmarkEnd w:id="8"/>
    <w:p w:rsidR="00CE2A23" w:rsidRPr="008F07A3" w:rsidRDefault="00CE2A23" w:rsidP="00CE2A23">
      <w:pPr>
        <w:numPr>
          <w:ilvl w:val="0"/>
          <w:numId w:val="24"/>
        </w:numPr>
        <w:sectPr w:rsidR="00CE2A23" w:rsidRPr="008F07A3" w:rsidSect="00317E02">
          <w:footerReference w:type="even" r:id="rId13"/>
          <w:footerReference w:type="default" r:id="rId14"/>
          <w:footerReference w:type="first" r:id="rId15"/>
          <w:pgSz w:w="11906" w:h="16838" w:code="9"/>
          <w:pgMar w:top="1440" w:right="1700" w:bottom="1582" w:left="1729" w:header="720" w:footer="0" w:gutter="0"/>
          <w:pgNumType w:start="0" w:chapStyle="1"/>
          <w:cols w:space="720"/>
          <w:docGrid w:linePitch="326"/>
        </w:sectPr>
      </w:pPr>
    </w:p>
    <w:p w:rsidR="00CE2A23" w:rsidRPr="00A72B34" w:rsidRDefault="00CE2A23" w:rsidP="00CE2A23">
      <w:pPr>
        <w:pStyle w:val="UnnumberedHeading"/>
        <w:numPr>
          <w:ilvl w:val="0"/>
          <w:numId w:val="23"/>
        </w:numPr>
      </w:pPr>
      <w:bookmarkStart w:id="9" w:name="_Toc403144133"/>
      <w:bookmarkStart w:id="10" w:name="_Toc451938286"/>
      <w:r>
        <w:lastRenderedPageBreak/>
        <w:t>Contents</w:t>
      </w:r>
      <w:bookmarkEnd w:id="9"/>
      <w:bookmarkEnd w:id="10"/>
    </w:p>
    <w:p w:rsidR="00CE2A23" w:rsidRDefault="00CE2A23" w:rsidP="00CE2A23"/>
    <w:sdt>
      <w:sdtPr>
        <w:id w:val="1269200322"/>
        <w:docPartObj>
          <w:docPartGallery w:val="Table of Contents"/>
          <w:docPartUnique/>
        </w:docPartObj>
      </w:sdtPr>
      <w:sdtEndPr/>
      <w:sdtContent>
        <w:p w:rsidR="00A8334F" w:rsidRDefault="00A8334F">
          <w:pPr>
            <w:pStyle w:val="TOC1"/>
            <w:rPr>
              <w:rFonts w:asciiTheme="minorHAnsi" w:eastAsiaTheme="minorEastAsia" w:hAnsiTheme="minorHAnsi"/>
              <w:b w:val="0"/>
              <w:color w:val="auto"/>
              <w:sz w:val="22"/>
              <w:lang w:val="en-AU" w:eastAsia="en-AU"/>
            </w:rPr>
          </w:pPr>
          <w:r>
            <w:fldChar w:fldCharType="begin"/>
          </w:r>
          <w:r>
            <w:instrText xml:space="preserve"> TOC \o "1-2" \h \z \u \t "Heading 3,3,Heading 7,1,Heading 8,2" </w:instrText>
          </w:r>
          <w:r>
            <w:fldChar w:fldCharType="separate"/>
          </w:r>
          <w:hyperlink w:anchor="_Toc451938285" w:history="1">
            <w:r w:rsidRPr="008D65B4">
              <w:rPr>
                <w:rStyle w:val="Hyperlink"/>
              </w:rPr>
              <w:t>Note</w:t>
            </w:r>
            <w:r>
              <w:rPr>
                <w:webHidden/>
              </w:rPr>
              <w:tab/>
            </w:r>
            <w:r>
              <w:rPr>
                <w:webHidden/>
              </w:rPr>
              <w:fldChar w:fldCharType="begin"/>
            </w:r>
            <w:r>
              <w:rPr>
                <w:webHidden/>
              </w:rPr>
              <w:instrText xml:space="preserve"> PAGEREF _Toc451938285 \h </w:instrText>
            </w:r>
            <w:r>
              <w:rPr>
                <w:webHidden/>
              </w:rPr>
            </w:r>
            <w:r>
              <w:rPr>
                <w:webHidden/>
              </w:rPr>
              <w:fldChar w:fldCharType="separate"/>
            </w:r>
            <w:r w:rsidR="00A02D8C">
              <w:rPr>
                <w:webHidden/>
              </w:rPr>
              <w:t>4-2</w:t>
            </w:r>
            <w:r>
              <w:rPr>
                <w:webHidden/>
              </w:rPr>
              <w:fldChar w:fldCharType="end"/>
            </w:r>
          </w:hyperlink>
        </w:p>
        <w:p w:rsidR="00A8334F" w:rsidRDefault="00F470C7">
          <w:pPr>
            <w:pStyle w:val="TOC1"/>
            <w:rPr>
              <w:rFonts w:asciiTheme="minorHAnsi" w:eastAsiaTheme="minorEastAsia" w:hAnsiTheme="minorHAnsi"/>
              <w:b w:val="0"/>
              <w:color w:val="auto"/>
              <w:sz w:val="22"/>
              <w:lang w:val="en-AU" w:eastAsia="en-AU"/>
            </w:rPr>
          </w:pPr>
          <w:hyperlink w:anchor="_Toc451938286" w:history="1">
            <w:r w:rsidR="00A8334F" w:rsidRPr="008D65B4">
              <w:rPr>
                <w:rStyle w:val="Hyperlink"/>
              </w:rPr>
              <w:t>Contents</w:t>
            </w:r>
            <w:r w:rsidR="00A8334F">
              <w:rPr>
                <w:webHidden/>
              </w:rPr>
              <w:tab/>
            </w:r>
            <w:r w:rsidR="00A8334F">
              <w:rPr>
                <w:webHidden/>
              </w:rPr>
              <w:fldChar w:fldCharType="begin"/>
            </w:r>
            <w:r w:rsidR="00A8334F">
              <w:rPr>
                <w:webHidden/>
              </w:rPr>
              <w:instrText xml:space="preserve"> PAGEREF _Toc451938286 \h </w:instrText>
            </w:r>
            <w:r w:rsidR="00A8334F">
              <w:rPr>
                <w:webHidden/>
              </w:rPr>
            </w:r>
            <w:r w:rsidR="00A8334F">
              <w:rPr>
                <w:webHidden/>
              </w:rPr>
              <w:fldChar w:fldCharType="separate"/>
            </w:r>
            <w:r w:rsidR="00A02D8C">
              <w:rPr>
                <w:webHidden/>
              </w:rPr>
              <w:t>4-3</w:t>
            </w:r>
            <w:r w:rsidR="00A8334F">
              <w:rPr>
                <w:webHidden/>
              </w:rPr>
              <w:fldChar w:fldCharType="end"/>
            </w:r>
          </w:hyperlink>
        </w:p>
        <w:p w:rsidR="00A8334F" w:rsidRDefault="00F470C7">
          <w:pPr>
            <w:pStyle w:val="TOC1"/>
            <w:rPr>
              <w:rFonts w:asciiTheme="minorHAnsi" w:eastAsiaTheme="minorEastAsia" w:hAnsiTheme="minorHAnsi"/>
              <w:b w:val="0"/>
              <w:color w:val="auto"/>
              <w:sz w:val="22"/>
              <w:lang w:val="en-AU" w:eastAsia="en-AU"/>
            </w:rPr>
          </w:pPr>
          <w:hyperlink w:anchor="_Toc451938287" w:history="1">
            <w:r w:rsidR="00A8334F" w:rsidRPr="008D65B4">
              <w:rPr>
                <w:rStyle w:val="Hyperlink"/>
              </w:rPr>
              <w:t>Shortened forms</w:t>
            </w:r>
            <w:r w:rsidR="00A8334F">
              <w:rPr>
                <w:webHidden/>
              </w:rPr>
              <w:tab/>
            </w:r>
            <w:r w:rsidR="00A8334F">
              <w:rPr>
                <w:webHidden/>
              </w:rPr>
              <w:fldChar w:fldCharType="begin"/>
            </w:r>
            <w:r w:rsidR="00A8334F">
              <w:rPr>
                <w:webHidden/>
              </w:rPr>
              <w:instrText xml:space="preserve"> PAGEREF _Toc451938287 \h </w:instrText>
            </w:r>
            <w:r w:rsidR="00A8334F">
              <w:rPr>
                <w:webHidden/>
              </w:rPr>
            </w:r>
            <w:r w:rsidR="00A8334F">
              <w:rPr>
                <w:webHidden/>
              </w:rPr>
              <w:fldChar w:fldCharType="separate"/>
            </w:r>
            <w:r w:rsidR="00A02D8C">
              <w:rPr>
                <w:webHidden/>
              </w:rPr>
              <w:t>4-5</w:t>
            </w:r>
            <w:r w:rsidR="00A8334F">
              <w:rPr>
                <w:webHidden/>
              </w:rPr>
              <w:fldChar w:fldCharType="end"/>
            </w:r>
          </w:hyperlink>
        </w:p>
        <w:p w:rsidR="00A8334F" w:rsidRDefault="00F470C7">
          <w:pPr>
            <w:pStyle w:val="TOC1"/>
            <w:rPr>
              <w:rFonts w:asciiTheme="minorHAnsi" w:eastAsiaTheme="minorEastAsia" w:hAnsiTheme="minorHAnsi"/>
              <w:b w:val="0"/>
              <w:color w:val="auto"/>
              <w:sz w:val="22"/>
              <w:lang w:val="en-AU" w:eastAsia="en-AU"/>
            </w:rPr>
          </w:pPr>
          <w:hyperlink w:anchor="_Toc451938288" w:history="1">
            <w:r w:rsidR="00A8334F" w:rsidRPr="008D65B4">
              <w:rPr>
                <w:rStyle w:val="Hyperlink"/>
              </w:rPr>
              <w:t>4</w:t>
            </w:r>
            <w:r w:rsidR="00A8334F">
              <w:rPr>
                <w:rFonts w:asciiTheme="minorHAnsi" w:eastAsiaTheme="minorEastAsia" w:hAnsiTheme="minorHAnsi"/>
                <w:b w:val="0"/>
                <w:color w:val="auto"/>
                <w:sz w:val="22"/>
                <w:lang w:val="en-AU" w:eastAsia="en-AU"/>
              </w:rPr>
              <w:tab/>
            </w:r>
            <w:r w:rsidR="00A8334F" w:rsidRPr="008D65B4">
              <w:rPr>
                <w:rStyle w:val="Hyperlink"/>
              </w:rPr>
              <w:t>Value of imputation credits</w:t>
            </w:r>
            <w:r w:rsidR="00A8334F">
              <w:rPr>
                <w:webHidden/>
              </w:rPr>
              <w:tab/>
            </w:r>
            <w:r w:rsidR="00A8334F">
              <w:rPr>
                <w:webHidden/>
              </w:rPr>
              <w:fldChar w:fldCharType="begin"/>
            </w:r>
            <w:r w:rsidR="00A8334F">
              <w:rPr>
                <w:webHidden/>
              </w:rPr>
              <w:instrText xml:space="preserve"> PAGEREF _Toc451938288 \h </w:instrText>
            </w:r>
            <w:r w:rsidR="00A8334F">
              <w:rPr>
                <w:webHidden/>
              </w:rPr>
            </w:r>
            <w:r w:rsidR="00A8334F">
              <w:rPr>
                <w:webHidden/>
              </w:rPr>
              <w:fldChar w:fldCharType="separate"/>
            </w:r>
            <w:r w:rsidR="00A02D8C">
              <w:rPr>
                <w:webHidden/>
              </w:rPr>
              <w:t>4-7</w:t>
            </w:r>
            <w:r w:rsidR="00A8334F">
              <w:rPr>
                <w:webHidden/>
              </w:rPr>
              <w:fldChar w:fldCharType="end"/>
            </w:r>
          </w:hyperlink>
        </w:p>
        <w:p w:rsidR="00A8334F" w:rsidRDefault="00F470C7">
          <w:pPr>
            <w:pStyle w:val="TOC2"/>
            <w:rPr>
              <w:rFonts w:asciiTheme="minorHAnsi" w:eastAsiaTheme="minorEastAsia" w:hAnsiTheme="minorHAnsi"/>
              <w:b w:val="0"/>
              <w:color w:val="auto"/>
              <w:sz w:val="22"/>
              <w:lang w:eastAsia="en-AU"/>
            </w:rPr>
          </w:pPr>
          <w:hyperlink w:anchor="_Toc451938289" w:history="1">
            <w:r w:rsidR="00A8334F" w:rsidRPr="008D65B4">
              <w:rPr>
                <w:rStyle w:val="Hyperlink"/>
              </w:rPr>
              <w:t>4.1</w:t>
            </w:r>
            <w:r w:rsidR="00A8334F">
              <w:rPr>
                <w:rFonts w:asciiTheme="minorHAnsi" w:eastAsiaTheme="minorEastAsia" w:hAnsiTheme="minorHAnsi"/>
                <w:b w:val="0"/>
                <w:color w:val="auto"/>
                <w:sz w:val="22"/>
                <w:lang w:eastAsia="en-AU"/>
              </w:rPr>
              <w:tab/>
            </w:r>
            <w:r w:rsidR="00A8334F" w:rsidRPr="008D65B4">
              <w:rPr>
                <w:rStyle w:val="Hyperlink"/>
              </w:rPr>
              <w:t>Final decision</w:t>
            </w:r>
            <w:r w:rsidR="00A8334F">
              <w:rPr>
                <w:webHidden/>
              </w:rPr>
              <w:tab/>
            </w:r>
            <w:r w:rsidR="00A8334F">
              <w:rPr>
                <w:webHidden/>
              </w:rPr>
              <w:fldChar w:fldCharType="begin"/>
            </w:r>
            <w:r w:rsidR="00A8334F">
              <w:rPr>
                <w:webHidden/>
              </w:rPr>
              <w:instrText xml:space="preserve"> PAGEREF _Toc451938289 \h </w:instrText>
            </w:r>
            <w:r w:rsidR="00A8334F">
              <w:rPr>
                <w:webHidden/>
              </w:rPr>
            </w:r>
            <w:r w:rsidR="00A8334F">
              <w:rPr>
                <w:webHidden/>
              </w:rPr>
              <w:fldChar w:fldCharType="separate"/>
            </w:r>
            <w:r w:rsidR="00A02D8C">
              <w:rPr>
                <w:webHidden/>
              </w:rPr>
              <w:t>4-7</w:t>
            </w:r>
            <w:r w:rsidR="00A8334F">
              <w:rPr>
                <w:webHidden/>
              </w:rPr>
              <w:fldChar w:fldCharType="end"/>
            </w:r>
          </w:hyperlink>
        </w:p>
        <w:p w:rsidR="00A8334F" w:rsidRDefault="00F470C7">
          <w:pPr>
            <w:pStyle w:val="TOC2"/>
            <w:rPr>
              <w:rFonts w:asciiTheme="minorHAnsi" w:eastAsiaTheme="minorEastAsia" w:hAnsiTheme="minorHAnsi"/>
              <w:b w:val="0"/>
              <w:color w:val="auto"/>
              <w:sz w:val="22"/>
              <w:lang w:eastAsia="en-AU"/>
            </w:rPr>
          </w:pPr>
          <w:hyperlink w:anchor="_Toc451938290" w:history="1">
            <w:r w:rsidR="00A8334F" w:rsidRPr="008D65B4">
              <w:rPr>
                <w:rStyle w:val="Hyperlink"/>
              </w:rPr>
              <w:t>4.2</w:t>
            </w:r>
            <w:r w:rsidR="00A8334F">
              <w:rPr>
                <w:rFonts w:asciiTheme="minorHAnsi" w:eastAsiaTheme="minorEastAsia" w:hAnsiTheme="minorHAnsi"/>
                <w:b w:val="0"/>
                <w:color w:val="auto"/>
                <w:sz w:val="22"/>
                <w:lang w:eastAsia="en-AU"/>
              </w:rPr>
              <w:tab/>
            </w:r>
            <w:r w:rsidR="00A8334F" w:rsidRPr="008D65B4">
              <w:rPr>
                <w:rStyle w:val="Hyperlink"/>
              </w:rPr>
              <w:t>AusNet Services' revised proposal</w:t>
            </w:r>
            <w:r w:rsidR="00A8334F">
              <w:rPr>
                <w:webHidden/>
              </w:rPr>
              <w:tab/>
            </w:r>
            <w:r w:rsidR="00A8334F">
              <w:rPr>
                <w:webHidden/>
              </w:rPr>
              <w:fldChar w:fldCharType="begin"/>
            </w:r>
            <w:r w:rsidR="00A8334F">
              <w:rPr>
                <w:webHidden/>
              </w:rPr>
              <w:instrText xml:space="preserve"> PAGEREF _Toc451938290 \h </w:instrText>
            </w:r>
            <w:r w:rsidR="00A8334F">
              <w:rPr>
                <w:webHidden/>
              </w:rPr>
            </w:r>
            <w:r w:rsidR="00A8334F">
              <w:rPr>
                <w:webHidden/>
              </w:rPr>
              <w:fldChar w:fldCharType="separate"/>
            </w:r>
            <w:r w:rsidR="00A02D8C">
              <w:rPr>
                <w:webHidden/>
              </w:rPr>
              <w:t>4-15</w:t>
            </w:r>
            <w:r w:rsidR="00A8334F">
              <w:rPr>
                <w:webHidden/>
              </w:rPr>
              <w:fldChar w:fldCharType="end"/>
            </w:r>
          </w:hyperlink>
        </w:p>
        <w:p w:rsidR="00A8334F" w:rsidRDefault="00F470C7">
          <w:pPr>
            <w:pStyle w:val="TOC2"/>
            <w:rPr>
              <w:rFonts w:asciiTheme="minorHAnsi" w:eastAsiaTheme="minorEastAsia" w:hAnsiTheme="minorHAnsi"/>
              <w:b w:val="0"/>
              <w:color w:val="auto"/>
              <w:sz w:val="22"/>
              <w:lang w:eastAsia="en-AU"/>
            </w:rPr>
          </w:pPr>
          <w:hyperlink w:anchor="_Toc451938291" w:history="1">
            <w:r w:rsidR="00A8334F" w:rsidRPr="008D65B4">
              <w:rPr>
                <w:rStyle w:val="Hyperlink"/>
              </w:rPr>
              <w:t>4.3</w:t>
            </w:r>
            <w:r w:rsidR="00A8334F">
              <w:rPr>
                <w:rFonts w:asciiTheme="minorHAnsi" w:eastAsiaTheme="minorEastAsia" w:hAnsiTheme="minorHAnsi"/>
                <w:b w:val="0"/>
                <w:color w:val="auto"/>
                <w:sz w:val="22"/>
                <w:lang w:eastAsia="en-AU"/>
              </w:rPr>
              <w:tab/>
            </w:r>
            <w:r w:rsidR="00A8334F" w:rsidRPr="008D65B4">
              <w:rPr>
                <w:rStyle w:val="Hyperlink"/>
              </w:rPr>
              <w:t>AER’s assessment approach</w:t>
            </w:r>
            <w:r w:rsidR="00A8334F">
              <w:rPr>
                <w:webHidden/>
              </w:rPr>
              <w:tab/>
            </w:r>
            <w:r w:rsidR="00A8334F">
              <w:rPr>
                <w:webHidden/>
              </w:rPr>
              <w:fldChar w:fldCharType="begin"/>
            </w:r>
            <w:r w:rsidR="00A8334F">
              <w:rPr>
                <w:webHidden/>
              </w:rPr>
              <w:instrText xml:space="preserve"> PAGEREF _Toc451938291 \h </w:instrText>
            </w:r>
            <w:r w:rsidR="00A8334F">
              <w:rPr>
                <w:webHidden/>
              </w:rPr>
            </w:r>
            <w:r w:rsidR="00A8334F">
              <w:rPr>
                <w:webHidden/>
              </w:rPr>
              <w:fldChar w:fldCharType="separate"/>
            </w:r>
            <w:r w:rsidR="00A02D8C">
              <w:rPr>
                <w:webHidden/>
              </w:rPr>
              <w:t>4-16</w:t>
            </w:r>
            <w:r w:rsidR="00A8334F">
              <w:rPr>
                <w:webHidden/>
              </w:rPr>
              <w:fldChar w:fldCharType="end"/>
            </w:r>
          </w:hyperlink>
        </w:p>
        <w:p w:rsidR="00A8334F" w:rsidRDefault="00F470C7">
          <w:pPr>
            <w:pStyle w:val="TOC3"/>
            <w:rPr>
              <w:rFonts w:asciiTheme="minorHAnsi" w:eastAsiaTheme="minorEastAsia" w:hAnsiTheme="minorHAnsi"/>
              <w:lang w:eastAsia="en-AU"/>
            </w:rPr>
          </w:pPr>
          <w:hyperlink w:anchor="_Toc451938292" w:history="1">
            <w:r w:rsidR="00A8334F" w:rsidRPr="008D65B4">
              <w:rPr>
                <w:rStyle w:val="Hyperlink"/>
              </w:rPr>
              <w:t>4.3.1</w:t>
            </w:r>
            <w:r w:rsidR="00A8334F">
              <w:rPr>
                <w:rFonts w:asciiTheme="minorHAnsi" w:eastAsiaTheme="minorEastAsia" w:hAnsiTheme="minorHAnsi"/>
                <w:lang w:eastAsia="en-AU"/>
              </w:rPr>
              <w:tab/>
            </w:r>
            <w:r w:rsidR="00A8334F" w:rsidRPr="008D65B4">
              <w:rPr>
                <w:rStyle w:val="Hyperlink"/>
              </w:rPr>
              <w:t>Requirements of the NEL/NGL and NER/NGR</w:t>
            </w:r>
            <w:r w:rsidR="00A8334F">
              <w:rPr>
                <w:webHidden/>
              </w:rPr>
              <w:tab/>
            </w:r>
            <w:r w:rsidR="00A8334F">
              <w:rPr>
                <w:webHidden/>
              </w:rPr>
              <w:fldChar w:fldCharType="begin"/>
            </w:r>
            <w:r w:rsidR="00A8334F">
              <w:rPr>
                <w:webHidden/>
              </w:rPr>
              <w:instrText xml:space="preserve"> PAGEREF _Toc451938292 \h </w:instrText>
            </w:r>
            <w:r w:rsidR="00A8334F">
              <w:rPr>
                <w:webHidden/>
              </w:rPr>
            </w:r>
            <w:r w:rsidR="00A8334F">
              <w:rPr>
                <w:webHidden/>
              </w:rPr>
              <w:fldChar w:fldCharType="separate"/>
            </w:r>
            <w:r w:rsidR="00A02D8C">
              <w:rPr>
                <w:webHidden/>
              </w:rPr>
              <w:t>4-16</w:t>
            </w:r>
            <w:r w:rsidR="00A8334F">
              <w:rPr>
                <w:webHidden/>
              </w:rPr>
              <w:fldChar w:fldCharType="end"/>
            </w:r>
          </w:hyperlink>
        </w:p>
        <w:p w:rsidR="00A8334F" w:rsidRDefault="00F470C7">
          <w:pPr>
            <w:pStyle w:val="TOC3"/>
            <w:rPr>
              <w:rFonts w:asciiTheme="minorHAnsi" w:eastAsiaTheme="minorEastAsia" w:hAnsiTheme="minorHAnsi"/>
              <w:lang w:eastAsia="en-AU"/>
            </w:rPr>
          </w:pPr>
          <w:hyperlink w:anchor="_Toc451938293" w:history="1">
            <w:r w:rsidR="00A8334F" w:rsidRPr="008D65B4">
              <w:rPr>
                <w:rStyle w:val="Hyperlink"/>
              </w:rPr>
              <w:t>4.3.2</w:t>
            </w:r>
            <w:r w:rsidR="00A8334F">
              <w:rPr>
                <w:rFonts w:asciiTheme="minorHAnsi" w:eastAsiaTheme="minorEastAsia" w:hAnsiTheme="minorHAnsi"/>
                <w:lang w:eastAsia="en-AU"/>
              </w:rPr>
              <w:tab/>
            </w:r>
            <w:r w:rsidR="00A8334F" w:rsidRPr="008D65B4">
              <w:rPr>
                <w:rStyle w:val="Hyperlink"/>
              </w:rPr>
              <w:t>Rate of return Guideline</w:t>
            </w:r>
            <w:r w:rsidR="00A8334F">
              <w:rPr>
                <w:webHidden/>
              </w:rPr>
              <w:tab/>
            </w:r>
            <w:r w:rsidR="00A8334F">
              <w:rPr>
                <w:webHidden/>
              </w:rPr>
              <w:fldChar w:fldCharType="begin"/>
            </w:r>
            <w:r w:rsidR="00A8334F">
              <w:rPr>
                <w:webHidden/>
              </w:rPr>
              <w:instrText xml:space="preserve"> PAGEREF _Toc451938293 \h </w:instrText>
            </w:r>
            <w:r w:rsidR="00A8334F">
              <w:rPr>
                <w:webHidden/>
              </w:rPr>
            </w:r>
            <w:r w:rsidR="00A8334F">
              <w:rPr>
                <w:webHidden/>
              </w:rPr>
              <w:fldChar w:fldCharType="separate"/>
            </w:r>
            <w:r w:rsidR="00A02D8C">
              <w:rPr>
                <w:webHidden/>
              </w:rPr>
              <w:t>4-19</w:t>
            </w:r>
            <w:r w:rsidR="00A8334F">
              <w:rPr>
                <w:webHidden/>
              </w:rPr>
              <w:fldChar w:fldCharType="end"/>
            </w:r>
          </w:hyperlink>
        </w:p>
        <w:p w:rsidR="00A8334F" w:rsidRDefault="00F470C7">
          <w:pPr>
            <w:pStyle w:val="TOC3"/>
            <w:rPr>
              <w:rFonts w:asciiTheme="minorHAnsi" w:eastAsiaTheme="minorEastAsia" w:hAnsiTheme="minorHAnsi"/>
              <w:lang w:eastAsia="en-AU"/>
            </w:rPr>
          </w:pPr>
          <w:hyperlink w:anchor="_Toc451938294" w:history="1">
            <w:r w:rsidR="00A8334F" w:rsidRPr="008D65B4">
              <w:rPr>
                <w:rStyle w:val="Hyperlink"/>
              </w:rPr>
              <w:t>4.3.3</w:t>
            </w:r>
            <w:r w:rsidR="00A8334F">
              <w:rPr>
                <w:rFonts w:asciiTheme="minorHAnsi" w:eastAsiaTheme="minorEastAsia" w:hAnsiTheme="minorHAnsi"/>
                <w:lang w:eastAsia="en-AU"/>
              </w:rPr>
              <w:tab/>
            </w:r>
            <w:r w:rsidR="00A8334F" w:rsidRPr="008D65B4">
              <w:rPr>
                <w:rStyle w:val="Hyperlink"/>
              </w:rPr>
              <w:t>Definition of a benchmark efficient entity</w:t>
            </w:r>
            <w:r w:rsidR="00A8334F">
              <w:rPr>
                <w:webHidden/>
              </w:rPr>
              <w:tab/>
            </w:r>
            <w:r w:rsidR="00A8334F">
              <w:rPr>
                <w:webHidden/>
              </w:rPr>
              <w:fldChar w:fldCharType="begin"/>
            </w:r>
            <w:r w:rsidR="00A8334F">
              <w:rPr>
                <w:webHidden/>
              </w:rPr>
              <w:instrText xml:space="preserve"> PAGEREF _Toc451938294 \h </w:instrText>
            </w:r>
            <w:r w:rsidR="00A8334F">
              <w:rPr>
                <w:webHidden/>
              </w:rPr>
            </w:r>
            <w:r w:rsidR="00A8334F">
              <w:rPr>
                <w:webHidden/>
              </w:rPr>
              <w:fldChar w:fldCharType="separate"/>
            </w:r>
            <w:r w:rsidR="00A02D8C">
              <w:rPr>
                <w:webHidden/>
              </w:rPr>
              <w:t>4-19</w:t>
            </w:r>
            <w:r w:rsidR="00A8334F">
              <w:rPr>
                <w:webHidden/>
              </w:rPr>
              <w:fldChar w:fldCharType="end"/>
            </w:r>
          </w:hyperlink>
        </w:p>
        <w:p w:rsidR="00A8334F" w:rsidRDefault="00F470C7">
          <w:pPr>
            <w:pStyle w:val="TOC3"/>
            <w:rPr>
              <w:rFonts w:asciiTheme="minorHAnsi" w:eastAsiaTheme="minorEastAsia" w:hAnsiTheme="minorHAnsi"/>
              <w:lang w:eastAsia="en-AU"/>
            </w:rPr>
          </w:pPr>
          <w:hyperlink w:anchor="_Toc451938295" w:history="1">
            <w:r w:rsidR="00A8334F" w:rsidRPr="008D65B4">
              <w:rPr>
                <w:rStyle w:val="Hyperlink"/>
              </w:rPr>
              <w:t>4.3.4</w:t>
            </w:r>
            <w:r w:rsidR="00A8334F">
              <w:rPr>
                <w:rFonts w:asciiTheme="minorHAnsi" w:eastAsiaTheme="minorEastAsia" w:hAnsiTheme="minorHAnsi"/>
                <w:lang w:eastAsia="en-AU"/>
              </w:rPr>
              <w:tab/>
            </w:r>
            <w:r w:rsidR="00A8334F" w:rsidRPr="008D65B4">
              <w:rPr>
                <w:rStyle w:val="Hyperlink"/>
              </w:rPr>
              <w:t>Interrelationships</w:t>
            </w:r>
            <w:r w:rsidR="00A8334F">
              <w:rPr>
                <w:webHidden/>
              </w:rPr>
              <w:tab/>
            </w:r>
            <w:r w:rsidR="00A8334F">
              <w:rPr>
                <w:webHidden/>
              </w:rPr>
              <w:fldChar w:fldCharType="begin"/>
            </w:r>
            <w:r w:rsidR="00A8334F">
              <w:rPr>
                <w:webHidden/>
              </w:rPr>
              <w:instrText xml:space="preserve"> PAGEREF _Toc451938295 \h </w:instrText>
            </w:r>
            <w:r w:rsidR="00A8334F">
              <w:rPr>
                <w:webHidden/>
              </w:rPr>
            </w:r>
            <w:r w:rsidR="00A8334F">
              <w:rPr>
                <w:webHidden/>
              </w:rPr>
              <w:fldChar w:fldCharType="separate"/>
            </w:r>
            <w:r w:rsidR="00A02D8C">
              <w:rPr>
                <w:webHidden/>
              </w:rPr>
              <w:t>4-20</w:t>
            </w:r>
            <w:r w:rsidR="00A8334F">
              <w:rPr>
                <w:webHidden/>
              </w:rPr>
              <w:fldChar w:fldCharType="end"/>
            </w:r>
          </w:hyperlink>
        </w:p>
        <w:p w:rsidR="00A8334F" w:rsidRDefault="00F470C7">
          <w:pPr>
            <w:pStyle w:val="TOC3"/>
            <w:rPr>
              <w:rFonts w:asciiTheme="minorHAnsi" w:eastAsiaTheme="minorEastAsia" w:hAnsiTheme="minorHAnsi"/>
              <w:lang w:eastAsia="en-AU"/>
            </w:rPr>
          </w:pPr>
          <w:hyperlink w:anchor="_Toc451938296" w:history="1">
            <w:r w:rsidR="00A8334F" w:rsidRPr="008D65B4">
              <w:rPr>
                <w:rStyle w:val="Hyperlink"/>
              </w:rPr>
              <w:t>4.3.5</w:t>
            </w:r>
            <w:r w:rsidR="00A8334F">
              <w:rPr>
                <w:rFonts w:asciiTheme="minorHAnsi" w:eastAsiaTheme="minorEastAsia" w:hAnsiTheme="minorHAnsi"/>
                <w:lang w:eastAsia="en-AU"/>
              </w:rPr>
              <w:tab/>
            </w:r>
            <w:r w:rsidR="00A8334F" w:rsidRPr="008D65B4">
              <w:rPr>
                <w:rStyle w:val="Hyperlink"/>
              </w:rPr>
              <w:t>Expert reports</w:t>
            </w:r>
            <w:r w:rsidR="00A8334F">
              <w:rPr>
                <w:webHidden/>
              </w:rPr>
              <w:tab/>
            </w:r>
            <w:r w:rsidR="00A8334F">
              <w:rPr>
                <w:webHidden/>
              </w:rPr>
              <w:fldChar w:fldCharType="begin"/>
            </w:r>
            <w:r w:rsidR="00A8334F">
              <w:rPr>
                <w:webHidden/>
              </w:rPr>
              <w:instrText xml:space="preserve"> PAGEREF _Toc451938296 \h </w:instrText>
            </w:r>
            <w:r w:rsidR="00A8334F">
              <w:rPr>
                <w:webHidden/>
              </w:rPr>
            </w:r>
            <w:r w:rsidR="00A8334F">
              <w:rPr>
                <w:webHidden/>
              </w:rPr>
              <w:fldChar w:fldCharType="separate"/>
            </w:r>
            <w:r w:rsidR="00A02D8C">
              <w:rPr>
                <w:webHidden/>
              </w:rPr>
              <w:t>4-21</w:t>
            </w:r>
            <w:r w:rsidR="00A8334F">
              <w:rPr>
                <w:webHidden/>
              </w:rPr>
              <w:fldChar w:fldCharType="end"/>
            </w:r>
          </w:hyperlink>
        </w:p>
        <w:p w:rsidR="00A8334F" w:rsidRDefault="00F470C7">
          <w:pPr>
            <w:pStyle w:val="TOC3"/>
            <w:rPr>
              <w:rFonts w:asciiTheme="minorHAnsi" w:eastAsiaTheme="minorEastAsia" w:hAnsiTheme="minorHAnsi"/>
              <w:lang w:eastAsia="en-AU"/>
            </w:rPr>
          </w:pPr>
          <w:hyperlink w:anchor="_Toc451938297" w:history="1">
            <w:r w:rsidR="00A8334F" w:rsidRPr="008D65B4">
              <w:rPr>
                <w:rStyle w:val="Hyperlink"/>
              </w:rPr>
              <w:t>4.3.6</w:t>
            </w:r>
            <w:r w:rsidR="00A8334F">
              <w:rPr>
                <w:rFonts w:asciiTheme="minorHAnsi" w:eastAsiaTheme="minorEastAsia" w:hAnsiTheme="minorHAnsi"/>
                <w:lang w:eastAsia="en-AU"/>
              </w:rPr>
              <w:tab/>
            </w:r>
            <w:r w:rsidR="00A8334F" w:rsidRPr="008D65B4">
              <w:rPr>
                <w:rStyle w:val="Hyperlink"/>
              </w:rPr>
              <w:t>Approach to determining the value of imputation credits</w:t>
            </w:r>
            <w:r w:rsidR="00A8334F">
              <w:rPr>
                <w:webHidden/>
              </w:rPr>
              <w:tab/>
            </w:r>
            <w:r w:rsidR="00A8334F">
              <w:rPr>
                <w:webHidden/>
              </w:rPr>
              <w:fldChar w:fldCharType="begin"/>
            </w:r>
            <w:r w:rsidR="00A8334F">
              <w:rPr>
                <w:webHidden/>
              </w:rPr>
              <w:instrText xml:space="preserve"> PAGEREF _Toc451938297 \h </w:instrText>
            </w:r>
            <w:r w:rsidR="00A8334F">
              <w:rPr>
                <w:webHidden/>
              </w:rPr>
            </w:r>
            <w:r w:rsidR="00A8334F">
              <w:rPr>
                <w:webHidden/>
              </w:rPr>
              <w:fldChar w:fldCharType="separate"/>
            </w:r>
            <w:r w:rsidR="00A02D8C">
              <w:rPr>
                <w:webHidden/>
              </w:rPr>
              <w:t>4-22</w:t>
            </w:r>
            <w:r w:rsidR="00A8334F">
              <w:rPr>
                <w:webHidden/>
              </w:rPr>
              <w:fldChar w:fldCharType="end"/>
            </w:r>
          </w:hyperlink>
        </w:p>
        <w:p w:rsidR="00A8334F" w:rsidRDefault="00F470C7">
          <w:pPr>
            <w:pStyle w:val="TOC2"/>
            <w:rPr>
              <w:rFonts w:asciiTheme="minorHAnsi" w:eastAsiaTheme="minorEastAsia" w:hAnsiTheme="minorHAnsi"/>
              <w:b w:val="0"/>
              <w:color w:val="auto"/>
              <w:sz w:val="22"/>
              <w:lang w:eastAsia="en-AU"/>
            </w:rPr>
          </w:pPr>
          <w:hyperlink w:anchor="_Toc451938298" w:history="1">
            <w:r w:rsidR="00A8334F" w:rsidRPr="008D65B4">
              <w:rPr>
                <w:rStyle w:val="Hyperlink"/>
              </w:rPr>
              <w:t>4.4</w:t>
            </w:r>
            <w:r w:rsidR="00A8334F">
              <w:rPr>
                <w:rFonts w:asciiTheme="minorHAnsi" w:eastAsiaTheme="minorEastAsia" w:hAnsiTheme="minorHAnsi"/>
                <w:b w:val="0"/>
                <w:color w:val="auto"/>
                <w:sz w:val="22"/>
                <w:lang w:eastAsia="en-AU"/>
              </w:rPr>
              <w:tab/>
            </w:r>
            <w:r w:rsidR="00A8334F" w:rsidRPr="008D65B4">
              <w:rPr>
                <w:rStyle w:val="Hyperlink"/>
              </w:rPr>
              <w:t>Reasons for final decision</w:t>
            </w:r>
            <w:r w:rsidR="00A8334F">
              <w:rPr>
                <w:webHidden/>
              </w:rPr>
              <w:tab/>
            </w:r>
            <w:r w:rsidR="00A8334F">
              <w:rPr>
                <w:webHidden/>
              </w:rPr>
              <w:fldChar w:fldCharType="begin"/>
            </w:r>
            <w:r w:rsidR="00A8334F">
              <w:rPr>
                <w:webHidden/>
              </w:rPr>
              <w:instrText xml:space="preserve"> PAGEREF _Toc451938298 \h </w:instrText>
            </w:r>
            <w:r w:rsidR="00A8334F">
              <w:rPr>
                <w:webHidden/>
              </w:rPr>
            </w:r>
            <w:r w:rsidR="00A8334F">
              <w:rPr>
                <w:webHidden/>
              </w:rPr>
              <w:fldChar w:fldCharType="separate"/>
            </w:r>
            <w:r w:rsidR="00A02D8C">
              <w:rPr>
                <w:webHidden/>
              </w:rPr>
              <w:t>4-24</w:t>
            </w:r>
            <w:r w:rsidR="00A8334F">
              <w:rPr>
                <w:webHidden/>
              </w:rPr>
              <w:fldChar w:fldCharType="end"/>
            </w:r>
          </w:hyperlink>
        </w:p>
        <w:p w:rsidR="00A8334F" w:rsidRDefault="00F470C7">
          <w:pPr>
            <w:pStyle w:val="TOC3"/>
            <w:rPr>
              <w:rFonts w:asciiTheme="minorHAnsi" w:eastAsiaTheme="minorEastAsia" w:hAnsiTheme="minorHAnsi"/>
              <w:lang w:eastAsia="en-AU"/>
            </w:rPr>
          </w:pPr>
          <w:hyperlink w:anchor="_Toc451938299" w:history="1">
            <w:r w:rsidR="00A8334F" w:rsidRPr="008D65B4">
              <w:rPr>
                <w:rStyle w:val="Hyperlink"/>
              </w:rPr>
              <w:t>4.4.1</w:t>
            </w:r>
            <w:r w:rsidR="00A8334F">
              <w:rPr>
                <w:rFonts w:asciiTheme="minorHAnsi" w:eastAsiaTheme="minorEastAsia" w:hAnsiTheme="minorHAnsi"/>
                <w:lang w:eastAsia="en-AU"/>
              </w:rPr>
              <w:tab/>
            </w:r>
            <w:r w:rsidR="00A8334F" w:rsidRPr="008D65B4">
              <w:rPr>
                <w:rStyle w:val="Hyperlink"/>
              </w:rPr>
              <w:t>Evidence underlying our estimate of the value of imputation credits</w:t>
            </w:r>
            <w:r w:rsidR="00A8334F">
              <w:rPr>
                <w:webHidden/>
              </w:rPr>
              <w:tab/>
            </w:r>
            <w:r w:rsidR="00A8334F">
              <w:rPr>
                <w:webHidden/>
              </w:rPr>
              <w:fldChar w:fldCharType="begin"/>
            </w:r>
            <w:r w:rsidR="00A8334F">
              <w:rPr>
                <w:webHidden/>
              </w:rPr>
              <w:instrText xml:space="preserve"> PAGEREF _Toc451938299 \h </w:instrText>
            </w:r>
            <w:r w:rsidR="00A8334F">
              <w:rPr>
                <w:webHidden/>
              </w:rPr>
            </w:r>
            <w:r w:rsidR="00A8334F">
              <w:rPr>
                <w:webHidden/>
              </w:rPr>
              <w:fldChar w:fldCharType="separate"/>
            </w:r>
            <w:r w:rsidR="00A02D8C">
              <w:rPr>
                <w:webHidden/>
              </w:rPr>
              <w:t>4-29</w:t>
            </w:r>
            <w:r w:rsidR="00A8334F">
              <w:rPr>
                <w:webHidden/>
              </w:rPr>
              <w:fldChar w:fldCharType="end"/>
            </w:r>
          </w:hyperlink>
        </w:p>
        <w:p w:rsidR="00A8334F" w:rsidRDefault="00F470C7">
          <w:pPr>
            <w:pStyle w:val="TOC3"/>
            <w:rPr>
              <w:rFonts w:asciiTheme="minorHAnsi" w:eastAsiaTheme="minorEastAsia" w:hAnsiTheme="minorHAnsi"/>
              <w:lang w:eastAsia="en-AU"/>
            </w:rPr>
          </w:pPr>
          <w:hyperlink w:anchor="_Toc451938300" w:history="1">
            <w:r w:rsidR="00A8334F" w:rsidRPr="008D65B4">
              <w:rPr>
                <w:rStyle w:val="Hyperlink"/>
              </w:rPr>
              <w:t>4.4.2</w:t>
            </w:r>
            <w:r w:rsidR="00A8334F">
              <w:rPr>
                <w:rFonts w:asciiTheme="minorHAnsi" w:eastAsiaTheme="minorEastAsia" w:hAnsiTheme="minorHAnsi"/>
                <w:lang w:eastAsia="en-AU"/>
              </w:rPr>
              <w:tab/>
            </w:r>
            <w:r w:rsidR="00A8334F" w:rsidRPr="008D65B4">
              <w:rPr>
                <w:rStyle w:val="Hyperlink"/>
              </w:rPr>
              <w:t>Response to submissions by stakeholders</w:t>
            </w:r>
            <w:r w:rsidR="00A8334F">
              <w:rPr>
                <w:webHidden/>
              </w:rPr>
              <w:tab/>
            </w:r>
            <w:r w:rsidR="00A8334F">
              <w:rPr>
                <w:webHidden/>
              </w:rPr>
              <w:fldChar w:fldCharType="begin"/>
            </w:r>
            <w:r w:rsidR="00A8334F">
              <w:rPr>
                <w:webHidden/>
              </w:rPr>
              <w:instrText xml:space="preserve"> PAGEREF _Toc451938300 \h </w:instrText>
            </w:r>
            <w:r w:rsidR="00A8334F">
              <w:rPr>
                <w:webHidden/>
              </w:rPr>
            </w:r>
            <w:r w:rsidR="00A8334F">
              <w:rPr>
                <w:webHidden/>
              </w:rPr>
              <w:fldChar w:fldCharType="separate"/>
            </w:r>
            <w:r w:rsidR="00A02D8C">
              <w:rPr>
                <w:webHidden/>
              </w:rPr>
              <w:t>4-40</w:t>
            </w:r>
            <w:r w:rsidR="00A8334F">
              <w:rPr>
                <w:webHidden/>
              </w:rPr>
              <w:fldChar w:fldCharType="end"/>
            </w:r>
          </w:hyperlink>
        </w:p>
        <w:p w:rsidR="00A8334F" w:rsidRDefault="00F470C7">
          <w:pPr>
            <w:pStyle w:val="TOC1"/>
            <w:rPr>
              <w:rFonts w:asciiTheme="minorHAnsi" w:eastAsiaTheme="minorEastAsia" w:hAnsiTheme="minorHAnsi"/>
              <w:b w:val="0"/>
              <w:color w:val="auto"/>
              <w:sz w:val="22"/>
              <w:lang w:val="en-AU" w:eastAsia="en-AU"/>
            </w:rPr>
          </w:pPr>
          <w:hyperlink w:anchor="_Toc451938301" w:history="1">
            <w:r w:rsidR="00A8334F" w:rsidRPr="008D65B4">
              <w:rPr>
                <w:rStyle w:val="Hyperlink"/>
              </w:rPr>
              <w:t>A</w:t>
            </w:r>
            <w:r w:rsidR="00A8334F">
              <w:rPr>
                <w:rFonts w:asciiTheme="minorHAnsi" w:eastAsiaTheme="minorEastAsia" w:hAnsiTheme="minorHAnsi"/>
                <w:b w:val="0"/>
                <w:color w:val="auto"/>
                <w:sz w:val="22"/>
                <w:lang w:val="en-AU" w:eastAsia="en-AU"/>
              </w:rPr>
              <w:tab/>
            </w:r>
            <w:r w:rsidR="00A8334F" w:rsidRPr="008D65B4">
              <w:rPr>
                <w:rStyle w:val="Hyperlink"/>
              </w:rPr>
              <w:t>Value of imputation credits: Detailed analysis</w:t>
            </w:r>
            <w:r w:rsidR="00A8334F">
              <w:rPr>
                <w:webHidden/>
              </w:rPr>
              <w:tab/>
            </w:r>
            <w:r w:rsidR="00A8334F">
              <w:rPr>
                <w:webHidden/>
              </w:rPr>
              <w:fldChar w:fldCharType="begin"/>
            </w:r>
            <w:r w:rsidR="00A8334F">
              <w:rPr>
                <w:webHidden/>
              </w:rPr>
              <w:instrText xml:space="preserve"> PAGEREF _Toc451938301 \h </w:instrText>
            </w:r>
            <w:r w:rsidR="00A8334F">
              <w:rPr>
                <w:webHidden/>
              </w:rPr>
            </w:r>
            <w:r w:rsidR="00A8334F">
              <w:rPr>
                <w:webHidden/>
              </w:rPr>
              <w:fldChar w:fldCharType="separate"/>
            </w:r>
            <w:r w:rsidR="00A02D8C">
              <w:rPr>
                <w:webHidden/>
              </w:rPr>
              <w:t>4-50</w:t>
            </w:r>
            <w:r w:rsidR="00A8334F">
              <w:rPr>
                <w:webHidden/>
              </w:rPr>
              <w:fldChar w:fldCharType="end"/>
            </w:r>
          </w:hyperlink>
        </w:p>
        <w:p w:rsidR="00A8334F" w:rsidRDefault="00F470C7">
          <w:pPr>
            <w:pStyle w:val="TOC2"/>
            <w:rPr>
              <w:rFonts w:asciiTheme="minorHAnsi" w:eastAsiaTheme="minorEastAsia" w:hAnsiTheme="minorHAnsi"/>
              <w:b w:val="0"/>
              <w:color w:val="auto"/>
              <w:sz w:val="22"/>
              <w:lang w:eastAsia="en-AU"/>
            </w:rPr>
          </w:pPr>
          <w:hyperlink w:anchor="_Toc451938302" w:history="1">
            <w:r w:rsidR="00A8334F" w:rsidRPr="008D65B4">
              <w:rPr>
                <w:rStyle w:val="Hyperlink"/>
              </w:rPr>
              <w:t>A.1</w:t>
            </w:r>
            <w:r w:rsidR="00A8334F">
              <w:rPr>
                <w:rFonts w:asciiTheme="minorHAnsi" w:eastAsiaTheme="minorEastAsia" w:hAnsiTheme="minorHAnsi"/>
                <w:b w:val="0"/>
                <w:color w:val="auto"/>
                <w:sz w:val="22"/>
                <w:lang w:eastAsia="en-AU"/>
              </w:rPr>
              <w:tab/>
            </w:r>
            <w:r w:rsidR="00A8334F" w:rsidRPr="008D65B4">
              <w:rPr>
                <w:rStyle w:val="Hyperlink"/>
              </w:rPr>
              <w:t>Expert views on the value of imputation credits</w:t>
            </w:r>
            <w:r w:rsidR="00A8334F">
              <w:rPr>
                <w:webHidden/>
              </w:rPr>
              <w:tab/>
            </w:r>
            <w:r w:rsidR="00A8334F">
              <w:rPr>
                <w:webHidden/>
              </w:rPr>
              <w:fldChar w:fldCharType="begin"/>
            </w:r>
            <w:r w:rsidR="00A8334F">
              <w:rPr>
                <w:webHidden/>
              </w:rPr>
              <w:instrText xml:space="preserve"> PAGEREF _Toc451938302 \h </w:instrText>
            </w:r>
            <w:r w:rsidR="00A8334F">
              <w:rPr>
                <w:webHidden/>
              </w:rPr>
            </w:r>
            <w:r w:rsidR="00A8334F">
              <w:rPr>
                <w:webHidden/>
              </w:rPr>
              <w:fldChar w:fldCharType="separate"/>
            </w:r>
            <w:r w:rsidR="00A02D8C">
              <w:rPr>
                <w:webHidden/>
              </w:rPr>
              <w:t>4-51</w:t>
            </w:r>
            <w:r w:rsidR="00A8334F">
              <w:rPr>
                <w:webHidden/>
              </w:rPr>
              <w:fldChar w:fldCharType="end"/>
            </w:r>
          </w:hyperlink>
        </w:p>
        <w:p w:rsidR="00A8334F" w:rsidRDefault="00F470C7">
          <w:pPr>
            <w:pStyle w:val="TOC2"/>
            <w:rPr>
              <w:rFonts w:asciiTheme="minorHAnsi" w:eastAsiaTheme="minorEastAsia" w:hAnsiTheme="minorHAnsi"/>
              <w:b w:val="0"/>
              <w:color w:val="auto"/>
              <w:sz w:val="22"/>
              <w:lang w:eastAsia="en-AU"/>
            </w:rPr>
          </w:pPr>
          <w:hyperlink w:anchor="_Toc451938303" w:history="1">
            <w:r w:rsidR="00A8334F" w:rsidRPr="008D65B4">
              <w:rPr>
                <w:rStyle w:val="Hyperlink"/>
              </w:rPr>
              <w:t>A.2</w:t>
            </w:r>
            <w:r w:rsidR="00A8334F">
              <w:rPr>
                <w:rFonts w:asciiTheme="minorHAnsi" w:eastAsiaTheme="minorEastAsia" w:hAnsiTheme="minorHAnsi"/>
                <w:b w:val="0"/>
                <w:color w:val="auto"/>
                <w:sz w:val="22"/>
                <w:lang w:eastAsia="en-AU"/>
              </w:rPr>
              <w:tab/>
            </w:r>
            <w:r w:rsidR="00A8334F" w:rsidRPr="008D65B4">
              <w:rPr>
                <w:rStyle w:val="Hyperlink"/>
              </w:rPr>
              <w:t>The value of imputation credits used by other regulators</w:t>
            </w:r>
            <w:r w:rsidR="00A8334F">
              <w:rPr>
                <w:webHidden/>
              </w:rPr>
              <w:tab/>
            </w:r>
            <w:r w:rsidR="00A8334F">
              <w:rPr>
                <w:webHidden/>
              </w:rPr>
              <w:fldChar w:fldCharType="begin"/>
            </w:r>
            <w:r w:rsidR="00A8334F">
              <w:rPr>
                <w:webHidden/>
              </w:rPr>
              <w:instrText xml:space="preserve"> PAGEREF _Toc451938303 \h </w:instrText>
            </w:r>
            <w:r w:rsidR="00A8334F">
              <w:rPr>
                <w:webHidden/>
              </w:rPr>
            </w:r>
            <w:r w:rsidR="00A8334F">
              <w:rPr>
                <w:webHidden/>
              </w:rPr>
              <w:fldChar w:fldCharType="separate"/>
            </w:r>
            <w:r w:rsidR="00A02D8C">
              <w:rPr>
                <w:webHidden/>
              </w:rPr>
              <w:t>4-53</w:t>
            </w:r>
            <w:r w:rsidR="00A8334F">
              <w:rPr>
                <w:webHidden/>
              </w:rPr>
              <w:fldChar w:fldCharType="end"/>
            </w:r>
          </w:hyperlink>
        </w:p>
        <w:p w:rsidR="00A8334F" w:rsidRDefault="00F470C7">
          <w:pPr>
            <w:pStyle w:val="TOC2"/>
            <w:rPr>
              <w:rFonts w:asciiTheme="minorHAnsi" w:eastAsiaTheme="minorEastAsia" w:hAnsiTheme="minorHAnsi"/>
              <w:b w:val="0"/>
              <w:color w:val="auto"/>
              <w:sz w:val="22"/>
              <w:lang w:eastAsia="en-AU"/>
            </w:rPr>
          </w:pPr>
          <w:hyperlink w:anchor="_Toc451938304" w:history="1">
            <w:r w:rsidR="00A8334F" w:rsidRPr="008D65B4">
              <w:rPr>
                <w:rStyle w:val="Hyperlink"/>
              </w:rPr>
              <w:t>A.3</w:t>
            </w:r>
            <w:r w:rsidR="00A8334F">
              <w:rPr>
                <w:rFonts w:asciiTheme="minorHAnsi" w:eastAsiaTheme="minorEastAsia" w:hAnsiTheme="minorHAnsi"/>
                <w:b w:val="0"/>
                <w:color w:val="auto"/>
                <w:sz w:val="22"/>
                <w:lang w:eastAsia="en-AU"/>
              </w:rPr>
              <w:tab/>
            </w:r>
            <w:r w:rsidR="00A8334F" w:rsidRPr="008D65B4">
              <w:rPr>
                <w:rStyle w:val="Hyperlink"/>
              </w:rPr>
              <w:t>Previous Australian Competition Tribunal considerations</w:t>
            </w:r>
            <w:r w:rsidR="00A8334F">
              <w:rPr>
                <w:webHidden/>
              </w:rPr>
              <w:tab/>
            </w:r>
            <w:r w:rsidR="00A8334F">
              <w:rPr>
                <w:webHidden/>
              </w:rPr>
              <w:fldChar w:fldCharType="begin"/>
            </w:r>
            <w:r w:rsidR="00A8334F">
              <w:rPr>
                <w:webHidden/>
              </w:rPr>
              <w:instrText xml:space="preserve"> PAGEREF _Toc451938304 \h </w:instrText>
            </w:r>
            <w:r w:rsidR="00A8334F">
              <w:rPr>
                <w:webHidden/>
              </w:rPr>
            </w:r>
            <w:r w:rsidR="00A8334F">
              <w:rPr>
                <w:webHidden/>
              </w:rPr>
              <w:fldChar w:fldCharType="separate"/>
            </w:r>
            <w:r w:rsidR="00A02D8C">
              <w:rPr>
                <w:webHidden/>
              </w:rPr>
              <w:t>4-55</w:t>
            </w:r>
            <w:r w:rsidR="00A8334F">
              <w:rPr>
                <w:webHidden/>
              </w:rPr>
              <w:fldChar w:fldCharType="end"/>
            </w:r>
          </w:hyperlink>
        </w:p>
        <w:p w:rsidR="00A8334F" w:rsidRDefault="00F470C7">
          <w:pPr>
            <w:pStyle w:val="TOC2"/>
            <w:rPr>
              <w:rFonts w:asciiTheme="minorHAnsi" w:eastAsiaTheme="minorEastAsia" w:hAnsiTheme="minorHAnsi"/>
              <w:b w:val="0"/>
              <w:color w:val="auto"/>
              <w:sz w:val="22"/>
              <w:lang w:eastAsia="en-AU"/>
            </w:rPr>
          </w:pPr>
          <w:hyperlink w:anchor="_Toc451938305" w:history="1">
            <w:r w:rsidR="00A8334F" w:rsidRPr="008D65B4">
              <w:rPr>
                <w:rStyle w:val="Hyperlink"/>
              </w:rPr>
              <w:t>A.4</w:t>
            </w:r>
            <w:r w:rsidR="00A8334F">
              <w:rPr>
                <w:rFonts w:asciiTheme="minorHAnsi" w:eastAsiaTheme="minorEastAsia" w:hAnsiTheme="minorHAnsi"/>
                <w:b w:val="0"/>
                <w:color w:val="auto"/>
                <w:sz w:val="22"/>
                <w:lang w:eastAsia="en-AU"/>
              </w:rPr>
              <w:tab/>
            </w:r>
            <w:r w:rsidR="00A8334F" w:rsidRPr="008D65B4">
              <w:rPr>
                <w:rStyle w:val="Hyperlink"/>
              </w:rPr>
              <w:t>Key concerns of the service providers</w:t>
            </w:r>
            <w:r w:rsidR="00A8334F">
              <w:rPr>
                <w:webHidden/>
              </w:rPr>
              <w:tab/>
            </w:r>
            <w:r w:rsidR="00A8334F">
              <w:rPr>
                <w:webHidden/>
              </w:rPr>
              <w:fldChar w:fldCharType="begin"/>
            </w:r>
            <w:r w:rsidR="00A8334F">
              <w:rPr>
                <w:webHidden/>
              </w:rPr>
              <w:instrText xml:space="preserve"> PAGEREF _Toc451938305 \h </w:instrText>
            </w:r>
            <w:r w:rsidR="00A8334F">
              <w:rPr>
                <w:webHidden/>
              </w:rPr>
            </w:r>
            <w:r w:rsidR="00A8334F">
              <w:rPr>
                <w:webHidden/>
              </w:rPr>
              <w:fldChar w:fldCharType="separate"/>
            </w:r>
            <w:r w:rsidR="00A02D8C">
              <w:rPr>
                <w:webHidden/>
              </w:rPr>
              <w:t>4-67</w:t>
            </w:r>
            <w:r w:rsidR="00A8334F">
              <w:rPr>
                <w:webHidden/>
              </w:rPr>
              <w:fldChar w:fldCharType="end"/>
            </w:r>
          </w:hyperlink>
        </w:p>
        <w:p w:rsidR="00A8334F" w:rsidRDefault="00A8334F">
          <w:pPr>
            <w:pStyle w:val="TOC2"/>
            <w:rPr>
              <w:rFonts w:asciiTheme="minorHAnsi" w:eastAsiaTheme="minorEastAsia" w:hAnsiTheme="minorHAnsi"/>
              <w:b w:val="0"/>
              <w:color w:val="auto"/>
              <w:sz w:val="22"/>
              <w:lang w:eastAsia="en-AU"/>
            </w:rPr>
          </w:pPr>
          <w:hyperlink w:anchor="_Toc451938306" w:history="1">
            <w:r w:rsidRPr="008D65B4">
              <w:rPr>
                <w:rStyle w:val="Hyperlink"/>
              </w:rPr>
              <w:t>A.5</w:t>
            </w:r>
            <w:r>
              <w:rPr>
                <w:rFonts w:asciiTheme="minorHAnsi" w:eastAsiaTheme="minorEastAsia" w:hAnsiTheme="minorHAnsi"/>
                <w:b w:val="0"/>
                <w:color w:val="auto"/>
                <w:sz w:val="22"/>
                <w:lang w:eastAsia="en-AU"/>
              </w:rPr>
              <w:tab/>
            </w:r>
            <w:r w:rsidRPr="008D65B4">
              <w:rPr>
                <w:rStyle w:val="Hyperlink"/>
              </w:rPr>
              <w:t>The role of the value of imputation credits in the regulatory framework</w:t>
            </w:r>
            <w:r>
              <w:rPr>
                <w:webHidden/>
              </w:rPr>
              <w:tab/>
            </w:r>
            <w:r w:rsidR="00A02D8C">
              <w:rPr>
                <w:webHidden/>
              </w:rPr>
              <w:tab/>
            </w:r>
            <w:r>
              <w:rPr>
                <w:webHidden/>
              </w:rPr>
              <w:fldChar w:fldCharType="begin"/>
            </w:r>
            <w:r>
              <w:rPr>
                <w:webHidden/>
              </w:rPr>
              <w:instrText xml:space="preserve"> PAGEREF _Toc451938306 \h </w:instrText>
            </w:r>
            <w:r>
              <w:rPr>
                <w:webHidden/>
              </w:rPr>
            </w:r>
            <w:r>
              <w:rPr>
                <w:webHidden/>
              </w:rPr>
              <w:fldChar w:fldCharType="separate"/>
            </w:r>
            <w:r w:rsidR="00A02D8C">
              <w:rPr>
                <w:webHidden/>
              </w:rPr>
              <w:t>4-71</w:t>
            </w:r>
            <w:r>
              <w:rPr>
                <w:webHidden/>
              </w:rPr>
              <w:fldChar w:fldCharType="end"/>
            </w:r>
          </w:hyperlink>
        </w:p>
        <w:p w:rsidR="00A8334F" w:rsidRDefault="00F470C7">
          <w:pPr>
            <w:pStyle w:val="TOC2"/>
            <w:rPr>
              <w:rFonts w:asciiTheme="minorHAnsi" w:eastAsiaTheme="minorEastAsia" w:hAnsiTheme="minorHAnsi"/>
              <w:b w:val="0"/>
              <w:color w:val="auto"/>
              <w:sz w:val="22"/>
              <w:lang w:eastAsia="en-AU"/>
            </w:rPr>
          </w:pPr>
          <w:hyperlink w:anchor="_Toc451938307" w:history="1">
            <w:r w:rsidR="00A8334F" w:rsidRPr="008D65B4">
              <w:rPr>
                <w:rStyle w:val="Hyperlink"/>
              </w:rPr>
              <w:t>A.6</w:t>
            </w:r>
            <w:r w:rsidR="00A8334F">
              <w:rPr>
                <w:rFonts w:asciiTheme="minorHAnsi" w:eastAsiaTheme="minorEastAsia" w:hAnsiTheme="minorHAnsi"/>
                <w:b w:val="0"/>
                <w:color w:val="auto"/>
                <w:sz w:val="22"/>
                <w:lang w:eastAsia="en-AU"/>
              </w:rPr>
              <w:tab/>
            </w:r>
            <w:r w:rsidR="00A8334F" w:rsidRPr="008D65B4">
              <w:rPr>
                <w:rStyle w:val="Hyperlink"/>
              </w:rPr>
              <w:t>The conceptual framework for the value of imputation credits</w:t>
            </w:r>
            <w:r w:rsidR="00A8334F">
              <w:rPr>
                <w:webHidden/>
              </w:rPr>
              <w:tab/>
            </w:r>
            <w:r w:rsidR="00A8334F">
              <w:rPr>
                <w:webHidden/>
              </w:rPr>
              <w:fldChar w:fldCharType="begin"/>
            </w:r>
            <w:r w:rsidR="00A8334F">
              <w:rPr>
                <w:webHidden/>
              </w:rPr>
              <w:instrText xml:space="preserve"> PAGEREF _Toc451938307 \h </w:instrText>
            </w:r>
            <w:r w:rsidR="00A8334F">
              <w:rPr>
                <w:webHidden/>
              </w:rPr>
            </w:r>
            <w:r w:rsidR="00A8334F">
              <w:rPr>
                <w:webHidden/>
              </w:rPr>
              <w:fldChar w:fldCharType="separate"/>
            </w:r>
            <w:r w:rsidR="00A02D8C">
              <w:rPr>
                <w:webHidden/>
              </w:rPr>
              <w:t>4-74</w:t>
            </w:r>
            <w:r w:rsidR="00A8334F">
              <w:rPr>
                <w:webHidden/>
              </w:rPr>
              <w:fldChar w:fldCharType="end"/>
            </w:r>
          </w:hyperlink>
        </w:p>
        <w:p w:rsidR="00A8334F" w:rsidRDefault="00F470C7">
          <w:pPr>
            <w:pStyle w:val="TOC2"/>
            <w:rPr>
              <w:rFonts w:asciiTheme="minorHAnsi" w:eastAsiaTheme="minorEastAsia" w:hAnsiTheme="minorHAnsi"/>
              <w:b w:val="0"/>
              <w:color w:val="auto"/>
              <w:sz w:val="22"/>
              <w:lang w:eastAsia="en-AU"/>
            </w:rPr>
          </w:pPr>
          <w:hyperlink w:anchor="_Toc451938308" w:history="1">
            <w:r w:rsidR="00A8334F" w:rsidRPr="008D65B4">
              <w:rPr>
                <w:rStyle w:val="Hyperlink"/>
              </w:rPr>
              <w:t>A.7</w:t>
            </w:r>
            <w:r w:rsidR="00A8334F">
              <w:rPr>
                <w:rFonts w:asciiTheme="minorHAnsi" w:eastAsiaTheme="minorEastAsia" w:hAnsiTheme="minorHAnsi"/>
                <w:b w:val="0"/>
                <w:color w:val="auto"/>
                <w:sz w:val="22"/>
                <w:lang w:eastAsia="en-AU"/>
              </w:rPr>
              <w:tab/>
            </w:r>
            <w:r w:rsidR="00A8334F" w:rsidRPr="008D65B4">
              <w:rPr>
                <w:rStyle w:val="Hyperlink"/>
              </w:rPr>
              <w:t>Gray's comments on the conceptual framework.</w:t>
            </w:r>
            <w:r w:rsidR="00A8334F">
              <w:rPr>
                <w:webHidden/>
              </w:rPr>
              <w:tab/>
            </w:r>
            <w:r w:rsidR="00A8334F">
              <w:rPr>
                <w:webHidden/>
              </w:rPr>
              <w:fldChar w:fldCharType="begin"/>
            </w:r>
            <w:r w:rsidR="00A8334F">
              <w:rPr>
                <w:webHidden/>
              </w:rPr>
              <w:instrText xml:space="preserve"> PAGEREF _Toc451938308 \h </w:instrText>
            </w:r>
            <w:r w:rsidR="00A8334F">
              <w:rPr>
                <w:webHidden/>
              </w:rPr>
            </w:r>
            <w:r w:rsidR="00A8334F">
              <w:rPr>
                <w:webHidden/>
              </w:rPr>
              <w:fldChar w:fldCharType="separate"/>
            </w:r>
            <w:r w:rsidR="00A02D8C">
              <w:rPr>
                <w:webHidden/>
              </w:rPr>
              <w:t>4-81</w:t>
            </w:r>
            <w:r w:rsidR="00A8334F">
              <w:rPr>
                <w:webHidden/>
              </w:rPr>
              <w:fldChar w:fldCharType="end"/>
            </w:r>
          </w:hyperlink>
        </w:p>
        <w:p w:rsidR="00A8334F" w:rsidRDefault="00F470C7">
          <w:pPr>
            <w:pStyle w:val="TOC2"/>
            <w:rPr>
              <w:rFonts w:asciiTheme="minorHAnsi" w:eastAsiaTheme="minorEastAsia" w:hAnsiTheme="minorHAnsi"/>
              <w:b w:val="0"/>
              <w:color w:val="auto"/>
              <w:sz w:val="22"/>
              <w:lang w:eastAsia="en-AU"/>
            </w:rPr>
          </w:pPr>
          <w:hyperlink w:anchor="_Toc451938309" w:history="1">
            <w:r w:rsidR="00A8334F" w:rsidRPr="008D65B4">
              <w:rPr>
                <w:rStyle w:val="Hyperlink"/>
              </w:rPr>
              <w:t>A.8</w:t>
            </w:r>
            <w:r w:rsidR="00A8334F">
              <w:rPr>
                <w:rFonts w:asciiTheme="minorHAnsi" w:eastAsiaTheme="minorEastAsia" w:hAnsiTheme="minorHAnsi"/>
                <w:b w:val="0"/>
                <w:color w:val="auto"/>
                <w:sz w:val="22"/>
                <w:lang w:eastAsia="en-AU"/>
              </w:rPr>
              <w:tab/>
            </w:r>
            <w:r w:rsidR="00A8334F" w:rsidRPr="008D65B4">
              <w:rPr>
                <w:rStyle w:val="Hyperlink"/>
              </w:rPr>
              <w:t>Further issues relating to the utilisation rate</w:t>
            </w:r>
            <w:r w:rsidR="00A8334F">
              <w:rPr>
                <w:webHidden/>
              </w:rPr>
              <w:tab/>
            </w:r>
            <w:r w:rsidR="00A8334F">
              <w:rPr>
                <w:webHidden/>
              </w:rPr>
              <w:fldChar w:fldCharType="begin"/>
            </w:r>
            <w:r w:rsidR="00A8334F">
              <w:rPr>
                <w:webHidden/>
              </w:rPr>
              <w:instrText xml:space="preserve"> PAGEREF _Toc451938309 \h </w:instrText>
            </w:r>
            <w:r w:rsidR="00A8334F">
              <w:rPr>
                <w:webHidden/>
              </w:rPr>
            </w:r>
            <w:r w:rsidR="00A8334F">
              <w:rPr>
                <w:webHidden/>
              </w:rPr>
              <w:fldChar w:fldCharType="separate"/>
            </w:r>
            <w:r w:rsidR="00A02D8C">
              <w:rPr>
                <w:webHidden/>
              </w:rPr>
              <w:t>4-92</w:t>
            </w:r>
            <w:r w:rsidR="00A8334F">
              <w:rPr>
                <w:webHidden/>
              </w:rPr>
              <w:fldChar w:fldCharType="end"/>
            </w:r>
          </w:hyperlink>
        </w:p>
        <w:p w:rsidR="00A8334F" w:rsidRDefault="00F470C7">
          <w:pPr>
            <w:pStyle w:val="TOC2"/>
            <w:rPr>
              <w:rFonts w:asciiTheme="minorHAnsi" w:eastAsiaTheme="minorEastAsia" w:hAnsiTheme="minorHAnsi"/>
              <w:b w:val="0"/>
              <w:color w:val="auto"/>
              <w:sz w:val="22"/>
              <w:lang w:eastAsia="en-AU"/>
            </w:rPr>
          </w:pPr>
          <w:hyperlink w:anchor="_Toc451938310" w:history="1">
            <w:r w:rsidR="00A8334F" w:rsidRPr="008D65B4">
              <w:rPr>
                <w:rStyle w:val="Hyperlink"/>
              </w:rPr>
              <w:t>A.9</w:t>
            </w:r>
            <w:r w:rsidR="00A8334F">
              <w:rPr>
                <w:rFonts w:asciiTheme="minorHAnsi" w:eastAsiaTheme="minorEastAsia" w:hAnsiTheme="minorHAnsi"/>
                <w:b w:val="0"/>
                <w:color w:val="auto"/>
                <w:sz w:val="22"/>
                <w:lang w:eastAsia="en-AU"/>
              </w:rPr>
              <w:tab/>
            </w:r>
            <w:r w:rsidR="00A8334F" w:rsidRPr="008D65B4">
              <w:rPr>
                <w:rStyle w:val="Hyperlink"/>
              </w:rPr>
              <w:t>Estimation approach considerations</w:t>
            </w:r>
            <w:r w:rsidR="00A8334F">
              <w:rPr>
                <w:webHidden/>
              </w:rPr>
              <w:tab/>
            </w:r>
            <w:r w:rsidR="00A8334F">
              <w:rPr>
                <w:webHidden/>
              </w:rPr>
              <w:fldChar w:fldCharType="begin"/>
            </w:r>
            <w:r w:rsidR="00A8334F">
              <w:rPr>
                <w:webHidden/>
              </w:rPr>
              <w:instrText xml:space="preserve"> PAGEREF _Toc451938310 \h </w:instrText>
            </w:r>
            <w:r w:rsidR="00A8334F">
              <w:rPr>
                <w:webHidden/>
              </w:rPr>
            </w:r>
            <w:r w:rsidR="00A8334F">
              <w:rPr>
                <w:webHidden/>
              </w:rPr>
              <w:fldChar w:fldCharType="separate"/>
            </w:r>
            <w:r w:rsidR="00A02D8C">
              <w:rPr>
                <w:webHidden/>
              </w:rPr>
              <w:t>4-115</w:t>
            </w:r>
            <w:r w:rsidR="00A8334F">
              <w:rPr>
                <w:webHidden/>
              </w:rPr>
              <w:fldChar w:fldCharType="end"/>
            </w:r>
          </w:hyperlink>
        </w:p>
        <w:p w:rsidR="00A8334F" w:rsidRDefault="00F470C7">
          <w:pPr>
            <w:pStyle w:val="TOC2"/>
            <w:tabs>
              <w:tab w:val="left" w:pos="1276"/>
            </w:tabs>
            <w:rPr>
              <w:rFonts w:asciiTheme="minorHAnsi" w:eastAsiaTheme="minorEastAsia" w:hAnsiTheme="minorHAnsi"/>
              <w:b w:val="0"/>
              <w:color w:val="auto"/>
              <w:sz w:val="22"/>
              <w:lang w:eastAsia="en-AU"/>
            </w:rPr>
          </w:pPr>
          <w:hyperlink w:anchor="_Toc451938311" w:history="1">
            <w:r w:rsidR="00A8334F" w:rsidRPr="008D65B4">
              <w:rPr>
                <w:rStyle w:val="Hyperlink"/>
              </w:rPr>
              <w:t>A.10</w:t>
            </w:r>
            <w:r w:rsidR="00A8334F">
              <w:rPr>
                <w:rFonts w:asciiTheme="minorHAnsi" w:eastAsiaTheme="minorEastAsia" w:hAnsiTheme="minorHAnsi"/>
                <w:b w:val="0"/>
                <w:color w:val="auto"/>
                <w:sz w:val="22"/>
                <w:lang w:eastAsia="en-AU"/>
              </w:rPr>
              <w:tab/>
            </w:r>
            <w:r w:rsidR="00A8334F" w:rsidRPr="008D65B4">
              <w:rPr>
                <w:rStyle w:val="Hyperlink"/>
              </w:rPr>
              <w:t>Estimating the distribution rate</w:t>
            </w:r>
            <w:r w:rsidR="00A8334F">
              <w:rPr>
                <w:webHidden/>
              </w:rPr>
              <w:tab/>
            </w:r>
            <w:r w:rsidR="00A8334F">
              <w:rPr>
                <w:webHidden/>
              </w:rPr>
              <w:fldChar w:fldCharType="begin"/>
            </w:r>
            <w:r w:rsidR="00A8334F">
              <w:rPr>
                <w:webHidden/>
              </w:rPr>
              <w:instrText xml:space="preserve"> PAGEREF _Toc451938311 \h </w:instrText>
            </w:r>
            <w:r w:rsidR="00A8334F">
              <w:rPr>
                <w:webHidden/>
              </w:rPr>
            </w:r>
            <w:r w:rsidR="00A8334F">
              <w:rPr>
                <w:webHidden/>
              </w:rPr>
              <w:fldChar w:fldCharType="separate"/>
            </w:r>
            <w:r w:rsidR="00A02D8C">
              <w:rPr>
                <w:webHidden/>
              </w:rPr>
              <w:t>4-119</w:t>
            </w:r>
            <w:r w:rsidR="00A8334F">
              <w:rPr>
                <w:webHidden/>
              </w:rPr>
              <w:fldChar w:fldCharType="end"/>
            </w:r>
          </w:hyperlink>
        </w:p>
        <w:p w:rsidR="00A8334F" w:rsidRDefault="00A8334F">
          <w:pPr>
            <w:pStyle w:val="TOC2"/>
            <w:tabs>
              <w:tab w:val="left" w:pos="1276"/>
            </w:tabs>
            <w:rPr>
              <w:rFonts w:asciiTheme="minorHAnsi" w:eastAsiaTheme="minorEastAsia" w:hAnsiTheme="minorHAnsi"/>
              <w:b w:val="0"/>
              <w:color w:val="auto"/>
              <w:sz w:val="22"/>
              <w:lang w:eastAsia="en-AU"/>
            </w:rPr>
          </w:pPr>
          <w:hyperlink w:anchor="_Toc451938312" w:history="1">
            <w:r w:rsidRPr="008D65B4">
              <w:rPr>
                <w:rStyle w:val="Hyperlink"/>
              </w:rPr>
              <w:t>A.11</w:t>
            </w:r>
            <w:r>
              <w:rPr>
                <w:rFonts w:asciiTheme="minorHAnsi" w:eastAsiaTheme="minorEastAsia" w:hAnsiTheme="minorHAnsi"/>
                <w:b w:val="0"/>
                <w:color w:val="auto"/>
                <w:sz w:val="22"/>
                <w:lang w:eastAsia="en-AU"/>
              </w:rPr>
              <w:tab/>
            </w:r>
            <w:r w:rsidRPr="008D65B4">
              <w:rPr>
                <w:rStyle w:val="Hyperlink"/>
              </w:rPr>
              <w:t>Application of rate of return criteria to evidence on the utilisation rate</w:t>
            </w:r>
            <w:r>
              <w:rPr>
                <w:webHidden/>
              </w:rPr>
              <w:tab/>
            </w:r>
            <w:r w:rsidR="00A02D8C">
              <w:rPr>
                <w:webHidden/>
              </w:rPr>
              <w:tab/>
            </w:r>
            <w:r w:rsidR="00A02D8C">
              <w:rPr>
                <w:webHidden/>
              </w:rPr>
              <w:tab/>
            </w:r>
            <w:r>
              <w:rPr>
                <w:webHidden/>
              </w:rPr>
              <w:fldChar w:fldCharType="begin"/>
            </w:r>
            <w:r>
              <w:rPr>
                <w:webHidden/>
              </w:rPr>
              <w:instrText xml:space="preserve"> PAGEREF _Toc451938312 \h </w:instrText>
            </w:r>
            <w:r>
              <w:rPr>
                <w:webHidden/>
              </w:rPr>
            </w:r>
            <w:r>
              <w:rPr>
                <w:webHidden/>
              </w:rPr>
              <w:fldChar w:fldCharType="separate"/>
            </w:r>
            <w:r w:rsidR="00A02D8C">
              <w:rPr>
                <w:webHidden/>
              </w:rPr>
              <w:t>4-129</w:t>
            </w:r>
            <w:r>
              <w:rPr>
                <w:webHidden/>
              </w:rPr>
              <w:fldChar w:fldCharType="end"/>
            </w:r>
          </w:hyperlink>
        </w:p>
        <w:p w:rsidR="00A8334F" w:rsidRDefault="00F470C7">
          <w:pPr>
            <w:pStyle w:val="TOC2"/>
            <w:tabs>
              <w:tab w:val="left" w:pos="1276"/>
            </w:tabs>
            <w:rPr>
              <w:rFonts w:asciiTheme="minorHAnsi" w:eastAsiaTheme="minorEastAsia" w:hAnsiTheme="minorHAnsi"/>
              <w:b w:val="0"/>
              <w:color w:val="auto"/>
              <w:sz w:val="22"/>
              <w:lang w:eastAsia="en-AU"/>
            </w:rPr>
          </w:pPr>
          <w:hyperlink w:anchor="_Toc451938313" w:history="1">
            <w:r w:rsidR="00A8334F" w:rsidRPr="008D65B4">
              <w:rPr>
                <w:rStyle w:val="Hyperlink"/>
              </w:rPr>
              <w:t>A.12</w:t>
            </w:r>
            <w:r w:rsidR="00A8334F">
              <w:rPr>
                <w:rFonts w:asciiTheme="minorHAnsi" w:eastAsiaTheme="minorEastAsia" w:hAnsiTheme="minorHAnsi"/>
                <w:b w:val="0"/>
                <w:color w:val="auto"/>
                <w:sz w:val="22"/>
                <w:lang w:eastAsia="en-AU"/>
              </w:rPr>
              <w:tab/>
            </w:r>
            <w:r w:rsidR="00A8334F" w:rsidRPr="008D65B4">
              <w:rPr>
                <w:rStyle w:val="Hyperlink"/>
              </w:rPr>
              <w:t>The equity ownership approach</w:t>
            </w:r>
            <w:r w:rsidR="00A8334F">
              <w:rPr>
                <w:webHidden/>
              </w:rPr>
              <w:tab/>
            </w:r>
            <w:r w:rsidR="00A8334F">
              <w:rPr>
                <w:webHidden/>
              </w:rPr>
              <w:fldChar w:fldCharType="begin"/>
            </w:r>
            <w:r w:rsidR="00A8334F">
              <w:rPr>
                <w:webHidden/>
              </w:rPr>
              <w:instrText xml:space="preserve"> PAGEREF _Toc451938313 \h </w:instrText>
            </w:r>
            <w:r w:rsidR="00A8334F">
              <w:rPr>
                <w:webHidden/>
              </w:rPr>
            </w:r>
            <w:r w:rsidR="00A8334F">
              <w:rPr>
                <w:webHidden/>
              </w:rPr>
              <w:fldChar w:fldCharType="separate"/>
            </w:r>
            <w:r w:rsidR="00A02D8C">
              <w:rPr>
                <w:webHidden/>
              </w:rPr>
              <w:t>4-131</w:t>
            </w:r>
            <w:r w:rsidR="00A8334F">
              <w:rPr>
                <w:webHidden/>
              </w:rPr>
              <w:fldChar w:fldCharType="end"/>
            </w:r>
          </w:hyperlink>
        </w:p>
        <w:p w:rsidR="00A8334F" w:rsidRDefault="00F470C7">
          <w:pPr>
            <w:pStyle w:val="TOC2"/>
            <w:tabs>
              <w:tab w:val="left" w:pos="1276"/>
            </w:tabs>
            <w:rPr>
              <w:rFonts w:asciiTheme="minorHAnsi" w:eastAsiaTheme="minorEastAsia" w:hAnsiTheme="minorHAnsi"/>
              <w:b w:val="0"/>
              <w:color w:val="auto"/>
              <w:sz w:val="22"/>
              <w:lang w:eastAsia="en-AU"/>
            </w:rPr>
          </w:pPr>
          <w:hyperlink w:anchor="_Toc451938314" w:history="1">
            <w:r w:rsidR="00A8334F" w:rsidRPr="008D65B4">
              <w:rPr>
                <w:rStyle w:val="Hyperlink"/>
              </w:rPr>
              <w:t>A.13</w:t>
            </w:r>
            <w:r w:rsidR="00A8334F">
              <w:rPr>
                <w:rFonts w:asciiTheme="minorHAnsi" w:eastAsiaTheme="minorEastAsia" w:hAnsiTheme="minorHAnsi"/>
                <w:b w:val="0"/>
                <w:color w:val="auto"/>
                <w:sz w:val="22"/>
                <w:lang w:eastAsia="en-AU"/>
              </w:rPr>
              <w:tab/>
            </w:r>
            <w:r w:rsidR="00A8334F" w:rsidRPr="008D65B4">
              <w:rPr>
                <w:rStyle w:val="Hyperlink"/>
              </w:rPr>
              <w:t>Tax statistics</w:t>
            </w:r>
            <w:r w:rsidR="00A8334F">
              <w:rPr>
                <w:webHidden/>
              </w:rPr>
              <w:tab/>
            </w:r>
            <w:r w:rsidR="00A8334F">
              <w:rPr>
                <w:webHidden/>
              </w:rPr>
              <w:fldChar w:fldCharType="begin"/>
            </w:r>
            <w:r w:rsidR="00A8334F">
              <w:rPr>
                <w:webHidden/>
              </w:rPr>
              <w:instrText xml:space="preserve"> PAGEREF _Toc451938314 \h </w:instrText>
            </w:r>
            <w:r w:rsidR="00A8334F">
              <w:rPr>
                <w:webHidden/>
              </w:rPr>
            </w:r>
            <w:r w:rsidR="00A8334F">
              <w:rPr>
                <w:webHidden/>
              </w:rPr>
              <w:fldChar w:fldCharType="separate"/>
            </w:r>
            <w:r w:rsidR="00A02D8C">
              <w:rPr>
                <w:webHidden/>
              </w:rPr>
              <w:t>4-137</w:t>
            </w:r>
            <w:r w:rsidR="00A8334F">
              <w:rPr>
                <w:webHidden/>
              </w:rPr>
              <w:fldChar w:fldCharType="end"/>
            </w:r>
          </w:hyperlink>
        </w:p>
        <w:p w:rsidR="00A8334F" w:rsidRDefault="00A8334F">
          <w:pPr>
            <w:pStyle w:val="TOC2"/>
            <w:tabs>
              <w:tab w:val="left" w:pos="1276"/>
            </w:tabs>
            <w:rPr>
              <w:rFonts w:asciiTheme="minorHAnsi" w:eastAsiaTheme="minorEastAsia" w:hAnsiTheme="minorHAnsi"/>
              <w:b w:val="0"/>
              <w:color w:val="auto"/>
              <w:sz w:val="22"/>
              <w:lang w:eastAsia="en-AU"/>
            </w:rPr>
          </w:pPr>
          <w:hyperlink w:anchor="_Toc451938315" w:history="1">
            <w:r w:rsidRPr="008D65B4">
              <w:rPr>
                <w:rStyle w:val="Hyperlink"/>
              </w:rPr>
              <w:t>A.14</w:t>
            </w:r>
            <w:r>
              <w:rPr>
                <w:rFonts w:asciiTheme="minorHAnsi" w:eastAsiaTheme="minorEastAsia" w:hAnsiTheme="minorHAnsi"/>
                <w:b w:val="0"/>
                <w:color w:val="auto"/>
                <w:sz w:val="22"/>
                <w:lang w:eastAsia="en-AU"/>
              </w:rPr>
              <w:tab/>
            </w:r>
            <w:r w:rsidRPr="008D65B4">
              <w:rPr>
                <w:rStyle w:val="Hyperlink"/>
              </w:rPr>
              <w:t>Difference between equity ownership approach and tax statistics</w:t>
            </w:r>
            <w:r>
              <w:rPr>
                <w:webHidden/>
              </w:rPr>
              <w:tab/>
            </w:r>
            <w:r w:rsidR="00A02D8C">
              <w:rPr>
                <w:webHidden/>
              </w:rPr>
              <w:tab/>
            </w:r>
            <w:r w:rsidR="00A02D8C">
              <w:rPr>
                <w:webHidden/>
              </w:rPr>
              <w:tab/>
            </w:r>
            <w:r w:rsidR="00A02D8C">
              <w:rPr>
                <w:webHidden/>
              </w:rPr>
              <w:tab/>
            </w:r>
            <w:r>
              <w:rPr>
                <w:webHidden/>
              </w:rPr>
              <w:fldChar w:fldCharType="begin"/>
            </w:r>
            <w:r>
              <w:rPr>
                <w:webHidden/>
              </w:rPr>
              <w:instrText xml:space="preserve"> PAGEREF _Toc451938315 \h </w:instrText>
            </w:r>
            <w:r>
              <w:rPr>
                <w:webHidden/>
              </w:rPr>
            </w:r>
            <w:r>
              <w:rPr>
                <w:webHidden/>
              </w:rPr>
              <w:fldChar w:fldCharType="separate"/>
            </w:r>
            <w:r w:rsidR="00A02D8C">
              <w:rPr>
                <w:webHidden/>
              </w:rPr>
              <w:t>4-140</w:t>
            </w:r>
            <w:r>
              <w:rPr>
                <w:webHidden/>
              </w:rPr>
              <w:fldChar w:fldCharType="end"/>
            </w:r>
          </w:hyperlink>
        </w:p>
        <w:p w:rsidR="00A8334F" w:rsidRDefault="00F470C7">
          <w:pPr>
            <w:pStyle w:val="TOC2"/>
            <w:tabs>
              <w:tab w:val="left" w:pos="1276"/>
            </w:tabs>
            <w:rPr>
              <w:rFonts w:asciiTheme="minorHAnsi" w:eastAsiaTheme="minorEastAsia" w:hAnsiTheme="minorHAnsi"/>
              <w:b w:val="0"/>
              <w:color w:val="auto"/>
              <w:sz w:val="22"/>
              <w:lang w:eastAsia="en-AU"/>
            </w:rPr>
          </w:pPr>
          <w:hyperlink w:anchor="_Toc451938316" w:history="1">
            <w:r w:rsidR="00A8334F" w:rsidRPr="008D65B4">
              <w:rPr>
                <w:rStyle w:val="Hyperlink"/>
              </w:rPr>
              <w:t>A.15</w:t>
            </w:r>
            <w:r w:rsidR="00A8334F">
              <w:rPr>
                <w:rFonts w:asciiTheme="minorHAnsi" w:eastAsiaTheme="minorEastAsia" w:hAnsiTheme="minorHAnsi"/>
                <w:b w:val="0"/>
                <w:color w:val="auto"/>
                <w:sz w:val="22"/>
                <w:lang w:eastAsia="en-AU"/>
              </w:rPr>
              <w:tab/>
            </w:r>
            <w:r w:rsidR="00A8334F" w:rsidRPr="008D65B4">
              <w:rPr>
                <w:rStyle w:val="Hyperlink"/>
              </w:rPr>
              <w:t>Implied market value studies</w:t>
            </w:r>
            <w:r w:rsidR="00A8334F">
              <w:rPr>
                <w:webHidden/>
              </w:rPr>
              <w:tab/>
            </w:r>
            <w:r w:rsidR="00A8334F">
              <w:rPr>
                <w:webHidden/>
              </w:rPr>
              <w:fldChar w:fldCharType="begin"/>
            </w:r>
            <w:r w:rsidR="00A8334F">
              <w:rPr>
                <w:webHidden/>
              </w:rPr>
              <w:instrText xml:space="preserve"> PAGEREF _Toc451938316 \h </w:instrText>
            </w:r>
            <w:r w:rsidR="00A8334F">
              <w:rPr>
                <w:webHidden/>
              </w:rPr>
            </w:r>
            <w:r w:rsidR="00A8334F">
              <w:rPr>
                <w:webHidden/>
              </w:rPr>
              <w:fldChar w:fldCharType="separate"/>
            </w:r>
            <w:r w:rsidR="00A02D8C">
              <w:rPr>
                <w:webHidden/>
              </w:rPr>
              <w:t>4-141</w:t>
            </w:r>
            <w:r w:rsidR="00A8334F">
              <w:rPr>
                <w:webHidden/>
              </w:rPr>
              <w:fldChar w:fldCharType="end"/>
            </w:r>
          </w:hyperlink>
        </w:p>
        <w:p w:rsidR="00A8334F" w:rsidRDefault="00F470C7">
          <w:pPr>
            <w:pStyle w:val="TOC2"/>
            <w:tabs>
              <w:tab w:val="left" w:pos="1276"/>
            </w:tabs>
            <w:rPr>
              <w:rFonts w:asciiTheme="minorHAnsi" w:eastAsiaTheme="minorEastAsia" w:hAnsiTheme="minorHAnsi"/>
              <w:b w:val="0"/>
              <w:color w:val="auto"/>
              <w:sz w:val="22"/>
              <w:lang w:eastAsia="en-AU"/>
            </w:rPr>
          </w:pPr>
          <w:hyperlink w:anchor="_Toc451938317" w:history="1">
            <w:r w:rsidR="00A8334F" w:rsidRPr="008D65B4">
              <w:rPr>
                <w:rStyle w:val="Hyperlink"/>
              </w:rPr>
              <w:t>A.16</w:t>
            </w:r>
            <w:r w:rsidR="00A8334F">
              <w:rPr>
                <w:rFonts w:asciiTheme="minorHAnsi" w:eastAsiaTheme="minorEastAsia" w:hAnsiTheme="minorHAnsi"/>
                <w:b w:val="0"/>
                <w:color w:val="auto"/>
                <w:sz w:val="22"/>
                <w:lang w:eastAsia="en-AU"/>
              </w:rPr>
              <w:tab/>
            </w:r>
            <w:r w:rsidR="00A8334F" w:rsidRPr="008D65B4">
              <w:rPr>
                <w:rStyle w:val="Hyperlink"/>
              </w:rPr>
              <w:t>Revised consideration of the conceptual goalposts approach</w:t>
            </w:r>
            <w:r w:rsidR="00A8334F">
              <w:rPr>
                <w:webHidden/>
              </w:rPr>
              <w:tab/>
            </w:r>
            <w:r w:rsidR="00A8334F">
              <w:rPr>
                <w:webHidden/>
              </w:rPr>
              <w:fldChar w:fldCharType="begin"/>
            </w:r>
            <w:r w:rsidR="00A8334F">
              <w:rPr>
                <w:webHidden/>
              </w:rPr>
              <w:instrText xml:space="preserve"> PAGEREF _Toc451938317 \h </w:instrText>
            </w:r>
            <w:r w:rsidR="00A8334F">
              <w:rPr>
                <w:webHidden/>
              </w:rPr>
            </w:r>
            <w:r w:rsidR="00A8334F">
              <w:rPr>
                <w:webHidden/>
              </w:rPr>
              <w:fldChar w:fldCharType="separate"/>
            </w:r>
            <w:r w:rsidR="00A02D8C">
              <w:rPr>
                <w:webHidden/>
              </w:rPr>
              <w:t>4-171</w:t>
            </w:r>
            <w:r w:rsidR="00A8334F">
              <w:rPr>
                <w:webHidden/>
              </w:rPr>
              <w:fldChar w:fldCharType="end"/>
            </w:r>
          </w:hyperlink>
        </w:p>
        <w:p w:rsidR="00CE2A23" w:rsidRDefault="00A8334F" w:rsidP="00A8334F">
          <w:pPr>
            <w:pStyle w:val="TOC1"/>
          </w:pPr>
          <w:r>
            <w:fldChar w:fldCharType="end"/>
          </w:r>
        </w:p>
      </w:sdtContent>
    </w:sdt>
    <w:p w:rsidR="00CE2A23" w:rsidRPr="00CE2A23" w:rsidRDefault="00CE2A23" w:rsidP="00CE2A23">
      <w:r>
        <w:t xml:space="preserve"> </w:t>
      </w:r>
    </w:p>
    <w:p w:rsidR="00CE2A23" w:rsidRPr="00271F7C" w:rsidRDefault="00CE2A23" w:rsidP="00CE2A23">
      <w:pPr>
        <w:pStyle w:val="UnnumberedHeading"/>
        <w:numPr>
          <w:ilvl w:val="0"/>
          <w:numId w:val="23"/>
        </w:numPr>
      </w:pPr>
      <w:bookmarkStart w:id="11" w:name="_Toc404700925"/>
      <w:bookmarkStart w:id="12" w:name="_Toc451938287"/>
      <w:r>
        <w:lastRenderedPageBreak/>
        <w:t>Shortened forms</w:t>
      </w:r>
      <w:bookmarkEnd w:id="11"/>
      <w:bookmarkEnd w:id="12"/>
    </w:p>
    <w:tbl>
      <w:tblPr>
        <w:tblStyle w:val="AERtable-text0"/>
        <w:tblW w:w="0" w:type="auto"/>
        <w:tblLook w:val="04A0" w:firstRow="1" w:lastRow="0" w:firstColumn="1" w:lastColumn="0" w:noHBand="0" w:noVBand="1"/>
      </w:tblPr>
      <w:tblGrid>
        <w:gridCol w:w="4340"/>
        <w:gridCol w:w="4353"/>
      </w:tblGrid>
      <w:tr w:rsidR="0053603C" w:rsidRPr="0087648F" w:rsidTr="000474DF">
        <w:trPr>
          <w:cnfStyle w:val="100000000000" w:firstRow="1" w:lastRow="0" w:firstColumn="0" w:lastColumn="0" w:oddVBand="0" w:evenVBand="0" w:oddHBand="0" w:evenHBand="0" w:firstRowFirstColumn="0" w:firstRowLastColumn="0" w:lastRowFirstColumn="0" w:lastRowLastColumn="0"/>
          <w:tblHeader/>
        </w:trPr>
        <w:tc>
          <w:tcPr>
            <w:tcW w:w="4340" w:type="dxa"/>
          </w:tcPr>
          <w:p w:rsidR="0053603C" w:rsidRPr="0087648F" w:rsidRDefault="0087648F" w:rsidP="0087648F">
            <w:r>
              <w:t>Shortened form</w:t>
            </w:r>
          </w:p>
        </w:tc>
        <w:tc>
          <w:tcPr>
            <w:tcW w:w="4353" w:type="dxa"/>
          </w:tcPr>
          <w:p w:rsidR="0053603C" w:rsidRPr="0087648F" w:rsidRDefault="0087648F" w:rsidP="0087648F">
            <w:r>
              <w:t>Extended form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AEMC</w:t>
            </w:r>
          </w:p>
        </w:tc>
        <w:tc>
          <w:tcPr>
            <w:tcW w:w="4353" w:type="dxa"/>
          </w:tcPr>
          <w:p w:rsidR="004523B2" w:rsidRPr="004523B2" w:rsidRDefault="004523B2" w:rsidP="004523B2">
            <w:pPr>
              <w:pStyle w:val="AERtabletextleft"/>
              <w:rPr>
                <w:rStyle w:val="AERtextsize8"/>
              </w:rPr>
            </w:pPr>
            <w:r w:rsidRPr="00712239">
              <w:rPr>
                <w:rStyle w:val="AERtextsize8"/>
              </w:rPr>
              <w:t>Australian Energy Market Commission</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AEMO</w:t>
            </w:r>
          </w:p>
        </w:tc>
        <w:tc>
          <w:tcPr>
            <w:tcW w:w="4353" w:type="dxa"/>
          </w:tcPr>
          <w:p w:rsidR="004523B2" w:rsidRPr="004523B2" w:rsidRDefault="004523B2" w:rsidP="004523B2">
            <w:pPr>
              <w:pStyle w:val="AERtabletextleft"/>
              <w:rPr>
                <w:rStyle w:val="AERtextsize8"/>
              </w:rPr>
            </w:pPr>
            <w:r w:rsidRPr="00712239">
              <w:rPr>
                <w:rStyle w:val="AERtextsize8"/>
              </w:rPr>
              <w:t>Australian Energy Market Operator</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AER</w:t>
            </w:r>
          </w:p>
        </w:tc>
        <w:tc>
          <w:tcPr>
            <w:tcW w:w="4353" w:type="dxa"/>
          </w:tcPr>
          <w:p w:rsidR="004523B2" w:rsidRPr="004523B2" w:rsidRDefault="004523B2" w:rsidP="004523B2">
            <w:pPr>
              <w:pStyle w:val="AERtabletextleft"/>
              <w:rPr>
                <w:rStyle w:val="AERtextsize8"/>
              </w:rPr>
            </w:pPr>
            <w:r w:rsidRPr="00712239">
              <w:rPr>
                <w:rStyle w:val="AERtextsize8"/>
              </w:rPr>
              <w:t xml:space="preserve">Australian Energy </w:t>
            </w:r>
            <w:r w:rsidRPr="004523B2">
              <w:rPr>
                <w:rStyle w:val="AERtextsize8"/>
              </w:rPr>
              <w:t>Regulator</w:t>
            </w:r>
          </w:p>
        </w:tc>
      </w:tr>
      <w:tr w:rsidR="000F0F0A"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0F0F0A" w:rsidRPr="00712239" w:rsidRDefault="000F0F0A" w:rsidP="004523B2">
            <w:pPr>
              <w:pStyle w:val="AERtabletextleft"/>
              <w:rPr>
                <w:rStyle w:val="AERtextsize8"/>
              </w:rPr>
            </w:pPr>
            <w:r>
              <w:rPr>
                <w:rStyle w:val="AERtextsize8"/>
              </w:rPr>
              <w:t>AMI</w:t>
            </w:r>
          </w:p>
        </w:tc>
        <w:tc>
          <w:tcPr>
            <w:tcW w:w="4353" w:type="dxa"/>
          </w:tcPr>
          <w:p w:rsidR="000F0F0A" w:rsidRPr="00712239" w:rsidRDefault="000F0F0A" w:rsidP="004523B2">
            <w:pPr>
              <w:pStyle w:val="AERtabletextleft"/>
              <w:rPr>
                <w:rStyle w:val="AERtextsize8"/>
              </w:rPr>
            </w:pPr>
            <w:r>
              <w:rPr>
                <w:rStyle w:val="AERtextsize8"/>
              </w:rPr>
              <w:t>Advanced metering infrastructure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augex</w:t>
            </w:r>
          </w:p>
        </w:tc>
        <w:tc>
          <w:tcPr>
            <w:tcW w:w="4353" w:type="dxa"/>
          </w:tcPr>
          <w:p w:rsidR="004523B2" w:rsidRPr="004523B2" w:rsidRDefault="004523B2" w:rsidP="004523B2">
            <w:pPr>
              <w:pStyle w:val="AERtabletextleft"/>
              <w:rPr>
                <w:rStyle w:val="AERtextsize8"/>
              </w:rPr>
            </w:pPr>
            <w:r w:rsidRPr="00712239">
              <w:rPr>
                <w:rStyle w:val="AERtextsize8"/>
              </w:rPr>
              <w:t>augmentation expenditure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capex</w:t>
            </w:r>
          </w:p>
        </w:tc>
        <w:tc>
          <w:tcPr>
            <w:tcW w:w="4353" w:type="dxa"/>
          </w:tcPr>
          <w:p w:rsidR="004523B2" w:rsidRPr="004523B2" w:rsidRDefault="004523B2" w:rsidP="004523B2">
            <w:pPr>
              <w:pStyle w:val="AERtabletextleft"/>
              <w:rPr>
                <w:rStyle w:val="AERtextsize8"/>
              </w:rPr>
            </w:pPr>
            <w:r w:rsidRPr="00712239">
              <w:rPr>
                <w:rStyle w:val="AERtextsize8"/>
              </w:rPr>
              <w:t>capital expenditure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CCP</w:t>
            </w:r>
          </w:p>
        </w:tc>
        <w:tc>
          <w:tcPr>
            <w:tcW w:w="4353" w:type="dxa"/>
          </w:tcPr>
          <w:p w:rsidR="004523B2" w:rsidRPr="004523B2" w:rsidRDefault="004523B2" w:rsidP="004523B2">
            <w:pPr>
              <w:pStyle w:val="AERtabletextleft"/>
              <w:rPr>
                <w:rStyle w:val="AERtextsize8"/>
              </w:rPr>
            </w:pPr>
            <w:r w:rsidRPr="00712239">
              <w:rPr>
                <w:rStyle w:val="AERtextsize8"/>
              </w:rPr>
              <w:t>Consumer Challenge Panel</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CESS</w:t>
            </w:r>
          </w:p>
        </w:tc>
        <w:tc>
          <w:tcPr>
            <w:tcW w:w="4353" w:type="dxa"/>
          </w:tcPr>
          <w:p w:rsidR="004523B2" w:rsidRPr="004523B2" w:rsidRDefault="004523B2" w:rsidP="004523B2">
            <w:pPr>
              <w:pStyle w:val="AERtabletextleft"/>
              <w:rPr>
                <w:rStyle w:val="AERtextsize8"/>
              </w:rPr>
            </w:pPr>
            <w:r w:rsidRPr="00712239">
              <w:rPr>
                <w:rStyle w:val="AERtextsize8"/>
              </w:rPr>
              <w:t>capital expenditure sharing scheme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CPI</w:t>
            </w:r>
          </w:p>
        </w:tc>
        <w:tc>
          <w:tcPr>
            <w:tcW w:w="4353" w:type="dxa"/>
          </w:tcPr>
          <w:p w:rsidR="004523B2" w:rsidRPr="004523B2" w:rsidRDefault="004523B2" w:rsidP="004523B2">
            <w:pPr>
              <w:pStyle w:val="AERtabletextleft"/>
              <w:rPr>
                <w:rStyle w:val="AERtextsize8"/>
              </w:rPr>
            </w:pPr>
            <w:r w:rsidRPr="00712239">
              <w:rPr>
                <w:rStyle w:val="AERtextsize8"/>
              </w:rPr>
              <w:t>consumer price index</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DRP</w:t>
            </w:r>
          </w:p>
        </w:tc>
        <w:tc>
          <w:tcPr>
            <w:tcW w:w="4353" w:type="dxa"/>
          </w:tcPr>
          <w:p w:rsidR="004523B2" w:rsidRPr="004523B2" w:rsidRDefault="004523B2" w:rsidP="004523B2">
            <w:pPr>
              <w:pStyle w:val="AERtabletextleft"/>
              <w:rPr>
                <w:rStyle w:val="AERtextsize8"/>
              </w:rPr>
            </w:pPr>
            <w:r w:rsidRPr="00712239">
              <w:rPr>
                <w:rStyle w:val="AERtextsize8"/>
              </w:rPr>
              <w:t>debt risk premium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DMIA</w:t>
            </w:r>
          </w:p>
        </w:tc>
        <w:tc>
          <w:tcPr>
            <w:tcW w:w="4353" w:type="dxa"/>
          </w:tcPr>
          <w:p w:rsidR="004523B2" w:rsidRPr="004523B2" w:rsidRDefault="004523B2" w:rsidP="004523B2">
            <w:pPr>
              <w:pStyle w:val="AERtabletextleft"/>
              <w:rPr>
                <w:rStyle w:val="AERtextsize8"/>
              </w:rPr>
            </w:pPr>
            <w:r w:rsidRPr="00712239">
              <w:rPr>
                <w:rStyle w:val="AERtextsize8"/>
              </w:rPr>
              <w:t>demand management innovation allowance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DMIS</w:t>
            </w:r>
          </w:p>
        </w:tc>
        <w:tc>
          <w:tcPr>
            <w:tcW w:w="4353" w:type="dxa"/>
          </w:tcPr>
          <w:p w:rsidR="004523B2" w:rsidRPr="004523B2" w:rsidRDefault="004523B2" w:rsidP="004523B2">
            <w:pPr>
              <w:pStyle w:val="AERtabletextleft"/>
              <w:rPr>
                <w:rStyle w:val="AERtextsize8"/>
              </w:rPr>
            </w:pPr>
            <w:r w:rsidRPr="00712239">
              <w:rPr>
                <w:rStyle w:val="AERtextsize8"/>
              </w:rPr>
              <w:t xml:space="preserve">demand </w:t>
            </w:r>
            <w:r w:rsidRPr="004523B2">
              <w:rPr>
                <w:rStyle w:val="AERtextsize8"/>
              </w:rPr>
              <w:t>management incentive scheme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distributor</w:t>
            </w:r>
          </w:p>
        </w:tc>
        <w:tc>
          <w:tcPr>
            <w:tcW w:w="4353" w:type="dxa"/>
          </w:tcPr>
          <w:p w:rsidR="004523B2" w:rsidRPr="004523B2" w:rsidRDefault="004523B2" w:rsidP="004523B2">
            <w:pPr>
              <w:pStyle w:val="AERtabletextleft"/>
              <w:rPr>
                <w:rStyle w:val="AERtextsize8"/>
              </w:rPr>
            </w:pPr>
            <w:r w:rsidRPr="00712239">
              <w:rPr>
                <w:rStyle w:val="AERtextsize8"/>
              </w:rPr>
              <w:t>distribution network service provider</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DUoS</w:t>
            </w:r>
          </w:p>
        </w:tc>
        <w:tc>
          <w:tcPr>
            <w:tcW w:w="4353" w:type="dxa"/>
          </w:tcPr>
          <w:p w:rsidR="004523B2" w:rsidRPr="004523B2" w:rsidRDefault="004523B2" w:rsidP="004523B2">
            <w:pPr>
              <w:pStyle w:val="AERtabletextleft"/>
              <w:rPr>
                <w:rStyle w:val="AERtextsize8"/>
              </w:rPr>
            </w:pPr>
            <w:r w:rsidRPr="00712239">
              <w:rPr>
                <w:rStyle w:val="AERtextsize8"/>
              </w:rPr>
              <w:t>distribution use of system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EBSS</w:t>
            </w:r>
          </w:p>
        </w:tc>
        <w:tc>
          <w:tcPr>
            <w:tcW w:w="4353" w:type="dxa"/>
          </w:tcPr>
          <w:p w:rsidR="004523B2" w:rsidRPr="004523B2" w:rsidRDefault="004523B2" w:rsidP="004523B2">
            <w:pPr>
              <w:pStyle w:val="AERtabletextleft"/>
              <w:rPr>
                <w:rStyle w:val="AERtextsize8"/>
              </w:rPr>
            </w:pPr>
            <w:r w:rsidRPr="00712239">
              <w:rPr>
                <w:rStyle w:val="AERtextsize8"/>
              </w:rPr>
              <w:t>efficiency benefit sharing scheme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ERP</w:t>
            </w:r>
          </w:p>
        </w:tc>
        <w:tc>
          <w:tcPr>
            <w:tcW w:w="4353" w:type="dxa"/>
          </w:tcPr>
          <w:p w:rsidR="004523B2" w:rsidRPr="004523B2" w:rsidRDefault="004523B2" w:rsidP="004523B2">
            <w:pPr>
              <w:pStyle w:val="AERtabletextleft"/>
              <w:rPr>
                <w:rStyle w:val="AERtextsize8"/>
              </w:rPr>
            </w:pPr>
            <w:r w:rsidRPr="00712239">
              <w:rPr>
                <w:rStyle w:val="AERtextsize8"/>
              </w:rPr>
              <w:t>equity risk premium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Expenditure A</w:t>
            </w:r>
            <w:r w:rsidRPr="004523B2">
              <w:rPr>
                <w:rStyle w:val="AERtextsize8"/>
              </w:rPr>
              <w:t>ssessment Guideline</w:t>
            </w:r>
          </w:p>
        </w:tc>
        <w:tc>
          <w:tcPr>
            <w:tcW w:w="4353" w:type="dxa"/>
          </w:tcPr>
          <w:p w:rsidR="004523B2" w:rsidRPr="004523B2" w:rsidRDefault="004523B2" w:rsidP="004523B2">
            <w:pPr>
              <w:pStyle w:val="AERtabletextleft"/>
              <w:rPr>
                <w:rStyle w:val="AERtextsize8"/>
              </w:rPr>
            </w:pPr>
            <w:r w:rsidRPr="00712239">
              <w:rPr>
                <w:rStyle w:val="AERtextsize8"/>
              </w:rPr>
              <w:t>E</w:t>
            </w:r>
            <w:r w:rsidRPr="004523B2">
              <w:rPr>
                <w:rStyle w:val="AERtextsize8"/>
              </w:rPr>
              <w:t>xpenditure Forecast Assessment Guideline for Electricity Distribution</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F&amp;A</w:t>
            </w:r>
          </w:p>
        </w:tc>
        <w:tc>
          <w:tcPr>
            <w:tcW w:w="4353" w:type="dxa"/>
          </w:tcPr>
          <w:p w:rsidR="004523B2" w:rsidRPr="004523B2" w:rsidRDefault="004523B2" w:rsidP="004523B2">
            <w:pPr>
              <w:pStyle w:val="AERtabletextleft"/>
              <w:rPr>
                <w:rStyle w:val="AERtextsize8"/>
              </w:rPr>
            </w:pPr>
            <w:r w:rsidRPr="00712239">
              <w:rPr>
                <w:rStyle w:val="AERtextsize8"/>
              </w:rPr>
              <w:t>framework and approach</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MRP</w:t>
            </w:r>
          </w:p>
        </w:tc>
        <w:tc>
          <w:tcPr>
            <w:tcW w:w="4353" w:type="dxa"/>
          </w:tcPr>
          <w:p w:rsidR="004523B2" w:rsidRPr="004523B2" w:rsidRDefault="004523B2" w:rsidP="004523B2">
            <w:pPr>
              <w:pStyle w:val="AERtabletextleft"/>
              <w:rPr>
                <w:rStyle w:val="AERtextsize8"/>
              </w:rPr>
            </w:pPr>
            <w:r w:rsidRPr="00712239">
              <w:rPr>
                <w:rStyle w:val="AERtextsize8"/>
              </w:rPr>
              <w:t>market risk premium</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NEL</w:t>
            </w:r>
          </w:p>
        </w:tc>
        <w:tc>
          <w:tcPr>
            <w:tcW w:w="4353" w:type="dxa"/>
          </w:tcPr>
          <w:p w:rsidR="004523B2" w:rsidRPr="004523B2" w:rsidRDefault="004523B2" w:rsidP="004523B2">
            <w:pPr>
              <w:pStyle w:val="AERtabletextleft"/>
              <w:rPr>
                <w:rStyle w:val="AERtextsize8"/>
              </w:rPr>
            </w:pPr>
            <w:r w:rsidRPr="00712239">
              <w:rPr>
                <w:rStyle w:val="AERtextsize8"/>
              </w:rPr>
              <w:t>national electricity law</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NEM</w:t>
            </w:r>
          </w:p>
        </w:tc>
        <w:tc>
          <w:tcPr>
            <w:tcW w:w="4353" w:type="dxa"/>
          </w:tcPr>
          <w:p w:rsidR="004523B2" w:rsidRPr="004523B2" w:rsidRDefault="004523B2" w:rsidP="004523B2">
            <w:pPr>
              <w:pStyle w:val="AERtabletextleft"/>
              <w:rPr>
                <w:rStyle w:val="AERtextsize8"/>
              </w:rPr>
            </w:pPr>
            <w:r w:rsidRPr="00712239">
              <w:rPr>
                <w:rStyle w:val="AERtextsize8"/>
              </w:rPr>
              <w:t>national electricity market</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NEO</w:t>
            </w:r>
          </w:p>
        </w:tc>
        <w:tc>
          <w:tcPr>
            <w:tcW w:w="4353" w:type="dxa"/>
          </w:tcPr>
          <w:p w:rsidR="004523B2" w:rsidRPr="004523B2" w:rsidRDefault="004523B2" w:rsidP="004523B2">
            <w:pPr>
              <w:pStyle w:val="AERtabletextleft"/>
              <w:rPr>
                <w:rStyle w:val="AERtextsize8"/>
              </w:rPr>
            </w:pPr>
            <w:r w:rsidRPr="00712239">
              <w:rPr>
                <w:rStyle w:val="AERtextsize8"/>
              </w:rPr>
              <w:t>national electricity objective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NER</w:t>
            </w:r>
          </w:p>
        </w:tc>
        <w:tc>
          <w:tcPr>
            <w:tcW w:w="4353" w:type="dxa"/>
          </w:tcPr>
          <w:p w:rsidR="004523B2" w:rsidRPr="004523B2" w:rsidRDefault="004523B2" w:rsidP="004523B2">
            <w:pPr>
              <w:pStyle w:val="AERtabletextleft"/>
              <w:rPr>
                <w:rStyle w:val="AERtextsize8"/>
              </w:rPr>
            </w:pPr>
            <w:r w:rsidRPr="00712239">
              <w:rPr>
                <w:rStyle w:val="AERtextsize8"/>
              </w:rPr>
              <w:t>national electricity rules</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NSP</w:t>
            </w:r>
          </w:p>
        </w:tc>
        <w:tc>
          <w:tcPr>
            <w:tcW w:w="4353" w:type="dxa"/>
          </w:tcPr>
          <w:p w:rsidR="004523B2" w:rsidRPr="004523B2" w:rsidRDefault="004523B2" w:rsidP="004523B2">
            <w:pPr>
              <w:pStyle w:val="AERtabletextleft"/>
              <w:rPr>
                <w:rStyle w:val="AERtextsize8"/>
              </w:rPr>
            </w:pPr>
            <w:r w:rsidRPr="00712239">
              <w:rPr>
                <w:rStyle w:val="AERtextsize8"/>
              </w:rPr>
              <w:t xml:space="preserve">network service </w:t>
            </w:r>
            <w:r w:rsidRPr="004523B2">
              <w:rPr>
                <w:rStyle w:val="AERtextsize8"/>
              </w:rPr>
              <w:t>provider</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opex</w:t>
            </w:r>
          </w:p>
        </w:tc>
        <w:tc>
          <w:tcPr>
            <w:tcW w:w="4353" w:type="dxa"/>
          </w:tcPr>
          <w:p w:rsidR="004523B2" w:rsidRPr="004523B2" w:rsidRDefault="004523B2" w:rsidP="004523B2">
            <w:pPr>
              <w:pStyle w:val="AERtabletextleft"/>
              <w:rPr>
                <w:rStyle w:val="AERtextsize8"/>
              </w:rPr>
            </w:pPr>
            <w:r w:rsidRPr="00712239">
              <w:rPr>
                <w:rStyle w:val="AERtextsize8"/>
              </w:rPr>
              <w:t>operating expenditure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PPI</w:t>
            </w:r>
          </w:p>
        </w:tc>
        <w:tc>
          <w:tcPr>
            <w:tcW w:w="4353" w:type="dxa"/>
          </w:tcPr>
          <w:p w:rsidR="004523B2" w:rsidRPr="004523B2" w:rsidRDefault="004523B2" w:rsidP="004523B2">
            <w:pPr>
              <w:pStyle w:val="AERtabletextleft"/>
              <w:rPr>
                <w:rStyle w:val="AERtextsize8"/>
              </w:rPr>
            </w:pPr>
            <w:r w:rsidRPr="00712239">
              <w:rPr>
                <w:rStyle w:val="AERtextsize8"/>
              </w:rPr>
              <w:t>partial performance indicators</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PTRM</w:t>
            </w:r>
          </w:p>
        </w:tc>
        <w:tc>
          <w:tcPr>
            <w:tcW w:w="4353" w:type="dxa"/>
          </w:tcPr>
          <w:p w:rsidR="004523B2" w:rsidRPr="004523B2" w:rsidRDefault="004523B2" w:rsidP="004523B2">
            <w:pPr>
              <w:pStyle w:val="AERtabletextleft"/>
              <w:rPr>
                <w:rStyle w:val="AERtextsize8"/>
              </w:rPr>
            </w:pPr>
            <w:r w:rsidRPr="00712239">
              <w:rPr>
                <w:rStyle w:val="AERtextsize8"/>
              </w:rPr>
              <w:t>post-tax revenue model</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RAB</w:t>
            </w:r>
          </w:p>
        </w:tc>
        <w:tc>
          <w:tcPr>
            <w:tcW w:w="4353" w:type="dxa"/>
          </w:tcPr>
          <w:p w:rsidR="004523B2" w:rsidRPr="004523B2" w:rsidRDefault="004523B2" w:rsidP="004523B2">
            <w:pPr>
              <w:pStyle w:val="AERtabletextleft"/>
              <w:rPr>
                <w:rStyle w:val="AERtextsize8"/>
              </w:rPr>
            </w:pPr>
            <w:r w:rsidRPr="00712239">
              <w:rPr>
                <w:rStyle w:val="AERtextsize8"/>
              </w:rPr>
              <w:t>regulatory asset base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RBA</w:t>
            </w:r>
          </w:p>
        </w:tc>
        <w:tc>
          <w:tcPr>
            <w:tcW w:w="4353" w:type="dxa"/>
          </w:tcPr>
          <w:p w:rsidR="004523B2" w:rsidRPr="004523B2" w:rsidRDefault="004523B2" w:rsidP="004523B2">
            <w:pPr>
              <w:pStyle w:val="AERtabletextleft"/>
              <w:rPr>
                <w:rStyle w:val="AERtextsize8"/>
              </w:rPr>
            </w:pPr>
            <w:r w:rsidRPr="00712239">
              <w:rPr>
                <w:rStyle w:val="AERtextsize8"/>
              </w:rPr>
              <w:t>Reserve Bank of Australia</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lastRenderedPageBreak/>
              <w:t>repex</w:t>
            </w:r>
          </w:p>
        </w:tc>
        <w:tc>
          <w:tcPr>
            <w:tcW w:w="4353" w:type="dxa"/>
          </w:tcPr>
          <w:p w:rsidR="004523B2" w:rsidRPr="004523B2" w:rsidRDefault="004523B2" w:rsidP="004523B2">
            <w:pPr>
              <w:pStyle w:val="AERtabletextleft"/>
              <w:rPr>
                <w:rStyle w:val="AERtextsize8"/>
              </w:rPr>
            </w:pPr>
            <w:r w:rsidRPr="00712239">
              <w:rPr>
                <w:rStyle w:val="AERtextsize8"/>
              </w:rPr>
              <w:t>replacement expenditure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RFM</w:t>
            </w:r>
          </w:p>
        </w:tc>
        <w:tc>
          <w:tcPr>
            <w:tcW w:w="4353" w:type="dxa"/>
          </w:tcPr>
          <w:p w:rsidR="004523B2" w:rsidRPr="004523B2" w:rsidRDefault="004523B2" w:rsidP="004523B2">
            <w:pPr>
              <w:pStyle w:val="AERtabletextleft"/>
              <w:rPr>
                <w:rStyle w:val="AERtextsize8"/>
              </w:rPr>
            </w:pPr>
            <w:r w:rsidRPr="00712239">
              <w:rPr>
                <w:rStyle w:val="AERtextsize8"/>
              </w:rPr>
              <w:t>roll forward model</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RIN</w:t>
            </w:r>
          </w:p>
        </w:tc>
        <w:tc>
          <w:tcPr>
            <w:tcW w:w="4353" w:type="dxa"/>
          </w:tcPr>
          <w:p w:rsidR="004523B2" w:rsidRPr="004523B2" w:rsidRDefault="004523B2" w:rsidP="004523B2">
            <w:pPr>
              <w:pStyle w:val="AERtabletextleft"/>
              <w:rPr>
                <w:rStyle w:val="AERtextsize8"/>
              </w:rPr>
            </w:pPr>
            <w:r w:rsidRPr="00712239">
              <w:rPr>
                <w:rStyle w:val="AERtextsize8"/>
              </w:rPr>
              <w:t>regulatory information notice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RPP</w:t>
            </w:r>
          </w:p>
        </w:tc>
        <w:tc>
          <w:tcPr>
            <w:tcW w:w="4353" w:type="dxa"/>
          </w:tcPr>
          <w:p w:rsidR="004523B2" w:rsidRPr="004523B2" w:rsidRDefault="004523B2" w:rsidP="004523B2">
            <w:pPr>
              <w:pStyle w:val="AERtabletextleft"/>
              <w:rPr>
                <w:rStyle w:val="AERtextsize8"/>
              </w:rPr>
            </w:pPr>
            <w:r w:rsidRPr="00712239">
              <w:rPr>
                <w:rStyle w:val="AERtextsize8"/>
              </w:rPr>
              <w:t xml:space="preserve">revenue </w:t>
            </w:r>
            <w:r w:rsidRPr="004523B2">
              <w:rPr>
                <w:rStyle w:val="AERtextsize8"/>
              </w:rPr>
              <w:t>and pricing principles</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SAIDI</w:t>
            </w:r>
          </w:p>
        </w:tc>
        <w:tc>
          <w:tcPr>
            <w:tcW w:w="4353" w:type="dxa"/>
          </w:tcPr>
          <w:p w:rsidR="004523B2" w:rsidRPr="004523B2" w:rsidRDefault="004523B2" w:rsidP="004523B2">
            <w:pPr>
              <w:pStyle w:val="AERtabletextleft"/>
              <w:rPr>
                <w:rStyle w:val="AERtextsize8"/>
              </w:rPr>
            </w:pPr>
            <w:r w:rsidRPr="00712239">
              <w:rPr>
                <w:rStyle w:val="AERtextsize8"/>
              </w:rPr>
              <w:t>system average interruption duration index</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SAIFI</w:t>
            </w:r>
          </w:p>
        </w:tc>
        <w:tc>
          <w:tcPr>
            <w:tcW w:w="4353" w:type="dxa"/>
          </w:tcPr>
          <w:p w:rsidR="004523B2" w:rsidRPr="004523B2" w:rsidRDefault="004523B2" w:rsidP="004523B2">
            <w:pPr>
              <w:pStyle w:val="AERtabletextleft"/>
              <w:rPr>
                <w:rStyle w:val="AERtextsize8"/>
              </w:rPr>
            </w:pPr>
            <w:r w:rsidRPr="00712239">
              <w:rPr>
                <w:rStyle w:val="AERtextsize8"/>
              </w:rPr>
              <w:t>system average interruption frequency index</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SLCAPM</w:t>
            </w:r>
          </w:p>
        </w:tc>
        <w:tc>
          <w:tcPr>
            <w:tcW w:w="4353" w:type="dxa"/>
          </w:tcPr>
          <w:p w:rsidR="004523B2" w:rsidRPr="004523B2" w:rsidRDefault="004523B2" w:rsidP="004523B2">
            <w:pPr>
              <w:pStyle w:val="AERtabletextleft"/>
              <w:rPr>
                <w:rStyle w:val="AERtextsize8"/>
              </w:rPr>
            </w:pPr>
            <w:r w:rsidRPr="00712239">
              <w:rPr>
                <w:rStyle w:val="AERtextsize8"/>
              </w:rPr>
              <w:t>Sharpe-Lintner capital asset pricing model</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STPIS</w:t>
            </w:r>
          </w:p>
        </w:tc>
        <w:tc>
          <w:tcPr>
            <w:tcW w:w="4353" w:type="dxa"/>
          </w:tcPr>
          <w:p w:rsidR="004523B2" w:rsidRPr="004523B2" w:rsidRDefault="004523B2" w:rsidP="004523B2">
            <w:pPr>
              <w:pStyle w:val="AERtabletextleft"/>
              <w:rPr>
                <w:rStyle w:val="AERtextsize8"/>
              </w:rPr>
            </w:pPr>
            <w:r w:rsidRPr="00712239">
              <w:rPr>
                <w:rStyle w:val="AERtextsize8"/>
              </w:rPr>
              <w:t>service target performance incentive scheme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WACC</w:t>
            </w:r>
          </w:p>
        </w:tc>
        <w:tc>
          <w:tcPr>
            <w:tcW w:w="4353" w:type="dxa"/>
          </w:tcPr>
          <w:p w:rsidR="004523B2" w:rsidRPr="004523B2" w:rsidRDefault="004523B2" w:rsidP="004523B2">
            <w:pPr>
              <w:pStyle w:val="AERtabletextleft"/>
              <w:rPr>
                <w:rStyle w:val="AERtextsize8"/>
              </w:rPr>
            </w:pPr>
            <w:r w:rsidRPr="00712239">
              <w:rPr>
                <w:rStyle w:val="AERtextsize8"/>
              </w:rPr>
              <w:t>weighted average</w:t>
            </w:r>
            <w:r w:rsidRPr="004523B2">
              <w:rPr>
                <w:rStyle w:val="AERtextsize8"/>
              </w:rPr>
              <w:t xml:space="preserve"> cost of capital</w:t>
            </w:r>
          </w:p>
        </w:tc>
      </w:tr>
    </w:tbl>
    <w:p w:rsidR="00DE563D" w:rsidRDefault="008F78AD" w:rsidP="008F78AD">
      <w:pPr>
        <w:pStyle w:val="Heading1"/>
      </w:pPr>
      <w:bookmarkStart w:id="13" w:name="_Toc416278154"/>
      <w:bookmarkStart w:id="14" w:name="_Toc416346517"/>
      <w:bookmarkStart w:id="15" w:name="_Toc416278157"/>
      <w:bookmarkStart w:id="16" w:name="_Toc416346520"/>
      <w:bookmarkStart w:id="17" w:name="_Toc416278160"/>
      <w:bookmarkStart w:id="18" w:name="_Toc416346523"/>
      <w:bookmarkStart w:id="19" w:name="_Toc416278163"/>
      <w:bookmarkStart w:id="20" w:name="_Toc416346526"/>
      <w:bookmarkStart w:id="21" w:name="_Toc416278166"/>
      <w:bookmarkStart w:id="22" w:name="_Toc416346529"/>
      <w:bookmarkStart w:id="23" w:name="_Toc416278169"/>
      <w:bookmarkStart w:id="24" w:name="_Toc416346532"/>
      <w:bookmarkStart w:id="25" w:name="_Toc416278172"/>
      <w:bookmarkStart w:id="26" w:name="_Toc416346535"/>
      <w:bookmarkStart w:id="27" w:name="_Toc416278175"/>
      <w:bookmarkStart w:id="28" w:name="_Toc416346538"/>
      <w:bookmarkStart w:id="29" w:name="_Toc416278178"/>
      <w:bookmarkStart w:id="30" w:name="_Toc416346541"/>
      <w:bookmarkStart w:id="31" w:name="_Toc416278181"/>
      <w:bookmarkStart w:id="32" w:name="_Toc416346544"/>
      <w:bookmarkStart w:id="33" w:name="_Toc416278184"/>
      <w:bookmarkStart w:id="34" w:name="_Toc416346547"/>
      <w:bookmarkStart w:id="35" w:name="_Toc416278187"/>
      <w:bookmarkStart w:id="36" w:name="_Toc416346550"/>
      <w:bookmarkStart w:id="37" w:name="_Toc416278190"/>
      <w:bookmarkStart w:id="38" w:name="_Toc416346553"/>
      <w:bookmarkStart w:id="39" w:name="_Toc416278193"/>
      <w:bookmarkStart w:id="40" w:name="_Toc416346556"/>
      <w:bookmarkStart w:id="41" w:name="_Toc416278196"/>
      <w:bookmarkStart w:id="42" w:name="_Toc416346559"/>
      <w:bookmarkStart w:id="43" w:name="_Toc416278199"/>
      <w:bookmarkStart w:id="44" w:name="_Toc416346562"/>
      <w:bookmarkStart w:id="45" w:name="_Toc416278202"/>
      <w:bookmarkStart w:id="46" w:name="_Toc416346565"/>
      <w:bookmarkStart w:id="47" w:name="_Toc416278205"/>
      <w:bookmarkStart w:id="48" w:name="_Toc416346568"/>
      <w:bookmarkStart w:id="49" w:name="_Toc416278208"/>
      <w:bookmarkStart w:id="50" w:name="_Toc416346571"/>
      <w:bookmarkStart w:id="51" w:name="_Toc416278211"/>
      <w:bookmarkStart w:id="52" w:name="_Toc416346574"/>
      <w:bookmarkStart w:id="53" w:name="_Toc416278214"/>
      <w:bookmarkStart w:id="54" w:name="_Toc416346577"/>
      <w:bookmarkStart w:id="55" w:name="_Toc416278217"/>
      <w:bookmarkStart w:id="56" w:name="_Toc416346580"/>
      <w:bookmarkStart w:id="57" w:name="_Toc416278220"/>
      <w:bookmarkStart w:id="58" w:name="_Toc416346583"/>
      <w:bookmarkStart w:id="59" w:name="_Toc416278223"/>
      <w:bookmarkStart w:id="60" w:name="_Toc416346586"/>
      <w:bookmarkStart w:id="61" w:name="_Toc416278226"/>
      <w:bookmarkStart w:id="62" w:name="_Toc416346589"/>
      <w:bookmarkStart w:id="63" w:name="_Toc416278229"/>
      <w:bookmarkStart w:id="64" w:name="_Toc416346592"/>
      <w:bookmarkStart w:id="65" w:name="_Toc416278232"/>
      <w:bookmarkStart w:id="66" w:name="_Toc416346595"/>
      <w:bookmarkStart w:id="67" w:name="_Toc416278235"/>
      <w:bookmarkStart w:id="68" w:name="_Toc416346598"/>
      <w:bookmarkStart w:id="69" w:name="_Toc416278238"/>
      <w:bookmarkStart w:id="70" w:name="_Toc416346601"/>
      <w:bookmarkStart w:id="71" w:name="_Toc451938288"/>
      <w:bookmarkEnd w:id="1"/>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r>
        <w:lastRenderedPageBreak/>
        <w:t>Value of imputation credits</w:t>
      </w:r>
      <w:bookmarkEnd w:id="71"/>
    </w:p>
    <w:p w:rsidR="001D37D5" w:rsidRDefault="001D37D5" w:rsidP="001D37D5">
      <w:pPr>
        <w:numPr>
          <w:ilvl w:val="0"/>
          <w:numId w:val="24"/>
        </w:numPr>
      </w:pPr>
      <w:r>
        <w:t>Imputation</w:t>
      </w:r>
      <w:r w:rsidRPr="00A3318E">
        <w:t xml:space="preserve"> credits are </w:t>
      </w:r>
      <w:r>
        <w:t xml:space="preserve">valuable to investors and are therefore </w:t>
      </w:r>
      <w:r w:rsidRPr="00A3318E">
        <w:t xml:space="preserve">a benefit in addition to any cash dividend or capital gains </w:t>
      </w:r>
      <w:r>
        <w:t xml:space="preserve">they receive </w:t>
      </w:r>
      <w:r w:rsidRPr="00A3318E">
        <w:t>from owning shares.</w:t>
      </w:r>
      <w:r>
        <w:t xml:space="preserve"> </w:t>
      </w:r>
      <w:r w:rsidRPr="00A3318E">
        <w:t xml:space="preserve">Under the Australian imputation tax system, investors </w:t>
      </w:r>
      <w:r>
        <w:t xml:space="preserve">can </w:t>
      </w:r>
      <w:r w:rsidRPr="00A3318E">
        <w:t>receive an imputation credit for income t</w:t>
      </w:r>
      <w:r>
        <w:t>ax paid at the company level.</w:t>
      </w:r>
      <w:r>
        <w:rPr>
          <w:rStyle w:val="FootnoteReference"/>
        </w:rPr>
        <w:footnoteReference w:id="1"/>
      </w:r>
      <w:r w:rsidRPr="00A3318E">
        <w:t xml:space="preserve"> For eligible investors, this credit offsets their Australian income tax liabilities. If the </w:t>
      </w:r>
      <w:r>
        <w:t>amount</w:t>
      </w:r>
      <w:r w:rsidRPr="00A3318E">
        <w:t xml:space="preserve"> of imputation credits </w:t>
      </w:r>
      <w:r>
        <w:t xml:space="preserve">received </w:t>
      </w:r>
      <w:r w:rsidRPr="00A3318E">
        <w:t xml:space="preserve">exceeds an investor's tax liability, that investor can receive a cash refund for the balance. </w:t>
      </w:r>
    </w:p>
    <w:p w:rsidR="001D37D5" w:rsidRDefault="001D37D5" w:rsidP="001D37D5">
      <w:pPr>
        <w:numPr>
          <w:ilvl w:val="0"/>
          <w:numId w:val="24"/>
        </w:numPr>
      </w:pPr>
      <w:r>
        <w:t>The National Electricity Rules/National Gas Rules (NER/NGR) recognises that a service provider's allowed revenue does not need to include the value of imputation credits. Under the NER/NGR, service providers are to recover revenue that compensates them for their efficient costs in providing regulated services. This includes, among other things, a return to be provided to investors (return on equity) that is required to promote efficient levels of investment. The more that imputation credits are valuable, the less return that investors require from dividends and capital gains. However, the estimation of the return on equity does not take imputation credits into account.</w:t>
      </w:r>
      <w:r>
        <w:rPr>
          <w:rStyle w:val="FootnoteReference"/>
        </w:rPr>
        <w:footnoteReference w:id="2"/>
      </w:r>
      <w:r>
        <w:t xml:space="preserve"> Therefore, an adjustment for the value of imputation credits is required. This adjustment could take the form of a decrease in the estimated return on equity itself.</w:t>
      </w:r>
    </w:p>
    <w:p w:rsidR="001D37D5" w:rsidRPr="00E356F9" w:rsidRDefault="001D37D5" w:rsidP="001D37D5">
      <w:pPr>
        <w:numPr>
          <w:ilvl w:val="0"/>
          <w:numId w:val="24"/>
        </w:numPr>
      </w:pPr>
      <w:r>
        <w:t xml:space="preserve">An alternative but equivalent form of adjustment, which is employed by the NER/NGR, is via the revenue granted to a service provider to cover its expected tax liability. Specifically, the NER/NGR require that the estimated cost of corporate income tax be determined in accordance with a formula that reduces the estimated cost of corporate tax by the 'value of imputation credits' (represented by the Greek letter, </w:t>
      </w:r>
      <m:oMath>
        <m:r>
          <w:rPr>
            <w:rFonts w:ascii="Cambria Math" w:hAnsi="Cambria Math"/>
          </w:rPr>
          <m:t>γ</m:t>
        </m:r>
      </m:oMath>
      <w:r>
        <w:t>, 'gamma').</w:t>
      </w:r>
      <w:r>
        <w:rPr>
          <w:rStyle w:val="FootnoteReference"/>
        </w:rPr>
        <w:footnoteReference w:id="3"/>
      </w:r>
      <w:r>
        <w:t xml:space="preserve"> This form of adjustment recognises that it is the payment of corporate tax which is the source of the imputation credit return to investors.</w:t>
      </w:r>
    </w:p>
    <w:p w:rsidR="001D37D5" w:rsidRDefault="001D37D5" w:rsidP="001D37D5">
      <w:pPr>
        <w:numPr>
          <w:ilvl w:val="0"/>
          <w:numId w:val="24"/>
        </w:numPr>
      </w:pPr>
      <w:r>
        <w:t xml:space="preserve">In this attachment, we set out our final decision on the value of imputation credits and our key reasons for this decision. We also consider </w:t>
      </w:r>
      <w:r w:rsidR="005F7078">
        <w:t xml:space="preserve">AusNet Services </w:t>
      </w:r>
      <w:r>
        <w:t xml:space="preserve">proposed value of imputation credits and the key reasons for its (revised) proposal. In appendix A, we include further supporting detail on our position on the value of imputation credits and also respond to </w:t>
      </w:r>
      <w:r w:rsidR="005F7078">
        <w:t xml:space="preserve">AusNet Services' </w:t>
      </w:r>
      <w:r>
        <w:t xml:space="preserve">revised proposal in detail. </w:t>
      </w:r>
    </w:p>
    <w:p w:rsidR="001D37D5" w:rsidRPr="00883125" w:rsidRDefault="001D37D5" w:rsidP="001D37D5">
      <w:pPr>
        <w:pStyle w:val="Heading2"/>
      </w:pPr>
      <w:bookmarkStart w:id="72" w:name="_Toc408404320"/>
      <w:bookmarkStart w:id="73" w:name="_Toc419366913"/>
      <w:bookmarkStart w:id="74" w:name="_Ref451246970"/>
      <w:bookmarkStart w:id="75" w:name="_Ref451789904"/>
      <w:bookmarkStart w:id="76" w:name="_Ref451793040"/>
      <w:bookmarkStart w:id="77" w:name="_Ref451816453"/>
      <w:bookmarkStart w:id="78" w:name="_Toc451842232"/>
      <w:bookmarkStart w:id="79" w:name="_Toc451938289"/>
      <w:r w:rsidRPr="00883125">
        <w:t>Final decision</w:t>
      </w:r>
      <w:bookmarkEnd w:id="72"/>
      <w:bookmarkEnd w:id="73"/>
      <w:bookmarkEnd w:id="74"/>
      <w:bookmarkEnd w:id="75"/>
      <w:bookmarkEnd w:id="76"/>
      <w:bookmarkEnd w:id="77"/>
      <w:bookmarkEnd w:id="78"/>
      <w:bookmarkEnd w:id="79"/>
    </w:p>
    <w:p w:rsidR="001D37D5" w:rsidRPr="00C94AE8" w:rsidRDefault="001D37D5" w:rsidP="001D37D5">
      <w:pPr>
        <w:numPr>
          <w:ilvl w:val="0"/>
          <w:numId w:val="24"/>
        </w:numPr>
      </w:pPr>
      <w:r w:rsidRPr="00883125">
        <w:t xml:space="preserve">We do not accept </w:t>
      </w:r>
      <w:r w:rsidR="005F7078">
        <w:t>AusNet Services</w:t>
      </w:r>
      <w:r w:rsidRPr="00883125">
        <w:t>' proposed value of imputation credits</w:t>
      </w:r>
      <w:r>
        <w:t xml:space="preserve"> (or gamma)</w:t>
      </w:r>
      <w:r w:rsidRPr="00883125">
        <w:t xml:space="preserve"> of 0.25. Instead, we adopt a value of imputation credits of 0.4.</w:t>
      </w:r>
      <w:r>
        <w:t xml:space="preserve"> </w:t>
      </w:r>
      <w:r w:rsidRPr="00C94AE8">
        <w:t xml:space="preserve">We consider that the use of a value for imputation credits of 0.4 will result in equity investors in the benchmark efficient </w:t>
      </w:r>
      <w:r w:rsidRPr="00C94AE8">
        <w:lastRenderedPageBreak/>
        <w:t xml:space="preserve">entity receiving an ex ante total return (inclusive of the value of imputation credits) commensurate with the efficient equity financing costs of </w:t>
      </w:r>
      <w:r>
        <w:t>a</w:t>
      </w:r>
      <w:r w:rsidRPr="00C94AE8">
        <w:t xml:space="preserve"> benchmark efficient entity.</w:t>
      </w:r>
    </w:p>
    <w:p w:rsidR="001D37D5" w:rsidRPr="00883125" w:rsidRDefault="001D37D5" w:rsidP="001D37D5">
      <w:pPr>
        <w:numPr>
          <w:ilvl w:val="0"/>
          <w:numId w:val="24"/>
        </w:numPr>
      </w:pPr>
      <w:r w:rsidRPr="00883125">
        <w:t>Estimating the value of imputation credits is a complex and imprecise task. There is no consensus among experts on the appropriate value or estimation techniques to use.</w:t>
      </w:r>
      <w:r w:rsidRPr="00E82D06">
        <w:rPr>
          <w:rStyle w:val="FootnoteReference"/>
        </w:rPr>
        <w:footnoteReference w:id="4"/>
      </w:r>
      <w:r w:rsidRPr="00E82D06">
        <w:rPr>
          <w:rStyle w:val="FootnoteReference"/>
        </w:rPr>
        <w:t xml:space="preserve"> </w:t>
      </w:r>
      <w:r w:rsidRPr="00883125">
        <w:t>Further, with each estimation technique there are often a number of ways these may be applied resulting in different outcomes. Conceptually, the value of imputation credits must be between 0 and 1, and the range of expert views on the value of imputation credits is almost this wide.</w:t>
      </w:r>
      <w:r w:rsidRPr="00E82D06">
        <w:rPr>
          <w:rStyle w:val="FootnoteReference"/>
        </w:rPr>
        <w:footnoteReference w:id="5"/>
      </w:r>
    </w:p>
    <w:p w:rsidR="001D37D5" w:rsidRPr="005942A6" w:rsidRDefault="001D37D5" w:rsidP="001D37D5">
      <w:pPr>
        <w:rPr>
          <w:rStyle w:val="AERbody"/>
        </w:rPr>
      </w:pPr>
      <w:r w:rsidRPr="005942A6">
        <w:rPr>
          <w:rStyle w:val="AERbody"/>
        </w:rPr>
        <w:t>In coming to a value of imputation credits of 0.4:</w:t>
      </w:r>
    </w:p>
    <w:p w:rsidR="001D37D5" w:rsidRPr="001D37D5" w:rsidRDefault="001D37D5" w:rsidP="001D37D5">
      <w:pPr>
        <w:pStyle w:val="AERbulletlistfirststyle"/>
      </w:pPr>
      <w:r w:rsidRPr="00DD1139">
        <w:t>We a</w:t>
      </w:r>
      <w:r w:rsidRPr="001D37D5">
        <w:t>dopt a conceptual approach consistent with the Officer framework,</w:t>
      </w:r>
      <w:r w:rsidRPr="00247000">
        <w:rPr>
          <w:rStyle w:val="FootnoteReference"/>
        </w:rPr>
        <w:footnoteReference w:id="6"/>
      </w:r>
      <w:r w:rsidRPr="001D37D5">
        <w:t xml:space="preserve"> which we consider best promotes the objectives and requirements of the NER/NGR. This approach considers the value of imputation credits is a post-tax value before the impact of personal taxes and transaction costs. As such, we view the value of imputation credits as the proportion of company tax returned to investors through the utilisation of imputation credits.</w:t>
      </w:r>
      <w:r w:rsidRPr="001D37D5">
        <w:rPr>
          <w:rStyle w:val="FootnoteReference"/>
        </w:rPr>
        <w:footnoteReference w:id="7"/>
      </w:r>
    </w:p>
    <w:p w:rsidR="001D37D5" w:rsidRPr="001D37D5" w:rsidRDefault="001D37D5" w:rsidP="001D37D5">
      <w:pPr>
        <w:pStyle w:val="AERbulletlistfirststyle"/>
      </w:pPr>
      <w:r w:rsidRPr="00DD1139">
        <w:t>We consider our</w:t>
      </w:r>
      <w:r w:rsidRPr="001D37D5">
        <w:t xml:space="preserve"> conceptual approach allows for the value of imputation credits to be estimated on a consistent basis with the allowed rate of return and allowed revenues under the post-tax framework in the NER/NGR.</w:t>
      </w:r>
      <w:r w:rsidRPr="001D37D5">
        <w:rPr>
          <w:rStyle w:val="FootnoteReference"/>
        </w:rPr>
        <w:footnoteReference w:id="8"/>
      </w:r>
      <w:r w:rsidRPr="001D37D5">
        <w:t xml:space="preserve"> </w:t>
      </w:r>
    </w:p>
    <w:p w:rsidR="001D37D5" w:rsidRPr="001D37D5" w:rsidRDefault="001D37D5" w:rsidP="001D37D5">
      <w:pPr>
        <w:pStyle w:val="AERbulletlistfirststyle"/>
      </w:pPr>
      <w:r w:rsidRPr="00DD1139">
        <w:t xml:space="preserve">We use the widely accepted approach of estimating the value of imputation credits as the product of two sub-parameters: the 'distribution rate' and the 'utilisation </w:t>
      </w:r>
      <w:r w:rsidRPr="001D37D5">
        <w:t>rate'.</w:t>
      </w:r>
      <w:r w:rsidRPr="001D37D5">
        <w:rPr>
          <w:rStyle w:val="FootnoteReference"/>
        </w:rPr>
        <w:footnoteReference w:id="9"/>
      </w:r>
      <w:r w:rsidRPr="001D37D5">
        <w:t xml:space="preserve"> Our definition of, and estimation approach for, these sub-parameters is set out in </w:t>
      </w:r>
      <w:r w:rsidRPr="001D37D5">
        <w:fldChar w:fldCharType="begin"/>
      </w:r>
      <w:r w:rsidRPr="001D37D5">
        <w:instrText xml:space="preserve"> REF  _Ref450662555 \* Lower \h  \* MERGEFORMAT </w:instrText>
      </w:r>
      <w:r w:rsidRPr="001D37D5">
        <w:fldChar w:fldCharType="separate"/>
      </w:r>
      <w:r w:rsidR="00A02D8C">
        <w:t>table 4</w:t>
      </w:r>
      <w:r w:rsidR="00A02D8C">
        <w:noBreakHyphen/>
        <w:t>1</w:t>
      </w:r>
      <w:r w:rsidRPr="001D37D5">
        <w:fldChar w:fldCharType="end"/>
      </w:r>
      <w:r w:rsidRPr="001D37D5">
        <w:t>.</w:t>
      </w:r>
    </w:p>
    <w:p w:rsidR="001D37D5" w:rsidRDefault="001D37D5" w:rsidP="005E1FC3">
      <w:pPr>
        <w:pStyle w:val="Caption"/>
      </w:pPr>
      <w:bookmarkStart w:id="80" w:name="_Ref450662555"/>
      <w:r>
        <w:lastRenderedPageBreak/>
        <w:t xml:space="preserve">Table </w:t>
      </w:r>
      <w:r w:rsidRPr="001D37D5">
        <w:fldChar w:fldCharType="begin"/>
      </w:r>
      <w:r>
        <w:instrText xml:space="preserve"> STYLEREF 1 \s </w:instrText>
      </w:r>
      <w:r w:rsidRPr="001D37D5">
        <w:fldChar w:fldCharType="separate"/>
      </w:r>
      <w:r w:rsidR="00A02D8C">
        <w:rPr>
          <w:noProof/>
        </w:rPr>
        <w:t>4</w:t>
      </w:r>
      <w:r w:rsidRPr="001D37D5">
        <w:fldChar w:fldCharType="end"/>
      </w:r>
      <w:r>
        <w:noBreakHyphen/>
      </w:r>
      <w:r w:rsidRPr="001D37D5">
        <w:fldChar w:fldCharType="begin"/>
      </w:r>
      <w:r>
        <w:instrText xml:space="preserve"> SEQ Table \* ARABIC \s 1 </w:instrText>
      </w:r>
      <w:r w:rsidRPr="001D37D5">
        <w:fldChar w:fldCharType="separate"/>
      </w:r>
      <w:r w:rsidR="00A02D8C">
        <w:rPr>
          <w:noProof/>
        </w:rPr>
        <w:t>1</w:t>
      </w:r>
      <w:r w:rsidRPr="001D37D5">
        <w:fldChar w:fldCharType="end"/>
      </w:r>
      <w:bookmarkEnd w:id="80"/>
      <w:r>
        <w:tab/>
        <w:t>Gamma sub-parameters: definition and estimation approach</w:t>
      </w:r>
    </w:p>
    <w:tbl>
      <w:tblPr>
        <w:tblStyle w:val="AERtable-text0"/>
        <w:tblW w:w="0" w:type="auto"/>
        <w:tblLook w:val="04A0" w:firstRow="1" w:lastRow="0" w:firstColumn="1" w:lastColumn="0" w:noHBand="0" w:noVBand="1"/>
      </w:tblPr>
      <w:tblGrid>
        <w:gridCol w:w="2518"/>
        <w:gridCol w:w="2977"/>
        <w:gridCol w:w="3747"/>
      </w:tblGrid>
      <w:tr w:rsidR="001D37D5" w:rsidTr="005E1FC3">
        <w:trPr>
          <w:cnfStyle w:val="100000000000" w:firstRow="1" w:lastRow="0" w:firstColumn="0" w:lastColumn="0" w:oddVBand="0" w:evenVBand="0" w:oddHBand="0" w:evenHBand="0" w:firstRowFirstColumn="0" w:firstRowLastColumn="0" w:lastRowFirstColumn="0" w:lastRowLastColumn="0"/>
        </w:trPr>
        <w:tc>
          <w:tcPr>
            <w:tcW w:w="2518" w:type="dxa"/>
          </w:tcPr>
          <w:p w:rsidR="001D37D5" w:rsidRDefault="001D37D5" w:rsidP="00247000">
            <w:pPr>
              <w:keepNext/>
              <w:numPr>
                <w:ilvl w:val="0"/>
                <w:numId w:val="24"/>
              </w:numPr>
            </w:pPr>
            <w:r>
              <w:t>Sub-parameter</w:t>
            </w:r>
          </w:p>
        </w:tc>
        <w:tc>
          <w:tcPr>
            <w:tcW w:w="2977" w:type="dxa"/>
          </w:tcPr>
          <w:p w:rsidR="001D37D5" w:rsidRDefault="001D37D5" w:rsidP="00247000">
            <w:pPr>
              <w:keepNext/>
              <w:numPr>
                <w:ilvl w:val="0"/>
                <w:numId w:val="24"/>
              </w:numPr>
            </w:pPr>
            <w:r>
              <w:t>Definition</w:t>
            </w:r>
          </w:p>
        </w:tc>
        <w:tc>
          <w:tcPr>
            <w:tcW w:w="3747" w:type="dxa"/>
          </w:tcPr>
          <w:p w:rsidR="001D37D5" w:rsidRDefault="001D37D5" w:rsidP="00247000">
            <w:pPr>
              <w:keepNext/>
              <w:numPr>
                <w:ilvl w:val="0"/>
                <w:numId w:val="24"/>
              </w:numPr>
            </w:pPr>
            <w:r>
              <w:t>Estimation approach</w:t>
            </w:r>
          </w:p>
        </w:tc>
      </w:tr>
      <w:tr w:rsidR="001D37D5" w:rsidTr="005E1FC3">
        <w:tc>
          <w:tcPr>
            <w:tcW w:w="2518" w:type="dxa"/>
          </w:tcPr>
          <w:p w:rsidR="001D37D5" w:rsidRDefault="001D37D5" w:rsidP="00247000">
            <w:pPr>
              <w:keepNext/>
              <w:numPr>
                <w:ilvl w:val="0"/>
                <w:numId w:val="24"/>
              </w:numPr>
            </w:pPr>
            <w:r>
              <w:t>Distribution rate (or payout ratio)</w:t>
            </w:r>
          </w:p>
        </w:tc>
        <w:tc>
          <w:tcPr>
            <w:tcW w:w="2977" w:type="dxa"/>
          </w:tcPr>
          <w:p w:rsidR="001D37D5" w:rsidRDefault="001D37D5" w:rsidP="00247000">
            <w:pPr>
              <w:keepNext/>
              <w:numPr>
                <w:ilvl w:val="0"/>
                <w:numId w:val="24"/>
              </w:numPr>
            </w:pPr>
            <w:r>
              <w:t>T</w:t>
            </w:r>
            <w:r w:rsidRPr="004746B6">
              <w:t>he proportion of imputation credits generated that is distributed to investors</w:t>
            </w:r>
          </w:p>
        </w:tc>
        <w:tc>
          <w:tcPr>
            <w:tcW w:w="3747" w:type="dxa"/>
          </w:tcPr>
          <w:p w:rsidR="001D37D5" w:rsidRDefault="001D37D5" w:rsidP="00247000">
            <w:pPr>
              <w:keepNext/>
              <w:numPr>
                <w:ilvl w:val="0"/>
                <w:numId w:val="24"/>
              </w:numPr>
            </w:pPr>
            <w:r>
              <w:t xml:space="preserve">Primary reliance placed on the </w:t>
            </w:r>
            <w:r w:rsidRPr="004746B6">
              <w:t xml:space="preserve">widely accepted </w:t>
            </w:r>
            <w:r>
              <w:t>cumulative payout ratio approach. Some regard is also given to Lally's estimate for listed equity from financial reports of the 20 largest listed firms.</w:t>
            </w:r>
          </w:p>
        </w:tc>
      </w:tr>
      <w:tr w:rsidR="001D37D5" w:rsidTr="005E1FC3">
        <w:trPr>
          <w:cnfStyle w:val="000000010000" w:firstRow="0" w:lastRow="0" w:firstColumn="0" w:lastColumn="0" w:oddVBand="0" w:evenVBand="0" w:oddHBand="0" w:evenHBand="1" w:firstRowFirstColumn="0" w:firstRowLastColumn="0" w:lastRowFirstColumn="0" w:lastRowLastColumn="0"/>
        </w:trPr>
        <w:tc>
          <w:tcPr>
            <w:tcW w:w="2518" w:type="dxa"/>
          </w:tcPr>
          <w:p w:rsidR="001D37D5" w:rsidRDefault="001D37D5" w:rsidP="00247000">
            <w:pPr>
              <w:keepNext/>
              <w:numPr>
                <w:ilvl w:val="0"/>
                <w:numId w:val="24"/>
              </w:numPr>
            </w:pPr>
            <w:r>
              <w:t>Utilisation rate (or theta)</w:t>
            </w:r>
          </w:p>
        </w:tc>
        <w:tc>
          <w:tcPr>
            <w:tcW w:w="2977" w:type="dxa"/>
          </w:tcPr>
          <w:p w:rsidR="001D37D5" w:rsidRDefault="001D37D5" w:rsidP="00247000">
            <w:pPr>
              <w:keepNext/>
              <w:numPr>
                <w:ilvl w:val="0"/>
                <w:numId w:val="24"/>
              </w:numPr>
            </w:pPr>
            <w:r>
              <w:t>T</w:t>
            </w:r>
            <w:r w:rsidRPr="004746B6">
              <w:t>he utilisation value to investors in the market per dollar of imputation credits distributed</w:t>
            </w:r>
            <w:r>
              <w:rPr>
                <w:rStyle w:val="FootnoteReference"/>
              </w:rPr>
              <w:footnoteReference w:id="10"/>
            </w:r>
          </w:p>
        </w:tc>
        <w:tc>
          <w:tcPr>
            <w:tcW w:w="3747" w:type="dxa"/>
          </w:tcPr>
          <w:p w:rsidR="001D37D5" w:rsidRDefault="001D37D5" w:rsidP="00247000">
            <w:pPr>
              <w:keepNext/>
              <w:numPr>
                <w:ilvl w:val="0"/>
                <w:numId w:val="24"/>
              </w:numPr>
            </w:pPr>
            <w:r>
              <w:t>A range of approaches, with due regard to the merit of each approach:</w:t>
            </w:r>
          </w:p>
          <w:p w:rsidR="001D37D5" w:rsidRPr="001D37D5" w:rsidRDefault="001D37D5" w:rsidP="00247000">
            <w:pPr>
              <w:pStyle w:val="AERbulletlistfirststyle"/>
              <w:keepNext/>
            </w:pPr>
            <w:r>
              <w:t>equity ownership approach</w:t>
            </w:r>
          </w:p>
          <w:p w:rsidR="001D37D5" w:rsidRDefault="001D37D5" w:rsidP="00247000">
            <w:pPr>
              <w:pStyle w:val="AERbulletlistfirststyle"/>
              <w:keepNext/>
            </w:pPr>
            <w:r>
              <w:t>tax statistics</w:t>
            </w:r>
          </w:p>
          <w:p w:rsidR="001D37D5" w:rsidRDefault="001D37D5" w:rsidP="00247000">
            <w:pPr>
              <w:pStyle w:val="AERbulletlistfirststyle"/>
              <w:keepNext/>
            </w:pPr>
            <w:r>
              <w:t>implied market value studies</w:t>
            </w:r>
          </w:p>
        </w:tc>
      </w:tr>
    </w:tbl>
    <w:p w:rsidR="001D37D5" w:rsidRDefault="001D37D5" w:rsidP="00A02D8C">
      <w:pPr>
        <w:pStyle w:val="AERtablesource"/>
        <w:keepNext/>
      </w:pPr>
      <w:r>
        <w:t>Source:</w:t>
      </w:r>
      <w:r>
        <w:tab/>
        <w:t xml:space="preserve">AER analysis, see section </w:t>
      </w:r>
      <w:r>
        <w:fldChar w:fldCharType="begin"/>
      </w:r>
      <w:r>
        <w:instrText xml:space="preserve"> REF _Ref401133206 \r \h </w:instrText>
      </w:r>
      <w:r>
        <w:fldChar w:fldCharType="separate"/>
      </w:r>
      <w:r w:rsidR="00A02D8C">
        <w:t>A.10</w:t>
      </w:r>
      <w:r>
        <w:fldChar w:fldCharType="end"/>
      </w:r>
      <w:r>
        <w:t xml:space="preserve">, </w:t>
      </w:r>
      <w:r>
        <w:fldChar w:fldCharType="begin"/>
      </w:r>
      <w:r>
        <w:instrText xml:space="preserve"> REF _Ref415049811 \r \h </w:instrText>
      </w:r>
      <w:r>
        <w:fldChar w:fldCharType="separate"/>
      </w:r>
      <w:r w:rsidR="00A02D8C">
        <w:t>A.12</w:t>
      </w:r>
      <w:r>
        <w:fldChar w:fldCharType="end"/>
      </w:r>
      <w:r>
        <w:t xml:space="preserve">, </w:t>
      </w:r>
      <w:r>
        <w:fldChar w:fldCharType="begin"/>
      </w:r>
      <w:r>
        <w:instrText xml:space="preserve"> REF _Ref402179420 \r \h </w:instrText>
      </w:r>
      <w:r>
        <w:fldChar w:fldCharType="separate"/>
      </w:r>
      <w:r w:rsidR="00A02D8C">
        <w:t>A.13</w:t>
      </w:r>
      <w:r>
        <w:fldChar w:fldCharType="end"/>
      </w:r>
      <w:r>
        <w:t xml:space="preserve"> and </w:t>
      </w:r>
      <w:r>
        <w:fldChar w:fldCharType="begin"/>
      </w:r>
      <w:r>
        <w:instrText xml:space="preserve"> REF _Ref451184082 \r \h </w:instrText>
      </w:r>
      <w:r>
        <w:fldChar w:fldCharType="separate"/>
      </w:r>
      <w:r w:rsidR="00A02D8C">
        <w:t>A.15</w:t>
      </w:r>
      <w:r>
        <w:fldChar w:fldCharType="end"/>
      </w:r>
      <w:r>
        <w:t>.</w:t>
      </w:r>
    </w:p>
    <w:p w:rsidR="001D37D5" w:rsidRPr="00883125" w:rsidRDefault="001D37D5" w:rsidP="001D37D5">
      <w:pPr>
        <w:numPr>
          <w:ilvl w:val="0"/>
          <w:numId w:val="24"/>
        </w:numPr>
      </w:pPr>
      <w:r w:rsidRPr="00883125">
        <w:t xml:space="preserve">Overall, </w:t>
      </w:r>
      <w:r>
        <w:t>the</w:t>
      </w:r>
      <w:r w:rsidRPr="00883125">
        <w:t xml:space="preserve"> evidence suggests a range of estimates for the value of imputation credits might be reasonable. With regard to the merits of the evidence before us, we choose a value of imputation credits of 0.4 from within a range of 0.3 to 0.5.</w:t>
      </w:r>
    </w:p>
    <w:p w:rsidR="001D37D5" w:rsidRDefault="001D37D5" w:rsidP="001D37D5">
      <w:r w:rsidRPr="00883125">
        <w:t xml:space="preserve">In considering the evidence on the distribution and utilisation rates, we have broadly maintained the approach set out in the </w:t>
      </w:r>
      <w:r>
        <w:t>R</w:t>
      </w:r>
      <w:r w:rsidRPr="00883125">
        <w:t xml:space="preserve">ate of </w:t>
      </w:r>
      <w:r>
        <w:t>R</w:t>
      </w:r>
      <w:r w:rsidRPr="00883125">
        <w:t xml:space="preserve">eturn </w:t>
      </w:r>
      <w:r>
        <w:t>G</w:t>
      </w:r>
      <w:r w:rsidRPr="00883125">
        <w:t>uideline (the Guideline), but have re-examined the relevant evidence and estimates. This re-examination, and new evidence and advice considered since the Guideline, led us to depart from the 0.5 value of imputation credits we proposed in the Guideline.</w:t>
      </w:r>
    </w:p>
    <w:p w:rsidR="001D37D5" w:rsidRPr="00883125" w:rsidRDefault="001D37D5" w:rsidP="001D37D5">
      <w:pPr>
        <w:pStyle w:val="HeadingBoldBlue"/>
      </w:pPr>
      <w:r>
        <w:t>Recent developments</w:t>
      </w:r>
    </w:p>
    <w:p w:rsidR="001D37D5" w:rsidRDefault="001D37D5" w:rsidP="001D37D5">
      <w:pPr>
        <w:rPr>
          <w:rStyle w:val="AERbody"/>
        </w:rPr>
      </w:pPr>
      <w:r w:rsidRPr="005942A6">
        <w:rPr>
          <w:rStyle w:val="AERbody"/>
        </w:rPr>
        <w:t>Since the service providers submitted their revised proposals, a number of service providers made late submissions. These late submissions have asked us to take into account a range of issues identified in the recent Australian Competition Tribunal (the Tribunal) decisions for ActewAGL Distribution, Ausgrid, Endeavour Energy, Essential Energy and Jemena Gas Networks.</w:t>
      </w:r>
      <w:r w:rsidRPr="005942A6">
        <w:rPr>
          <w:rStyle w:val="FootnoteReference"/>
        </w:rPr>
        <w:footnoteReference w:id="11"/>
      </w:r>
      <w:r w:rsidRPr="005942A6">
        <w:rPr>
          <w:rStyle w:val="AERbody"/>
        </w:rPr>
        <w:t xml:space="preserve"> The Tribunal ordered the remittal of our final decisions for these service providers, with directions to remake our decision by reference to an estimated cost of corporate income tax based on a gamma of 0.25. We consider that the Tribunal erred in reaching its conclusion and we have sought review of the Tribunal's decision in the Federal Court</w:t>
      </w:r>
      <w:r>
        <w:rPr>
          <w:rStyle w:val="AERbody"/>
        </w:rPr>
        <w:t>.  We take the view:</w:t>
      </w:r>
    </w:p>
    <w:p w:rsidR="001D37D5" w:rsidRPr="001D37D5" w:rsidRDefault="001D37D5" w:rsidP="001D37D5">
      <w:pPr>
        <w:pStyle w:val="AERbulletlistfirststyle"/>
      </w:pPr>
      <w:r w:rsidRPr="00E44473">
        <w:t>there is no consensus amongst experts as to the best approach to estimating gamma</w:t>
      </w:r>
      <w:r w:rsidRPr="001D37D5">
        <w:t>.  The AER must therefore choose an appropriate value for gamma from amongst the alternatives.  We must reach our own view on the appropriate reliance to place upon different views and methodologies in reaching our decision</w:t>
      </w:r>
    </w:p>
    <w:p w:rsidR="001D37D5" w:rsidRPr="001D37D5" w:rsidRDefault="001D37D5" w:rsidP="001D37D5">
      <w:pPr>
        <w:pStyle w:val="AERbulletlistfirststyle"/>
      </w:pPr>
      <w:r w:rsidRPr="00E44473">
        <w:lastRenderedPageBreak/>
        <w:t>the Tribunal</w:t>
      </w:r>
      <w:r w:rsidRPr="001D37D5">
        <w:t>'s view that the “tax statistics approach” to estimating gamma could be used only as an “upper bound” for the purposes of ascertaining theta, is not correct</w:t>
      </w:r>
    </w:p>
    <w:p w:rsidR="001D37D5" w:rsidRPr="001D37D5" w:rsidRDefault="001D37D5" w:rsidP="001D37D5">
      <w:pPr>
        <w:pStyle w:val="AERbulletlistfirststyle"/>
      </w:pPr>
      <w:r w:rsidRPr="00E44473">
        <w:t xml:space="preserve">the </w:t>
      </w:r>
      <w:r w:rsidRPr="001D37D5">
        <w:t>Tribunal erred on the meaning of “the valuation of imputation credits” in the NER and NGR. The value of gamma should be seen as a post-tax value, before the impact of personal taxes and transaction costs, with the result that one dollar of claimed imputation credits has a post (company) tax value of one dollar to investors, before personal taxes and personal transaction costs.</w:t>
      </w:r>
    </w:p>
    <w:p w:rsidR="001D37D5" w:rsidRPr="001D37D5" w:rsidRDefault="001D37D5" w:rsidP="001D37D5">
      <w:pPr>
        <w:pStyle w:val="AERbulletlistfirststyle"/>
        <w:rPr>
          <w:rStyle w:val="AERbody"/>
        </w:rPr>
      </w:pPr>
      <w:r>
        <w:t>applying the Tribunal’s reasons in relation to gamma does not automatically lead to a value of 0.25 for gamma.</w:t>
      </w:r>
    </w:p>
    <w:p w:rsidR="001D37D5" w:rsidRPr="005942A6" w:rsidRDefault="001D37D5" w:rsidP="001D37D5">
      <w:pPr>
        <w:rPr>
          <w:rStyle w:val="AERbody"/>
        </w:rPr>
      </w:pPr>
      <w:r w:rsidRPr="005942A6">
        <w:rPr>
          <w:rStyle w:val="AERbody"/>
        </w:rPr>
        <w:t xml:space="preserve">At this time we have not completed the remittal of our final decisions for ActewAGL Distribution, Ausgrid, Endeavour Energy, Essential Energy and Jemena Gas Networks. </w:t>
      </w:r>
      <w:r>
        <w:rPr>
          <w:rStyle w:val="AERbody"/>
        </w:rPr>
        <w:t>I</w:t>
      </w:r>
      <w:r w:rsidRPr="005942A6">
        <w:rPr>
          <w:rStyle w:val="AERbody"/>
        </w:rPr>
        <w:t>n the time available, we have</w:t>
      </w:r>
      <w:r>
        <w:rPr>
          <w:rStyle w:val="AERbody"/>
        </w:rPr>
        <w:t>, however,</w:t>
      </w:r>
      <w:r w:rsidRPr="005942A6">
        <w:rPr>
          <w:rStyle w:val="AERbody"/>
        </w:rPr>
        <w:t xml:space="preserve"> reviewed the late submissions from United Energy, ActewAGL and CitiPower/Powercor.</w:t>
      </w:r>
      <w:r w:rsidRPr="005942A6">
        <w:rPr>
          <w:rStyle w:val="FootnoteReference"/>
        </w:rPr>
        <w:footnoteReference w:id="12"/>
      </w:r>
      <w:r w:rsidRPr="005942A6">
        <w:rPr>
          <w:rStyle w:val="AERbody"/>
        </w:rPr>
        <w:t xml:space="preserve"> To the extent time has permitted we have updated this decision to include a response to the key issues raised in the late submissions, with reference to the Tribunal's reasoning on these specific issues.</w:t>
      </w:r>
    </w:p>
    <w:p w:rsidR="001D37D5" w:rsidRPr="00DD1139" w:rsidRDefault="001D37D5" w:rsidP="001D37D5">
      <w:pPr>
        <w:rPr>
          <w:rStyle w:val="AERbody"/>
        </w:rPr>
      </w:pPr>
      <w:r w:rsidRPr="005942A6">
        <w:rPr>
          <w:rStyle w:val="AERbody"/>
        </w:rPr>
        <w:t>Of the late submissions, the most comprehensive was provided by United Energy. By addressing United Energy's submission, we have addressed all of the issues raised in the late submissions by service providers (on gamma).</w:t>
      </w:r>
      <w:r w:rsidRPr="005942A6">
        <w:rPr>
          <w:rStyle w:val="FootnoteReference"/>
        </w:rPr>
        <w:footnoteReference w:id="13"/>
      </w:r>
      <w:r w:rsidRPr="00DD1139">
        <w:rPr>
          <w:rStyle w:val="AERbody"/>
        </w:rPr>
        <w:t xml:space="preserve"> United Energy submitted we should apply a gamma of 0.25, consistent with the Tribunal decisions. The key issues it raised are set out in section 4.4.2.</w:t>
      </w:r>
    </w:p>
    <w:p w:rsidR="001D37D5" w:rsidRPr="005764F6" w:rsidRDefault="001D37D5" w:rsidP="001D37D5">
      <w:pPr>
        <w:rPr>
          <w:rStyle w:val="AERbody"/>
        </w:rPr>
      </w:pPr>
      <w:r w:rsidRPr="005764F6">
        <w:rPr>
          <w:rStyle w:val="AERbody"/>
        </w:rPr>
        <w:t>We have also sought expert advice from Dr Martin Lally (Lally), in the context of</w:t>
      </w:r>
      <w:r>
        <w:rPr>
          <w:rStyle w:val="AERbody"/>
        </w:rPr>
        <w:t xml:space="preserve"> obtaining specific advice on the issues raised by service providers in their late submissions including the matters raised by the Tribunal in its recent decision</w:t>
      </w:r>
      <w:r w:rsidRPr="005764F6">
        <w:rPr>
          <w:rStyle w:val="AERbody"/>
        </w:rPr>
        <w:t>.</w:t>
      </w:r>
      <w:r w:rsidRPr="005942A6">
        <w:rPr>
          <w:rStyle w:val="FootnoteReference"/>
        </w:rPr>
        <w:footnoteReference w:id="14"/>
      </w:r>
      <w:r w:rsidRPr="005764F6">
        <w:rPr>
          <w:rStyle w:val="AERbody"/>
        </w:rPr>
        <w:t xml:space="preserve"> </w:t>
      </w:r>
      <w:r>
        <w:rPr>
          <w:rStyle w:val="AERbody"/>
        </w:rPr>
        <w:t>W</w:t>
      </w:r>
      <w:r w:rsidRPr="005764F6">
        <w:rPr>
          <w:rStyle w:val="AERbody"/>
        </w:rPr>
        <w:t>e recognise stakeholders have not had an opportunity to comment on this advice as it was requested following the late submissions</w:t>
      </w:r>
      <w:r>
        <w:rPr>
          <w:rStyle w:val="AERbody"/>
        </w:rPr>
        <w:t xml:space="preserve"> and only received shortly before the publication of our determination</w:t>
      </w:r>
      <w:r w:rsidRPr="005764F6">
        <w:rPr>
          <w:rStyle w:val="AERbody"/>
        </w:rPr>
        <w:t>. We consider the advice from Lally is directed only to the issues that have been raised for our consideration.</w:t>
      </w:r>
    </w:p>
    <w:p w:rsidR="001D37D5" w:rsidRPr="005764F6" w:rsidRDefault="001D37D5" w:rsidP="001D37D5">
      <w:pPr>
        <w:rPr>
          <w:rStyle w:val="AERbody"/>
        </w:rPr>
      </w:pPr>
      <w:r w:rsidRPr="005764F6">
        <w:rPr>
          <w:rStyle w:val="AERbody"/>
        </w:rPr>
        <w:t>Following this review, we consider the use of a gamma of 0.4 is appropriate for the reasons set out in this decision</w:t>
      </w:r>
      <w:r>
        <w:rPr>
          <w:rStyle w:val="AERbody"/>
        </w:rPr>
        <w:t xml:space="preserve"> and we therefore maintain that value from our preliminary determination</w:t>
      </w:r>
      <w:r w:rsidRPr="005764F6">
        <w:rPr>
          <w:rStyle w:val="AERbody"/>
        </w:rPr>
        <w:t>. These reasons are substantively based on the reasons we set out in prior decisions, but we have clarified our reasoning in response to the issues raised in the late submissions following t</w:t>
      </w:r>
      <w:r w:rsidR="005F7078">
        <w:rPr>
          <w:rStyle w:val="AERbody"/>
        </w:rPr>
        <w:t>he Tribunal's recent decisions.</w:t>
      </w:r>
    </w:p>
    <w:p w:rsidR="001D37D5" w:rsidRPr="005764F6" w:rsidRDefault="001D37D5" w:rsidP="001D37D5">
      <w:pPr>
        <w:rPr>
          <w:rStyle w:val="AERbody"/>
        </w:rPr>
      </w:pPr>
      <w:r w:rsidRPr="005764F6">
        <w:rPr>
          <w:rStyle w:val="AERbody"/>
        </w:rPr>
        <w:t>With regard to United Energy's late submission, we consider:</w:t>
      </w:r>
    </w:p>
    <w:p w:rsidR="001D37D5" w:rsidRPr="001D37D5" w:rsidRDefault="001D37D5" w:rsidP="001D37D5">
      <w:pPr>
        <w:pStyle w:val="AERbulletlistfirststyle"/>
      </w:pPr>
      <w:r w:rsidRPr="005764F6">
        <w:lastRenderedPageBreak/>
        <w:t xml:space="preserve">Our conceptual approach considers the value of gamma is a post-tax value before the impact of personal taxes and transaction costs. This means one dollar of claimed imputation credits has a post (company) tax value of one dollar to investors before personal taxes and personal transaction costs. Our approach considers gamma to be equal to the product of the </w:t>
      </w:r>
      <w:r w:rsidRPr="001D37D5">
        <w:t xml:space="preserve">distribution rate multiplied by the utilisation value to investors in the market per dollar of imputation credits distributed (the utilisation rate). We consider the utilisation value reflects the weighted average, by wealth and risk aversion, of the utilisation rates of investors—some of whom will have a utilisation rate of 1 and others who will have utilisation rate of 0. This is covered in section </w:t>
      </w:r>
      <w:r w:rsidRPr="001D37D5">
        <w:fldChar w:fldCharType="begin"/>
      </w:r>
      <w:r w:rsidRPr="001D37D5">
        <w:instrText xml:space="preserve"> REF _Ref415144114 \r \h  \* MERGEFORMAT </w:instrText>
      </w:r>
      <w:r w:rsidRPr="001D37D5">
        <w:fldChar w:fldCharType="separate"/>
      </w:r>
      <w:r w:rsidR="00A02D8C">
        <w:t>A.5</w:t>
      </w:r>
      <w:r w:rsidRPr="001D37D5">
        <w:fldChar w:fldCharType="end"/>
      </w:r>
      <w:r w:rsidRPr="001D37D5">
        <w:t xml:space="preserve"> and </w:t>
      </w:r>
      <w:r w:rsidRPr="001D37D5">
        <w:fldChar w:fldCharType="begin"/>
      </w:r>
      <w:r w:rsidRPr="001D37D5">
        <w:instrText xml:space="preserve"> REF _Ref400965182 \r \h  \* MERGEFORMAT </w:instrText>
      </w:r>
      <w:r w:rsidRPr="001D37D5">
        <w:fldChar w:fldCharType="separate"/>
      </w:r>
      <w:r w:rsidR="00A02D8C">
        <w:t>A.6</w:t>
      </w:r>
      <w:r w:rsidRPr="001D37D5">
        <w:fldChar w:fldCharType="end"/>
      </w:r>
      <w:r w:rsidRPr="001D37D5">
        <w:t>.</w:t>
      </w:r>
    </w:p>
    <w:p w:rsidR="001D37D5" w:rsidRPr="001D37D5" w:rsidRDefault="001D37D5" w:rsidP="001D37D5">
      <w:pPr>
        <w:pStyle w:val="AERbulletlistfirststyle"/>
      </w:pPr>
      <w:r w:rsidRPr="005764F6">
        <w:t>O</w:t>
      </w:r>
      <w:r w:rsidRPr="001D37D5">
        <w:t xml:space="preserve">ur conceptual framework is consistent with the Officer framework, our allowed rate of return and our allowed revenues. For example, the allowed rate of return is a post-company tax pre-personal tax weighted average cost of capital (WACC). We estimate the allowed revenue, including the corporate tax allowance (and the value of imputation credits), on the same basis. Moreover, when calculating the yield to maturity on debt (for the return on debt and risk free rate) and market risk premium (MRP), the face value of coupons/dividends are used (see section </w:t>
      </w:r>
      <w:r w:rsidRPr="001D37D5">
        <w:fldChar w:fldCharType="begin"/>
      </w:r>
      <w:r w:rsidRPr="001D37D5">
        <w:instrText xml:space="preserve"> REF _Ref450298425 \r \h  \* MERGEFORMAT </w:instrText>
      </w:r>
      <w:r w:rsidRPr="001D37D5">
        <w:fldChar w:fldCharType="separate"/>
      </w:r>
      <w:r w:rsidR="00A02D8C">
        <w:t>A.8.2</w:t>
      </w:r>
      <w:r w:rsidRPr="001D37D5">
        <w:fldChar w:fldCharType="end"/>
      </w:r>
      <w:r w:rsidRPr="001D37D5">
        <w:t xml:space="preserve">). Our interpretation of the post-tax framework in the NER/NGR is covered in section </w:t>
      </w:r>
      <w:r w:rsidRPr="001D37D5">
        <w:fldChar w:fldCharType="begin"/>
      </w:r>
      <w:r w:rsidRPr="001D37D5">
        <w:instrText xml:space="preserve"> REF _Ref400965182 \r \h  \* MERGEFORMAT </w:instrText>
      </w:r>
      <w:r w:rsidRPr="001D37D5">
        <w:fldChar w:fldCharType="separate"/>
      </w:r>
      <w:r w:rsidR="00A02D8C">
        <w:t>A.6</w:t>
      </w:r>
      <w:r w:rsidRPr="001D37D5">
        <w:fldChar w:fldCharType="end"/>
      </w:r>
      <w:r w:rsidRPr="001D37D5">
        <w:t xml:space="preserve">. </w:t>
      </w:r>
    </w:p>
    <w:p w:rsidR="001D37D5" w:rsidRPr="001D37D5" w:rsidRDefault="001D37D5" w:rsidP="001D37D5">
      <w:pPr>
        <w:pStyle w:val="AERbulletlistfirststyle"/>
      </w:pPr>
      <w:r w:rsidRPr="005764F6">
        <w:t>We use a range of relevant evidence to estimate the utilisation</w:t>
      </w:r>
      <w:r w:rsidRPr="001D37D5">
        <w:t xml:space="preserve"> rate. We consider:</w:t>
      </w:r>
    </w:p>
    <w:p w:rsidR="001D37D5" w:rsidRPr="005764F6" w:rsidRDefault="001D37D5" w:rsidP="001D37D5">
      <w:pPr>
        <w:pStyle w:val="AERbulletlistsecondstyle"/>
      </w:pPr>
      <w:r w:rsidRPr="005764F6">
        <w:t xml:space="preserve">The equity ownership approach provides the best estimate of the utilisation value to investors in the market per dollar of imputation credits distributed (see section </w:t>
      </w:r>
      <w:r w:rsidRPr="005764F6">
        <w:fldChar w:fldCharType="begin"/>
      </w:r>
      <w:r w:rsidRPr="005764F6">
        <w:instrText xml:space="preserve"> REF _Ref415049811 \r \h  \* MERGEFORMAT </w:instrText>
      </w:r>
      <w:r w:rsidRPr="005764F6">
        <w:fldChar w:fldCharType="separate"/>
      </w:r>
      <w:r w:rsidR="00A02D8C">
        <w:t>A.12</w:t>
      </w:r>
      <w:r w:rsidRPr="005764F6">
        <w:fldChar w:fldCharType="end"/>
      </w:r>
      <w:r w:rsidRPr="005764F6">
        <w:t>).</w:t>
      </w:r>
    </w:p>
    <w:p w:rsidR="001D37D5" w:rsidRPr="005764F6" w:rsidRDefault="001D37D5" w:rsidP="001D37D5">
      <w:pPr>
        <w:pStyle w:val="AERbulletlistsecondstyle"/>
      </w:pPr>
      <w:r w:rsidRPr="005764F6">
        <w:t>Taxation statistics (tax statistics) can also provide a reasonable estimate of the utilisation value to investors in the market per dollar of imputation credits distributed, if the data upon which those statistics are based is reliable. However, there are potential issues with the quality of the underlying taxation data. For example, Lally has advised that the taxation data is unreliable.</w:t>
      </w:r>
      <w:r w:rsidRPr="00583683">
        <w:rPr>
          <w:rStyle w:val="FootnoteReference"/>
        </w:rPr>
        <w:footnoteReference w:id="15"/>
      </w:r>
      <w:r w:rsidRPr="005764F6">
        <w:t xml:space="preserve"> Having regard to the potential data limitations and alternate estimates, the evidence from tax statistics is not inconsistent with the evidence from the equity ownership approach, but we place less reliance upon it. (see section </w:t>
      </w:r>
      <w:r w:rsidRPr="005764F6">
        <w:fldChar w:fldCharType="begin"/>
      </w:r>
      <w:r w:rsidRPr="005764F6">
        <w:instrText xml:space="preserve"> REF _Ref402179420 \r \h  \* MERGEFORMAT </w:instrText>
      </w:r>
      <w:r w:rsidRPr="005764F6">
        <w:fldChar w:fldCharType="separate"/>
      </w:r>
      <w:r w:rsidR="00A02D8C">
        <w:t>A.13</w:t>
      </w:r>
      <w:r w:rsidRPr="005764F6">
        <w:fldChar w:fldCharType="end"/>
      </w:r>
      <w:r w:rsidRPr="005764F6">
        <w:t>).We also note, regardless of any issues of taxation data reliability, an estimate of gamma of approximately 0.4 is obtained when combining a utilisation rate of 0.48 (consistent with FAB data) with Lally's preferred estimate of the distribution rate for a benchmark efficient entity of 0.83.</w:t>
      </w:r>
      <w:r w:rsidRPr="00583683">
        <w:rPr>
          <w:rStyle w:val="FootnoteReference"/>
        </w:rPr>
        <w:footnoteReference w:id="16"/>
      </w:r>
    </w:p>
    <w:p w:rsidR="001D37D5" w:rsidRPr="005764F6" w:rsidRDefault="001D37D5" w:rsidP="001D37D5">
      <w:pPr>
        <w:pStyle w:val="AERbulletlistsecondstyle"/>
      </w:pPr>
      <w:r w:rsidRPr="005764F6">
        <w:t xml:space="preserve">On the other hand, implied market value studies are affected by factors such as differential personal taxation and other personal costs. This means they do not provide an estimate of the utilisation value to investors in the market per dollar of imputation credits distributed on a post-tax (pre-personal tax and costs basis). Therefore, they are inconsistent with the Officer framework unless they are adjusted. Even when adjusted, implied market value studies are subject to many limitations and do not clearly measure the value to the aggregate investors who </w:t>
      </w:r>
      <w:r w:rsidRPr="005764F6">
        <w:lastRenderedPageBreak/>
        <w:t xml:space="preserve">provide long term capital to a benchmark efficient entity. Lally stated his views on dividend drop off studies are 'highly adverse' and considers it appropriate to place the lowest reliance on their results (see section </w:t>
      </w:r>
      <w:r w:rsidRPr="005764F6">
        <w:fldChar w:fldCharType="begin"/>
      </w:r>
      <w:r w:rsidRPr="005764F6">
        <w:instrText xml:space="preserve"> REF _Ref451186079 \r \h  \* MERGEFORMAT </w:instrText>
      </w:r>
      <w:r w:rsidRPr="005764F6">
        <w:fldChar w:fldCharType="separate"/>
      </w:r>
      <w:r w:rsidR="00A02D8C">
        <w:t>A.15</w:t>
      </w:r>
      <w:r w:rsidRPr="005764F6">
        <w:fldChar w:fldCharType="end"/>
      </w:r>
      <w:r w:rsidRPr="005764F6">
        <w:t>).</w:t>
      </w:r>
      <w:r w:rsidRPr="00583683">
        <w:rPr>
          <w:rStyle w:val="FootnoteReference"/>
        </w:rPr>
        <w:footnoteReference w:id="17"/>
      </w:r>
    </w:p>
    <w:p w:rsidR="001D37D5" w:rsidRPr="001D37D5" w:rsidRDefault="001D37D5" w:rsidP="001D37D5">
      <w:pPr>
        <w:pStyle w:val="AERbulletlistfirststyle"/>
      </w:pPr>
      <w:r w:rsidRPr="005764F6">
        <w:t xml:space="preserve">Tax statistics do not </w:t>
      </w:r>
      <w:r w:rsidRPr="001D37D5">
        <w:t>provide an upper bound estimate for gamma, as the Tribunal found.</w:t>
      </w:r>
      <w:r w:rsidRPr="001D37D5">
        <w:footnoteReference w:id="18"/>
      </w:r>
      <w:r w:rsidRPr="001D37D5">
        <w:t xml:space="preserve"> Lally supports this view.</w:t>
      </w:r>
      <w:r w:rsidRPr="001D37D5">
        <w:rPr>
          <w:rStyle w:val="FootnoteReference"/>
        </w:rPr>
        <w:footnoteReference w:id="19"/>
      </w:r>
      <w:r w:rsidRPr="001D37D5">
        <w:t xml:space="preserve"> We consider tax statistics provide a point estimate of the utilisation rate. The uncertainty associated with redemption estimates from taxation data means the true (unobservable) redemption value could be above or below the mean estimate. This is covered in section </w:t>
      </w:r>
      <w:r w:rsidRPr="001D37D5">
        <w:fldChar w:fldCharType="begin"/>
      </w:r>
      <w:r w:rsidRPr="001D37D5">
        <w:instrText xml:space="preserve"> REF _Ref402179420 \r \h  \* MERGEFORMAT </w:instrText>
      </w:r>
      <w:r w:rsidRPr="001D37D5">
        <w:fldChar w:fldCharType="separate"/>
      </w:r>
      <w:r w:rsidR="00A02D8C">
        <w:t>A.13</w:t>
      </w:r>
      <w:r w:rsidRPr="001D37D5">
        <w:fldChar w:fldCharType="end"/>
      </w:r>
      <w:r w:rsidRPr="001D37D5">
        <w:t>. However, we note that even if we do use an estimate of the utilisation rate of 0.48 from taxation statistics (consistent with FAB data), this results in an estimate for gamma of approximately 0.4 when combined with Lally's preferred distribution rate of 0.83 for a benchmark efficient entity.</w:t>
      </w:r>
    </w:p>
    <w:p w:rsidR="001D37D5" w:rsidRPr="001D37D5" w:rsidRDefault="001D37D5" w:rsidP="001D37D5">
      <w:pPr>
        <w:pStyle w:val="AERbulletlistfirststyle"/>
      </w:pPr>
      <w:r w:rsidRPr="005764F6">
        <w:t xml:space="preserve">Because tax statistics are not an upper bound, there </w:t>
      </w:r>
      <w:r w:rsidRPr="001D37D5">
        <w:t>is no evidence the equity ownership approach materially overstates the true utilisation rate. On this point, we also consider:</w:t>
      </w:r>
    </w:p>
    <w:p w:rsidR="001D37D5" w:rsidRPr="005764F6" w:rsidRDefault="001D37D5" w:rsidP="001D37D5">
      <w:pPr>
        <w:pStyle w:val="AERbulletlistsecondstyle"/>
      </w:pPr>
      <w:r w:rsidRPr="005764F6">
        <w:t xml:space="preserve">There is no data to suggest the redemption of imputation credits is materially lower than the estimate of the utilisation rate derived from the equity ownership approach. In particular, there is no credible data on the impact of the 45 day holding rule. This is covered in section </w:t>
      </w:r>
      <w:r w:rsidRPr="005764F6">
        <w:fldChar w:fldCharType="begin"/>
      </w:r>
      <w:r w:rsidRPr="005764F6">
        <w:instrText xml:space="preserve"> REF _Ref414099389 \r \h  \* MERGEFORMAT </w:instrText>
      </w:r>
      <w:r w:rsidRPr="005764F6">
        <w:fldChar w:fldCharType="separate"/>
      </w:r>
      <w:r w:rsidR="00A02D8C">
        <w:t>A.8.3</w:t>
      </w:r>
      <w:r w:rsidRPr="005764F6">
        <w:fldChar w:fldCharType="end"/>
      </w:r>
      <w:r w:rsidRPr="005764F6">
        <w:t>.</w:t>
      </w:r>
    </w:p>
    <w:p w:rsidR="001D37D5" w:rsidRPr="005764F6" w:rsidRDefault="001D37D5" w:rsidP="001D37D5">
      <w:pPr>
        <w:pStyle w:val="AERbulletlistsecondstyle"/>
      </w:pPr>
      <w:r w:rsidRPr="005764F6">
        <w:t>Estimates of the gamma value from the equity ownership approach range from 0.28 to 0.47 if the ranges from both listed equity (0.28 to 0.41) and all equity (0.40 to 0.47) are considered and where estimates of gamma are based on matching cumulative distribution rate data. We use an estimate well below the top of the range for all equity.</w:t>
      </w:r>
    </w:p>
    <w:p w:rsidR="001D37D5" w:rsidRPr="001D37D5" w:rsidRDefault="001D37D5" w:rsidP="001D37D5">
      <w:pPr>
        <w:pStyle w:val="AERbulletlistfirststyle"/>
      </w:pPr>
      <w:r w:rsidRPr="005764F6">
        <w:t xml:space="preserve">It is open to us to </w:t>
      </w:r>
      <w:r w:rsidRPr="001D37D5">
        <w:t xml:space="preserve">have regard to a listed equity measure of the distribution rate, which we consider is reasonably reflective of a benchmark efficient entity given the trade-offs associated with choosing an appropriate dataset (see section </w:t>
      </w:r>
      <w:r w:rsidRPr="001D37D5">
        <w:fldChar w:fldCharType="begin"/>
      </w:r>
      <w:r w:rsidRPr="001D37D5">
        <w:instrText xml:space="preserve"> REF _Ref401133206 \r \h  \* MERGEFORMAT </w:instrText>
      </w:r>
      <w:r w:rsidRPr="001D37D5">
        <w:fldChar w:fldCharType="separate"/>
      </w:r>
      <w:r w:rsidR="00A02D8C">
        <w:t>A.10</w:t>
      </w:r>
      <w:r w:rsidRPr="001D37D5">
        <w:fldChar w:fldCharType="end"/>
      </w:r>
      <w:r w:rsidRPr="001D37D5">
        <w:t>).</w:t>
      </w:r>
      <w:r w:rsidRPr="001D37D5">
        <w:rPr>
          <w:rStyle w:val="FootnoteReference"/>
        </w:rPr>
        <w:footnoteReference w:id="20"/>
      </w:r>
      <w:r w:rsidRPr="001D37D5">
        <w:t xml:space="preserve"> In a similar vein, we agree with Lally that it is not essential (but 'nor is it precluded') to combine estimates of the distribution rate and utilisation rate from the same dataset (see section </w:t>
      </w:r>
      <w:r w:rsidRPr="001D37D5">
        <w:fldChar w:fldCharType="begin"/>
      </w:r>
      <w:r w:rsidRPr="001D37D5">
        <w:instrText xml:space="preserve"> REF _Ref450299300 \r \h  \* MERGEFORMAT </w:instrText>
      </w:r>
      <w:r w:rsidRPr="001D37D5">
        <w:fldChar w:fldCharType="separate"/>
      </w:r>
      <w:r w:rsidR="00A02D8C">
        <w:t>A.9.2</w:t>
      </w:r>
      <w:r w:rsidRPr="001D37D5">
        <w:fldChar w:fldCharType="end"/>
      </w:r>
      <w:r w:rsidRPr="001D37D5">
        <w:t>).</w:t>
      </w:r>
      <w:r w:rsidRPr="001D37D5">
        <w:rPr>
          <w:rStyle w:val="FootnoteReference"/>
        </w:rPr>
        <w:footnoteReference w:id="21"/>
      </w:r>
      <w:r w:rsidRPr="001D37D5">
        <w:t xml:space="preserve"> Given this, while we primarily maintain our previous approach in this decision, we also have some regard to Lally's preferred approach. This combines a distribution rate for listed equity from financial reports of the top 20 listed firms with an all equity utilisation rate from the equity ownership approach.</w:t>
      </w:r>
      <w:r w:rsidRPr="001D37D5">
        <w:rPr>
          <w:rStyle w:val="FootnoteReference"/>
        </w:rPr>
        <w:footnoteReference w:id="22"/>
      </w:r>
      <w:r w:rsidRPr="001D37D5">
        <w:t xml:space="preserve"> We also have some regard to a gamma estimate based on the utilisation rate from taxation statistics of 0.48 (consistent with FAB data used to calculate the cumulative payout ratio distribution rate) and Lally's preferred estimate of the distribution rate for a benchmark efficient entity of 0.83.</w:t>
      </w:r>
    </w:p>
    <w:p w:rsidR="001D37D5" w:rsidRPr="005764F6" w:rsidRDefault="001D37D5" w:rsidP="001D37D5">
      <w:pPr>
        <w:rPr>
          <w:rStyle w:val="AERbody"/>
        </w:rPr>
      </w:pPr>
      <w:r w:rsidRPr="005764F6">
        <w:rPr>
          <w:rStyle w:val="AERbody"/>
        </w:rPr>
        <w:lastRenderedPageBreak/>
        <w:t>Lally</w:t>
      </w:r>
      <w:r>
        <w:rPr>
          <w:rStyle w:val="AERbody"/>
        </w:rPr>
        <w:t xml:space="preserve"> (in his latest report)</w:t>
      </w:r>
      <w:r w:rsidRPr="005764F6">
        <w:rPr>
          <w:rStyle w:val="AERbody"/>
        </w:rPr>
        <w:t xml:space="preserve"> support</w:t>
      </w:r>
      <w:r>
        <w:rPr>
          <w:rStyle w:val="AERbody"/>
        </w:rPr>
        <w:t>s, among other things,</w:t>
      </w:r>
      <w:r w:rsidRPr="005764F6">
        <w:rPr>
          <w:rStyle w:val="AERbody"/>
        </w:rPr>
        <w:t xml:space="preserve"> our conceptual approach to estimating gamma and the relative reliance we place on different sources of evidence to estimate the utilisation </w:t>
      </w:r>
      <w:r>
        <w:rPr>
          <w:rStyle w:val="AERbody"/>
        </w:rPr>
        <w:t>rate</w:t>
      </w:r>
      <w:r w:rsidRPr="005764F6">
        <w:rPr>
          <w:rStyle w:val="AERbody"/>
        </w:rPr>
        <w:t>.</w:t>
      </w:r>
      <w:r>
        <w:rPr>
          <w:rStyle w:val="FootnoteReference"/>
        </w:rPr>
        <w:footnoteReference w:id="23"/>
      </w:r>
      <w:r w:rsidRPr="005764F6">
        <w:rPr>
          <w:rStyle w:val="AERbody"/>
        </w:rPr>
        <w:t xml:space="preserve"> However, he recommended an implementation of the equity ownership approach which resulted in an estimate of gamma </w:t>
      </w:r>
      <w:r>
        <w:rPr>
          <w:rStyle w:val="AERbody"/>
        </w:rPr>
        <w:t xml:space="preserve">of at least </w:t>
      </w:r>
      <w:r w:rsidRPr="005764F6">
        <w:rPr>
          <w:rStyle w:val="AERbody"/>
        </w:rPr>
        <w:t>0.5. This is higher than the estimate of 0.4 we adopt in this decision. We maintain our approach and final estimate because we consider it meets the requirements of the NER/NGR</w:t>
      </w:r>
      <w:r>
        <w:rPr>
          <w:rStyle w:val="AERbody"/>
        </w:rPr>
        <w:t xml:space="preserve"> and takes into account the importance of regulatory certainty and predictability</w:t>
      </w:r>
      <w:r w:rsidR="005F7078">
        <w:rPr>
          <w:rStyle w:val="AERbody"/>
        </w:rPr>
        <w:t>.</w:t>
      </w:r>
    </w:p>
    <w:p w:rsidR="001D37D5" w:rsidRDefault="001D37D5" w:rsidP="001D37D5">
      <w:pPr>
        <w:pStyle w:val="HeadingBoldBlue"/>
      </w:pPr>
      <w:r>
        <w:t>The use of taxation statistics</w:t>
      </w:r>
    </w:p>
    <w:p w:rsidR="001D37D5" w:rsidRDefault="001D37D5" w:rsidP="001D37D5">
      <w:r>
        <w:t xml:space="preserve">In response to the recent submissions on the Tribunal decisions, we have again considered the reliability of utilisation rate and gamma estimates based on tax statistics. We have also considered what can reasonably be concluded about the appropriate estimate of gamma for a benchmark efficient entity based on these statistics. This section briefly summarises our views on these matters. </w:t>
      </w:r>
    </w:p>
    <w:p w:rsidR="001D37D5" w:rsidRPr="00243100" w:rsidRDefault="001D37D5" w:rsidP="001D37D5">
      <w:r w:rsidRPr="00243100">
        <w:t xml:space="preserve">In this final decision, </w:t>
      </w:r>
      <w:r>
        <w:t>we</w:t>
      </w:r>
      <w:r w:rsidRPr="00243100">
        <w:t xml:space="preserve"> consider there are </w:t>
      </w:r>
      <w:r>
        <w:t xml:space="preserve">potential </w:t>
      </w:r>
      <w:r w:rsidRPr="00243100">
        <w:t>underlying data issues with tax statistics and as a result</w:t>
      </w:r>
      <w:r>
        <w:t>,</w:t>
      </w:r>
      <w:r w:rsidRPr="00243100">
        <w:t xml:space="preserve"> the utilisation </w:t>
      </w:r>
      <w:r>
        <w:t>rate</w:t>
      </w:r>
      <w:r w:rsidRPr="00243100">
        <w:t xml:space="preserve"> cannot be estimated reliably f</w:t>
      </w:r>
      <w:r>
        <w:t>rom this data</w:t>
      </w:r>
      <w:r w:rsidRPr="00243100">
        <w:t xml:space="preserve">. As outlined by Lally, the data issues with tax statistics </w:t>
      </w:r>
      <w:r>
        <w:t>are</w:t>
      </w:r>
      <w:r w:rsidRPr="00243100">
        <w:t xml:space="preserve"> generally accepted by service providers, </w:t>
      </w:r>
      <w:r>
        <w:t>t</w:t>
      </w:r>
      <w:r w:rsidRPr="00243100">
        <w:t>he Tribunal, Hathaway, NERA, Handley and Frontier.</w:t>
      </w:r>
      <w:r>
        <w:rPr>
          <w:rStyle w:val="FootnoteReference"/>
        </w:rPr>
        <w:footnoteReference w:id="24"/>
      </w:r>
      <w:r>
        <w:t xml:space="preserve"> For this reason, in this decision, we have placed limited weight on tax statistics.</w:t>
      </w:r>
    </w:p>
    <w:p w:rsidR="001D37D5" w:rsidRDefault="001D37D5" w:rsidP="001D37D5">
      <w:r w:rsidRPr="00243100">
        <w:t xml:space="preserve">Lally considers tax statistics </w:t>
      </w:r>
      <w:r>
        <w:t xml:space="preserve">do not provide a reliable </w:t>
      </w:r>
      <w:r w:rsidRPr="00243100">
        <w:t>estimate of the utilisation rate.</w:t>
      </w:r>
      <w:r>
        <w:rPr>
          <w:rStyle w:val="FootnoteReference"/>
        </w:rPr>
        <w:footnoteReference w:id="25"/>
      </w:r>
      <w:r w:rsidRPr="00243100">
        <w:t xml:space="preserve"> Lally </w:t>
      </w:r>
      <w:r>
        <w:t xml:space="preserve">also </w:t>
      </w:r>
      <w:r w:rsidRPr="00243100">
        <w:t>consider</w:t>
      </w:r>
      <w:r>
        <w:t>s</w:t>
      </w:r>
      <w:r w:rsidRPr="00243100">
        <w:t xml:space="preserve"> </w:t>
      </w:r>
      <w:r>
        <w:t>our</w:t>
      </w:r>
      <w:r w:rsidRPr="00243100">
        <w:t xml:space="preserve"> </w:t>
      </w:r>
      <w:r>
        <w:t xml:space="preserve">tax statistic </w:t>
      </w:r>
      <w:r w:rsidRPr="00243100">
        <w:t>estimate of 0.48 is</w:t>
      </w:r>
      <w:r>
        <w:t xml:space="preserve"> </w:t>
      </w:r>
      <w:r w:rsidRPr="005764F6">
        <w:rPr>
          <w:rStyle w:val="AERtextunderline"/>
        </w:rPr>
        <w:t>not</w:t>
      </w:r>
      <w:r w:rsidRPr="00243100">
        <w:t xml:space="preserve"> an upper bound</w:t>
      </w:r>
      <w:r>
        <w:t xml:space="preserve">. As </w:t>
      </w:r>
      <w:r w:rsidRPr="00243100">
        <w:t>Lally</w:t>
      </w:r>
      <w:r>
        <w:t xml:space="preserve"> explains,</w:t>
      </w:r>
      <w:r w:rsidRPr="00243100">
        <w:t xml:space="preserve"> the fact that Hathaway also considered 0.6</w:t>
      </w:r>
      <w:r>
        <w:t>2</w:t>
      </w:r>
      <w:r w:rsidRPr="00243100">
        <w:t xml:space="preserve"> </w:t>
      </w:r>
      <w:r>
        <w:t xml:space="preserve">a </w:t>
      </w:r>
      <w:r w:rsidRPr="00243100">
        <w:t>possible estimate of the utilisation rate</w:t>
      </w:r>
      <w:r>
        <w:t xml:space="preserve"> demonstrates </w:t>
      </w:r>
      <w:r w:rsidRPr="00243100">
        <w:t xml:space="preserve">the </w:t>
      </w:r>
      <w:r>
        <w:t xml:space="preserve">utilisation rate estimate of </w:t>
      </w:r>
      <w:r w:rsidRPr="00243100">
        <w:t>0.48 is not an upper bound.</w:t>
      </w:r>
      <w:r w:rsidRPr="00AB0B17">
        <w:rPr>
          <w:rStyle w:val="FootnoteReference"/>
        </w:rPr>
        <w:footnoteReference w:id="26"/>
      </w:r>
      <w:r>
        <w:t xml:space="preserve"> We consider that any uncertain estimate is not an upper bound.</w:t>
      </w:r>
    </w:p>
    <w:p w:rsidR="001D37D5" w:rsidRDefault="001D37D5" w:rsidP="001D37D5">
      <w:r w:rsidRPr="00243100">
        <w:t xml:space="preserve">Putting </w:t>
      </w:r>
      <w:r>
        <w:t>aside the data reliability issues with tax statistics, all the evidence before us on tax statistics does</w:t>
      </w:r>
      <w:r w:rsidRPr="00243100">
        <w:t xml:space="preserve"> not demonstrate </w:t>
      </w:r>
      <w:r>
        <w:t>our</w:t>
      </w:r>
      <w:r w:rsidRPr="00243100">
        <w:t xml:space="preserve"> gamma estimate for </w:t>
      </w:r>
      <w:r>
        <w:t>a</w:t>
      </w:r>
      <w:r w:rsidRPr="00243100">
        <w:t xml:space="preserve"> benchmark effi</w:t>
      </w:r>
      <w:r>
        <w:t xml:space="preserve">cient entity of 0.4 is too high. This is evident in </w:t>
      </w:r>
      <w:r>
        <w:fldChar w:fldCharType="begin"/>
      </w:r>
      <w:r>
        <w:instrText xml:space="preserve"> REF _Ref451627331 \h </w:instrText>
      </w:r>
      <w:r>
        <w:fldChar w:fldCharType="separate"/>
      </w:r>
      <w:r w:rsidR="00A02D8C" w:rsidRPr="00883125">
        <w:t xml:space="preserve">Table </w:t>
      </w:r>
      <w:r w:rsidR="00A02D8C">
        <w:rPr>
          <w:noProof/>
        </w:rPr>
        <w:t>4</w:t>
      </w:r>
      <w:r w:rsidR="00A02D8C">
        <w:noBreakHyphen/>
      </w:r>
      <w:r w:rsidR="00A02D8C">
        <w:rPr>
          <w:noProof/>
        </w:rPr>
        <w:t>2</w:t>
      </w:r>
      <w:r>
        <w:fldChar w:fldCharType="end"/>
      </w:r>
      <w:r>
        <w:t>.</w:t>
      </w:r>
    </w:p>
    <w:p w:rsidR="001D37D5" w:rsidRPr="00883125" w:rsidRDefault="001D37D5" w:rsidP="005E1FC3">
      <w:pPr>
        <w:pStyle w:val="Caption"/>
      </w:pPr>
      <w:bookmarkStart w:id="81" w:name="_Ref451627331"/>
      <w:r w:rsidRPr="00883125">
        <w:lastRenderedPageBreak/>
        <w:t xml:space="preserve">Table </w:t>
      </w:r>
      <w:r w:rsidRPr="00962162">
        <w:fldChar w:fldCharType="begin"/>
      </w:r>
      <w:r>
        <w:instrText xml:space="preserve"> STYLEREF 1 \s </w:instrText>
      </w:r>
      <w:r w:rsidRPr="00962162">
        <w:fldChar w:fldCharType="separate"/>
      </w:r>
      <w:r w:rsidR="00A02D8C">
        <w:rPr>
          <w:noProof/>
        </w:rPr>
        <w:t>4</w:t>
      </w:r>
      <w:r w:rsidRPr="00962162">
        <w:fldChar w:fldCharType="end"/>
      </w:r>
      <w:r>
        <w:noBreakHyphen/>
      </w:r>
      <w:r w:rsidRPr="00962162">
        <w:fldChar w:fldCharType="begin"/>
      </w:r>
      <w:r>
        <w:instrText xml:space="preserve"> SEQ Table \* ARABIC \s 1 </w:instrText>
      </w:r>
      <w:r w:rsidRPr="00962162">
        <w:fldChar w:fldCharType="separate"/>
      </w:r>
      <w:r w:rsidR="00A02D8C">
        <w:rPr>
          <w:noProof/>
        </w:rPr>
        <w:t>2</w:t>
      </w:r>
      <w:r w:rsidRPr="00962162">
        <w:fldChar w:fldCharType="end"/>
      </w:r>
      <w:bookmarkEnd w:id="81"/>
      <w:r w:rsidRPr="00883125">
        <w:tab/>
        <w:t xml:space="preserve">Estimates of the value of imputation credits—evidence from </w:t>
      </w:r>
      <w:r>
        <w:t>taxation statistics</w:t>
      </w:r>
    </w:p>
    <w:tbl>
      <w:tblPr>
        <w:tblStyle w:val="AERtable-numbers"/>
        <w:tblW w:w="0" w:type="auto"/>
        <w:tblLook w:val="04A0" w:firstRow="1" w:lastRow="0" w:firstColumn="1" w:lastColumn="0" w:noHBand="0" w:noVBand="1"/>
      </w:tblPr>
      <w:tblGrid>
        <w:gridCol w:w="3085"/>
        <w:gridCol w:w="2052"/>
        <w:gridCol w:w="2052"/>
        <w:gridCol w:w="2053"/>
      </w:tblGrid>
      <w:tr w:rsidR="001D37D5" w:rsidTr="005E1FC3">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085" w:type="dxa"/>
          </w:tcPr>
          <w:p w:rsidR="001D37D5" w:rsidRPr="00883125" w:rsidRDefault="001D37D5" w:rsidP="00247000">
            <w:pPr>
              <w:keepNext/>
              <w:numPr>
                <w:ilvl w:val="0"/>
                <w:numId w:val="24"/>
              </w:numPr>
            </w:pPr>
          </w:p>
        </w:tc>
        <w:tc>
          <w:tcPr>
            <w:tcW w:w="2052" w:type="dxa"/>
          </w:tcPr>
          <w:p w:rsidR="001D37D5" w:rsidRPr="001D37D5" w:rsidRDefault="001D37D5" w:rsidP="00247000">
            <w:pPr>
              <w:keepNext/>
              <w:cnfStyle w:val="100000000000" w:firstRow="1" w:lastRow="0" w:firstColumn="0" w:lastColumn="0" w:oddVBand="0" w:evenVBand="0" w:oddHBand="0" w:evenHBand="0" w:firstRowFirstColumn="0" w:firstRowLastColumn="0" w:lastRowFirstColumn="0" w:lastRowLastColumn="0"/>
            </w:pPr>
            <w:r w:rsidRPr="00883125">
              <w:t xml:space="preserve">Utilisation </w:t>
            </w:r>
            <w:r w:rsidRPr="001D37D5">
              <w:t>rate</w:t>
            </w:r>
          </w:p>
        </w:tc>
        <w:tc>
          <w:tcPr>
            <w:tcW w:w="2052" w:type="dxa"/>
          </w:tcPr>
          <w:p w:rsidR="001D37D5" w:rsidRPr="00883125" w:rsidRDefault="001D37D5" w:rsidP="00247000">
            <w:pPr>
              <w:keepNext/>
              <w:cnfStyle w:val="100000000000" w:firstRow="1" w:lastRow="0" w:firstColumn="0" w:lastColumn="0" w:oddVBand="0" w:evenVBand="0" w:oddHBand="0" w:evenHBand="0" w:firstRowFirstColumn="0" w:firstRowLastColumn="0" w:lastRowFirstColumn="0" w:lastRowLastColumn="0"/>
            </w:pPr>
            <w:r w:rsidRPr="00883125">
              <w:t>Distribution rate</w:t>
            </w:r>
          </w:p>
        </w:tc>
        <w:tc>
          <w:tcPr>
            <w:tcW w:w="2053" w:type="dxa"/>
          </w:tcPr>
          <w:p w:rsidR="001D37D5" w:rsidRPr="00883125" w:rsidRDefault="001D37D5" w:rsidP="00247000">
            <w:pPr>
              <w:keepNext/>
              <w:cnfStyle w:val="100000000000" w:firstRow="1" w:lastRow="0" w:firstColumn="0" w:lastColumn="0" w:oddVBand="0" w:evenVBand="0" w:oddHBand="0" w:evenHBand="0" w:firstRowFirstColumn="0" w:firstRowLastColumn="0" w:lastRowFirstColumn="0" w:lastRowLastColumn="0"/>
            </w:pPr>
            <w:r w:rsidRPr="00883125">
              <w:t>Value of Imputation Credits</w:t>
            </w:r>
          </w:p>
        </w:tc>
      </w:tr>
      <w:tr w:rsidR="001D37D5" w:rsidTr="005E1FC3">
        <w:trPr>
          <w:cantSplit/>
        </w:trPr>
        <w:tc>
          <w:tcPr>
            <w:cnfStyle w:val="001000000000" w:firstRow="0" w:lastRow="0" w:firstColumn="1" w:lastColumn="0" w:oddVBand="0" w:evenVBand="0" w:oddHBand="0" w:evenHBand="0" w:firstRowFirstColumn="0" w:firstRowLastColumn="0" w:lastRowFirstColumn="0" w:lastRowLastColumn="0"/>
            <w:tcW w:w="3085" w:type="dxa"/>
          </w:tcPr>
          <w:p w:rsidR="001D37D5" w:rsidRPr="00883125" w:rsidRDefault="001D37D5" w:rsidP="00247000">
            <w:pPr>
              <w:keepNext/>
              <w:numPr>
                <w:ilvl w:val="0"/>
                <w:numId w:val="24"/>
              </w:numPr>
            </w:pPr>
            <w:r>
              <w:t>All equity</w:t>
            </w:r>
          </w:p>
        </w:tc>
        <w:tc>
          <w:tcPr>
            <w:tcW w:w="2052" w:type="dxa"/>
          </w:tcPr>
          <w:p w:rsidR="001D37D5" w:rsidRPr="001D37D5" w:rsidRDefault="001D37D5" w:rsidP="00247000">
            <w:pPr>
              <w:keepNext/>
              <w:cnfStyle w:val="000000000000" w:firstRow="0" w:lastRow="0" w:firstColumn="0" w:lastColumn="0" w:oddVBand="0" w:evenVBand="0" w:oddHBand="0" w:evenHBand="0" w:firstRowFirstColumn="0" w:firstRowLastColumn="0" w:lastRowFirstColumn="0" w:lastRowLastColumn="0"/>
            </w:pPr>
            <w:r w:rsidRPr="00883125">
              <w:t>0.</w:t>
            </w:r>
            <w:r w:rsidRPr="001D37D5">
              <w:t>48</w:t>
            </w:r>
          </w:p>
        </w:tc>
        <w:tc>
          <w:tcPr>
            <w:tcW w:w="2052" w:type="dxa"/>
          </w:tcPr>
          <w:p w:rsidR="001D37D5" w:rsidRPr="00883125" w:rsidRDefault="001D37D5" w:rsidP="00247000">
            <w:pPr>
              <w:keepNext/>
              <w:numPr>
                <w:ilvl w:val="0"/>
                <w:numId w:val="24"/>
              </w:numPr>
              <w:cnfStyle w:val="000000000000" w:firstRow="0" w:lastRow="0" w:firstColumn="0" w:lastColumn="0" w:oddVBand="0" w:evenVBand="0" w:oddHBand="0" w:evenHBand="0" w:firstRowFirstColumn="0" w:firstRowLastColumn="0" w:lastRowFirstColumn="0" w:lastRowLastColumn="0"/>
            </w:pPr>
            <w:r w:rsidRPr="00883125">
              <w:t>0.7</w:t>
            </w:r>
            <w:r>
              <w:rPr>
                <w:rStyle w:val="FootnoteReference"/>
              </w:rPr>
              <w:footnoteReference w:id="27"/>
            </w:r>
          </w:p>
        </w:tc>
        <w:tc>
          <w:tcPr>
            <w:tcW w:w="2053" w:type="dxa"/>
          </w:tcPr>
          <w:p w:rsidR="001D37D5" w:rsidRPr="00883125" w:rsidRDefault="001D37D5" w:rsidP="00247000">
            <w:pPr>
              <w:keepNext/>
              <w:numPr>
                <w:ilvl w:val="0"/>
                <w:numId w:val="24"/>
              </w:numPr>
              <w:cnfStyle w:val="000000000000" w:firstRow="0" w:lastRow="0" w:firstColumn="0" w:lastColumn="0" w:oddVBand="0" w:evenVBand="0" w:oddHBand="0" w:evenHBand="0" w:firstRowFirstColumn="0" w:firstRowLastColumn="0" w:lastRowFirstColumn="0" w:lastRowLastColumn="0"/>
            </w:pPr>
            <w:r>
              <w:t>0.34</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085" w:type="dxa"/>
          </w:tcPr>
          <w:p w:rsidR="001D37D5" w:rsidRPr="00883125" w:rsidRDefault="001D37D5" w:rsidP="00247000">
            <w:pPr>
              <w:keepNext/>
              <w:numPr>
                <w:ilvl w:val="0"/>
                <w:numId w:val="24"/>
              </w:numPr>
            </w:pPr>
            <w:r>
              <w:t>Listed equity</w:t>
            </w:r>
          </w:p>
        </w:tc>
        <w:tc>
          <w:tcPr>
            <w:tcW w:w="2052" w:type="dxa"/>
          </w:tcPr>
          <w:p w:rsidR="001D37D5" w:rsidRPr="001D37D5" w:rsidRDefault="001D37D5" w:rsidP="00247000">
            <w:pPr>
              <w:keepNext/>
              <w:cnfStyle w:val="000000010000" w:firstRow="0" w:lastRow="0" w:firstColumn="0" w:lastColumn="0" w:oddVBand="0" w:evenVBand="0" w:oddHBand="0" w:evenHBand="1" w:firstRowFirstColumn="0" w:firstRowLastColumn="0" w:lastRowFirstColumn="0" w:lastRowLastColumn="0"/>
            </w:pPr>
            <w:r w:rsidRPr="00883125">
              <w:t>0.</w:t>
            </w:r>
            <w:r w:rsidRPr="001D37D5">
              <w:t>48</w:t>
            </w:r>
          </w:p>
        </w:tc>
        <w:tc>
          <w:tcPr>
            <w:tcW w:w="2052" w:type="dxa"/>
          </w:tcPr>
          <w:p w:rsidR="001D37D5" w:rsidRPr="001D37D5" w:rsidRDefault="001D37D5" w:rsidP="00247000">
            <w:pPr>
              <w:keepNext/>
              <w:cnfStyle w:val="000000010000" w:firstRow="0" w:lastRow="0" w:firstColumn="0" w:lastColumn="0" w:oddVBand="0" w:evenVBand="0" w:oddHBand="0" w:evenHBand="1" w:firstRowFirstColumn="0" w:firstRowLastColumn="0" w:lastRowFirstColumn="0" w:lastRowLastColumn="0"/>
            </w:pPr>
            <w:r w:rsidRPr="00883125">
              <w:t>0.7</w:t>
            </w:r>
            <w:r w:rsidRPr="001D37D5">
              <w:t>5</w:t>
            </w:r>
            <w:r w:rsidRPr="001D37D5">
              <w:rPr>
                <w:rStyle w:val="FootnoteReference"/>
              </w:rPr>
              <w:footnoteReference w:id="28"/>
            </w:r>
          </w:p>
        </w:tc>
        <w:tc>
          <w:tcPr>
            <w:tcW w:w="2053" w:type="dxa"/>
          </w:tcPr>
          <w:p w:rsidR="001D37D5" w:rsidRPr="001D37D5" w:rsidRDefault="001D37D5" w:rsidP="00247000">
            <w:pPr>
              <w:keepNext/>
              <w:cnfStyle w:val="000000010000" w:firstRow="0" w:lastRow="0" w:firstColumn="0" w:lastColumn="0" w:oddVBand="0" w:evenVBand="0" w:oddHBand="0" w:evenHBand="1" w:firstRowFirstColumn="0" w:firstRowLastColumn="0" w:lastRowFirstColumn="0" w:lastRowLastColumn="0"/>
            </w:pPr>
            <w:r>
              <w:t>0.36</w:t>
            </w:r>
          </w:p>
        </w:tc>
      </w:tr>
      <w:tr w:rsidR="001D37D5" w:rsidTr="005E1FC3">
        <w:trPr>
          <w:cantSplit/>
        </w:trPr>
        <w:tc>
          <w:tcPr>
            <w:cnfStyle w:val="001000000000" w:firstRow="0" w:lastRow="0" w:firstColumn="1" w:lastColumn="0" w:oddVBand="0" w:evenVBand="0" w:oddHBand="0" w:evenHBand="0" w:firstRowFirstColumn="0" w:firstRowLastColumn="0" w:lastRowFirstColumn="0" w:lastRowLastColumn="0"/>
            <w:tcW w:w="3085" w:type="dxa"/>
          </w:tcPr>
          <w:p w:rsidR="001D37D5" w:rsidRPr="00883125" w:rsidRDefault="001D37D5" w:rsidP="00247000">
            <w:pPr>
              <w:keepNext/>
              <w:numPr>
                <w:ilvl w:val="0"/>
                <w:numId w:val="24"/>
              </w:numPr>
            </w:pPr>
            <w:r>
              <w:t>ASX top 20 firms</w:t>
            </w:r>
          </w:p>
        </w:tc>
        <w:tc>
          <w:tcPr>
            <w:tcW w:w="2052" w:type="dxa"/>
          </w:tcPr>
          <w:p w:rsidR="001D37D5" w:rsidRPr="001D37D5" w:rsidRDefault="001D37D5" w:rsidP="00247000">
            <w:pPr>
              <w:keepNext/>
              <w:cnfStyle w:val="000000000000" w:firstRow="0" w:lastRow="0" w:firstColumn="0" w:lastColumn="0" w:oddVBand="0" w:evenVBand="0" w:oddHBand="0" w:evenHBand="0" w:firstRowFirstColumn="0" w:firstRowLastColumn="0" w:lastRowFirstColumn="0" w:lastRowLastColumn="0"/>
            </w:pPr>
            <w:r w:rsidRPr="00883125">
              <w:t>0.</w:t>
            </w:r>
            <w:r w:rsidRPr="001D37D5">
              <w:t>48 to 0.62</w:t>
            </w:r>
          </w:p>
        </w:tc>
        <w:tc>
          <w:tcPr>
            <w:tcW w:w="2052" w:type="dxa"/>
          </w:tcPr>
          <w:p w:rsidR="001D37D5" w:rsidRPr="001D37D5" w:rsidRDefault="001D37D5" w:rsidP="00247000">
            <w:pPr>
              <w:keepNext/>
              <w:cnfStyle w:val="000000000000" w:firstRow="0" w:lastRow="0" w:firstColumn="0" w:lastColumn="0" w:oddVBand="0" w:evenVBand="0" w:oddHBand="0" w:evenHBand="0" w:firstRowFirstColumn="0" w:firstRowLastColumn="0" w:lastRowFirstColumn="0" w:lastRowLastColumn="0"/>
            </w:pPr>
            <w:r>
              <w:t>0.83</w:t>
            </w:r>
            <w:r w:rsidRPr="001D37D5">
              <w:rPr>
                <w:rStyle w:val="FootnoteReference"/>
              </w:rPr>
              <w:footnoteReference w:id="29"/>
            </w:r>
          </w:p>
        </w:tc>
        <w:tc>
          <w:tcPr>
            <w:tcW w:w="2053" w:type="dxa"/>
          </w:tcPr>
          <w:p w:rsidR="001D37D5" w:rsidRPr="001D37D5" w:rsidRDefault="001D37D5" w:rsidP="00247000">
            <w:pPr>
              <w:keepNext/>
              <w:cnfStyle w:val="000000000000" w:firstRow="0" w:lastRow="0" w:firstColumn="0" w:lastColumn="0" w:oddVBand="0" w:evenVBand="0" w:oddHBand="0" w:evenHBand="0" w:firstRowFirstColumn="0" w:firstRowLastColumn="0" w:lastRowFirstColumn="0" w:lastRowLastColumn="0"/>
            </w:pPr>
            <w:r>
              <w:t>0.40</w:t>
            </w:r>
            <w:r w:rsidRPr="001D37D5">
              <w:t xml:space="preserve"> to 0.51</w:t>
            </w:r>
            <w:r w:rsidRPr="001D37D5">
              <w:rPr>
                <w:rStyle w:val="FootnoteReference"/>
              </w:rPr>
              <w:footnoteReference w:id="30"/>
            </w:r>
          </w:p>
        </w:tc>
      </w:tr>
    </w:tbl>
    <w:p w:rsidR="001D37D5" w:rsidRPr="00883125" w:rsidRDefault="001D37D5" w:rsidP="00247000">
      <w:pPr>
        <w:pStyle w:val="AERtablesource"/>
        <w:keepNext/>
      </w:pPr>
      <w:r w:rsidRPr="00883125">
        <w:t>Source:</w:t>
      </w:r>
      <w:r w:rsidRPr="00883125">
        <w:tab/>
        <w:t>AER analysis</w:t>
      </w:r>
      <w:r>
        <w:t xml:space="preserve">; </w:t>
      </w:r>
      <w:r w:rsidRPr="00137893">
        <w:t xml:space="preserve">Lally, </w:t>
      </w:r>
      <w:r w:rsidRPr="005764F6">
        <w:rPr>
          <w:rStyle w:val="AERtextitalic"/>
        </w:rPr>
        <w:t>Gamma and the ACT Decision</w:t>
      </w:r>
      <w:r>
        <w:t xml:space="preserve">, </w:t>
      </w:r>
      <w:r w:rsidRPr="00137893">
        <w:t>May 2016, p. 6</w:t>
      </w:r>
      <w:r w:rsidRPr="00883125">
        <w:t>.</w:t>
      </w:r>
    </w:p>
    <w:p w:rsidR="001D37D5" w:rsidRDefault="001D37D5" w:rsidP="001D37D5">
      <w:r>
        <w:t xml:space="preserve">Using different distribution rates, tax statistics can potentially provide a range for gamma of 0.34 to 0.51 for the benchmark efficient entity. When Lally's preferred distribution rate is used, </w:t>
      </w:r>
      <w:r w:rsidR="00424DF1">
        <w:t>this implies a gamma of at least 0.4</w:t>
      </w:r>
      <w:r>
        <w:t>.</w:t>
      </w:r>
    </w:p>
    <w:p w:rsidR="001D37D5" w:rsidRPr="00243100" w:rsidRDefault="001D37D5" w:rsidP="001D37D5">
      <w:r w:rsidRPr="00243100">
        <w:t xml:space="preserve">In earlier decisions </w:t>
      </w:r>
      <w:r>
        <w:t>we</w:t>
      </w:r>
      <w:r w:rsidRPr="00243100">
        <w:t xml:space="preserve"> did not </w:t>
      </w:r>
      <w:r>
        <w:t>rely on the 0.62</w:t>
      </w:r>
      <w:r w:rsidRPr="00243100">
        <w:t xml:space="preserve"> utilisation rate estimate in the Hathaway 2013 paper.</w:t>
      </w:r>
      <w:r>
        <w:rPr>
          <w:rStyle w:val="FootnoteReference"/>
        </w:rPr>
        <w:footnoteReference w:id="31"/>
      </w:r>
      <w:r w:rsidRPr="00243100">
        <w:t xml:space="preserve"> This is due to the two estimates in Hathaway reflecting two alternative measures of the value of credit</w:t>
      </w:r>
      <w:r>
        <w:t>s</w:t>
      </w:r>
      <w:r w:rsidRPr="00243100">
        <w:t xml:space="preserve"> distributed, which in turn imply two alternative estimate</w:t>
      </w:r>
      <w:r>
        <w:t>s</w:t>
      </w:r>
      <w:r w:rsidRPr="00243100">
        <w:t xml:space="preserve"> of the dist</w:t>
      </w:r>
      <w:r>
        <w:t>ribution rate. The 0.44 and 0.62</w:t>
      </w:r>
      <w:r w:rsidRPr="00243100">
        <w:t xml:space="preserve"> estimates of the utilisation rate correspond to estimates of the distribution rate of around 0.7 and 0.5 respectively.</w:t>
      </w:r>
      <w:r>
        <w:rPr>
          <w:rStyle w:val="FootnoteReference"/>
        </w:rPr>
        <w:footnoteReference w:id="32"/>
      </w:r>
      <w:r w:rsidRPr="00243100">
        <w:t xml:space="preserve"> Hence, since </w:t>
      </w:r>
      <w:r>
        <w:t>we</w:t>
      </w:r>
      <w:r w:rsidRPr="00243100">
        <w:t xml:space="preserve"> used a distribution rate of 0.7 </w:t>
      </w:r>
      <w:r>
        <w:t>for all equity we</w:t>
      </w:r>
      <w:r w:rsidRPr="00243100">
        <w:t xml:space="preserve"> considered it was appr</w:t>
      </w:r>
      <w:r>
        <w:t>opriate to use 0.44 and not 0.62</w:t>
      </w:r>
      <w:r w:rsidRPr="00243100">
        <w:t>. However, this limitation does not apply to Lally</w:t>
      </w:r>
      <w:r>
        <w:t>'s</w:t>
      </w:r>
      <w:r w:rsidRPr="00243100">
        <w:t xml:space="preserve"> analysis, given Lally does not use ATO data to determine the distribution rate. Rather, Lally uses financial statement data for the top 20 listed firm</w:t>
      </w:r>
      <w:r>
        <w:t>s</w:t>
      </w:r>
      <w:r w:rsidRPr="00243100">
        <w:t xml:space="preserve"> to determine </w:t>
      </w:r>
      <w:r>
        <w:t xml:space="preserve">an estimate of </w:t>
      </w:r>
      <w:r w:rsidRPr="00243100">
        <w:t>the distribution rate</w:t>
      </w:r>
      <w:r>
        <w:t xml:space="preserve"> for the benchmark efficient entity</w:t>
      </w:r>
      <w:r w:rsidRPr="00243100">
        <w:t>.</w:t>
      </w:r>
      <w:r w:rsidRPr="00AB0B17">
        <w:rPr>
          <w:rStyle w:val="FootnoteReference"/>
        </w:rPr>
        <w:footnoteReference w:id="33"/>
      </w:r>
      <w:r w:rsidRPr="00243100">
        <w:t xml:space="preserve"> Lally considers the data from financial statements is of high quality given it is audited</w:t>
      </w:r>
      <w:r>
        <w:t xml:space="preserve"> and subject to scrutiny in financial markets</w:t>
      </w:r>
      <w:r w:rsidRPr="00243100">
        <w:t>.</w:t>
      </w:r>
      <w:r w:rsidRPr="00FF4C1C">
        <w:rPr>
          <w:rStyle w:val="FootnoteReference"/>
        </w:rPr>
        <w:footnoteReference w:id="34"/>
      </w:r>
      <w:r w:rsidRPr="00243100">
        <w:t xml:space="preserve"> </w:t>
      </w:r>
      <w:r>
        <w:t>We</w:t>
      </w:r>
      <w:r w:rsidRPr="00243100">
        <w:t xml:space="preserve"> agree there is no inconsistency with combining Lally’s preferred estimate of the </w:t>
      </w:r>
      <w:r>
        <w:t>distribution rate</w:t>
      </w:r>
      <w:r w:rsidRPr="00243100">
        <w:t xml:space="preserve"> with </w:t>
      </w:r>
      <w:r>
        <w:t>an estimate of the</w:t>
      </w:r>
      <w:r w:rsidRPr="00243100">
        <w:t xml:space="preserve"> </w:t>
      </w:r>
      <w:r>
        <w:t>utilisation rates from tax statistics</w:t>
      </w:r>
      <w:r w:rsidRPr="00243100">
        <w:t>.</w:t>
      </w:r>
      <w:r>
        <w:t xml:space="preserve"> This implies the taxation data can support a gamma estimate of at least 0.4 based on Lally's preferred distribution rate estimate of 0.83 and the lower utilisation rate in Hathaway's 2013 paper (of 0.44) updated for current tax statistics to 0.48. Given the uncertainty with the utilisation rate estimate, we also do not consider the taxation statistics would be inconsistent with a higher estimate of gamma than 0.4 for the benchmark efficient entity.</w:t>
      </w:r>
    </w:p>
    <w:p w:rsidR="001D37D5" w:rsidRDefault="001D37D5" w:rsidP="001D37D5">
      <w:pPr>
        <w:rPr>
          <w:rStyle w:val="AERtexthighlight"/>
        </w:rPr>
      </w:pPr>
      <w:r>
        <w:lastRenderedPageBreak/>
        <w:t xml:space="preserve">For the reasons explained above (and in section </w:t>
      </w:r>
      <w:r>
        <w:fldChar w:fldCharType="begin"/>
      </w:r>
      <w:r>
        <w:instrText xml:space="preserve"> REF _Ref451774702 \r \h </w:instrText>
      </w:r>
      <w:r>
        <w:fldChar w:fldCharType="separate"/>
      </w:r>
      <w:r w:rsidR="00A02D8C">
        <w:t>4.4</w:t>
      </w:r>
      <w:r>
        <w:fldChar w:fldCharType="end"/>
      </w:r>
      <w:r>
        <w:t xml:space="preserve"> and section </w:t>
      </w:r>
      <w:r>
        <w:fldChar w:fldCharType="begin"/>
      </w:r>
      <w:r>
        <w:instrText xml:space="preserve"> REF _Ref402179420 \r \h </w:instrText>
      </w:r>
      <w:r>
        <w:fldChar w:fldCharType="separate"/>
      </w:r>
      <w:r w:rsidR="00A02D8C">
        <w:t>A.13</w:t>
      </w:r>
      <w:r>
        <w:fldChar w:fldCharType="end"/>
      </w:r>
      <w:r>
        <w:t>), we consider tax statistics do not demonstrate our gamma value of 0.4 is unreasonable.</w:t>
      </w:r>
    </w:p>
    <w:p w:rsidR="001D37D5" w:rsidRPr="00883125" w:rsidRDefault="001D37D5" w:rsidP="001D37D5">
      <w:pPr>
        <w:pStyle w:val="Heading2"/>
      </w:pPr>
      <w:bookmarkStart w:id="82" w:name="_Toc419366914"/>
      <w:bookmarkStart w:id="83" w:name="_Ref451709428"/>
      <w:bookmarkStart w:id="84" w:name="_Toc451842234"/>
      <w:bookmarkStart w:id="85" w:name="_Toc451938290"/>
      <w:r w:rsidRPr="00883125">
        <w:t>A</w:t>
      </w:r>
      <w:r w:rsidR="006807D9">
        <w:t>usNet Services'</w:t>
      </w:r>
      <w:r w:rsidRPr="00883125">
        <w:t xml:space="preserve"> revised proposal</w:t>
      </w:r>
      <w:bookmarkEnd w:id="82"/>
      <w:bookmarkEnd w:id="83"/>
      <w:bookmarkEnd w:id="84"/>
      <w:bookmarkEnd w:id="85"/>
    </w:p>
    <w:p w:rsidR="001D37D5" w:rsidRPr="00883125" w:rsidRDefault="001D37D5" w:rsidP="001D37D5">
      <w:pPr>
        <w:numPr>
          <w:ilvl w:val="0"/>
          <w:numId w:val="24"/>
        </w:numPr>
      </w:pPr>
      <w:r w:rsidRPr="00883125">
        <w:t xml:space="preserve">In its revised proposal, </w:t>
      </w:r>
      <w:r w:rsidR="005F7078">
        <w:t xml:space="preserve">AusNet Services </w:t>
      </w:r>
      <w:r w:rsidRPr="00883125">
        <w:t>did not adopt our Guideline based approach to estimating gamma as reflected in our decisions released in November 2014</w:t>
      </w:r>
      <w:r>
        <w:t>, and April, June, October and November 2015 (recent decisions)</w:t>
      </w:r>
      <w:r w:rsidRPr="00883125">
        <w:t>.</w:t>
      </w:r>
      <w:r w:rsidRPr="00883125">
        <w:rPr>
          <w:rStyle w:val="FootnoteReference"/>
        </w:rPr>
        <w:footnoteReference w:id="35"/>
      </w:r>
      <w:r w:rsidRPr="00883125">
        <w:t xml:space="preserve"> </w:t>
      </w:r>
    </w:p>
    <w:p w:rsidR="001D37D5" w:rsidRDefault="001D37D5" w:rsidP="001D37D5">
      <w:pPr>
        <w:numPr>
          <w:ilvl w:val="0"/>
          <w:numId w:val="24"/>
        </w:numPr>
      </w:pPr>
      <w:r w:rsidRPr="00883125">
        <w:t xml:space="preserve">In its revised proposal </w:t>
      </w:r>
      <w:r w:rsidR="005F7078">
        <w:t xml:space="preserve">AusNet Services' </w:t>
      </w:r>
      <w:r w:rsidRPr="00883125">
        <w:t>proposed a value of imputation credits of 0.25, calculated as the product of a distribution rate of 0.7 and a utilisation rate of 0.35.</w:t>
      </w:r>
      <w:r w:rsidRPr="00883125">
        <w:rPr>
          <w:rStyle w:val="FootnoteReference"/>
        </w:rPr>
        <w:footnoteReference w:id="36"/>
      </w:r>
      <w:r w:rsidRPr="00883125">
        <w:t xml:space="preserve"> </w:t>
      </w:r>
    </w:p>
    <w:p w:rsidR="001D37D5" w:rsidRDefault="005F7078" w:rsidP="001D37D5">
      <w:pPr>
        <w:numPr>
          <w:ilvl w:val="0"/>
          <w:numId w:val="24"/>
        </w:numPr>
      </w:pPr>
      <w:r>
        <w:t xml:space="preserve">AusNet Services' </w:t>
      </w:r>
      <w:r w:rsidR="001D37D5" w:rsidRPr="00883125">
        <w:t xml:space="preserve">proposed distribution rate of 0.7 </w:t>
      </w:r>
      <w:r w:rsidR="001D37D5">
        <w:t>is</w:t>
      </w:r>
      <w:r w:rsidR="001D37D5" w:rsidRPr="00883125">
        <w:t xml:space="preserve"> consistent with the value in the Guideline and </w:t>
      </w:r>
      <w:r w:rsidR="001D37D5">
        <w:t>the</w:t>
      </w:r>
      <w:r w:rsidR="001D37D5" w:rsidRPr="00883125">
        <w:t xml:space="preserve"> value in </w:t>
      </w:r>
      <w:r w:rsidR="001D37D5">
        <w:t>our recent decisions</w:t>
      </w:r>
      <w:r w:rsidR="001D37D5" w:rsidRPr="00883125">
        <w:t xml:space="preserve"> when estimated over all companies</w:t>
      </w:r>
      <w:r w:rsidR="001D37D5">
        <w:t xml:space="preserve"> (all equity)</w:t>
      </w:r>
      <w:r w:rsidR="001D37D5" w:rsidRPr="00883125">
        <w:t xml:space="preserve">. However, in our </w:t>
      </w:r>
      <w:r w:rsidR="001D37D5">
        <w:t>recent decisions</w:t>
      </w:r>
      <w:r w:rsidR="001D37D5" w:rsidRPr="00883125">
        <w:t xml:space="preserve"> we also relied</w:t>
      </w:r>
      <w:r w:rsidR="001D37D5">
        <w:t>,</w:t>
      </w:r>
      <w:r w:rsidR="001D37D5" w:rsidRPr="00883125">
        <w:t xml:space="preserve"> in part</w:t>
      </w:r>
      <w:r w:rsidR="001D37D5">
        <w:t>,</w:t>
      </w:r>
      <w:r w:rsidR="001D37D5" w:rsidRPr="00883125">
        <w:t xml:space="preserve"> on a distribution rate estimated over just public companies</w:t>
      </w:r>
      <w:r w:rsidR="001D37D5">
        <w:t xml:space="preserve"> (listed equity). </w:t>
      </w:r>
    </w:p>
    <w:p w:rsidR="001D37D5" w:rsidRPr="00883125" w:rsidRDefault="005F7078" w:rsidP="001D37D5">
      <w:pPr>
        <w:numPr>
          <w:ilvl w:val="0"/>
          <w:numId w:val="24"/>
        </w:numPr>
      </w:pPr>
      <w:r>
        <w:t xml:space="preserve">AusNet Services' </w:t>
      </w:r>
      <w:r w:rsidR="001D37D5" w:rsidRPr="00883125">
        <w:t xml:space="preserve">proposed utilisation rate of 0.35 </w:t>
      </w:r>
      <w:r w:rsidR="001D37D5">
        <w:t>is</w:t>
      </w:r>
      <w:r w:rsidR="001D37D5" w:rsidRPr="00883125">
        <w:t xml:space="preserve"> lower than the value in the Guideline and a number of estimates we </w:t>
      </w:r>
      <w:r w:rsidR="001D37D5">
        <w:t>relied on</w:t>
      </w:r>
      <w:r w:rsidR="001D37D5" w:rsidRPr="00883125">
        <w:t xml:space="preserve"> in making our </w:t>
      </w:r>
      <w:r w:rsidR="001D37D5">
        <w:t xml:space="preserve">recent </w:t>
      </w:r>
      <w:r w:rsidR="001D37D5" w:rsidRPr="00883125">
        <w:t xml:space="preserve">decisions. </w:t>
      </w:r>
      <w:r>
        <w:t xml:space="preserve">AusNet Services' </w:t>
      </w:r>
      <w:r w:rsidR="001D37D5" w:rsidRPr="00883125">
        <w:t xml:space="preserve">proposed utilisation rate </w:t>
      </w:r>
      <w:r w:rsidR="001D37D5">
        <w:t>is</w:t>
      </w:r>
      <w:r w:rsidR="001D37D5" w:rsidRPr="00883125">
        <w:t xml:space="preserve"> supported by Professor Stephen Gray's</w:t>
      </w:r>
      <w:r w:rsidR="001D37D5">
        <w:t xml:space="preserve"> (Gray's)</w:t>
      </w:r>
      <w:r w:rsidR="001D37D5" w:rsidRPr="00883125">
        <w:t xml:space="preserve"> view that the </w:t>
      </w:r>
      <w:r w:rsidR="001D37D5">
        <w:t>'</w:t>
      </w:r>
      <w:r w:rsidR="001D37D5" w:rsidRPr="00883125">
        <w:t>best available estimate of theta is 0.35'.</w:t>
      </w:r>
      <w:r w:rsidR="001D37D5" w:rsidRPr="00883125">
        <w:rPr>
          <w:rStyle w:val="FootnoteReference"/>
        </w:rPr>
        <w:footnoteReference w:id="37"/>
      </w:r>
      <w:r w:rsidR="001D37D5" w:rsidRPr="00883125">
        <w:t xml:space="preserve"> This estimate is from a 'dividend drop off' study by SFG Consulting and co-authored by Gray.</w:t>
      </w:r>
      <w:r w:rsidR="001D37D5" w:rsidRPr="00883125">
        <w:rPr>
          <w:rStyle w:val="FootnoteReference"/>
        </w:rPr>
        <w:footnoteReference w:id="38"/>
      </w:r>
    </w:p>
    <w:p w:rsidR="001D37D5" w:rsidRPr="00883125" w:rsidRDefault="005F7078" w:rsidP="001D37D5">
      <w:r>
        <w:t xml:space="preserve">AusNet Services' </w:t>
      </w:r>
      <w:r w:rsidR="001D37D5" w:rsidRPr="00883125">
        <w:t xml:space="preserve">proposed value of imputation credits </w:t>
      </w:r>
      <w:r w:rsidR="001D37D5">
        <w:t>(</w:t>
      </w:r>
      <w:r w:rsidR="001D37D5" w:rsidRPr="00883125">
        <w:t>of 0.25</w:t>
      </w:r>
      <w:r w:rsidR="001D37D5">
        <w:t>)</w:t>
      </w:r>
      <w:r w:rsidR="001D37D5" w:rsidRPr="00883125">
        <w:t xml:space="preserve"> and supporting reasons </w:t>
      </w:r>
      <w:r w:rsidR="001D37D5">
        <w:t>are</w:t>
      </w:r>
      <w:r w:rsidR="001D37D5" w:rsidRPr="00883125">
        <w:t xml:space="preserve"> broadly consistent with the proposals we received from a number of other service providers. </w:t>
      </w:r>
      <w:r w:rsidR="001D37D5">
        <w:t>17</w:t>
      </w:r>
      <w:r w:rsidR="001D37D5" w:rsidRPr="00883125">
        <w:t xml:space="preserve"> service providers over the past 23 </w:t>
      </w:r>
      <w:r w:rsidR="001D37D5">
        <w:t>m</w:t>
      </w:r>
      <w:r w:rsidR="001D37D5" w:rsidRPr="00883125">
        <w:t>onths have now made broadly consistent proposals on the value of imputation credits</w:t>
      </w:r>
      <w:r w:rsidR="001D37D5">
        <w:t>.</w:t>
      </w:r>
      <w:r w:rsidR="001D37D5">
        <w:rPr>
          <w:rStyle w:val="FootnoteReference"/>
        </w:rPr>
        <w:footnoteReference w:id="39"/>
      </w:r>
      <w:r w:rsidR="001D37D5" w:rsidRPr="00883125">
        <w:t xml:space="preserve"> The majority of the</w:t>
      </w:r>
      <w:r w:rsidR="001D37D5">
        <w:t>se</w:t>
      </w:r>
      <w:r w:rsidR="001D37D5" w:rsidRPr="00883125">
        <w:t xml:space="preserve"> service providers jointly commissioned two reports from SFG Consulting (SFG) and relied on these reports in their proposals. In addition, the majority of service providers have commissioned and relied on expert reports from NERA Economic Consulting (NERA) and Frontier Economics (Frontier).</w:t>
      </w:r>
      <w:r w:rsidR="001D37D5">
        <w:rPr>
          <w:rStyle w:val="FootnoteReference"/>
        </w:rPr>
        <w:footnoteReference w:id="40"/>
      </w:r>
    </w:p>
    <w:p w:rsidR="001D37D5" w:rsidRPr="00883125" w:rsidRDefault="001D37D5" w:rsidP="001D37D5">
      <w:pPr>
        <w:pStyle w:val="Heading2"/>
      </w:pPr>
      <w:bookmarkStart w:id="86" w:name="_Toc450119220"/>
      <w:bookmarkStart w:id="87" w:name="_Toc450119382"/>
      <w:bookmarkStart w:id="88" w:name="_Toc450119221"/>
      <w:bookmarkStart w:id="89" w:name="_Toc450119383"/>
      <w:bookmarkStart w:id="90" w:name="_Toc408404322"/>
      <w:bookmarkStart w:id="91" w:name="_Toc419366915"/>
      <w:bookmarkStart w:id="92" w:name="_Toc451842235"/>
      <w:bookmarkStart w:id="93" w:name="_Toc451938291"/>
      <w:bookmarkEnd w:id="86"/>
      <w:bookmarkEnd w:id="87"/>
      <w:bookmarkEnd w:id="88"/>
      <w:bookmarkEnd w:id="89"/>
      <w:r w:rsidRPr="00883125">
        <w:lastRenderedPageBreak/>
        <w:t>AER’s assessment approach</w:t>
      </w:r>
      <w:bookmarkEnd w:id="90"/>
      <w:bookmarkEnd w:id="91"/>
      <w:bookmarkEnd w:id="92"/>
      <w:bookmarkEnd w:id="93"/>
    </w:p>
    <w:p w:rsidR="001D37D5" w:rsidRPr="00883125" w:rsidRDefault="001D37D5" w:rsidP="001D37D5">
      <w:pPr>
        <w:numPr>
          <w:ilvl w:val="0"/>
          <w:numId w:val="24"/>
        </w:numPr>
      </w:pPr>
      <w:r w:rsidRPr="00883125">
        <w:t>In this section we set out the approach we have taken to assessing proposals on the value of imputation credits. This approach includes consideration of:</w:t>
      </w:r>
    </w:p>
    <w:p w:rsidR="001D37D5" w:rsidRPr="00883125" w:rsidRDefault="001D37D5" w:rsidP="001D37D5">
      <w:pPr>
        <w:pStyle w:val="AERbulletlistfirststyle"/>
      </w:pPr>
      <w:r w:rsidRPr="00883125">
        <w:t>the requirements of the NEL/NGL and NER/NGR</w:t>
      </w:r>
    </w:p>
    <w:p w:rsidR="001D37D5" w:rsidRPr="00883125" w:rsidRDefault="001D37D5" w:rsidP="001D37D5">
      <w:pPr>
        <w:pStyle w:val="AERbulletlistfirststyle"/>
      </w:pPr>
      <w:r w:rsidRPr="00883125">
        <w:t>the Guideline</w:t>
      </w:r>
    </w:p>
    <w:p w:rsidR="001D37D5" w:rsidRPr="00883125" w:rsidRDefault="001D37D5" w:rsidP="001D37D5">
      <w:pPr>
        <w:pStyle w:val="AERbulletlistfirststyle"/>
      </w:pPr>
      <w:r w:rsidRPr="00883125">
        <w:t>our definition of the benchmark efficient entity</w:t>
      </w:r>
    </w:p>
    <w:p w:rsidR="001D37D5" w:rsidRPr="00883125" w:rsidRDefault="001D37D5" w:rsidP="001D37D5">
      <w:pPr>
        <w:pStyle w:val="AERbulletlistfirststyle"/>
      </w:pPr>
      <w:r w:rsidRPr="00883125">
        <w:t>interrelationships with other aspects of the decision</w:t>
      </w:r>
    </w:p>
    <w:p w:rsidR="001D37D5" w:rsidRPr="00883125" w:rsidRDefault="001D37D5" w:rsidP="001D37D5">
      <w:pPr>
        <w:pStyle w:val="AERbulletlistfirststyle"/>
      </w:pPr>
      <w:r w:rsidRPr="00883125">
        <w:t>expert reports</w:t>
      </w:r>
    </w:p>
    <w:p w:rsidR="001D37D5" w:rsidRPr="00883125" w:rsidRDefault="001D37D5" w:rsidP="001D37D5">
      <w:pPr>
        <w:pStyle w:val="AERbulletlistfirststyle"/>
      </w:pPr>
      <w:r w:rsidRPr="00883125">
        <w:t>our approach to determining the value of imputation credits.</w:t>
      </w:r>
    </w:p>
    <w:p w:rsidR="001D37D5" w:rsidRPr="00883125" w:rsidRDefault="001D37D5" w:rsidP="00247000">
      <w:pPr>
        <w:pStyle w:val="Heading3"/>
        <w:ind w:left="720"/>
      </w:pPr>
      <w:bookmarkStart w:id="94" w:name="_Ref400272912"/>
      <w:bookmarkStart w:id="95" w:name="_Ref416802130"/>
      <w:bookmarkStart w:id="96" w:name="_Ref416802459"/>
      <w:bookmarkStart w:id="97" w:name="_Toc451842236"/>
      <w:bookmarkStart w:id="98" w:name="_Toc451938292"/>
      <w:r w:rsidRPr="00883125">
        <w:t xml:space="preserve">Requirements of the </w:t>
      </w:r>
      <w:bookmarkEnd w:id="94"/>
      <w:r w:rsidRPr="00883125">
        <w:t>NEL/NGL and NER/NGR</w:t>
      </w:r>
      <w:bookmarkEnd w:id="95"/>
      <w:bookmarkEnd w:id="96"/>
      <w:bookmarkEnd w:id="97"/>
      <w:bookmarkEnd w:id="98"/>
    </w:p>
    <w:p w:rsidR="001D37D5" w:rsidRPr="00883125" w:rsidRDefault="001D37D5" w:rsidP="001D37D5">
      <w:pPr>
        <w:numPr>
          <w:ilvl w:val="0"/>
          <w:numId w:val="24"/>
        </w:numPr>
      </w:pPr>
      <w:r w:rsidRPr="00883125">
        <w:t>The NER/NGR require that the estimated cost of corporate income tax of a service provider for each regulatory year (</w:t>
      </w:r>
      <w:bookmarkStart w:id="99" w:name="id2446ce28_fed1_4fcc_88c9_2398ab3976f9_b"/>
      <m:oMath>
        <m:sSub>
          <m:sSubPr>
            <m:ctrlPr>
              <w:rPr>
                <w:rFonts w:ascii="Cambria Math" w:hAnsi="Cambria Math"/>
              </w:rPr>
            </m:ctrlPr>
          </m:sSubPr>
          <m:e>
            <m:r>
              <w:rPr>
                <w:rFonts w:ascii="Cambria Math" w:hAnsi="Cambria Math"/>
              </w:rPr>
              <m:t>ETC</m:t>
            </m:r>
          </m:e>
          <m:sub>
            <m:r>
              <w:rPr>
                <w:rFonts w:ascii="Cambria Math" w:hAnsi="Cambria Math"/>
              </w:rPr>
              <m:t>t</m:t>
            </m:r>
          </m:sub>
        </m:sSub>
      </m:oMath>
      <w:bookmarkEnd w:id="99"/>
      <w:r w:rsidRPr="00883125">
        <w:t>) must be estimated in accordance with the following formula:</w:t>
      </w:r>
      <w:r>
        <w:rPr>
          <w:rStyle w:val="FootnoteReference"/>
        </w:rPr>
        <w:footnoteReference w:id="41"/>
      </w:r>
    </w:p>
    <w:p w:rsidR="001D37D5" w:rsidRPr="00883125" w:rsidRDefault="00F470C7" w:rsidP="001D37D5">
      <w:pPr>
        <w:numPr>
          <w:ilvl w:val="0"/>
          <w:numId w:val="24"/>
        </w:numPr>
      </w:pPr>
      <m:oMath>
        <m:sSub>
          <m:sSubPr>
            <m:ctrlPr>
              <w:rPr>
                <w:rFonts w:ascii="Cambria Math" w:hAnsi="Cambria Math"/>
              </w:rPr>
            </m:ctrlPr>
          </m:sSubPr>
          <m:e>
            <m:r>
              <w:rPr>
                <w:rFonts w:ascii="Cambria Math" w:hAnsi="Cambria Math"/>
              </w:rPr>
              <m:t>ETC</m:t>
            </m:r>
          </m:e>
          <m:sub>
            <m:r>
              <w:rPr>
                <w:rFonts w:ascii="Cambria Math" w:hAnsi="Cambria Math"/>
              </w:rPr>
              <m:t>t</m:t>
            </m:r>
          </m:sub>
        </m:sSub>
        <m:r>
          <w:rPr>
            <w:rFonts w:ascii="Cambria Math" w:hAnsi="Cambria Math"/>
          </w:rPr>
          <m:t>=</m:t>
        </m:r>
        <m:d>
          <m:dPr>
            <m:ctrlPr>
              <w:rPr>
                <w:rFonts w:ascii="Cambria Math" w:hAnsi="Cambria Math"/>
              </w:rPr>
            </m:ctrlPr>
          </m:dPr>
          <m:e>
            <m:sSub>
              <m:sSubPr>
                <m:ctrlPr>
                  <w:rPr>
                    <w:rFonts w:ascii="Cambria Math" w:hAnsi="Cambria Math"/>
                  </w:rPr>
                </m:ctrlPr>
              </m:sSubPr>
              <m:e>
                <m:r>
                  <w:rPr>
                    <w:rFonts w:ascii="Cambria Math" w:hAnsi="Cambria Math"/>
                  </w:rPr>
                  <m:t>ETI</m:t>
                </m:r>
              </m:e>
              <m:sub>
                <m:r>
                  <w:rPr>
                    <w:rFonts w:ascii="Cambria Math" w:hAnsi="Cambria Math"/>
                  </w:rPr>
                  <m:t>t</m:t>
                </m:r>
              </m:sub>
            </m:sSub>
            <m:r>
              <w:rPr>
                <w:rFonts w:ascii="Cambria Math" w:hAnsi="Cambria Math"/>
              </w:rPr>
              <m:t>×</m:t>
            </m:r>
            <m:sSub>
              <m:sSubPr>
                <m:ctrlPr>
                  <w:rPr>
                    <w:rFonts w:ascii="Cambria Math" w:hAnsi="Cambria Math"/>
                  </w:rPr>
                </m:ctrlPr>
              </m:sSubPr>
              <m:e>
                <m:r>
                  <w:rPr>
                    <w:rFonts w:ascii="Cambria Math" w:hAnsi="Cambria Math"/>
                  </w:rPr>
                  <m:t>r</m:t>
                </m:r>
              </m:e>
              <m:sub>
                <m:r>
                  <w:rPr>
                    <w:rFonts w:ascii="Cambria Math" w:hAnsi="Cambria Math"/>
                  </w:rPr>
                  <m:t>t</m:t>
                </m:r>
              </m:sub>
            </m:sSub>
          </m:e>
        </m:d>
        <m:d>
          <m:dPr>
            <m:ctrlPr>
              <w:rPr>
                <w:rFonts w:ascii="Cambria Math" w:hAnsi="Cambria Math"/>
              </w:rPr>
            </m:ctrlPr>
          </m:dPr>
          <m:e>
            <m:r>
              <w:rPr>
                <w:rFonts w:ascii="Cambria Math" w:hAnsi="Cambria Math"/>
              </w:rPr>
              <m:t>1-γ</m:t>
            </m:r>
          </m:e>
        </m:d>
      </m:oMath>
    </w:p>
    <w:p w:rsidR="001D37D5" w:rsidRPr="00883125" w:rsidRDefault="001D37D5" w:rsidP="001D37D5">
      <w:pPr>
        <w:numPr>
          <w:ilvl w:val="0"/>
          <w:numId w:val="24"/>
        </w:numPr>
      </w:pPr>
      <w:r w:rsidRPr="00883125">
        <w:t>where:</w:t>
      </w:r>
    </w:p>
    <w:p w:rsidR="001D37D5" w:rsidRPr="001D37D5" w:rsidRDefault="00F470C7" w:rsidP="001D37D5">
      <w:pPr>
        <w:pStyle w:val="AERbulletlistfirststyle"/>
      </w:pPr>
      <m:oMath>
        <m:sSub>
          <m:sSubPr>
            <m:ctrlPr>
              <w:rPr>
                <w:rFonts w:ascii="Cambria Math" w:hAnsi="Cambria Math"/>
              </w:rPr>
            </m:ctrlPr>
          </m:sSubPr>
          <m:e>
            <m:r>
              <w:rPr>
                <w:rFonts w:ascii="Cambria Math" w:hAnsi="Cambria Math"/>
              </w:rPr>
              <m:t>ETI</m:t>
            </m:r>
          </m:e>
          <m:sub>
            <m:r>
              <w:rPr>
                <w:rFonts w:ascii="Cambria Math" w:hAnsi="Cambria Math"/>
              </w:rPr>
              <m:t>t</m:t>
            </m:r>
          </m:sub>
        </m:sSub>
      </m:oMath>
      <w:r w:rsidR="001D37D5" w:rsidRPr="001D37D5">
        <w:t> is an estimate of the taxable income for that regulatory year that would be earned by a benchmark efficient entity as a result of the provision of regulated services if such an entity, rather than the service provider, operated the business of the service provider, such estimate being determined in accordance with the post-tax revenue model.</w:t>
      </w:r>
    </w:p>
    <w:p w:rsidR="001D37D5" w:rsidRPr="001D37D5" w:rsidRDefault="00F470C7" w:rsidP="001D37D5">
      <w:pPr>
        <w:pStyle w:val="AERbulletlistfirststyle"/>
      </w:pPr>
      <m:oMath>
        <m:sSub>
          <m:sSubPr>
            <m:ctrlPr>
              <w:rPr>
                <w:rFonts w:ascii="Cambria Math" w:hAnsi="Cambria Math"/>
              </w:rPr>
            </m:ctrlPr>
          </m:sSubPr>
          <m:e>
            <m:r>
              <w:rPr>
                <w:rFonts w:ascii="Cambria Math" w:hAnsi="Cambria Math"/>
              </w:rPr>
              <m:t>r</m:t>
            </m:r>
          </m:e>
          <m:sub>
            <m:r>
              <w:rPr>
                <w:rFonts w:ascii="Cambria Math" w:hAnsi="Cambria Math"/>
              </w:rPr>
              <m:t>t</m:t>
            </m:r>
          </m:sub>
        </m:sSub>
      </m:oMath>
      <w:r w:rsidR="001D37D5" w:rsidRPr="001D37D5">
        <w:t> is the expected statutory income tax rate for that regulatory year as determined by the AER.</w:t>
      </w:r>
    </w:p>
    <w:p w:rsidR="001D37D5" w:rsidRPr="001D37D5" w:rsidRDefault="001D37D5" w:rsidP="001D37D5">
      <w:pPr>
        <w:pStyle w:val="AERbulletlistfirststyle"/>
      </w:pPr>
      <m:oMath>
        <m:r>
          <w:rPr>
            <w:rFonts w:ascii="Cambria Math" w:hAnsi="Cambria Math"/>
          </w:rPr>
          <m:t>γ</m:t>
        </m:r>
      </m:oMath>
      <w:r w:rsidRPr="001D37D5">
        <w:t> is the value of imputation credits.</w:t>
      </w:r>
    </w:p>
    <w:p w:rsidR="001D37D5" w:rsidRPr="00883125" w:rsidRDefault="001D37D5" w:rsidP="001D37D5">
      <w:pPr>
        <w:numPr>
          <w:ilvl w:val="0"/>
          <w:numId w:val="24"/>
        </w:numPr>
      </w:pPr>
      <w:r w:rsidRPr="00883125">
        <w:t xml:space="preserve">Unlike many other aspects of the NER/NGR, there is no specific objective we must achieve for the value of imputation credits and no specific factors we must take into account in estimating it. The </w:t>
      </w:r>
      <w:r>
        <w:t xml:space="preserve">allowed </w:t>
      </w:r>
      <w:r w:rsidRPr="00883125">
        <w:t xml:space="preserve">rate of return objective does not specifically apply to the value of imputation credits. However, the rate of return must be determined on a nominal vanilla basis </w:t>
      </w:r>
      <w:r>
        <w:t xml:space="preserve">that is </w:t>
      </w:r>
      <w:r w:rsidRPr="00883125">
        <w:t xml:space="preserve">consistent with our </w:t>
      </w:r>
      <w:r>
        <w:t xml:space="preserve">estimate of the </w:t>
      </w:r>
      <w:r w:rsidRPr="00883125">
        <w:t>value of imputation credits.</w:t>
      </w:r>
      <w:r w:rsidRPr="00883125">
        <w:rPr>
          <w:rStyle w:val="FootnoteReference"/>
        </w:rPr>
        <w:footnoteReference w:id="42"/>
      </w:r>
    </w:p>
    <w:p w:rsidR="001D37D5" w:rsidRPr="00883125" w:rsidRDefault="001D37D5" w:rsidP="001D37D5">
      <w:pPr>
        <w:numPr>
          <w:ilvl w:val="0"/>
          <w:numId w:val="24"/>
        </w:numPr>
      </w:pPr>
      <w:r w:rsidRPr="00883125">
        <w:t>In this context, the conceptual rate of return framework developed by Officer in a 1994 paper informs our approach to interpreting and estimating the value of imputation credits.</w:t>
      </w:r>
      <w:r w:rsidRPr="00883125">
        <w:rPr>
          <w:rStyle w:val="FootnoteReference"/>
        </w:rPr>
        <w:footnoteReference w:id="43"/>
      </w:r>
      <w:r w:rsidRPr="00883125">
        <w:t xml:space="preserve"> This is because:</w:t>
      </w:r>
    </w:p>
    <w:p w:rsidR="001D37D5" w:rsidRPr="001D37D5" w:rsidRDefault="001D37D5" w:rsidP="001D37D5">
      <w:pPr>
        <w:pStyle w:val="AERbulletlistfirststyle"/>
      </w:pPr>
      <w:r w:rsidRPr="00883125">
        <w:lastRenderedPageBreak/>
        <w:t>The NER/NGR's cost of corporate income tax formula (shown above) mirrors Officer's framework for the treatment of imputation credits, including through the use of the parameter denoted by the Greek letter 'gamma'.</w:t>
      </w:r>
      <w:r w:rsidRPr="001D37D5">
        <w:rPr>
          <w:rStyle w:val="FootnoteReference"/>
        </w:rPr>
        <w:footnoteReference w:id="44"/>
      </w:r>
    </w:p>
    <w:p w:rsidR="001D37D5" w:rsidRPr="001D37D5" w:rsidRDefault="001D37D5" w:rsidP="001D37D5">
      <w:pPr>
        <w:pStyle w:val="AERbulletlistfirststyle"/>
      </w:pPr>
      <w:r w:rsidRPr="00883125">
        <w:t>We have received expert advice that Officer's definition of the nominal vanilla rate of return provides the basis for the rate of return framework in the NER/NGR.</w:t>
      </w:r>
      <w:r w:rsidRPr="001D37D5">
        <w:rPr>
          <w:rStyle w:val="FootnoteReference"/>
        </w:rPr>
        <w:footnoteReference w:id="45"/>
      </w:r>
      <w:r w:rsidRPr="001D37D5">
        <w:t xml:space="preserve"> Previous statements by the consultant for the majority of the service providers', Gray, and their industry association appear to support this consideration:</w:t>
      </w:r>
    </w:p>
    <w:p w:rsidR="001D37D5" w:rsidRPr="00883125" w:rsidRDefault="001D37D5" w:rsidP="001D37D5">
      <w:pPr>
        <w:pStyle w:val="AERbulletlistsecondstyle"/>
      </w:pPr>
      <w:r w:rsidRPr="00883125">
        <w:t>During the AEMC's 2012 rule change process, Gray advised the AEMC that '…there are a number of different WACC formulas that can all be identified as post-tax nominal definitions of WACC. Officer (1994), in the paper that forms the basis for the regulatory rate of return framework, sets out four such definitions…'.</w:t>
      </w:r>
      <w:r w:rsidRPr="00883125">
        <w:rPr>
          <w:rStyle w:val="FootnoteReference"/>
        </w:rPr>
        <w:footnoteReference w:id="46"/>
      </w:r>
    </w:p>
    <w:p w:rsidR="001D37D5" w:rsidRPr="00883125" w:rsidRDefault="001D37D5" w:rsidP="001D37D5">
      <w:pPr>
        <w:pStyle w:val="AERbulletlistsecondstyle"/>
      </w:pPr>
      <w:r w:rsidRPr="00883125">
        <w:t>During the development of the Guideline, the Energy Networks Association (ENA) submitted '[t]he fundamental economic framework in relation to dividend imputation was set out by Officer (1994)…'.</w:t>
      </w:r>
      <w:r w:rsidRPr="00883125">
        <w:rPr>
          <w:rStyle w:val="FootnoteReference"/>
        </w:rPr>
        <w:footnoteReference w:id="47"/>
      </w:r>
      <w:r w:rsidRPr="00883125">
        <w:t xml:space="preserve"> </w:t>
      </w:r>
    </w:p>
    <w:p w:rsidR="001D37D5" w:rsidRPr="00883125" w:rsidRDefault="001D37D5" w:rsidP="001D37D5">
      <w:r w:rsidRPr="00883125">
        <w:t>The NER/NGR require that we determine the rate of return on a nominal vanilla basis that is consistent with our estimate of the value of imputation credits.</w:t>
      </w:r>
      <w:r w:rsidRPr="00883125">
        <w:rPr>
          <w:rStyle w:val="FootnoteReference"/>
        </w:rPr>
        <w:footnoteReference w:id="48"/>
      </w:r>
      <w:r w:rsidRPr="00883125">
        <w:t xml:space="preserve"> The Officer framework provides a means for doing this. It provides a consistent framework for determining the rate of return for a business, which takes into account the value that investors receive from imputation credits.</w:t>
      </w:r>
      <w:r w:rsidRPr="00883125">
        <w:rPr>
          <w:rStyle w:val="FootnoteReference"/>
        </w:rPr>
        <w:footnoteReference w:id="49"/>
      </w:r>
      <w:r w:rsidRPr="00883125">
        <w:t xml:space="preserve"> An important implication of this is that gamma is not a standalone concept or parameter. It is part of a broader framework, and should be interpreted and estimated accordingly.</w:t>
      </w:r>
    </w:p>
    <w:p w:rsidR="001D37D5" w:rsidRPr="00883125" w:rsidRDefault="001D37D5" w:rsidP="001D37D5">
      <w:pPr>
        <w:numPr>
          <w:ilvl w:val="0"/>
          <w:numId w:val="24"/>
        </w:numPr>
      </w:pPr>
      <w:r w:rsidRPr="00883125">
        <w:t xml:space="preserve">Consistent with the expert advice we have received, we consider that the Officer framework provides the basis for the rate of return framework in the NER/NGR. We therefore also consider that estimating the value of imputation credits consistent with the Officer framework will best promote the </w:t>
      </w:r>
      <w:r>
        <w:t>National Electricity Objective/National Gas Objective (</w:t>
      </w:r>
      <w:r w:rsidRPr="00883125">
        <w:t>NEO/NGO</w:t>
      </w:r>
      <w:r>
        <w:t>)</w:t>
      </w:r>
      <w:r w:rsidRPr="00787306">
        <w:rPr>
          <w:rStyle w:val="FootnoteReference"/>
        </w:rPr>
        <w:t xml:space="preserve"> </w:t>
      </w:r>
      <w:r w:rsidRPr="00883125">
        <w:rPr>
          <w:rStyle w:val="FootnoteReference"/>
        </w:rPr>
        <w:footnoteReference w:id="50"/>
      </w:r>
      <w:r w:rsidRPr="00883125">
        <w:t xml:space="preserve"> and other requirements of the NER/NGR.</w:t>
      </w:r>
    </w:p>
    <w:p w:rsidR="001D37D5" w:rsidRPr="00883125" w:rsidRDefault="001D37D5" w:rsidP="001D37D5">
      <w:pPr>
        <w:numPr>
          <w:ilvl w:val="0"/>
          <w:numId w:val="24"/>
        </w:numPr>
      </w:pPr>
      <w:r w:rsidRPr="00883125">
        <w:t xml:space="preserve">To this end, we have had regard to the differing expert opinions on the proper interpretation of the gamma parameter in the Officer framework. As discussed in section </w:t>
      </w:r>
      <w:r w:rsidRPr="00883125">
        <w:fldChar w:fldCharType="begin"/>
      </w:r>
      <w:r w:rsidRPr="00883125">
        <w:instrText xml:space="preserve"> REF _Ref414028398 \r \h </w:instrText>
      </w:r>
      <w:r w:rsidRPr="00883125">
        <w:fldChar w:fldCharType="separate"/>
      </w:r>
      <w:r w:rsidR="00A02D8C">
        <w:t>A.7.3</w:t>
      </w:r>
      <w:r w:rsidRPr="00883125">
        <w:fldChar w:fldCharType="end"/>
      </w:r>
      <w:r w:rsidRPr="00883125">
        <w:t xml:space="preserve">, we accept Handley's expert advice on the Officer framework. An important aspect of this advice is that </w:t>
      </w:r>
      <w:r w:rsidRPr="00883125">
        <w:lastRenderedPageBreak/>
        <w:t>the framework is on a 'before-personal-tax and before-personal-costs' basis.</w:t>
      </w:r>
      <w:r w:rsidRPr="00883125">
        <w:rPr>
          <w:rStyle w:val="FootnoteReference"/>
        </w:rPr>
        <w:footnoteReference w:id="51"/>
      </w:r>
      <w:r w:rsidRPr="00883125">
        <w:t xml:space="preserve"> That is, 'the per dollar value of an imputation credit </w:t>
      </w:r>
      <m:oMath>
        <m:r>
          <w:rPr>
            <w:rFonts w:ascii="Cambria Math" w:hAnsi="Cambria Math"/>
          </w:rPr>
          <m:t>γ</m:t>
        </m:r>
      </m:oMath>
      <w:r w:rsidRPr="00883125">
        <w:t xml:space="preserve"> gamma should be measured prior to any personal tax on the credit and prior to any personal costs associated with the receipt of the credit'.</w:t>
      </w:r>
      <w:r w:rsidRPr="00883125">
        <w:rPr>
          <w:rStyle w:val="FootnoteReference"/>
        </w:rPr>
        <w:footnoteReference w:id="52"/>
      </w:r>
    </w:p>
    <w:p w:rsidR="001D37D5" w:rsidRPr="00883125" w:rsidRDefault="001D37D5" w:rsidP="001D37D5">
      <w:pPr>
        <w:numPr>
          <w:ilvl w:val="0"/>
          <w:numId w:val="24"/>
        </w:numPr>
      </w:pPr>
      <w:r w:rsidRPr="00883125">
        <w:t>By determining a value of imputation credits in a manner consistent with the Officer framework, we consider that we are making our decision in a manner that will or is likely to contribute to the achievement of the NEO/NGO.</w:t>
      </w:r>
      <w:r w:rsidRPr="00883125">
        <w:rPr>
          <w:rStyle w:val="FootnoteReference"/>
        </w:rPr>
        <w:footnoteReference w:id="53"/>
      </w:r>
      <w:r w:rsidRPr="00883125">
        <w:t xml:space="preserve"> Further, when exercising </w:t>
      </w:r>
      <w:r>
        <w:t>our</w:t>
      </w:r>
      <w:r w:rsidRPr="00883125">
        <w:t xml:space="preserve"> discretion in making the relevant parts of a decision, we must take into account the </w:t>
      </w:r>
      <w:r>
        <w:t>revenue and pricing principles (</w:t>
      </w:r>
      <w:r w:rsidRPr="00883125">
        <w:t>RPP</w:t>
      </w:r>
      <w:r>
        <w:t>)</w:t>
      </w:r>
      <w:r w:rsidRPr="00883125">
        <w:t>.</w:t>
      </w:r>
      <w:r w:rsidRPr="00883125">
        <w:rPr>
          <w:rStyle w:val="FootnoteReference"/>
        </w:rPr>
        <w:footnoteReference w:id="54"/>
      </w:r>
      <w:r w:rsidRPr="00883125">
        <w:t xml:space="preserve"> The RPP provide, amongst other things, that:</w:t>
      </w:r>
      <w:r w:rsidRPr="00883125">
        <w:rPr>
          <w:rStyle w:val="FootnoteReference"/>
        </w:rPr>
        <w:footnoteReference w:id="55"/>
      </w:r>
    </w:p>
    <w:p w:rsidR="001D37D5" w:rsidRPr="00883125" w:rsidRDefault="001D37D5" w:rsidP="001D37D5">
      <w:pPr>
        <w:pStyle w:val="AERbulletlistfirststyle"/>
      </w:pPr>
      <w:r w:rsidRPr="00883125">
        <w:t>a service provider should be provided with a reasonable opportunity to recover at least the efficient costs the operator incurs providing regulated services and complying with regulatory obligations</w:t>
      </w:r>
    </w:p>
    <w:p w:rsidR="001D37D5" w:rsidRPr="00883125" w:rsidRDefault="001D37D5" w:rsidP="001D37D5">
      <w:pPr>
        <w:pStyle w:val="AERbulletlistfirststyle"/>
      </w:pPr>
      <w:r w:rsidRPr="00883125">
        <w:t xml:space="preserve">a service provider should be provided with effective incentives in order to promote economic efficiency with respect to the regulated services it provides, and </w:t>
      </w:r>
    </w:p>
    <w:p w:rsidR="001D37D5" w:rsidRPr="00883125" w:rsidRDefault="001D37D5" w:rsidP="001D37D5">
      <w:pPr>
        <w:pStyle w:val="AERbulletlistfirststyle"/>
      </w:pPr>
      <w:r w:rsidRPr="00883125">
        <w:t xml:space="preserve">a price, charge or tariff for the provision of a regulated service should allow for a return commensurate with the regulatory and commercial risks involved in providing the regulated service. </w:t>
      </w:r>
    </w:p>
    <w:p w:rsidR="001D37D5" w:rsidRPr="00883125" w:rsidRDefault="001D37D5" w:rsidP="001D37D5">
      <w:pPr>
        <w:numPr>
          <w:ilvl w:val="0"/>
          <w:numId w:val="24"/>
        </w:numPr>
      </w:pPr>
      <w:r w:rsidRPr="00883125">
        <w:t xml:space="preserve">Therefore, the value of imputation credits we adopt must ultimately promote the achievement of the NEO/NGO (via its application in the estimated cost of corporate income tax building block) and must take into account the RPP. </w:t>
      </w:r>
    </w:p>
    <w:p w:rsidR="001D37D5" w:rsidRPr="00883125" w:rsidRDefault="001D37D5" w:rsidP="001D37D5">
      <w:pPr>
        <w:numPr>
          <w:ilvl w:val="0"/>
          <w:numId w:val="24"/>
        </w:numPr>
      </w:pPr>
      <w:r w:rsidRPr="00883125">
        <w:t>With reference to the language of the RPP, this requires the exercise of our discretion in determining a tax building block (including the exercise of our discretion in determining the adjustment for the value of imputation credits) that is:</w:t>
      </w:r>
    </w:p>
    <w:p w:rsidR="001D37D5" w:rsidRPr="00883125" w:rsidRDefault="001D37D5" w:rsidP="001D37D5">
      <w:pPr>
        <w:pStyle w:val="AERbulletlistfirststyle"/>
      </w:pPr>
      <w:r w:rsidRPr="00883125">
        <w:t>not too low, in that it contributes to providing a reasonable opportunity to recover at least efficient corporate tax costs</w:t>
      </w:r>
    </w:p>
    <w:p w:rsidR="001D37D5" w:rsidRPr="00883125" w:rsidRDefault="001D37D5" w:rsidP="001D37D5">
      <w:pPr>
        <w:pStyle w:val="AERbulletlistfirststyle"/>
      </w:pPr>
      <w:r w:rsidRPr="00883125">
        <w:t>not too high, in that it contributes to a return that is not excessive and is commensurate with the relevant risks.</w:t>
      </w:r>
    </w:p>
    <w:p w:rsidR="001D37D5" w:rsidRPr="00883125" w:rsidRDefault="001D37D5" w:rsidP="001D37D5">
      <w:pPr>
        <w:numPr>
          <w:ilvl w:val="0"/>
          <w:numId w:val="24"/>
        </w:numPr>
      </w:pPr>
      <w:r w:rsidRPr="00883125">
        <w:t>We consider that finding the right balance is best served by having regard to the merits of the full range of relevant evidence. We explain our consideration of, and reliance upon, the range of relevant evidence in this attachment. We have determined a value of imputation credits that we are satisfied achieves a balance between the opportunity for service providers to recover at least efficient costs but that is commensurate with relevant risks.</w:t>
      </w:r>
    </w:p>
    <w:p w:rsidR="001D37D5" w:rsidRPr="00883125" w:rsidRDefault="001D37D5" w:rsidP="00247000">
      <w:pPr>
        <w:pStyle w:val="Heading3"/>
        <w:ind w:left="720"/>
      </w:pPr>
      <w:bookmarkStart w:id="100" w:name="_Ref401234016"/>
      <w:bookmarkStart w:id="101" w:name="_Toc451842237"/>
      <w:bookmarkStart w:id="102" w:name="_Toc451938293"/>
      <w:r w:rsidRPr="00883125">
        <w:lastRenderedPageBreak/>
        <w:t>Rate of return Guideline</w:t>
      </w:r>
      <w:bookmarkEnd w:id="100"/>
      <w:bookmarkEnd w:id="101"/>
      <w:bookmarkEnd w:id="102"/>
    </w:p>
    <w:p w:rsidR="001D37D5" w:rsidRPr="00883125" w:rsidRDefault="001D37D5" w:rsidP="001D37D5">
      <w:pPr>
        <w:numPr>
          <w:ilvl w:val="0"/>
          <w:numId w:val="24"/>
        </w:numPr>
      </w:pPr>
      <w:r w:rsidRPr="00883125">
        <w:t>In December 2013, we published the Guideline which is available on our website.</w:t>
      </w:r>
      <w:r w:rsidRPr="00883125">
        <w:rPr>
          <w:rStyle w:val="FootnoteReference"/>
        </w:rPr>
        <w:footnoteReference w:id="56"/>
      </w:r>
      <w:r w:rsidRPr="00883125">
        <w:t xml:space="preserve"> Within it we specified:</w:t>
      </w:r>
      <w:r w:rsidRPr="00883125">
        <w:rPr>
          <w:rStyle w:val="FootnoteReference"/>
        </w:rPr>
        <w:footnoteReference w:id="57"/>
      </w:r>
    </w:p>
    <w:p w:rsidR="001D37D5" w:rsidRPr="001D37D5" w:rsidRDefault="001D37D5" w:rsidP="001D37D5">
      <w:pPr>
        <w:pStyle w:val="AERbulletlistfirststyle"/>
      </w:pPr>
      <w:r>
        <w:t>t</w:t>
      </w:r>
      <w:r w:rsidRPr="001D37D5">
        <w:t>he methodologies we propose to use to estimate the allowed rate of return (derived from the expected return on equity and the return on debt) for electricity and gas network service providers</w:t>
      </w:r>
    </w:p>
    <w:p w:rsidR="001D37D5" w:rsidRPr="001D37D5" w:rsidRDefault="001D37D5" w:rsidP="001D37D5">
      <w:pPr>
        <w:pStyle w:val="AERbulletlistfirststyle"/>
      </w:pPr>
      <w:r>
        <w:t>t</w:t>
      </w:r>
      <w:r w:rsidRPr="001D37D5">
        <w:t>he method we propose to use to estimate the value of imputation credits</w:t>
      </w:r>
    </w:p>
    <w:p w:rsidR="001D37D5" w:rsidRPr="001D37D5" w:rsidRDefault="001D37D5" w:rsidP="001D37D5">
      <w:pPr>
        <w:pStyle w:val="AERbulletlistfirststyle"/>
      </w:pPr>
      <w:r>
        <w:t>h</w:t>
      </w:r>
      <w:r w:rsidRPr="001D37D5">
        <w:t>ow these methods will result in an allowed return on equity and return on debt which we are satisfied achieve the allowed rate of return objective.</w:t>
      </w:r>
    </w:p>
    <w:p w:rsidR="001D37D5" w:rsidRPr="00883125" w:rsidRDefault="001D37D5" w:rsidP="001D37D5">
      <w:pPr>
        <w:numPr>
          <w:ilvl w:val="0"/>
          <w:numId w:val="24"/>
        </w:numPr>
      </w:pPr>
      <w:r w:rsidRPr="00883125">
        <w:t>In the Guideline we also set out the estimation methods, financial models, market data and other evidence that we propose to take into account in estimating the expected return on equity, return on debt and the value of imputation credits.</w:t>
      </w:r>
      <w:r w:rsidRPr="00883125">
        <w:rPr>
          <w:rStyle w:val="FootnoteReference"/>
        </w:rPr>
        <w:footnoteReference w:id="58"/>
      </w:r>
      <w:r w:rsidRPr="00883125">
        <w:t xml:space="preserve"> We discuss our development of the Guideline in detail in attachment 3 of this decision.  </w:t>
      </w:r>
    </w:p>
    <w:p w:rsidR="001D37D5" w:rsidRPr="00883125" w:rsidRDefault="001D37D5" w:rsidP="001D37D5">
      <w:pPr>
        <w:numPr>
          <w:ilvl w:val="0"/>
          <w:numId w:val="24"/>
        </w:numPr>
      </w:pPr>
      <w:r w:rsidRPr="00883125">
        <w:t>The Guideline is not binding in determining the value of imputation credits. However, should we decide to depart from the Guideline we must provide reasons for doing so.</w:t>
      </w:r>
      <w:r w:rsidRPr="00883125">
        <w:rPr>
          <w:rStyle w:val="FootnoteReference"/>
        </w:rPr>
        <w:footnoteReference w:id="59"/>
      </w:r>
      <w:r w:rsidRPr="00883125">
        <w:t xml:space="preserve"> Equally, it is open to service providers to propose departures from the Guideline, so long as they provide reasons.</w:t>
      </w:r>
      <w:r w:rsidRPr="00883125">
        <w:rPr>
          <w:rStyle w:val="FootnoteReference"/>
        </w:rPr>
        <w:footnoteReference w:id="60"/>
      </w:r>
      <w:r w:rsidRPr="00883125">
        <w:t xml:space="preserve"> </w:t>
      </w:r>
    </w:p>
    <w:p w:rsidR="001D37D5" w:rsidRPr="001D37D5" w:rsidRDefault="001D37D5" w:rsidP="00247000">
      <w:pPr>
        <w:pStyle w:val="Heading3"/>
        <w:ind w:left="720"/>
      </w:pPr>
      <w:bookmarkStart w:id="103" w:name="_Ref404065332"/>
      <w:bookmarkStart w:id="104" w:name="_Toc451842238"/>
      <w:bookmarkStart w:id="105" w:name="_Toc451938294"/>
      <w:r w:rsidRPr="00883125">
        <w:t xml:space="preserve">Definition of </w:t>
      </w:r>
      <w:r w:rsidRPr="001D37D5">
        <w:t>a benchmark efficient entity</w:t>
      </w:r>
      <w:bookmarkEnd w:id="103"/>
      <w:bookmarkEnd w:id="104"/>
      <w:bookmarkEnd w:id="105"/>
    </w:p>
    <w:p w:rsidR="001D37D5" w:rsidRPr="00883125" w:rsidRDefault="001D37D5" w:rsidP="001D37D5">
      <w:pPr>
        <w:numPr>
          <w:ilvl w:val="0"/>
          <w:numId w:val="24"/>
        </w:numPr>
      </w:pPr>
      <w:r w:rsidRPr="00883125">
        <w:t xml:space="preserve">As shown in section </w:t>
      </w:r>
      <w:r w:rsidRPr="00883125">
        <w:fldChar w:fldCharType="begin"/>
      </w:r>
      <w:r w:rsidRPr="00883125">
        <w:instrText xml:space="preserve"> REF _Ref400272912 \r \h </w:instrText>
      </w:r>
      <w:r w:rsidRPr="00883125">
        <w:fldChar w:fldCharType="separate"/>
      </w:r>
      <w:r w:rsidR="00A02D8C">
        <w:t>4.3.1</w:t>
      </w:r>
      <w:r w:rsidRPr="00883125">
        <w:fldChar w:fldCharType="end"/>
      </w:r>
      <w:r w:rsidRPr="00883125">
        <w:t xml:space="preserve">, the NER/NGR refer to a 'benchmark efficient entity'. </w:t>
      </w:r>
      <w:r>
        <w:t>W</w:t>
      </w:r>
      <w:r w:rsidRPr="00883125">
        <w:t>e have adopted:</w:t>
      </w:r>
    </w:p>
    <w:p w:rsidR="001D37D5" w:rsidRPr="00883125" w:rsidRDefault="001D37D5" w:rsidP="001D37D5">
      <w:pPr>
        <w:pStyle w:val="AERbulletlistfirststyle"/>
      </w:pPr>
      <w:r w:rsidRPr="00883125">
        <w:t>a single benchmark across gas, electricity, transmission and distribution</w:t>
      </w:r>
    </w:p>
    <w:p w:rsidR="001D37D5" w:rsidRPr="001D37D5" w:rsidRDefault="001D37D5" w:rsidP="001D37D5">
      <w:pPr>
        <w:pStyle w:val="AERbulletlistfirststyle"/>
      </w:pPr>
      <w:r w:rsidRPr="00883125">
        <w:t>a conceptual definition of the benchmark efficient entity as 'a 'pure play', regulated energy network business operating within Australia'.</w:t>
      </w:r>
      <w:r w:rsidRPr="001D37D5">
        <w:rPr>
          <w:rStyle w:val="FootnoteReference"/>
        </w:rPr>
        <w:footnoteReference w:id="61"/>
      </w:r>
    </w:p>
    <w:p w:rsidR="001D37D5" w:rsidRDefault="001D37D5" w:rsidP="001D37D5">
      <w:pPr>
        <w:numPr>
          <w:ilvl w:val="0"/>
          <w:numId w:val="24"/>
        </w:numPr>
      </w:pPr>
      <w:r>
        <w:t>We provide a detailed discussion of our definition of a benchmark efficient entity in attachment 3 of this decision. This includes a response to service providers' submissions that a benchmark efficient entity should not be a regulated entity. The definition of a benchmark efficient entity we use for determining the rate of return is identical to the definition we use for determining the value of imputation credits in this decision.</w:t>
      </w:r>
    </w:p>
    <w:p w:rsidR="001D37D5" w:rsidRPr="00883125" w:rsidRDefault="001D37D5" w:rsidP="001D37D5">
      <w:pPr>
        <w:numPr>
          <w:ilvl w:val="0"/>
          <w:numId w:val="24"/>
        </w:numPr>
      </w:pPr>
      <w:r w:rsidRPr="00830E47">
        <w:t xml:space="preserve">However, we discuss one element of the definition in this attachment: 'operating within Australia'. We consider </w:t>
      </w:r>
      <w:r>
        <w:t>the</w:t>
      </w:r>
      <w:r w:rsidRPr="001806B7">
        <w:t xml:space="preserve"> rate of return should be estimated on a basis that is consistent </w:t>
      </w:r>
      <w:r w:rsidRPr="001806B7">
        <w:lastRenderedPageBreak/>
        <w:t>with our estimate of gamma. The rate of return should also be commensurate with the efficient financing costs of a benchmark efficient entity with a similar degree of risk to the relevant service provider in the provision of its regulated services. The degree of risk a service provider faces in the provision of its services is significantly affected by location. This is because the location of a business determines the conditions under which the business operates. This includes the regulatory regime, tax laws, industry structure and broader economic environment that impact the risks faced by the service provider in its provision of regulated services. An additional consideration that is particularly relevant to the value of imputation credits is that we recognise that both domestic and foreign investors participate in the Australian market. That is, we consider that the defined market is an Australian domestic market that recognises the presence of foreign investors to the extent that they invest in the Australian market. This is important for determining a value of imputation credits because typically domestic investors are eligible to utilise imputation credits while foreign investors are not</w:t>
      </w:r>
      <w:r w:rsidRPr="00830E47">
        <w:t>.</w:t>
      </w:r>
      <w:r w:rsidRPr="00883125">
        <w:t xml:space="preserve"> </w:t>
      </w:r>
    </w:p>
    <w:p w:rsidR="001D37D5" w:rsidRPr="00883125" w:rsidRDefault="001D37D5" w:rsidP="00247000">
      <w:pPr>
        <w:pStyle w:val="Heading3"/>
        <w:ind w:left="720"/>
      </w:pPr>
      <w:bookmarkStart w:id="106" w:name="_Ref415070818"/>
      <w:bookmarkStart w:id="107" w:name="_Toc451842239"/>
      <w:bookmarkStart w:id="108" w:name="_Toc451938295"/>
      <w:r w:rsidRPr="00883125">
        <w:t>Interrelationships</w:t>
      </w:r>
      <w:bookmarkEnd w:id="106"/>
      <w:bookmarkEnd w:id="107"/>
      <w:bookmarkEnd w:id="108"/>
    </w:p>
    <w:p w:rsidR="001D37D5" w:rsidRPr="00883125" w:rsidRDefault="001D37D5" w:rsidP="001D37D5">
      <w:r w:rsidRPr="00883125">
        <w:t>The NER/NGR recognise that a service provider's allowed revenue does not need to include the value of imputation credits. The NER/NGR adjust for the value of imputation credits via the revenue granted to a service provider to cover its expected tax liability. This form of adjustment recognises that it is the payment of corporate tax which is the source of the imputation credit return to investors.</w:t>
      </w:r>
    </w:p>
    <w:p w:rsidR="001D37D5" w:rsidRPr="00883125" w:rsidRDefault="001D37D5" w:rsidP="001D37D5">
      <w:r w:rsidRPr="00883125">
        <w:t>The CCP's view suggests that we should take into account the interrelationship with the corporate tax allowance when determining the value of imputation credits. The CCP submitted evidence that our benchmark tax allowance was substantially higher than the corporate tax actually paid by service providers.</w:t>
      </w:r>
      <w:r w:rsidRPr="00883125">
        <w:rPr>
          <w:rStyle w:val="FootnoteReference"/>
        </w:rPr>
        <w:footnoteReference w:id="62"/>
      </w:r>
      <w:r w:rsidRPr="00883125">
        <w:t xml:space="preserve"> The CCP then concluded:</w:t>
      </w:r>
      <w:r w:rsidRPr="00883125">
        <w:rPr>
          <w:rStyle w:val="FootnoteReference"/>
        </w:rPr>
        <w:footnoteReference w:id="63"/>
      </w:r>
    </w:p>
    <w:p w:rsidR="001D37D5" w:rsidRPr="00883125" w:rsidRDefault="001D37D5" w:rsidP="001D37D5">
      <w:pPr>
        <w:pStyle w:val="AERquote"/>
      </w:pPr>
      <w:r w:rsidRPr="00883125">
        <w:t>Regarding gamma, it is difficult for the CCP to support a gamma of 0.5 as being better or worse than 1 or 0 or any number in between, we simply do not know enough about the vagaries of such calculations.  Though the lack of tax paid would suggest a gamma nearer 1 than 0.</w:t>
      </w:r>
    </w:p>
    <w:p w:rsidR="001D37D5" w:rsidRPr="00883125" w:rsidRDefault="001D37D5" w:rsidP="001D37D5">
      <w:r w:rsidRPr="00883125">
        <w:t>We agree with the CCP's suggestion that it would be reasonable to consider the tax building block as a whole when determining the value of imputation credits. Under this approach, a tendency toward a higher value of imputation credits (and therefore greater reduction in the tax building block) might be reasonable if the benchmark tax allowance is above the efficient cost of tax. However, in the Guideline and this draft decision our determination of the value of imputation credits is guided by</w:t>
      </w:r>
      <w:r w:rsidRPr="00883125" w:rsidDel="00AF1A4A">
        <w:t xml:space="preserve"> the relevant theoretical framework and </w:t>
      </w:r>
      <w:r w:rsidRPr="00883125">
        <w:t>associated</w:t>
      </w:r>
      <w:r w:rsidRPr="00883125" w:rsidDel="00AF1A4A">
        <w:t xml:space="preserve"> evidence.</w:t>
      </w:r>
    </w:p>
    <w:p w:rsidR="001D37D5" w:rsidRPr="00883125" w:rsidRDefault="001D37D5" w:rsidP="001D37D5">
      <w:r w:rsidRPr="00883125">
        <w:lastRenderedPageBreak/>
        <w:t xml:space="preserve">The value of imputation credits is also interrelated with the </w:t>
      </w:r>
      <w:r>
        <w:t>market risk premium (</w:t>
      </w:r>
      <w:r w:rsidRPr="00883125">
        <w:t>MRP</w:t>
      </w:r>
      <w:r>
        <w:t>)</w:t>
      </w:r>
      <w:r w:rsidRPr="00883125">
        <w:t>. As discussed in attachment 3, the definition of the MRP in the S</w:t>
      </w:r>
      <w:r>
        <w:t>harpe-</w:t>
      </w:r>
      <w:r w:rsidRPr="00883125">
        <w:t>L</w:t>
      </w:r>
      <w:r>
        <w:t>intner capital asset pricing model (</w:t>
      </w:r>
      <w:r w:rsidRPr="00883125">
        <w:t>CAPM</w:t>
      </w:r>
      <w:r>
        <w:t>)</w:t>
      </w:r>
      <w:r w:rsidRPr="00883125">
        <w:t xml:space="preserve"> should account for the capitalised value of imputation credits. Accordingly, in our determination of the return on equity in attachment 3 we adjust estimates of the MRP in a manner consistent with our determination of the value of imputation credits in this attachment. This is also required by the NER/NGR.</w:t>
      </w:r>
      <w:r w:rsidRPr="00883125">
        <w:rPr>
          <w:rStyle w:val="FootnoteReference"/>
        </w:rPr>
        <w:footnoteReference w:id="64"/>
      </w:r>
    </w:p>
    <w:p w:rsidR="001D37D5" w:rsidRPr="00883125" w:rsidRDefault="001D37D5" w:rsidP="00247000">
      <w:pPr>
        <w:pStyle w:val="Heading3"/>
        <w:ind w:left="720"/>
      </w:pPr>
      <w:bookmarkStart w:id="109" w:name="_Toc451842240"/>
      <w:bookmarkStart w:id="110" w:name="_Toc451938296"/>
      <w:r w:rsidRPr="00883125">
        <w:t>Expert reports</w:t>
      </w:r>
      <w:bookmarkEnd w:id="109"/>
      <w:bookmarkEnd w:id="110"/>
    </w:p>
    <w:p w:rsidR="001D37D5" w:rsidRPr="00883125" w:rsidRDefault="001D37D5" w:rsidP="001D37D5">
      <w:pPr>
        <w:numPr>
          <w:ilvl w:val="0"/>
          <w:numId w:val="24"/>
        </w:numPr>
      </w:pPr>
      <w:r w:rsidRPr="00883125">
        <w:t>During the development of the Guideline, we commissioned expert advice on the value of imputation credits from Dr Martin Lally of the Victoria University of Wellington.</w:t>
      </w:r>
      <w:r w:rsidRPr="00883125">
        <w:rPr>
          <w:rStyle w:val="FootnoteReference"/>
        </w:rPr>
        <w:footnoteReference w:id="65"/>
      </w:r>
    </w:p>
    <w:p w:rsidR="001D37D5" w:rsidRPr="00883125" w:rsidRDefault="001D37D5" w:rsidP="001D37D5">
      <w:pPr>
        <w:numPr>
          <w:ilvl w:val="0"/>
          <w:numId w:val="24"/>
        </w:numPr>
      </w:pPr>
      <w:r w:rsidRPr="00883125">
        <w:t>Since the Guideline, we commissioned further expert advice from Associate Professor John Handley of the University of Melbourne and Dr Martin Lally.</w:t>
      </w:r>
      <w:r w:rsidRPr="00883125">
        <w:rPr>
          <w:rStyle w:val="FootnoteReference"/>
        </w:rPr>
        <w:footnoteReference w:id="66"/>
      </w:r>
      <w:r w:rsidRPr="00883125">
        <w:t xml:space="preserve"> We have also had regard to, among other things:</w:t>
      </w:r>
    </w:p>
    <w:p w:rsidR="001D37D5" w:rsidRPr="001D37D5" w:rsidRDefault="001D37D5" w:rsidP="001D37D5">
      <w:pPr>
        <w:pStyle w:val="AERbulletlistfirststyle"/>
      </w:pPr>
      <w:r w:rsidRPr="00883125">
        <w:t>the May 2014, February 2015,</w:t>
      </w:r>
      <w:r w:rsidRPr="001D37D5">
        <w:t xml:space="preserve"> June 2015 and January 2016 reports by Professor Stephen Gray that were commissioned by service providers.</w:t>
      </w:r>
      <w:r w:rsidRPr="001D37D5">
        <w:rPr>
          <w:rStyle w:val="FootnoteReference"/>
        </w:rPr>
        <w:footnoteReference w:id="67"/>
      </w:r>
    </w:p>
    <w:p w:rsidR="001D37D5" w:rsidRPr="001D37D5" w:rsidRDefault="001D37D5" w:rsidP="001D37D5">
      <w:pPr>
        <w:pStyle w:val="AERbulletlistfirststyle"/>
      </w:pPr>
      <w:r w:rsidRPr="00883125">
        <w:t>the March 2015, April 2015 and June 2015 reports by NERA Economic Consulting (NERA) that were commissioned by service providers.</w:t>
      </w:r>
      <w:r w:rsidRPr="001D37D5">
        <w:rPr>
          <w:rStyle w:val="FootnoteReference"/>
        </w:rPr>
        <w:footnoteReference w:id="68"/>
      </w:r>
    </w:p>
    <w:p w:rsidR="001D37D5" w:rsidRPr="001D37D5" w:rsidRDefault="001D37D5" w:rsidP="001D37D5">
      <w:pPr>
        <w:pStyle w:val="AERbulletlistfirststyle"/>
      </w:pPr>
      <w:r w:rsidRPr="00883125">
        <w:t>the November 2013 and March 2014 reports by Associate Professor Lally that were commissioned by the Queensland Competition Authority.</w:t>
      </w:r>
      <w:r w:rsidRPr="001D37D5">
        <w:rPr>
          <w:rStyle w:val="FootnoteReference"/>
        </w:rPr>
        <w:footnoteReference w:id="69"/>
      </w:r>
    </w:p>
    <w:p w:rsidR="001D37D5" w:rsidRPr="001D37D5" w:rsidRDefault="001D37D5" w:rsidP="001D37D5">
      <w:pPr>
        <w:pStyle w:val="AERbulletlistfirststyle"/>
      </w:pPr>
      <w:r w:rsidRPr="00883125">
        <w:t>an October 2013 review of a network rail access undertaking by Professor Michael McKenzie of the University of Liverpool and Associate Professor Graham Partington of the University of Sydney.</w:t>
      </w:r>
      <w:r w:rsidRPr="001D37D5">
        <w:rPr>
          <w:rStyle w:val="FootnoteReference"/>
        </w:rPr>
        <w:footnoteReference w:id="70"/>
      </w:r>
      <w:r w:rsidRPr="001D37D5">
        <w:t xml:space="preserve"> This review was commissioned by the Queensland Resources Council and submitted to the Queensland Competition Authority.</w:t>
      </w:r>
    </w:p>
    <w:p w:rsidR="001D37D5" w:rsidRPr="001D37D5" w:rsidRDefault="001D37D5" w:rsidP="001D37D5">
      <w:pPr>
        <w:pStyle w:val="AERbulletlistfirststyle"/>
      </w:pPr>
      <w:r w:rsidRPr="00883125">
        <w:t>a September 2013 report on tax statistics by Dr. Neville Hathaway that was commissioned by the Energy Networks Association.</w:t>
      </w:r>
      <w:r w:rsidRPr="001D37D5">
        <w:rPr>
          <w:rStyle w:val="FootnoteReference"/>
        </w:rPr>
        <w:footnoteReference w:id="71"/>
      </w:r>
    </w:p>
    <w:p w:rsidR="001D37D5" w:rsidRPr="001D37D5" w:rsidRDefault="001D37D5" w:rsidP="001D37D5">
      <w:pPr>
        <w:pStyle w:val="AERbulletlistfirststyle"/>
      </w:pPr>
      <w:r w:rsidRPr="00883125">
        <w:lastRenderedPageBreak/>
        <w:t>a June 2013 report on the distribution rate by NERA that was commissioned by the Energy Networks Association.</w:t>
      </w:r>
      <w:r w:rsidRPr="001D37D5">
        <w:rPr>
          <w:rStyle w:val="FootnoteReference"/>
        </w:rPr>
        <w:footnoteReference w:id="72"/>
      </w:r>
    </w:p>
    <w:p w:rsidR="001D37D5" w:rsidRPr="00883125" w:rsidRDefault="001D37D5" w:rsidP="00247000">
      <w:pPr>
        <w:pStyle w:val="Heading3"/>
        <w:ind w:left="720"/>
      </w:pPr>
      <w:bookmarkStart w:id="111" w:name="_Ref415048973"/>
      <w:bookmarkStart w:id="112" w:name="_Toc451842241"/>
      <w:bookmarkStart w:id="113" w:name="_Toc451938297"/>
      <w:r w:rsidRPr="00883125">
        <w:t>Approach to determining the value of imputation credits</w:t>
      </w:r>
      <w:bookmarkEnd w:id="111"/>
      <w:bookmarkEnd w:id="112"/>
      <w:bookmarkEnd w:id="113"/>
    </w:p>
    <w:p w:rsidR="001D37D5" w:rsidRPr="00883125" w:rsidRDefault="001D37D5" w:rsidP="001D37D5">
      <w:pPr>
        <w:numPr>
          <w:ilvl w:val="0"/>
          <w:numId w:val="24"/>
        </w:numPr>
      </w:pPr>
      <w:r w:rsidRPr="00883125">
        <w:t>There is no consensus among experts or regulators on the value of imputation credits or the techniques to use to estimate it.</w:t>
      </w:r>
      <w:r w:rsidRPr="00883125">
        <w:rPr>
          <w:rStyle w:val="FootnoteReference"/>
        </w:rPr>
        <w:footnoteReference w:id="73"/>
      </w:r>
      <w:r w:rsidRPr="00883125">
        <w:t xml:space="preserve"> Our approach to determining the value of imputation credits is guided by:</w:t>
      </w:r>
    </w:p>
    <w:p w:rsidR="001D37D5" w:rsidRPr="001D37D5" w:rsidRDefault="001D37D5" w:rsidP="001D37D5">
      <w:pPr>
        <w:pStyle w:val="AERbulletlistfirststyle"/>
      </w:pPr>
      <w:r>
        <w:t>T</w:t>
      </w:r>
      <w:r w:rsidRPr="001D37D5">
        <w:t xml:space="preserve">he requirements of the NER/NGR—see section </w:t>
      </w:r>
      <w:r w:rsidRPr="001D37D5">
        <w:fldChar w:fldCharType="begin"/>
      </w:r>
      <w:r w:rsidRPr="001D37D5">
        <w:instrText xml:space="preserve"> REF _Ref400272912 \r \h </w:instrText>
      </w:r>
      <w:r w:rsidRPr="001D37D5">
        <w:fldChar w:fldCharType="separate"/>
      </w:r>
      <w:r w:rsidR="00A02D8C">
        <w:t>4.3.1</w:t>
      </w:r>
      <w:r w:rsidRPr="001D37D5">
        <w:fldChar w:fldCharType="end"/>
      </w:r>
      <w:r w:rsidRPr="001D37D5">
        <w:t>.</w:t>
      </w:r>
    </w:p>
    <w:p w:rsidR="001D37D5" w:rsidRPr="001D37D5" w:rsidRDefault="001D37D5" w:rsidP="001D37D5">
      <w:pPr>
        <w:pStyle w:val="AERbulletlistfirststyle"/>
      </w:pPr>
      <w:r>
        <w:t>T</w:t>
      </w:r>
      <w:r w:rsidRPr="001D37D5">
        <w:t>he role of the value of the imputation credits in the revenue building block framework—this suggests that the value of imputation credits is intended to reflect the value of imputation credits to investors in the benchmark efficient entity.</w:t>
      </w:r>
      <w:r w:rsidRPr="001D37D5">
        <w:rPr>
          <w:rStyle w:val="FootnoteReference"/>
        </w:rPr>
        <w:footnoteReference w:id="74"/>
      </w:r>
    </w:p>
    <w:p w:rsidR="001D37D5" w:rsidRPr="001D37D5" w:rsidRDefault="001D37D5" w:rsidP="001D37D5">
      <w:pPr>
        <w:pStyle w:val="AERbulletlistfirststyle"/>
      </w:pPr>
      <w:r>
        <w:t>R</w:t>
      </w:r>
      <w:r w:rsidRPr="001D37D5">
        <w:t>elevant academic literature (Officer)—the framework developed in a 1994 paper by Officer is widely recognised as providing the basis for the value of imputation credits in the building block framework.</w:t>
      </w:r>
      <w:r w:rsidRPr="001D37D5">
        <w:rPr>
          <w:rStyle w:val="FootnoteReference"/>
        </w:rPr>
        <w:footnoteReference w:id="75"/>
      </w:r>
      <w:r w:rsidRPr="001D37D5">
        <w:t xml:space="preserve"> A key implication of Officer's framework is that the value of imputation credits should be estimated on a before-personal-tax and before-personal-costs basis. This is consistent with a rate of return determined on a nominal vanilla (that is, a post-company tax pre-personal tax and costs) basis. Therefore, we view the value of imputation credits as the proportion of company tax returned to investors through the utilisation of imputation credits. </w:t>
      </w:r>
    </w:p>
    <w:p w:rsidR="001D37D5" w:rsidRPr="001D37D5" w:rsidRDefault="001D37D5" w:rsidP="001D37D5">
      <w:pPr>
        <w:pStyle w:val="AERbulletlistfirststyle"/>
      </w:pPr>
      <w:r>
        <w:t>Relevant academic literature (Monkhouse)—t</w:t>
      </w:r>
      <w:r w:rsidRPr="001D37D5">
        <w:t>he work of Monkhouse (and others) extends the Officer framework, and shows that the value of imputation credits can be estimated as the product of two parameters:</w:t>
      </w:r>
    </w:p>
    <w:p w:rsidR="001D37D5" w:rsidRPr="00883125" w:rsidRDefault="001D37D5" w:rsidP="001D37D5">
      <w:pPr>
        <w:pStyle w:val="AERbulletlistsecondstyle"/>
      </w:pPr>
      <w:r w:rsidRPr="00883125">
        <w:t xml:space="preserve">the proportion of imputation credits generated that is distributed to investors (the distribution rate) </w:t>
      </w:r>
    </w:p>
    <w:p w:rsidR="001D37D5" w:rsidRPr="00883125" w:rsidRDefault="001D37D5" w:rsidP="001D37D5">
      <w:pPr>
        <w:pStyle w:val="AERbulletlistsecondstyle"/>
      </w:pPr>
      <w:r w:rsidRPr="00883125">
        <w:t>the utilisation value to investors in the market per dollar of imputation credits distributed (the utilisation rate).</w:t>
      </w:r>
      <w:r w:rsidRPr="00883125">
        <w:rPr>
          <w:rStyle w:val="FootnoteReference"/>
        </w:rPr>
        <w:footnoteReference w:id="76"/>
      </w:r>
      <w:r w:rsidRPr="00883125">
        <w:t xml:space="preserve"> </w:t>
      </w:r>
    </w:p>
    <w:p w:rsidR="001D37D5" w:rsidRPr="00883125" w:rsidRDefault="001D37D5" w:rsidP="001D37D5">
      <w:pPr>
        <w:pStyle w:val="ListContinue"/>
      </w:pPr>
      <w:r w:rsidRPr="00883125">
        <w:t>Consistent with this literature, we determine the value of imputation credits as the product of these two parameters.</w:t>
      </w:r>
    </w:p>
    <w:p w:rsidR="001D37D5" w:rsidRPr="001D37D5" w:rsidRDefault="001D37D5" w:rsidP="001D37D5">
      <w:pPr>
        <w:pStyle w:val="AERbulletlistfirststyle"/>
      </w:pPr>
      <w:r>
        <w:t>A</w:t>
      </w:r>
      <w:r w:rsidRPr="001D37D5">
        <w:t xml:space="preserve"> wide range of relevant evidence—we use this range of evidence to estimate the distribution rate and utilisation rate. In particular:</w:t>
      </w:r>
    </w:p>
    <w:p w:rsidR="001D37D5" w:rsidRDefault="001D37D5" w:rsidP="001D37D5">
      <w:pPr>
        <w:pStyle w:val="AERbulletlistsecondstyle"/>
      </w:pPr>
      <w:r>
        <w:t>Distribution rate—</w:t>
      </w:r>
      <w:r w:rsidRPr="00AD105A">
        <w:t>we place primary reliance</w:t>
      </w:r>
      <w:r>
        <w:t xml:space="preserve"> on the</w:t>
      </w:r>
      <w:r w:rsidRPr="00883125">
        <w:t xml:space="preserve"> widely accepted approach to estimating the distribution rate</w:t>
      </w:r>
      <w:r>
        <w:t xml:space="preserve"> (that is,</w:t>
      </w:r>
      <w:r w:rsidRPr="00883125">
        <w:t xml:space="preserve"> the 'cumulative payout ratio approach'</w:t>
      </w:r>
      <w:r>
        <w:t>). We also have some regard</w:t>
      </w:r>
      <w:r w:rsidRPr="00AD105A">
        <w:t xml:space="preserve"> to Lally's estimate for listed equity from financial reports of the 20 largest listed firms.</w:t>
      </w:r>
      <w:r>
        <w:rPr>
          <w:rStyle w:val="FootnoteReference"/>
        </w:rPr>
        <w:footnoteReference w:id="77"/>
      </w:r>
    </w:p>
    <w:p w:rsidR="001D37D5" w:rsidRPr="00883125" w:rsidRDefault="001D37D5" w:rsidP="001D37D5">
      <w:pPr>
        <w:pStyle w:val="AERbulletlistsecondstyle"/>
      </w:pPr>
      <w:r>
        <w:lastRenderedPageBreak/>
        <w:t>Utilisation rate—unlike the distribution rate,</w:t>
      </w:r>
      <w:r w:rsidRPr="00883125">
        <w:t xml:space="preserve"> there is no single accepted approach to estimating the utilisation rate</w:t>
      </w:r>
      <w:r>
        <w:t>,</w:t>
      </w:r>
      <w:r w:rsidRPr="00883125">
        <w:t xml:space="preserve"> and there is a range of evidence relevant to the utilisation rate. This includes:</w:t>
      </w:r>
    </w:p>
    <w:p w:rsidR="001D37D5" w:rsidRPr="00883125" w:rsidRDefault="001D37D5" w:rsidP="001D37D5">
      <w:pPr>
        <w:pStyle w:val="AERbulletlistthirdstyle"/>
      </w:pPr>
      <w:r w:rsidRPr="00883125">
        <w:t>the proportion of Australian equity held by domestic investors (the 'equity ownership approach')</w:t>
      </w:r>
      <w:r>
        <w:rPr>
          <w:rStyle w:val="FootnoteReference"/>
        </w:rPr>
        <w:footnoteReference w:id="78"/>
      </w:r>
    </w:p>
    <w:p w:rsidR="001D37D5" w:rsidRPr="00883125" w:rsidRDefault="001D37D5" w:rsidP="001D37D5">
      <w:pPr>
        <w:pStyle w:val="AERbulletlistthirdstyle"/>
      </w:pPr>
      <w:r w:rsidRPr="00883125">
        <w:t>the reported value of credits utilised by investors in Australian Taxation Office (ATO) statistics ('tax statistics')</w:t>
      </w:r>
      <w:r>
        <w:rPr>
          <w:rStyle w:val="FootnoteReference"/>
        </w:rPr>
        <w:footnoteReference w:id="79"/>
      </w:r>
    </w:p>
    <w:p w:rsidR="001D37D5" w:rsidRDefault="001D37D5" w:rsidP="001D37D5">
      <w:pPr>
        <w:pStyle w:val="AERbulletlistthirdstyle"/>
      </w:pPr>
      <w:r w:rsidRPr="00883125">
        <w:t>studies that seek to infer from market prices the value to investors of distributed imputation credits ('implied market value studies')</w:t>
      </w:r>
      <w:r>
        <w:t>.</w:t>
      </w:r>
      <w:r>
        <w:rPr>
          <w:rStyle w:val="FootnoteReference"/>
        </w:rPr>
        <w:footnoteReference w:id="80"/>
      </w:r>
    </w:p>
    <w:p w:rsidR="001D37D5" w:rsidRDefault="001D37D5" w:rsidP="001D37D5">
      <w:pPr>
        <w:pStyle w:val="ListContinue3"/>
      </w:pPr>
      <w:r>
        <w:t>We place varying levels of reliance on these sources of evidence (which is supported by Lally).</w:t>
      </w:r>
      <w:r w:rsidRPr="00A316AD">
        <w:rPr>
          <w:rStyle w:val="FootnoteReference"/>
        </w:rPr>
        <w:footnoteReference w:id="81"/>
      </w:r>
      <w:r>
        <w:t xml:space="preserve"> That is:</w:t>
      </w:r>
    </w:p>
    <w:p w:rsidR="001D37D5" w:rsidRDefault="001D37D5" w:rsidP="001D37D5">
      <w:pPr>
        <w:pStyle w:val="AERbulletlistthirdstyle"/>
      </w:pPr>
      <w:r>
        <w:t>we place most reliance on the equity ownership approach because we consider it generates the best estimate of</w:t>
      </w:r>
      <w:r w:rsidRPr="001762B7">
        <w:t xml:space="preserve"> the </w:t>
      </w:r>
      <w:r w:rsidRPr="0005260B">
        <w:t>utilisation value to investors in the market per dollar of imputation credits distributed</w:t>
      </w:r>
    </w:p>
    <w:p w:rsidR="001D37D5" w:rsidRDefault="001D37D5" w:rsidP="001D37D5">
      <w:pPr>
        <w:pStyle w:val="AERbulletlistthirdstyle"/>
      </w:pPr>
      <w:r>
        <w:t>we place less reliance on tax statistics because</w:t>
      </w:r>
      <w:r w:rsidRPr="001762B7">
        <w:t xml:space="preserve"> the</w:t>
      </w:r>
      <w:r>
        <w:t xml:space="preserve"> underlying taxation data</w:t>
      </w:r>
      <w:r w:rsidRPr="001762B7">
        <w:t xml:space="preserve"> </w:t>
      </w:r>
      <w:r>
        <w:t>are unreliable</w:t>
      </w:r>
    </w:p>
    <w:p w:rsidR="001D37D5" w:rsidRDefault="001D37D5" w:rsidP="001D37D5">
      <w:pPr>
        <w:pStyle w:val="AERbulletlistthirdstyle"/>
      </w:pPr>
      <w:r>
        <w:t>we place even less reliance on implied market value studies because</w:t>
      </w:r>
      <w:r w:rsidRPr="00DE7959">
        <w:t xml:space="preserve"> </w:t>
      </w:r>
      <w:r>
        <w:t xml:space="preserve">we consider they have many limitations, including </w:t>
      </w:r>
      <w:r w:rsidRPr="00DE7959">
        <w:t>they do not measure the pre-personal tax and pre-personal cost value of distributed imputation credits</w:t>
      </w:r>
      <w:r>
        <w:t>.</w:t>
      </w:r>
      <w:r>
        <w:rPr>
          <w:rStyle w:val="FootnoteReference"/>
        </w:rPr>
        <w:footnoteReference w:id="82"/>
      </w:r>
      <w:r>
        <w:t xml:space="preserve"> </w:t>
      </w:r>
    </w:p>
    <w:p w:rsidR="001D37D5" w:rsidRDefault="001D37D5" w:rsidP="001D37D5">
      <w:pPr>
        <w:pStyle w:val="ListContinue"/>
      </w:pPr>
      <w:r>
        <w:t xml:space="preserve">Also, when estimating the distribution rate and the utilisation rate there is </w:t>
      </w:r>
      <w:r w:rsidRPr="00A90D90">
        <w:t>no consensus regarding whether evidence and data should be used on all companies and their investors (all equity) or just listed companies and their investors (</w:t>
      </w:r>
      <w:r>
        <w:t>only listed equity</w:t>
      </w:r>
      <w:r w:rsidRPr="00A90D90">
        <w:t>).</w:t>
      </w:r>
      <w:r w:rsidRPr="00A90D90">
        <w:rPr>
          <w:rStyle w:val="FootnoteReference"/>
        </w:rPr>
        <w:footnoteReference w:id="83"/>
      </w:r>
      <w:r w:rsidRPr="00A90D90">
        <w:t xml:space="preserve"> In determining the value of imputation credits, we rely on the results from both approaches.</w:t>
      </w:r>
    </w:p>
    <w:p w:rsidR="001D37D5" w:rsidRPr="00883125" w:rsidRDefault="001D37D5" w:rsidP="001D37D5">
      <w:pPr>
        <w:pStyle w:val="AERbulletlistfirststyle"/>
      </w:pPr>
      <w:r w:rsidRPr="00883125">
        <w:t>the views of experts—experts differ in their interpretations of the:</w:t>
      </w:r>
    </w:p>
    <w:p w:rsidR="001D37D5" w:rsidRPr="00883125" w:rsidRDefault="001D37D5" w:rsidP="001D37D5">
      <w:pPr>
        <w:pStyle w:val="AERbulletlistsecondstyle"/>
      </w:pPr>
      <w:r w:rsidRPr="00883125">
        <w:t>role of the value of imputation credits in the regulatory framework</w:t>
      </w:r>
    </w:p>
    <w:p w:rsidR="001D37D5" w:rsidRPr="00883125" w:rsidRDefault="001D37D5" w:rsidP="001D37D5">
      <w:pPr>
        <w:pStyle w:val="AERbulletlistsecondstyle"/>
      </w:pPr>
      <w:r w:rsidRPr="00883125">
        <w:t>underlying theory and academic literature</w:t>
      </w:r>
    </w:p>
    <w:p w:rsidR="001D37D5" w:rsidRPr="00883125" w:rsidRDefault="001D37D5" w:rsidP="001D37D5">
      <w:pPr>
        <w:pStyle w:val="AERbulletlistsecondstyle"/>
      </w:pPr>
      <w:r w:rsidRPr="00883125">
        <w:t>relevance of different estimation techniques, particularly for the utilisation rate</w:t>
      </w:r>
      <w:r>
        <w:t>.</w:t>
      </w:r>
    </w:p>
    <w:p w:rsidR="001D37D5" w:rsidRPr="00883125" w:rsidRDefault="001D37D5" w:rsidP="001D37D5">
      <w:pPr>
        <w:pStyle w:val="Heading2"/>
      </w:pPr>
      <w:bookmarkStart w:id="114" w:name="_Toc408404324"/>
      <w:bookmarkStart w:id="115" w:name="_Toc419366917"/>
      <w:bookmarkStart w:id="116" w:name="_Ref451240509"/>
      <w:bookmarkStart w:id="117" w:name="_Ref451240512"/>
      <w:bookmarkStart w:id="118" w:name="_Ref451240513"/>
      <w:bookmarkStart w:id="119" w:name="_Ref451240526"/>
      <w:bookmarkStart w:id="120" w:name="_Ref451240541"/>
      <w:bookmarkStart w:id="121" w:name="_Ref451240553"/>
      <w:bookmarkStart w:id="122" w:name="_Ref451262944"/>
      <w:bookmarkStart w:id="123" w:name="_Ref451271627"/>
      <w:bookmarkStart w:id="124" w:name="_Ref451286698"/>
      <w:bookmarkStart w:id="125" w:name="_Ref451288073"/>
      <w:bookmarkStart w:id="126" w:name="_Ref451291076"/>
      <w:bookmarkStart w:id="127" w:name="_Ref451342609"/>
      <w:bookmarkStart w:id="128" w:name="_Ref451342743"/>
      <w:bookmarkStart w:id="129" w:name="_Ref451342752"/>
      <w:bookmarkStart w:id="130" w:name="_Ref451347585"/>
      <w:bookmarkStart w:id="131" w:name="_Ref451350649"/>
      <w:bookmarkStart w:id="132" w:name="_Ref451350656"/>
      <w:bookmarkStart w:id="133" w:name="_Ref451353895"/>
      <w:bookmarkStart w:id="134" w:name="_Ref451464892"/>
      <w:bookmarkStart w:id="135" w:name="_Ref451774702"/>
      <w:bookmarkStart w:id="136" w:name="_Ref451790207"/>
      <w:bookmarkStart w:id="137" w:name="_Ref451815218"/>
      <w:bookmarkStart w:id="138" w:name="_Toc451842242"/>
      <w:bookmarkStart w:id="139" w:name="_Toc451938298"/>
      <w:r w:rsidRPr="00883125">
        <w:lastRenderedPageBreak/>
        <w:t>Reasons for final decision</w:t>
      </w:r>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p>
    <w:p w:rsidR="001D37D5" w:rsidRPr="005764F6" w:rsidRDefault="001D37D5" w:rsidP="001D37D5">
      <w:pPr>
        <w:numPr>
          <w:ilvl w:val="0"/>
          <w:numId w:val="24"/>
        </w:numPr>
        <w:rPr>
          <w:rStyle w:val="AERbody"/>
        </w:rPr>
      </w:pPr>
      <w:r w:rsidRPr="005764F6">
        <w:rPr>
          <w:rStyle w:val="AERbody"/>
        </w:rPr>
        <w:t xml:space="preserve">In determining the value of imputation credits, we have considered the full range of evidence before us with regard to its merits (see section </w:t>
      </w:r>
      <w:r w:rsidRPr="005764F6">
        <w:rPr>
          <w:rStyle w:val="AERbody"/>
        </w:rPr>
        <w:fldChar w:fldCharType="begin"/>
      </w:r>
      <w:r w:rsidRPr="005764F6">
        <w:rPr>
          <w:rStyle w:val="AERbody"/>
        </w:rPr>
        <w:instrText xml:space="preserve"> REF _Ref415048973 \r \h  \* MERGEFORMAT </w:instrText>
      </w:r>
      <w:r w:rsidRPr="005764F6">
        <w:rPr>
          <w:rStyle w:val="AERbody"/>
        </w:rPr>
      </w:r>
      <w:r w:rsidRPr="005764F6">
        <w:rPr>
          <w:rStyle w:val="AERbody"/>
        </w:rPr>
        <w:fldChar w:fldCharType="separate"/>
      </w:r>
      <w:r w:rsidR="00A02D8C">
        <w:rPr>
          <w:rStyle w:val="AERbody"/>
        </w:rPr>
        <w:t>4.3.6</w:t>
      </w:r>
      <w:r w:rsidRPr="005764F6">
        <w:rPr>
          <w:rStyle w:val="AERbody"/>
        </w:rPr>
        <w:fldChar w:fldCharType="end"/>
      </w:r>
      <w:r w:rsidRPr="005764F6">
        <w:rPr>
          <w:rStyle w:val="AERbody"/>
        </w:rPr>
        <w:t xml:space="preserve"> for our approach). We consider that a value of imputation credits of 0.4, selected from within a range of 0.3 to 0.5, is reasonable because:</w:t>
      </w:r>
    </w:p>
    <w:p w:rsidR="001D37D5" w:rsidRPr="001D37D5" w:rsidRDefault="001D37D5" w:rsidP="001D37D5">
      <w:pPr>
        <w:pStyle w:val="AERbulletlistfirststyle"/>
      </w:pPr>
      <w:r w:rsidRPr="005764F6">
        <w:t xml:space="preserve">It </w:t>
      </w:r>
      <w:r w:rsidRPr="001D37D5">
        <w:t>is within the range of values indicated by the evidence, and the relevance of the evidence is supported by the expert opinion of Handley, Lally, and McKenzie and Partington.</w:t>
      </w:r>
    </w:p>
    <w:p w:rsidR="001D37D5" w:rsidRPr="001D37D5" w:rsidRDefault="001D37D5" w:rsidP="001D37D5">
      <w:pPr>
        <w:pStyle w:val="AERbulletlistfirststyle"/>
      </w:pPr>
      <w:r w:rsidRPr="005764F6">
        <w:t xml:space="preserve">It </w:t>
      </w:r>
      <w:r w:rsidRPr="001D37D5">
        <w:t>primarily reflects an estimate of the utilisation rate from the equity ownership approach. Handley considered this the most important approach to estimating the utilisation rate, relative to the alternatives of tax statistics and implied market value studies.</w:t>
      </w:r>
      <w:r w:rsidRPr="001D37D5">
        <w:rPr>
          <w:rStyle w:val="FootnoteReference"/>
        </w:rPr>
        <w:footnoteReference w:id="84"/>
      </w:r>
      <w:r w:rsidRPr="001D37D5">
        <w:t xml:space="preserve"> The equity ownership approach was Lally's second preference after his recommendation for a utilisation rate of 1.</w:t>
      </w:r>
      <w:r w:rsidRPr="001D37D5">
        <w:rPr>
          <w:rStyle w:val="FootnoteReference"/>
        </w:rPr>
        <w:footnoteReference w:id="85"/>
      </w:r>
    </w:p>
    <w:p w:rsidR="001D37D5" w:rsidRPr="001D37D5" w:rsidRDefault="001D37D5" w:rsidP="001D37D5">
      <w:pPr>
        <w:pStyle w:val="AERbulletlistfirststyle"/>
      </w:pPr>
      <w:r w:rsidRPr="005764F6">
        <w:t xml:space="preserve">It </w:t>
      </w:r>
      <w:r w:rsidRPr="001D37D5">
        <w:t>is within the 'preferred' range for the value of imputation credits (0.4 to 0.5) in Handley's September 2014 advice.</w:t>
      </w:r>
      <w:r w:rsidRPr="001D37D5">
        <w:rPr>
          <w:rStyle w:val="FootnoteReference"/>
        </w:rPr>
        <w:footnoteReference w:id="86"/>
      </w:r>
    </w:p>
    <w:p w:rsidR="001D37D5" w:rsidRPr="001D37D5" w:rsidRDefault="001D37D5" w:rsidP="001D37D5">
      <w:pPr>
        <w:pStyle w:val="AERbulletlistfirststyle"/>
      </w:pPr>
      <w:r w:rsidRPr="005764F6">
        <w:t xml:space="preserve">It is </w:t>
      </w:r>
      <w:r w:rsidRPr="001D37D5">
        <w:t>slightly below the Lally's recommended application of the equity ownership approach.</w:t>
      </w:r>
      <w:r w:rsidRPr="001D37D5">
        <w:rPr>
          <w:rStyle w:val="FootnoteReference"/>
        </w:rPr>
        <w:footnoteReference w:id="87"/>
      </w:r>
      <w:r w:rsidRPr="001D37D5">
        <w:t xml:space="preserve"> This suggests a gamma of at least 0.50 based on Lally's preferred estimate of the distribution rate and using the equity ownership data based on all equity (which Lally prefers). </w:t>
      </w:r>
    </w:p>
    <w:p w:rsidR="001D37D5" w:rsidRPr="001D37D5" w:rsidRDefault="001D37D5" w:rsidP="001D37D5">
      <w:pPr>
        <w:pStyle w:val="AERbulletlistfirststyle"/>
      </w:pPr>
      <w:r w:rsidRPr="005764F6">
        <w:t>It is consistent with providing regulatory certainty given it is consistent with the value we used for all regulatory decisions released in 2015</w:t>
      </w:r>
      <w:r w:rsidRPr="001D37D5">
        <w:t xml:space="preserve">, including our draft decision for </w:t>
      </w:r>
      <w:r w:rsidR="005F7078">
        <w:t>AusNet Services</w:t>
      </w:r>
      <w:r w:rsidRPr="001D37D5">
        <w:t>.</w:t>
      </w:r>
    </w:p>
    <w:p w:rsidR="001D37D5" w:rsidRPr="001D37D5" w:rsidRDefault="001D37D5" w:rsidP="001D37D5">
      <w:pPr>
        <w:pStyle w:val="AERbulletlistfirststyle"/>
      </w:pPr>
      <w:r w:rsidRPr="005764F6">
        <w:t xml:space="preserve">Based </w:t>
      </w:r>
      <w:r w:rsidRPr="001D37D5">
        <w:t>on the evidence before us at this time, adopting a value of imputation credits that is rounded to one decimal place appropriately reflects the uncertainty and imprecision associated with this parameter. This uncertainty is evident in the range of views and values that have been espoused by experts, and was recognised by Handley and McKenzie and Partington.</w:t>
      </w:r>
      <w:r w:rsidRPr="001D37D5">
        <w:rPr>
          <w:rStyle w:val="FootnoteReference"/>
        </w:rPr>
        <w:footnoteReference w:id="88"/>
      </w:r>
      <w:r w:rsidRPr="001D37D5">
        <w:t xml:space="preserve"> The imprecision of determining the value of imputation credits was emphasised by Handley.</w:t>
      </w:r>
      <w:r w:rsidRPr="001D37D5">
        <w:rPr>
          <w:rStyle w:val="FootnoteReference"/>
        </w:rPr>
        <w:footnoteReference w:id="89"/>
      </w:r>
    </w:p>
    <w:p w:rsidR="001D37D5" w:rsidRPr="005764F6" w:rsidRDefault="001D37D5" w:rsidP="001D37D5">
      <w:pPr>
        <w:numPr>
          <w:ilvl w:val="0"/>
          <w:numId w:val="24"/>
        </w:numPr>
        <w:rPr>
          <w:rStyle w:val="AERbody"/>
        </w:rPr>
      </w:pPr>
      <w:r w:rsidRPr="005764F6">
        <w:rPr>
          <w:rStyle w:val="AERbody"/>
        </w:rPr>
        <w:lastRenderedPageBreak/>
        <w:t>In considering the evidence on the distribution and utilisation rates, we have broadly maintained the approach set out in the Guideline, but have re-examined the relevant evidence and estimates. This re-examination, and new evidence and advice considered since the Guideline, led us to depart from the Guideline value of imputation credits of 0.5. Departures from specific aspects of the Guideline are noted in the discussion of the distribution rate and utilisation rate below.</w:t>
      </w:r>
    </w:p>
    <w:p w:rsidR="001D37D5" w:rsidRPr="005764F6" w:rsidRDefault="001D37D5" w:rsidP="001D37D5">
      <w:pPr>
        <w:numPr>
          <w:ilvl w:val="0"/>
          <w:numId w:val="24"/>
        </w:numPr>
        <w:rPr>
          <w:rStyle w:val="AERbody"/>
        </w:rPr>
      </w:pPr>
      <w:r w:rsidRPr="005764F6">
        <w:rPr>
          <w:rStyle w:val="AERbody"/>
        </w:rPr>
        <w:t xml:space="preserve">Further to the Guideline approach, in this final decision we consider we may have regard to evidence from all equity and/or only listed equity. Some experts advocate use of evidence on only listed companies and their investors because they consider it to be more reflective of the benchmark efficient entity and its investors, or because they consider this is consistent with the use of evidence from only listed companies when estimating the MRP. However, there is no consensus on this point. We discuss the issue further in sections </w:t>
      </w:r>
      <w:r w:rsidRPr="005764F6">
        <w:rPr>
          <w:rStyle w:val="AERbody"/>
        </w:rPr>
        <w:fldChar w:fldCharType="begin"/>
      </w:r>
      <w:r w:rsidRPr="005764F6">
        <w:rPr>
          <w:rStyle w:val="AERbody"/>
        </w:rPr>
        <w:instrText xml:space="preserve"> REF _Ref414623120 \r \h </w:instrText>
      </w:r>
      <w:r>
        <w:rPr>
          <w:rStyle w:val="AERbody"/>
        </w:rPr>
        <w:instrText xml:space="preserve"> \* MERGEFORMAT </w:instrText>
      </w:r>
      <w:r w:rsidRPr="005764F6">
        <w:rPr>
          <w:rStyle w:val="AERbody"/>
        </w:rPr>
      </w:r>
      <w:r w:rsidRPr="005764F6">
        <w:rPr>
          <w:rStyle w:val="AERbody"/>
        </w:rPr>
        <w:fldChar w:fldCharType="separate"/>
      </w:r>
      <w:r w:rsidR="00A02D8C">
        <w:rPr>
          <w:rStyle w:val="AERbody"/>
        </w:rPr>
        <w:t>A.8</w:t>
      </w:r>
      <w:r w:rsidRPr="005764F6">
        <w:rPr>
          <w:rStyle w:val="AERbody"/>
        </w:rPr>
        <w:fldChar w:fldCharType="end"/>
      </w:r>
      <w:r w:rsidRPr="005764F6">
        <w:rPr>
          <w:rStyle w:val="AERbody"/>
        </w:rPr>
        <w:t xml:space="preserve"> and </w:t>
      </w:r>
      <w:r w:rsidRPr="005764F6">
        <w:rPr>
          <w:rStyle w:val="AERbody"/>
        </w:rPr>
        <w:fldChar w:fldCharType="begin"/>
      </w:r>
      <w:r w:rsidRPr="005764F6">
        <w:rPr>
          <w:rStyle w:val="AERbody"/>
        </w:rPr>
        <w:instrText xml:space="preserve"> REF _Ref415068711 \r \h </w:instrText>
      </w:r>
      <w:r>
        <w:rPr>
          <w:rStyle w:val="AERbody"/>
        </w:rPr>
        <w:instrText xml:space="preserve"> \* MERGEFORMAT </w:instrText>
      </w:r>
      <w:r w:rsidRPr="005764F6">
        <w:rPr>
          <w:rStyle w:val="AERbody"/>
        </w:rPr>
      </w:r>
      <w:r w:rsidRPr="005764F6">
        <w:rPr>
          <w:rStyle w:val="AERbody"/>
        </w:rPr>
        <w:fldChar w:fldCharType="separate"/>
      </w:r>
      <w:r w:rsidR="00A02D8C">
        <w:rPr>
          <w:rStyle w:val="AERbody"/>
        </w:rPr>
        <w:t>A.8.4</w:t>
      </w:r>
      <w:r w:rsidRPr="005764F6">
        <w:rPr>
          <w:rStyle w:val="AERbody"/>
        </w:rPr>
        <w:fldChar w:fldCharType="end"/>
      </w:r>
      <w:r w:rsidRPr="005764F6">
        <w:rPr>
          <w:rStyle w:val="AERbody"/>
        </w:rPr>
        <w:t>. We did not consider this issue in the Guideline.</w:t>
      </w:r>
    </w:p>
    <w:p w:rsidR="001D37D5" w:rsidRPr="005764F6" w:rsidRDefault="001D37D5" w:rsidP="001D37D5">
      <w:pPr>
        <w:rPr>
          <w:rStyle w:val="AERbody"/>
        </w:rPr>
      </w:pPr>
      <w:r w:rsidRPr="005764F6">
        <w:rPr>
          <w:rStyle w:val="AERbody"/>
        </w:rPr>
        <w:t xml:space="preserve">Lally, in his latest report, considered it is </w:t>
      </w:r>
      <w:r>
        <w:rPr>
          <w:rStyle w:val="AERbody"/>
        </w:rPr>
        <w:t>'</w:t>
      </w:r>
      <w:r w:rsidRPr="005764F6">
        <w:rPr>
          <w:rStyle w:val="AERbody"/>
        </w:rPr>
        <w:t>not essential</w:t>
      </w:r>
      <w:r>
        <w:rPr>
          <w:rStyle w:val="AERbody"/>
        </w:rPr>
        <w:t xml:space="preserve"> but nor is it precluded'</w:t>
      </w:r>
      <w:r w:rsidRPr="005764F6">
        <w:rPr>
          <w:rStyle w:val="AERbody"/>
        </w:rPr>
        <w:t xml:space="preserve"> to </w:t>
      </w:r>
      <w:r>
        <w:rPr>
          <w:rStyle w:val="AERbody"/>
        </w:rPr>
        <w:t>'</w:t>
      </w:r>
      <w:r w:rsidRPr="005764F6">
        <w:rPr>
          <w:rStyle w:val="AERbody"/>
        </w:rPr>
        <w:t>match</w:t>
      </w:r>
      <w:r>
        <w:rPr>
          <w:rStyle w:val="AERbody"/>
        </w:rPr>
        <w:t>'</w:t>
      </w:r>
      <w:r w:rsidRPr="005764F6">
        <w:rPr>
          <w:rStyle w:val="AERbody"/>
        </w:rPr>
        <w:t xml:space="preserve"> distribution rates from all equity (all listed equity) to utilisation rates from all equity (all listed equity).</w:t>
      </w:r>
      <w:r w:rsidRPr="005942A6">
        <w:rPr>
          <w:rStyle w:val="FootnoteReference"/>
        </w:rPr>
        <w:footnoteReference w:id="90"/>
      </w:r>
      <w:r w:rsidRPr="005764F6">
        <w:rPr>
          <w:rStyle w:val="AERbody"/>
        </w:rPr>
        <w:t xml:space="preserve"> Following this, we consider it </w:t>
      </w:r>
      <w:r>
        <w:rPr>
          <w:rStyle w:val="AERbody"/>
        </w:rPr>
        <w:t>is</w:t>
      </w:r>
      <w:r w:rsidRPr="005764F6">
        <w:rPr>
          <w:rStyle w:val="AERbody"/>
        </w:rPr>
        <w:t xml:space="preserve"> not necessary to </w:t>
      </w:r>
      <w:r>
        <w:rPr>
          <w:rStyle w:val="AERbody"/>
        </w:rPr>
        <w:t>'</w:t>
      </w:r>
      <w:r w:rsidRPr="005764F6">
        <w:rPr>
          <w:rStyle w:val="AERbody"/>
        </w:rPr>
        <w:t>match</w:t>
      </w:r>
      <w:r>
        <w:rPr>
          <w:rStyle w:val="AERbody"/>
        </w:rPr>
        <w:t>'</w:t>
      </w:r>
      <w:r w:rsidRPr="005764F6">
        <w:rPr>
          <w:rStyle w:val="AERbody"/>
        </w:rPr>
        <w:t xml:space="preserve"> estimates of distribution rates and utilisation rates based on the dataset used</w:t>
      </w:r>
      <w:r>
        <w:rPr>
          <w:rStyle w:val="AERbody"/>
        </w:rPr>
        <w:t>; although we note the choice is open to us</w:t>
      </w:r>
      <w:r w:rsidRPr="005764F6">
        <w:rPr>
          <w:rStyle w:val="AERbody"/>
        </w:rPr>
        <w:t xml:space="preserve">. We discuss this further in section 4.4.1 and </w:t>
      </w:r>
      <w:r w:rsidRPr="005764F6">
        <w:rPr>
          <w:rStyle w:val="AERbody"/>
        </w:rPr>
        <w:fldChar w:fldCharType="begin"/>
      </w:r>
      <w:r w:rsidRPr="005764F6">
        <w:rPr>
          <w:rStyle w:val="AERbody"/>
        </w:rPr>
        <w:instrText xml:space="preserve"> REF _Ref403481194 \r \h  \* MERGEFORMAT </w:instrText>
      </w:r>
      <w:r w:rsidRPr="005764F6">
        <w:rPr>
          <w:rStyle w:val="AERbody"/>
        </w:rPr>
      </w:r>
      <w:r w:rsidRPr="005764F6">
        <w:rPr>
          <w:rStyle w:val="AERbody"/>
        </w:rPr>
        <w:fldChar w:fldCharType="separate"/>
      </w:r>
      <w:r w:rsidR="00A02D8C">
        <w:rPr>
          <w:rStyle w:val="AERbody"/>
        </w:rPr>
        <w:t>A.9.2</w:t>
      </w:r>
      <w:r w:rsidRPr="005764F6">
        <w:rPr>
          <w:rStyle w:val="AERbody"/>
        </w:rPr>
        <w:fldChar w:fldCharType="end"/>
      </w:r>
      <w:r w:rsidRPr="005764F6">
        <w:rPr>
          <w:rStyle w:val="AERbody"/>
        </w:rPr>
        <w:t>.</w:t>
      </w:r>
    </w:p>
    <w:p w:rsidR="001D37D5" w:rsidRPr="005764F6" w:rsidRDefault="001D37D5" w:rsidP="001D37D5">
      <w:pPr>
        <w:rPr>
          <w:rStyle w:val="AERbody"/>
        </w:rPr>
      </w:pPr>
      <w:r w:rsidRPr="005764F6">
        <w:rPr>
          <w:rStyle w:val="AERbody"/>
        </w:rPr>
        <w:t xml:space="preserve">We </w:t>
      </w:r>
      <w:r>
        <w:rPr>
          <w:rStyle w:val="AERbody"/>
        </w:rPr>
        <w:t xml:space="preserve">also </w:t>
      </w:r>
      <w:r w:rsidRPr="005764F6">
        <w:rPr>
          <w:rStyle w:val="AERbody"/>
        </w:rPr>
        <w:t>note that, following his advice, Lally recommended pairing an estimate of the utilisation rate</w:t>
      </w:r>
      <w:r>
        <w:rPr>
          <w:rStyle w:val="AERbody"/>
        </w:rPr>
        <w:t xml:space="preserve"> for all equity</w:t>
      </w:r>
      <w:r w:rsidRPr="005764F6">
        <w:rPr>
          <w:rStyle w:val="AERbody"/>
        </w:rPr>
        <w:t xml:space="preserve"> from the equity ownership approach</w:t>
      </w:r>
      <w:r>
        <w:rPr>
          <w:rStyle w:val="AERbody"/>
        </w:rPr>
        <w:t>,</w:t>
      </w:r>
      <w:r w:rsidRPr="005764F6">
        <w:rPr>
          <w:rStyle w:val="AERbody"/>
        </w:rPr>
        <w:t xml:space="preserve"> with a distribution rate </w:t>
      </w:r>
      <w:r>
        <w:rPr>
          <w:rStyle w:val="AERbody"/>
        </w:rPr>
        <w:t xml:space="preserve">for listed equity </w:t>
      </w:r>
      <w:r w:rsidRPr="005764F6">
        <w:rPr>
          <w:rStyle w:val="AERbody"/>
        </w:rPr>
        <w:t>estimated from the financial statements of the top 20 listed firms (which he considered likely to best reflect the distribution rate of a benchmark efficient entity).</w:t>
      </w:r>
      <w:r w:rsidRPr="005942A6">
        <w:rPr>
          <w:rStyle w:val="FootnoteReference"/>
        </w:rPr>
        <w:footnoteReference w:id="91"/>
      </w:r>
      <w:r w:rsidRPr="005764F6">
        <w:rPr>
          <w:rStyle w:val="AERbody"/>
        </w:rPr>
        <w:t xml:space="preserve"> </w:t>
      </w:r>
    </w:p>
    <w:p w:rsidR="001D37D5" w:rsidRPr="005764F6" w:rsidRDefault="001D37D5" w:rsidP="001D37D5">
      <w:pPr>
        <w:numPr>
          <w:ilvl w:val="0"/>
          <w:numId w:val="24"/>
        </w:numPr>
        <w:rPr>
          <w:rStyle w:val="AERbody"/>
        </w:rPr>
      </w:pPr>
      <w:r w:rsidRPr="005764F6">
        <w:rPr>
          <w:rStyle w:val="AERbody"/>
        </w:rPr>
        <w:t xml:space="preserve">Recognising these considerations, </w:t>
      </w:r>
      <w:r w:rsidRPr="005764F6">
        <w:rPr>
          <w:rStyle w:val="AERbody"/>
        </w:rPr>
        <w:fldChar w:fldCharType="begin"/>
      </w:r>
      <w:r w:rsidRPr="005764F6">
        <w:rPr>
          <w:rStyle w:val="AERbody"/>
        </w:rPr>
        <w:instrText xml:space="preserve"> REF  _Ref400900366 \* Lower \h  \* MERGEFORMAT </w:instrText>
      </w:r>
      <w:r w:rsidRPr="005764F6">
        <w:rPr>
          <w:rStyle w:val="AERbody"/>
        </w:rPr>
      </w:r>
      <w:r w:rsidRPr="005764F6">
        <w:rPr>
          <w:rStyle w:val="AERbody"/>
        </w:rPr>
        <w:fldChar w:fldCharType="separate"/>
      </w:r>
      <w:r w:rsidR="00A02D8C" w:rsidRPr="00247000">
        <w:rPr>
          <w:rStyle w:val="AERbody"/>
        </w:rPr>
        <w:t>table 4</w:t>
      </w:r>
      <w:r w:rsidR="00A02D8C" w:rsidRPr="00247000">
        <w:rPr>
          <w:rStyle w:val="AERbody"/>
        </w:rPr>
        <w:noBreakHyphen/>
        <w:t>3</w:t>
      </w:r>
      <w:r w:rsidRPr="005764F6">
        <w:rPr>
          <w:rStyle w:val="AERbody"/>
        </w:rPr>
        <w:fldChar w:fldCharType="end"/>
      </w:r>
      <w:r w:rsidRPr="005764F6">
        <w:rPr>
          <w:rStyle w:val="AERbody"/>
        </w:rPr>
        <w:t xml:space="preserve"> and </w:t>
      </w:r>
      <w:r w:rsidRPr="005764F6">
        <w:rPr>
          <w:rStyle w:val="AERbody"/>
        </w:rPr>
        <w:fldChar w:fldCharType="begin"/>
      </w:r>
      <w:r w:rsidRPr="005764F6">
        <w:rPr>
          <w:rStyle w:val="AERbody"/>
        </w:rPr>
        <w:instrText xml:space="preserve"> REF  _Ref404072148 \* Lower \h  \* MERGEFORMAT </w:instrText>
      </w:r>
      <w:r w:rsidRPr="005764F6">
        <w:rPr>
          <w:rStyle w:val="AERbody"/>
        </w:rPr>
      </w:r>
      <w:r w:rsidRPr="005764F6">
        <w:rPr>
          <w:rStyle w:val="AERbody"/>
        </w:rPr>
        <w:fldChar w:fldCharType="separate"/>
      </w:r>
      <w:r w:rsidR="00A02D8C" w:rsidRPr="00247000">
        <w:rPr>
          <w:rStyle w:val="AERbody"/>
        </w:rPr>
        <w:t>table 4</w:t>
      </w:r>
      <w:r w:rsidR="00A02D8C" w:rsidRPr="00247000">
        <w:rPr>
          <w:rStyle w:val="AERbody"/>
        </w:rPr>
        <w:noBreakHyphen/>
        <w:t>4</w:t>
      </w:r>
      <w:r w:rsidRPr="005764F6">
        <w:rPr>
          <w:rStyle w:val="AERbody"/>
        </w:rPr>
        <w:fldChar w:fldCharType="end"/>
      </w:r>
      <w:r w:rsidRPr="005764F6">
        <w:rPr>
          <w:rStyle w:val="AERbody"/>
        </w:rPr>
        <w:t xml:space="preserve"> show estimates of the value of imputation credits that arise from internally consistent evidence from all equity and only listed equity.</w:t>
      </w:r>
      <w:r w:rsidRPr="005942A6">
        <w:rPr>
          <w:rStyle w:val="FootnoteReference"/>
        </w:rPr>
        <w:footnoteReference w:id="92"/>
      </w:r>
      <w:r w:rsidRPr="005764F6">
        <w:rPr>
          <w:rStyle w:val="AERbody"/>
        </w:rPr>
        <w:t xml:space="preserve"> It also shows the estimated value of imputation credits from Lally's </w:t>
      </w:r>
      <w:r>
        <w:rPr>
          <w:rStyle w:val="AERbody"/>
        </w:rPr>
        <w:t>recommended</w:t>
      </w:r>
      <w:r w:rsidRPr="005764F6">
        <w:rPr>
          <w:rStyle w:val="AERbody"/>
        </w:rPr>
        <w:t xml:space="preserve"> approach </w:t>
      </w:r>
      <w:r>
        <w:rPr>
          <w:rStyle w:val="AERbody"/>
        </w:rPr>
        <w:t>(see above)</w:t>
      </w:r>
      <w:r w:rsidRPr="005764F6">
        <w:rPr>
          <w:rStyle w:val="AERbody"/>
        </w:rPr>
        <w:t>. These individual sources of evidence allow us to present estimates to two decimal places. However, we consider it reasonable to determine a value of imputation credits to only one decimal place when determining a single value from across this evidence.</w:t>
      </w:r>
    </w:p>
    <w:p w:rsidR="001D37D5" w:rsidRPr="00883125" w:rsidRDefault="001D37D5" w:rsidP="001D37D5">
      <w:pPr>
        <w:pStyle w:val="Caption"/>
      </w:pPr>
      <w:bookmarkStart w:id="140" w:name="_Ref400900366"/>
      <w:bookmarkStart w:id="141" w:name="_Ref400900335"/>
      <w:r w:rsidRPr="00883125">
        <w:lastRenderedPageBreak/>
        <w:t xml:space="preserve">Table </w:t>
      </w:r>
      <w:r w:rsidRPr="001D37D5">
        <w:fldChar w:fldCharType="begin"/>
      </w:r>
      <w:r>
        <w:instrText xml:space="preserve"> STYLEREF 1 \s </w:instrText>
      </w:r>
      <w:r w:rsidRPr="001D37D5">
        <w:fldChar w:fldCharType="separate"/>
      </w:r>
      <w:r w:rsidR="00A02D8C">
        <w:rPr>
          <w:noProof/>
        </w:rPr>
        <w:t>4</w:t>
      </w:r>
      <w:r w:rsidRPr="001D37D5">
        <w:fldChar w:fldCharType="end"/>
      </w:r>
      <w:r>
        <w:noBreakHyphen/>
      </w:r>
      <w:r w:rsidRPr="001D37D5">
        <w:fldChar w:fldCharType="begin"/>
      </w:r>
      <w:r>
        <w:instrText xml:space="preserve"> SEQ Table \* ARABIC \s 1 </w:instrText>
      </w:r>
      <w:r w:rsidRPr="001D37D5">
        <w:fldChar w:fldCharType="separate"/>
      </w:r>
      <w:r w:rsidR="00A02D8C">
        <w:rPr>
          <w:noProof/>
        </w:rPr>
        <w:t>3</w:t>
      </w:r>
      <w:r w:rsidRPr="001D37D5">
        <w:fldChar w:fldCharType="end"/>
      </w:r>
      <w:bookmarkEnd w:id="140"/>
      <w:r w:rsidRPr="00883125">
        <w:tab/>
        <w:t>Estimates of the value of imputation credits—evidence from all equity</w:t>
      </w:r>
      <w:bookmarkEnd w:id="141"/>
    </w:p>
    <w:tbl>
      <w:tblPr>
        <w:tblStyle w:val="AERtable-numbers"/>
        <w:tblW w:w="0" w:type="auto"/>
        <w:tblLook w:val="04A0" w:firstRow="1" w:lastRow="0" w:firstColumn="1" w:lastColumn="0" w:noHBand="0" w:noVBand="1"/>
      </w:tblPr>
      <w:tblGrid>
        <w:gridCol w:w="3085"/>
        <w:gridCol w:w="2052"/>
        <w:gridCol w:w="2052"/>
        <w:gridCol w:w="2053"/>
      </w:tblGrid>
      <w:tr w:rsidR="001D37D5" w:rsidTr="005E1FC3">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085" w:type="dxa"/>
          </w:tcPr>
          <w:p w:rsidR="001D37D5" w:rsidRPr="00883125" w:rsidRDefault="001D37D5" w:rsidP="001D37D5">
            <w:pPr>
              <w:numPr>
                <w:ilvl w:val="0"/>
                <w:numId w:val="24"/>
              </w:numPr>
            </w:pPr>
            <w:r w:rsidRPr="00883125">
              <w:t xml:space="preserve">Evidence on utilisation </w:t>
            </w:r>
            <w:r>
              <w:t>rate</w:t>
            </w:r>
          </w:p>
        </w:tc>
        <w:tc>
          <w:tcPr>
            <w:tcW w:w="2052" w:type="dxa"/>
          </w:tcPr>
          <w:p w:rsidR="001D37D5" w:rsidRPr="001D37D5" w:rsidRDefault="001D37D5" w:rsidP="001D37D5">
            <w:pPr>
              <w:cnfStyle w:val="100000000000" w:firstRow="1" w:lastRow="0" w:firstColumn="0" w:lastColumn="0" w:oddVBand="0" w:evenVBand="0" w:oddHBand="0" w:evenHBand="0" w:firstRowFirstColumn="0" w:firstRowLastColumn="0" w:lastRowFirstColumn="0" w:lastRowLastColumn="0"/>
            </w:pPr>
            <w:r w:rsidRPr="00883125">
              <w:t xml:space="preserve">Utilisation </w:t>
            </w:r>
            <w:r w:rsidRPr="001D37D5">
              <w:t>rate</w:t>
            </w:r>
          </w:p>
        </w:tc>
        <w:tc>
          <w:tcPr>
            <w:tcW w:w="2052" w:type="dxa"/>
          </w:tcPr>
          <w:p w:rsidR="001D37D5" w:rsidRPr="00883125" w:rsidRDefault="001D37D5" w:rsidP="001D37D5">
            <w:pPr>
              <w:cnfStyle w:val="100000000000" w:firstRow="1" w:lastRow="0" w:firstColumn="0" w:lastColumn="0" w:oddVBand="0" w:evenVBand="0" w:oddHBand="0" w:evenHBand="0" w:firstRowFirstColumn="0" w:firstRowLastColumn="0" w:lastRowFirstColumn="0" w:lastRowLastColumn="0"/>
            </w:pPr>
            <w:r w:rsidRPr="00883125">
              <w:t>Distribution rate</w:t>
            </w:r>
          </w:p>
        </w:tc>
        <w:tc>
          <w:tcPr>
            <w:tcW w:w="2053" w:type="dxa"/>
          </w:tcPr>
          <w:p w:rsidR="001D37D5" w:rsidRPr="00883125" w:rsidRDefault="001D37D5" w:rsidP="001D37D5">
            <w:pPr>
              <w:cnfStyle w:val="100000000000" w:firstRow="1" w:lastRow="0" w:firstColumn="0" w:lastColumn="0" w:oddVBand="0" w:evenVBand="0" w:oddHBand="0" w:evenHBand="0" w:firstRowFirstColumn="0" w:firstRowLastColumn="0" w:lastRowFirstColumn="0" w:lastRowLastColumn="0"/>
            </w:pPr>
            <w:r w:rsidRPr="00883125">
              <w:t>Value of Imputation Credits</w:t>
            </w:r>
          </w:p>
        </w:tc>
      </w:tr>
      <w:tr w:rsidR="001D37D5" w:rsidTr="005E1FC3">
        <w:trPr>
          <w:cantSplit/>
        </w:trPr>
        <w:tc>
          <w:tcPr>
            <w:cnfStyle w:val="001000000000" w:firstRow="0" w:lastRow="0" w:firstColumn="1" w:lastColumn="0" w:oddVBand="0" w:evenVBand="0" w:oddHBand="0" w:evenHBand="0" w:firstRowFirstColumn="0" w:firstRowLastColumn="0" w:lastRowFirstColumn="0" w:lastRowLastColumn="0"/>
            <w:tcW w:w="3085" w:type="dxa"/>
          </w:tcPr>
          <w:p w:rsidR="001D37D5" w:rsidRPr="00883125" w:rsidRDefault="001D37D5" w:rsidP="001D37D5">
            <w:pPr>
              <w:numPr>
                <w:ilvl w:val="0"/>
                <w:numId w:val="24"/>
              </w:numPr>
            </w:pPr>
            <w:r w:rsidRPr="00883125">
              <w:t>Equity ownership approach</w:t>
            </w:r>
          </w:p>
        </w:tc>
        <w:tc>
          <w:tcPr>
            <w:tcW w:w="2052" w:type="dxa"/>
          </w:tcPr>
          <w:p w:rsidR="001D37D5" w:rsidRPr="00883125" w:rsidRDefault="001D37D5" w:rsidP="001D37D5">
            <w:pPr>
              <w:cnfStyle w:val="000000000000" w:firstRow="0" w:lastRow="0" w:firstColumn="0" w:lastColumn="0" w:oddVBand="0" w:evenVBand="0" w:oddHBand="0" w:evenHBand="0" w:firstRowFirstColumn="0" w:firstRowLastColumn="0" w:lastRowFirstColumn="0" w:lastRowLastColumn="0"/>
            </w:pPr>
            <w:r w:rsidRPr="00883125">
              <w:t>0.56 to 0.68</w:t>
            </w:r>
          </w:p>
        </w:tc>
        <w:tc>
          <w:tcPr>
            <w:tcW w:w="2052"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t>0.7</w:t>
            </w:r>
          </w:p>
        </w:tc>
        <w:tc>
          <w:tcPr>
            <w:tcW w:w="2053"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t>0.40 to 0.47</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085" w:type="dxa"/>
          </w:tcPr>
          <w:p w:rsidR="001D37D5" w:rsidRPr="000C3267" w:rsidRDefault="001D37D5" w:rsidP="001D37D5">
            <w:r w:rsidRPr="000C3267">
              <w:t>Equity ownership approach (Lally recommended distribution rate)</w:t>
            </w:r>
          </w:p>
        </w:tc>
        <w:tc>
          <w:tcPr>
            <w:tcW w:w="2052" w:type="dxa"/>
          </w:tcPr>
          <w:p w:rsidR="001D37D5" w:rsidRPr="000C3267" w:rsidRDefault="001D37D5" w:rsidP="001D37D5">
            <w:pPr>
              <w:cnfStyle w:val="000000010000" w:firstRow="0" w:lastRow="0" w:firstColumn="0" w:lastColumn="0" w:oddVBand="0" w:evenVBand="0" w:oddHBand="0" w:evenHBand="1" w:firstRowFirstColumn="0" w:firstRowLastColumn="0" w:lastRowFirstColumn="0" w:lastRowLastColumn="0"/>
            </w:pPr>
            <w:r w:rsidRPr="000C3267">
              <w:t>0.56 to 0.68</w:t>
            </w:r>
          </w:p>
        </w:tc>
        <w:tc>
          <w:tcPr>
            <w:tcW w:w="2052" w:type="dxa"/>
          </w:tcPr>
          <w:p w:rsidR="001D37D5" w:rsidRPr="001D37D5" w:rsidRDefault="001D37D5" w:rsidP="001D37D5">
            <w:pPr>
              <w:cnfStyle w:val="000000010000" w:firstRow="0" w:lastRow="0" w:firstColumn="0" w:lastColumn="0" w:oddVBand="0" w:evenVBand="0" w:oddHBand="0" w:evenHBand="1" w:firstRowFirstColumn="0" w:firstRowLastColumn="0" w:lastRowFirstColumn="0" w:lastRowLastColumn="0"/>
            </w:pPr>
            <w:r w:rsidRPr="000C3267">
              <w:t>0.8</w:t>
            </w:r>
            <w:r w:rsidRPr="001D37D5">
              <w:t>3</w:t>
            </w:r>
          </w:p>
        </w:tc>
        <w:tc>
          <w:tcPr>
            <w:tcW w:w="2053" w:type="dxa"/>
          </w:tcPr>
          <w:p w:rsidR="001D37D5" w:rsidRPr="001D37D5" w:rsidRDefault="001D37D5" w:rsidP="001D37D5">
            <w:pPr>
              <w:cnfStyle w:val="000000010000" w:firstRow="0" w:lastRow="0" w:firstColumn="0" w:lastColumn="0" w:oddVBand="0" w:evenVBand="0" w:oddHBand="0" w:evenHBand="1" w:firstRowFirstColumn="0" w:firstRowLastColumn="0" w:lastRowFirstColumn="0" w:lastRowLastColumn="0"/>
            </w:pPr>
            <w:r w:rsidRPr="000C3267">
              <w:t>0.4</w:t>
            </w:r>
            <w:r w:rsidRPr="001D37D5">
              <w:t>6 to 0.56</w:t>
            </w:r>
            <w:r w:rsidRPr="001D37D5">
              <w:rPr>
                <w:rStyle w:val="FootnoteReference"/>
              </w:rPr>
              <w:footnoteReference w:id="93"/>
            </w:r>
          </w:p>
        </w:tc>
      </w:tr>
      <w:tr w:rsidR="001D37D5" w:rsidTr="005E1FC3">
        <w:trPr>
          <w:cantSplit/>
        </w:trPr>
        <w:tc>
          <w:tcPr>
            <w:cnfStyle w:val="001000000000" w:firstRow="0" w:lastRow="0" w:firstColumn="1" w:lastColumn="0" w:oddVBand="0" w:evenVBand="0" w:oddHBand="0" w:evenHBand="0" w:firstRowFirstColumn="0" w:firstRowLastColumn="0" w:lastRowFirstColumn="0" w:lastRowLastColumn="0"/>
            <w:tcW w:w="3085" w:type="dxa"/>
          </w:tcPr>
          <w:p w:rsidR="001D37D5" w:rsidRPr="00883125" w:rsidRDefault="001D37D5" w:rsidP="001D37D5">
            <w:pPr>
              <w:numPr>
                <w:ilvl w:val="0"/>
                <w:numId w:val="24"/>
              </w:numPr>
            </w:pPr>
            <w:r w:rsidRPr="00883125">
              <w:t>Tax statistics</w:t>
            </w:r>
          </w:p>
        </w:tc>
        <w:tc>
          <w:tcPr>
            <w:tcW w:w="2052" w:type="dxa"/>
          </w:tcPr>
          <w:p w:rsidR="001D37D5" w:rsidRPr="00883125" w:rsidRDefault="001D37D5" w:rsidP="001D37D5">
            <w:pPr>
              <w:cnfStyle w:val="000000000000" w:firstRow="0" w:lastRow="0" w:firstColumn="0" w:lastColumn="0" w:oddVBand="0" w:evenVBand="0" w:oddHBand="0" w:evenHBand="0" w:firstRowFirstColumn="0" w:firstRowLastColumn="0" w:lastRowFirstColumn="0" w:lastRowLastColumn="0"/>
            </w:pPr>
            <w:r w:rsidRPr="00883125">
              <w:t>0.48</w:t>
            </w:r>
          </w:p>
        </w:tc>
        <w:tc>
          <w:tcPr>
            <w:tcW w:w="2052" w:type="dxa"/>
          </w:tcPr>
          <w:p w:rsidR="001D37D5" w:rsidRPr="00883125" w:rsidRDefault="001D37D5" w:rsidP="001D37D5">
            <w:pPr>
              <w:cnfStyle w:val="000000000000" w:firstRow="0" w:lastRow="0" w:firstColumn="0" w:lastColumn="0" w:oddVBand="0" w:evenVBand="0" w:oddHBand="0" w:evenHBand="0" w:firstRowFirstColumn="0" w:firstRowLastColumn="0" w:lastRowFirstColumn="0" w:lastRowLastColumn="0"/>
            </w:pPr>
            <w:r w:rsidRPr="00883125">
              <w:t>0.7</w:t>
            </w:r>
          </w:p>
        </w:tc>
        <w:tc>
          <w:tcPr>
            <w:tcW w:w="2053" w:type="dxa"/>
          </w:tcPr>
          <w:p w:rsidR="001D37D5" w:rsidRPr="00883125" w:rsidRDefault="001D37D5" w:rsidP="001D37D5">
            <w:pPr>
              <w:cnfStyle w:val="000000000000" w:firstRow="0" w:lastRow="0" w:firstColumn="0" w:lastColumn="0" w:oddVBand="0" w:evenVBand="0" w:oddHBand="0" w:evenHBand="0" w:firstRowFirstColumn="0" w:firstRowLastColumn="0" w:lastRowFirstColumn="0" w:lastRowLastColumn="0"/>
            </w:pPr>
            <w:r w:rsidRPr="00883125">
              <w:t>0.34</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085" w:type="dxa"/>
          </w:tcPr>
          <w:p w:rsidR="001D37D5" w:rsidRPr="00883125" w:rsidRDefault="001D37D5" w:rsidP="001D37D5">
            <w:pPr>
              <w:numPr>
                <w:ilvl w:val="0"/>
                <w:numId w:val="24"/>
              </w:numPr>
            </w:pPr>
            <w:r w:rsidRPr="00883125">
              <w:t>Tax statistics</w:t>
            </w:r>
            <w:r>
              <w:t xml:space="preserve"> (Lally recommended distribution rate)</w:t>
            </w:r>
          </w:p>
        </w:tc>
        <w:tc>
          <w:tcPr>
            <w:tcW w:w="2052" w:type="dxa"/>
          </w:tcPr>
          <w:p w:rsidR="001D37D5" w:rsidRPr="00883125" w:rsidRDefault="001D37D5" w:rsidP="001D37D5">
            <w:pPr>
              <w:cnfStyle w:val="000000010000" w:firstRow="0" w:lastRow="0" w:firstColumn="0" w:lastColumn="0" w:oddVBand="0" w:evenVBand="0" w:oddHBand="0" w:evenHBand="1" w:firstRowFirstColumn="0" w:firstRowLastColumn="0" w:lastRowFirstColumn="0" w:lastRowLastColumn="0"/>
            </w:pPr>
            <w:r w:rsidRPr="00883125">
              <w:t>0.48</w:t>
            </w:r>
          </w:p>
        </w:tc>
        <w:tc>
          <w:tcPr>
            <w:tcW w:w="2052" w:type="dxa"/>
          </w:tcPr>
          <w:p w:rsidR="001D37D5" w:rsidRPr="001D37D5" w:rsidRDefault="001D37D5" w:rsidP="001D37D5">
            <w:pPr>
              <w:cnfStyle w:val="000000010000" w:firstRow="0" w:lastRow="0" w:firstColumn="0" w:lastColumn="0" w:oddVBand="0" w:evenVBand="0" w:oddHBand="0" w:evenHBand="1" w:firstRowFirstColumn="0" w:firstRowLastColumn="0" w:lastRowFirstColumn="0" w:lastRowLastColumn="0"/>
            </w:pPr>
            <w:r>
              <w:t>0.83</w:t>
            </w:r>
          </w:p>
        </w:tc>
        <w:tc>
          <w:tcPr>
            <w:tcW w:w="2053" w:type="dxa"/>
          </w:tcPr>
          <w:p w:rsidR="001D37D5" w:rsidRPr="001D37D5" w:rsidRDefault="001D37D5" w:rsidP="001D37D5">
            <w:pPr>
              <w:cnfStyle w:val="000000010000" w:firstRow="0" w:lastRow="0" w:firstColumn="0" w:lastColumn="0" w:oddVBand="0" w:evenVBand="0" w:oddHBand="0" w:evenHBand="1" w:firstRowFirstColumn="0" w:firstRowLastColumn="0" w:lastRowFirstColumn="0" w:lastRowLastColumn="0"/>
            </w:pPr>
            <w:r>
              <w:t>0.40</w:t>
            </w:r>
          </w:p>
        </w:tc>
      </w:tr>
    </w:tbl>
    <w:p w:rsidR="001D37D5" w:rsidRPr="00883125" w:rsidRDefault="001D37D5" w:rsidP="001D37D5">
      <w:pPr>
        <w:pStyle w:val="AERtablesource"/>
      </w:pPr>
      <w:r w:rsidRPr="00883125">
        <w:t>Source:</w:t>
      </w:r>
      <w:r w:rsidRPr="00883125">
        <w:tab/>
        <w:t>AER analysis</w:t>
      </w:r>
      <w:r>
        <w:t xml:space="preserve">; </w:t>
      </w:r>
      <w:r w:rsidRPr="00712BC2">
        <w:t xml:space="preserve">Lally, </w:t>
      </w:r>
      <w:r>
        <w:rPr>
          <w:rStyle w:val="AERtextitalic"/>
        </w:rPr>
        <w:t>Gamma and the ACT Decision</w:t>
      </w:r>
      <w:r>
        <w:t>, May 2016, p. 6</w:t>
      </w:r>
      <w:r w:rsidRPr="00883125">
        <w:t>.</w:t>
      </w:r>
      <w:bookmarkStart w:id="142" w:name="_Ref400900373"/>
    </w:p>
    <w:p w:rsidR="001D37D5" w:rsidRPr="00883125" w:rsidRDefault="001D37D5" w:rsidP="001D37D5">
      <w:pPr>
        <w:pStyle w:val="Caption"/>
      </w:pPr>
      <w:bookmarkStart w:id="143" w:name="_Ref404072148"/>
      <w:r w:rsidRPr="00883125">
        <w:t xml:space="preserve">Table </w:t>
      </w:r>
      <w:r w:rsidRPr="001D37D5">
        <w:fldChar w:fldCharType="begin"/>
      </w:r>
      <w:r>
        <w:instrText xml:space="preserve"> STYLEREF 1 \s </w:instrText>
      </w:r>
      <w:r w:rsidRPr="001D37D5">
        <w:fldChar w:fldCharType="separate"/>
      </w:r>
      <w:r w:rsidR="00A02D8C">
        <w:rPr>
          <w:noProof/>
        </w:rPr>
        <w:t>4</w:t>
      </w:r>
      <w:r w:rsidRPr="001D37D5">
        <w:fldChar w:fldCharType="end"/>
      </w:r>
      <w:r>
        <w:noBreakHyphen/>
      </w:r>
      <w:r w:rsidRPr="001D37D5">
        <w:fldChar w:fldCharType="begin"/>
      </w:r>
      <w:r>
        <w:instrText xml:space="preserve"> SEQ Table \* ARABIC \s 1 </w:instrText>
      </w:r>
      <w:r w:rsidRPr="001D37D5">
        <w:fldChar w:fldCharType="separate"/>
      </w:r>
      <w:r w:rsidR="00A02D8C">
        <w:rPr>
          <w:noProof/>
        </w:rPr>
        <w:t>4</w:t>
      </w:r>
      <w:r w:rsidRPr="001D37D5">
        <w:fldChar w:fldCharType="end"/>
      </w:r>
      <w:bookmarkEnd w:id="142"/>
      <w:bookmarkEnd w:id="143"/>
      <w:r w:rsidRPr="00883125">
        <w:tab/>
        <w:t>Estimates of the value of imputation credits—evidence from listed equity</w:t>
      </w:r>
    </w:p>
    <w:tbl>
      <w:tblPr>
        <w:tblStyle w:val="AERtable-numbers"/>
        <w:tblW w:w="0" w:type="auto"/>
        <w:tblLook w:val="04A0" w:firstRow="1" w:lastRow="0" w:firstColumn="1" w:lastColumn="0" w:noHBand="0" w:noVBand="1"/>
      </w:tblPr>
      <w:tblGrid>
        <w:gridCol w:w="2802"/>
        <w:gridCol w:w="2146"/>
        <w:gridCol w:w="2147"/>
        <w:gridCol w:w="2147"/>
      </w:tblGrid>
      <w:tr w:rsidR="001D37D5" w:rsidTr="005E1FC3">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802" w:type="dxa"/>
          </w:tcPr>
          <w:p w:rsidR="001D37D5" w:rsidRPr="00883125" w:rsidRDefault="001D37D5" w:rsidP="001D37D5">
            <w:pPr>
              <w:numPr>
                <w:ilvl w:val="0"/>
                <w:numId w:val="24"/>
              </w:numPr>
            </w:pPr>
            <w:r w:rsidRPr="00883125">
              <w:t xml:space="preserve">Evidence on utilisation </w:t>
            </w:r>
            <w:r>
              <w:t>rate</w:t>
            </w:r>
          </w:p>
        </w:tc>
        <w:tc>
          <w:tcPr>
            <w:tcW w:w="2146" w:type="dxa"/>
          </w:tcPr>
          <w:p w:rsidR="001D37D5" w:rsidRPr="00883125" w:rsidRDefault="001D37D5" w:rsidP="001D37D5">
            <w:pPr>
              <w:numPr>
                <w:ilvl w:val="0"/>
                <w:numId w:val="24"/>
              </w:numPr>
              <w:cnfStyle w:val="100000000000" w:firstRow="1" w:lastRow="0" w:firstColumn="0" w:lastColumn="0" w:oddVBand="0" w:evenVBand="0" w:oddHBand="0" w:evenHBand="0" w:firstRowFirstColumn="0" w:firstRowLastColumn="0" w:lastRowFirstColumn="0" w:lastRowLastColumn="0"/>
            </w:pPr>
            <w:r w:rsidRPr="00883125">
              <w:t xml:space="preserve">Utilisation </w:t>
            </w:r>
            <w:r>
              <w:t>rate</w:t>
            </w:r>
          </w:p>
        </w:tc>
        <w:tc>
          <w:tcPr>
            <w:tcW w:w="2147" w:type="dxa"/>
          </w:tcPr>
          <w:p w:rsidR="001D37D5" w:rsidRPr="00883125" w:rsidRDefault="001D37D5" w:rsidP="001D37D5">
            <w:pPr>
              <w:numPr>
                <w:ilvl w:val="0"/>
                <w:numId w:val="24"/>
              </w:numPr>
              <w:cnfStyle w:val="100000000000" w:firstRow="1" w:lastRow="0" w:firstColumn="0" w:lastColumn="0" w:oddVBand="0" w:evenVBand="0" w:oddHBand="0" w:evenHBand="0" w:firstRowFirstColumn="0" w:firstRowLastColumn="0" w:lastRowFirstColumn="0" w:lastRowLastColumn="0"/>
            </w:pPr>
            <w:r w:rsidRPr="00883125">
              <w:t>Distribution rate</w:t>
            </w:r>
          </w:p>
        </w:tc>
        <w:tc>
          <w:tcPr>
            <w:tcW w:w="2147" w:type="dxa"/>
          </w:tcPr>
          <w:p w:rsidR="001D37D5" w:rsidRPr="00883125" w:rsidRDefault="001D37D5" w:rsidP="001D37D5">
            <w:pPr>
              <w:numPr>
                <w:ilvl w:val="0"/>
                <w:numId w:val="24"/>
              </w:numPr>
              <w:cnfStyle w:val="100000000000" w:firstRow="1" w:lastRow="0" w:firstColumn="0" w:lastColumn="0" w:oddVBand="0" w:evenVBand="0" w:oddHBand="0" w:evenHBand="0" w:firstRowFirstColumn="0" w:firstRowLastColumn="0" w:lastRowFirstColumn="0" w:lastRowLastColumn="0"/>
            </w:pPr>
            <w:r w:rsidRPr="00883125">
              <w:t>Value of Imputation Credits</w:t>
            </w:r>
          </w:p>
        </w:tc>
      </w:tr>
      <w:tr w:rsidR="001D37D5" w:rsidTr="005E1FC3">
        <w:trPr>
          <w:cantSplit/>
        </w:trPr>
        <w:tc>
          <w:tcPr>
            <w:cnfStyle w:val="001000000000" w:firstRow="0" w:lastRow="0" w:firstColumn="1" w:lastColumn="0" w:oddVBand="0" w:evenVBand="0" w:oddHBand="0" w:evenHBand="0" w:firstRowFirstColumn="0" w:firstRowLastColumn="0" w:lastRowFirstColumn="0" w:lastRowLastColumn="0"/>
            <w:tcW w:w="2802" w:type="dxa"/>
          </w:tcPr>
          <w:p w:rsidR="001D37D5" w:rsidRPr="00883125" w:rsidRDefault="001D37D5" w:rsidP="001D37D5">
            <w:pPr>
              <w:numPr>
                <w:ilvl w:val="0"/>
                <w:numId w:val="24"/>
              </w:numPr>
            </w:pPr>
            <w:r w:rsidRPr="00883125">
              <w:t>Equity ownership approach</w:t>
            </w:r>
          </w:p>
        </w:tc>
        <w:tc>
          <w:tcPr>
            <w:tcW w:w="2146"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t>0.38 to 0.55</w:t>
            </w:r>
          </w:p>
        </w:tc>
        <w:tc>
          <w:tcPr>
            <w:tcW w:w="2147" w:type="dxa"/>
          </w:tcPr>
          <w:p w:rsidR="001D37D5" w:rsidRPr="00883125" w:rsidRDefault="001D37D5" w:rsidP="001D37D5">
            <w:pPr>
              <w:cnfStyle w:val="000000000000" w:firstRow="0" w:lastRow="0" w:firstColumn="0" w:lastColumn="0" w:oddVBand="0" w:evenVBand="0" w:oddHBand="0" w:evenHBand="0" w:firstRowFirstColumn="0" w:firstRowLastColumn="0" w:lastRowFirstColumn="0" w:lastRowLastColumn="0"/>
            </w:pPr>
            <w:r w:rsidRPr="00883125">
              <w:t>0.75</w:t>
            </w:r>
          </w:p>
        </w:tc>
        <w:tc>
          <w:tcPr>
            <w:tcW w:w="2147"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t>0.28 to 0.41</w:t>
            </w:r>
            <w:r>
              <w:rPr>
                <w:rStyle w:val="AERsuperscript"/>
              </w:rPr>
              <w:t xml:space="preserve"> (a</w:t>
            </w:r>
            <w:r w:rsidRPr="00883125">
              <w:rPr>
                <w:rStyle w:val="AERsuperscript"/>
              </w:rPr>
              <w:t>)</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802" w:type="dxa"/>
            <w:vAlign w:val="top"/>
          </w:tcPr>
          <w:p w:rsidR="001D37D5" w:rsidRPr="00883125" w:rsidRDefault="001D37D5" w:rsidP="001D37D5">
            <w:r w:rsidRPr="00883125">
              <w:t>Implied market value studies</w:t>
            </w:r>
          </w:p>
          <w:p w:rsidR="001D37D5" w:rsidRPr="00883125" w:rsidRDefault="001D37D5" w:rsidP="001D37D5">
            <w:pPr>
              <w:rPr>
                <w:rStyle w:val="AERtextitalic"/>
              </w:rPr>
            </w:pPr>
            <w:r w:rsidRPr="00883125">
              <w:rPr>
                <w:rStyle w:val="AERtextitalic"/>
              </w:rPr>
              <w:t>SFG dividend drop off study</w:t>
            </w:r>
          </w:p>
        </w:tc>
        <w:tc>
          <w:tcPr>
            <w:tcW w:w="2146" w:type="dxa"/>
            <w:vAlign w:val="top"/>
          </w:tcPr>
          <w:p w:rsidR="001D37D5" w:rsidRPr="00883125" w:rsidRDefault="001D37D5" w:rsidP="001D37D5">
            <w:pPr>
              <w:cnfStyle w:val="000000010000" w:firstRow="0" w:lastRow="0" w:firstColumn="0" w:lastColumn="0" w:oddVBand="0" w:evenVBand="0" w:oddHBand="0" w:evenHBand="1" w:firstRowFirstColumn="0" w:firstRowLastColumn="0" w:lastRowFirstColumn="0" w:lastRowLastColumn="0"/>
            </w:pPr>
            <w:r w:rsidRPr="00883125">
              <w:t>0 to 1</w:t>
            </w:r>
          </w:p>
          <w:p w:rsidR="001D37D5" w:rsidRPr="001D37D5" w:rsidRDefault="001D37D5" w:rsidP="001D37D5">
            <w:pPr>
              <w:cnfStyle w:val="000000010000" w:firstRow="0" w:lastRow="0" w:firstColumn="0" w:lastColumn="0" w:oddVBand="0" w:evenVBand="0" w:oddHBand="0" w:evenHBand="1" w:firstRowFirstColumn="0" w:firstRowLastColumn="0" w:lastRowFirstColumn="0" w:lastRowLastColumn="0"/>
            </w:pPr>
            <w:r w:rsidRPr="00883125">
              <w:rPr>
                <w:rStyle w:val="AERtextitalic"/>
              </w:rPr>
              <w:t>0.35 (0.4)</w:t>
            </w:r>
            <w:r w:rsidRPr="001D37D5">
              <w:rPr>
                <w:rStyle w:val="AERsuperscript"/>
              </w:rPr>
              <w:t>(a)</w:t>
            </w:r>
          </w:p>
        </w:tc>
        <w:tc>
          <w:tcPr>
            <w:tcW w:w="2147" w:type="dxa"/>
            <w:vAlign w:val="top"/>
          </w:tcPr>
          <w:p w:rsidR="001D37D5" w:rsidRPr="00883125" w:rsidRDefault="001D37D5" w:rsidP="001D37D5">
            <w:pPr>
              <w:cnfStyle w:val="000000010000" w:firstRow="0" w:lastRow="0" w:firstColumn="0" w:lastColumn="0" w:oddVBand="0" w:evenVBand="0" w:oddHBand="0" w:evenHBand="1" w:firstRowFirstColumn="0" w:firstRowLastColumn="0" w:lastRowFirstColumn="0" w:lastRowLastColumn="0"/>
            </w:pPr>
            <w:r w:rsidRPr="00883125">
              <w:t>0.75</w:t>
            </w:r>
          </w:p>
        </w:tc>
        <w:tc>
          <w:tcPr>
            <w:tcW w:w="2147" w:type="dxa"/>
            <w:vAlign w:val="top"/>
          </w:tcPr>
          <w:p w:rsidR="001D37D5" w:rsidRPr="00883125" w:rsidRDefault="001D37D5" w:rsidP="001D37D5">
            <w:pPr>
              <w:cnfStyle w:val="000000010000" w:firstRow="0" w:lastRow="0" w:firstColumn="0" w:lastColumn="0" w:oddVBand="0" w:evenVBand="0" w:oddHBand="0" w:evenHBand="1" w:firstRowFirstColumn="0" w:firstRowLastColumn="0" w:lastRowFirstColumn="0" w:lastRowLastColumn="0"/>
            </w:pPr>
            <w:r w:rsidRPr="00883125">
              <w:t>0 to 0.75</w:t>
            </w:r>
          </w:p>
          <w:p w:rsidR="001D37D5" w:rsidRPr="001D37D5" w:rsidRDefault="001D37D5" w:rsidP="001D37D5">
            <w:pPr>
              <w:cnfStyle w:val="000000010000" w:firstRow="0" w:lastRow="0" w:firstColumn="0" w:lastColumn="0" w:oddVBand="0" w:evenVBand="0" w:oddHBand="0" w:evenHBand="1" w:firstRowFirstColumn="0" w:firstRowLastColumn="0" w:lastRowFirstColumn="0" w:lastRowLastColumn="0"/>
            </w:pPr>
            <w:r w:rsidRPr="00883125">
              <w:rPr>
                <w:rStyle w:val="AERtextitalic"/>
              </w:rPr>
              <w:t>0.26 (0.30)</w:t>
            </w:r>
            <w:r w:rsidRPr="001D37D5">
              <w:rPr>
                <w:rStyle w:val="AERsuperscript"/>
              </w:rPr>
              <w:t>(b)</w:t>
            </w:r>
          </w:p>
        </w:tc>
      </w:tr>
    </w:tbl>
    <w:p w:rsidR="001D37D5" w:rsidRPr="00883125" w:rsidRDefault="001D37D5" w:rsidP="001D37D5">
      <w:pPr>
        <w:pStyle w:val="AERtablesource"/>
      </w:pPr>
      <w:r w:rsidRPr="00883125">
        <w:t>Source:</w:t>
      </w:r>
      <w:r w:rsidRPr="00883125">
        <w:tab/>
        <w:t>AER analysis.</w:t>
      </w:r>
    </w:p>
    <w:p w:rsidR="001D37D5" w:rsidRDefault="001D37D5" w:rsidP="001D37D5">
      <w:pPr>
        <w:pStyle w:val="AERtablesource"/>
      </w:pPr>
      <w:r>
        <w:t>(a)</w:t>
      </w:r>
      <w:r>
        <w:tab/>
        <w:t>We note Lally recommends the utilisation rate from all equity over the utilisation rate from listed equity. However, if his preferred distribution rate was paired with the utilisation rate for listed equity it would give a range for the value of imputation credits of 0.31 to 0.46.</w:t>
      </w:r>
    </w:p>
    <w:p w:rsidR="001D37D5" w:rsidRPr="00883125" w:rsidRDefault="001D37D5" w:rsidP="001D37D5">
      <w:pPr>
        <w:pStyle w:val="AERtablesource"/>
      </w:pPr>
      <w:r w:rsidRPr="00883125">
        <w:t>(</w:t>
      </w:r>
      <w:r>
        <w:t>b</w:t>
      </w:r>
      <w:r w:rsidRPr="00883125">
        <w:t>):</w:t>
      </w:r>
      <w:r w:rsidRPr="00883125">
        <w:tab/>
        <w:t xml:space="preserve">Following the adjustment proposed by Handley and Lally. This adjustment is discussed further in section </w:t>
      </w:r>
      <w:r>
        <w:fldChar w:fldCharType="begin"/>
      </w:r>
      <w:r>
        <w:instrText xml:space="preserve"> REF _Ref415065117 \r \h </w:instrText>
      </w:r>
      <w:r>
        <w:fldChar w:fldCharType="separate"/>
      </w:r>
      <w:r w:rsidR="00A02D8C">
        <w:t>A.15.4</w:t>
      </w:r>
      <w:r>
        <w:fldChar w:fldCharType="end"/>
      </w:r>
      <w:r w:rsidRPr="00883125">
        <w:t xml:space="preserve">. </w:t>
      </w:r>
    </w:p>
    <w:p w:rsidR="001D37D5" w:rsidRPr="005764F6" w:rsidRDefault="001D37D5" w:rsidP="001D37D5">
      <w:pPr>
        <w:rPr>
          <w:rStyle w:val="AERbody"/>
        </w:rPr>
      </w:pPr>
      <w:r w:rsidRPr="005764F6">
        <w:rPr>
          <w:rStyle w:val="AERbody"/>
        </w:rPr>
        <w:t>Overall, the evidence suggests that a reasonable estimate of the value of imputation credits is within the range 0.3 to 0.5.</w:t>
      </w:r>
      <w:r w:rsidRPr="006D590A">
        <w:rPr>
          <w:rStyle w:val="FootnoteReference"/>
        </w:rPr>
        <w:footnoteReference w:id="94"/>
      </w:r>
      <w:r w:rsidRPr="005764F6">
        <w:rPr>
          <w:rStyle w:val="AERbody"/>
        </w:rPr>
        <w:t xml:space="preserve"> From within these possible ranges, we choose a value for gamma of 0.4 based on the following considerations: </w:t>
      </w:r>
    </w:p>
    <w:p w:rsidR="001D37D5" w:rsidRPr="001D37D5" w:rsidRDefault="001D37D5" w:rsidP="001D37D5">
      <w:pPr>
        <w:pStyle w:val="AERbulletlistfirststyle"/>
      </w:pPr>
      <w:r w:rsidRPr="005764F6">
        <w:t>T</w:t>
      </w:r>
      <w:r w:rsidRPr="001D37D5">
        <w:t xml:space="preserve">he equity ownership approach, on which we place the most reliance, suggests a value between 0.28 to 0.47 using 'matched' distribution and utilisation rates for all equity and for all listed equity, respectively. This is based on a range of 0.40 and 0.47 when applied to all equity and 0.28 and 0.41 when applied to only all listed equity. The overlap of the different evidence from the equity ownership approach using these 'matched' distribution and utilisation rates suggests a value between 0.40 and 0.41. We also have regard to Lally's recommended approach, which combines the use of an all equity utilisation rate </w:t>
      </w:r>
      <w:r w:rsidRPr="001D37D5">
        <w:lastRenderedPageBreak/>
        <w:t>from the equity ownership approach with a distribution rate for listed equity from financial reports of the top 20 listed firms.</w:t>
      </w:r>
    </w:p>
    <w:p w:rsidR="001D37D5" w:rsidRPr="001D37D5" w:rsidRDefault="001D37D5" w:rsidP="001D37D5">
      <w:pPr>
        <w:pStyle w:val="AERbulletlistfirststyle"/>
      </w:pPr>
      <w:r w:rsidRPr="005764F6">
        <w:t>T</w:t>
      </w:r>
      <w:r w:rsidRPr="001D37D5">
        <w:t>he evidence from tax statistics, on which we place less reliance, suggests a value around 0.34 based on a utilisation rate of 0.48 and an economy wide distribution rate of 0.70. This is within the equity ownership approach range of 0.28 to 0.47 using 'matched' data and below the overlap of estimates from listed and all equity of 0.40 to 0.41. The taxation data also suggests a value around 0.40 based on a utilisation rate of 0.48 and Lally's preferred distribution rate for a benchmark efficient entity of 0.83.</w:t>
      </w:r>
    </w:p>
    <w:p w:rsidR="001D37D5" w:rsidRPr="001D37D5" w:rsidRDefault="001D37D5" w:rsidP="001D37D5">
      <w:pPr>
        <w:pStyle w:val="AERbulletlistfirststyle"/>
      </w:pPr>
      <w:r w:rsidRPr="005764F6">
        <w:t>The evidence from implied market value studies, on which we place even less reliance, suggests a value between 0 and 0.75. In particular, SFG's dividend drop off study</w:t>
      </w:r>
      <w:r w:rsidRPr="001D37D5" w:rsidDel="000467B0">
        <w:t xml:space="preserve"> </w:t>
      </w:r>
      <w:r w:rsidRPr="001D37D5">
        <w:t>suggests a value of 0.26 or 0.30. This is around the bottom end of the 'matched' equity ownership approach range of 0.28 to 0.47, below the overlap of 0.40 to 0.41, and well below Lally's recommended gamma estimate of at least 0.5. Evidence from implied market value studies more generally suggests the value could be higher than 0.5 or lower than 0.28.</w:t>
      </w:r>
    </w:p>
    <w:p w:rsidR="001D37D5" w:rsidRPr="005764F6" w:rsidRDefault="001D37D5" w:rsidP="001D37D5">
      <w:pPr>
        <w:rPr>
          <w:rStyle w:val="AERbody"/>
        </w:rPr>
      </w:pPr>
      <w:r w:rsidRPr="005764F6">
        <w:rPr>
          <w:rStyle w:val="AERbody"/>
        </w:rPr>
        <w:t>On balance, we have considered it appropriate to continue to apply a value of imputation credits of 0.4 in this final decision. We note this is within the range of the overlap if 'matched' utilisation rates and distribution rates for all equity and all listed equity are used (0.40 to 0.41). This is also at the bottom of the range for the paired values from all equity using a distribution rate of 0.7 (range of 0.40 to 0.47). We consider this estimate satisfies the requirements in the NER/NGR.</w:t>
      </w:r>
    </w:p>
    <w:p w:rsidR="001D37D5" w:rsidRPr="005764F6" w:rsidRDefault="001D37D5" w:rsidP="001D37D5">
      <w:pPr>
        <w:rPr>
          <w:rStyle w:val="AERbody"/>
        </w:rPr>
      </w:pPr>
      <w:r w:rsidRPr="005764F6">
        <w:rPr>
          <w:rStyle w:val="AERbody"/>
        </w:rPr>
        <w:t>We consider a gamma value of 0.4 remains appropriate despite Lally's recent advice indicating this might be too low an</w:t>
      </w:r>
      <w:r w:rsidRPr="009C7A7F">
        <w:rPr>
          <w:rStyle w:val="AERbody"/>
        </w:rPr>
        <w:t>d recommending a value of a</w:t>
      </w:r>
      <w:r>
        <w:rPr>
          <w:rStyle w:val="AERbody"/>
        </w:rPr>
        <w:t>t least</w:t>
      </w:r>
      <w:r w:rsidRPr="005764F6">
        <w:rPr>
          <w:rStyle w:val="AERbody"/>
        </w:rPr>
        <w:t xml:space="preserve"> 0.5. In maintaining the use of a gamma value of 0.4 we have given particular consideration to the desirability of regulatory certainty and predictability. We also note we have used a value of 0.4 for all decisions released in 2015 and for the draft decision for </w:t>
      </w:r>
      <w:r w:rsidR="005F7078">
        <w:t>AusNet Services</w:t>
      </w:r>
      <w:r w:rsidRPr="005764F6">
        <w:rPr>
          <w:rStyle w:val="AERbody"/>
        </w:rPr>
        <w:t>. Given these considerations, we would be reluctant to depart from the value of 0.4 used in our preliminary decision without broad stakeholder consultation, and we note stakeholders have not had an opportunity to comment on Lally's latest report.  We also do not consider Lally's report shows 0.4 is not open to us to choose when exercising our regulatory discretion.</w:t>
      </w:r>
    </w:p>
    <w:p w:rsidR="001D37D5" w:rsidRPr="005764F6" w:rsidRDefault="001D37D5" w:rsidP="001D37D5">
      <w:pPr>
        <w:rPr>
          <w:rStyle w:val="AERbody"/>
        </w:rPr>
      </w:pPr>
      <w:r w:rsidRPr="005764F6">
        <w:rPr>
          <w:rStyle w:val="AERbody"/>
        </w:rPr>
        <w:t>Therefore, we remain of the view that our choice of 0.4 gives appropriate regard to the relative merits of the equity ownership approach, tax statistics and implied market value studies (in particular, SFG’s evidence).</w:t>
      </w:r>
    </w:p>
    <w:p w:rsidR="001D37D5" w:rsidRPr="005764F6" w:rsidRDefault="001D37D5" w:rsidP="001D37D5">
      <w:pPr>
        <w:rPr>
          <w:rStyle w:val="AERbody"/>
        </w:rPr>
      </w:pPr>
      <w:r w:rsidRPr="005764F6">
        <w:rPr>
          <w:rStyle w:val="AERbody"/>
        </w:rPr>
        <w:t xml:space="preserve">In section </w:t>
      </w:r>
      <w:r w:rsidRPr="005764F6">
        <w:rPr>
          <w:rStyle w:val="AERbody"/>
        </w:rPr>
        <w:fldChar w:fldCharType="begin"/>
      </w:r>
      <w:r w:rsidRPr="005764F6">
        <w:rPr>
          <w:rStyle w:val="AERbody"/>
        </w:rPr>
        <w:instrText xml:space="preserve"> REF _Ref415048973 \r \h </w:instrText>
      </w:r>
      <w:r>
        <w:rPr>
          <w:rStyle w:val="AERbody"/>
        </w:rPr>
        <w:instrText xml:space="preserve"> \* MERGEFORMAT </w:instrText>
      </w:r>
      <w:r w:rsidRPr="005764F6">
        <w:rPr>
          <w:rStyle w:val="AERbody"/>
        </w:rPr>
      </w:r>
      <w:r w:rsidRPr="005764F6">
        <w:rPr>
          <w:rStyle w:val="AERbody"/>
        </w:rPr>
        <w:fldChar w:fldCharType="separate"/>
      </w:r>
      <w:r w:rsidR="00A02D8C">
        <w:rPr>
          <w:rStyle w:val="AERbody"/>
        </w:rPr>
        <w:t>4.3.6</w:t>
      </w:r>
      <w:r w:rsidRPr="005764F6">
        <w:rPr>
          <w:rStyle w:val="AERbody"/>
        </w:rPr>
        <w:fldChar w:fldCharType="end"/>
      </w:r>
      <w:r w:rsidRPr="005764F6">
        <w:rPr>
          <w:rStyle w:val="AERbody"/>
        </w:rPr>
        <w:t xml:space="preserve"> (and in appendix A), we describe the sources of the estimates in </w:t>
      </w:r>
      <w:r w:rsidRPr="005764F6">
        <w:rPr>
          <w:rStyle w:val="AERbody"/>
        </w:rPr>
        <w:fldChar w:fldCharType="begin"/>
      </w:r>
      <w:r w:rsidRPr="005764F6">
        <w:rPr>
          <w:rStyle w:val="AERbody"/>
        </w:rPr>
        <w:instrText xml:space="preserve"> REF  _Ref400900366 \* Lower \h  \* MERGEFORMAT </w:instrText>
      </w:r>
      <w:r w:rsidRPr="005764F6">
        <w:rPr>
          <w:rStyle w:val="AERbody"/>
        </w:rPr>
      </w:r>
      <w:r w:rsidRPr="005764F6">
        <w:rPr>
          <w:rStyle w:val="AERbody"/>
        </w:rPr>
        <w:fldChar w:fldCharType="separate"/>
      </w:r>
      <w:r w:rsidR="00A02D8C" w:rsidRPr="00247000">
        <w:rPr>
          <w:rStyle w:val="AERbody"/>
        </w:rPr>
        <w:t>table 4</w:t>
      </w:r>
      <w:r w:rsidR="00A02D8C" w:rsidRPr="00247000">
        <w:rPr>
          <w:rStyle w:val="AERbody"/>
        </w:rPr>
        <w:noBreakHyphen/>
        <w:t>3</w:t>
      </w:r>
      <w:r w:rsidRPr="005764F6">
        <w:rPr>
          <w:rStyle w:val="AERbody"/>
        </w:rPr>
        <w:fldChar w:fldCharType="end"/>
      </w:r>
      <w:r w:rsidRPr="005764F6">
        <w:rPr>
          <w:rStyle w:val="AERbody"/>
        </w:rPr>
        <w:t xml:space="preserve"> and </w:t>
      </w:r>
      <w:r w:rsidRPr="005764F6">
        <w:rPr>
          <w:rStyle w:val="AERbody"/>
        </w:rPr>
        <w:fldChar w:fldCharType="begin"/>
      </w:r>
      <w:r w:rsidRPr="005764F6">
        <w:rPr>
          <w:rStyle w:val="AERbody"/>
        </w:rPr>
        <w:instrText xml:space="preserve"> REF  _Ref404072148 \* Lower \h  \* MERGEFORMAT </w:instrText>
      </w:r>
      <w:r w:rsidRPr="005764F6">
        <w:rPr>
          <w:rStyle w:val="AERbody"/>
        </w:rPr>
      </w:r>
      <w:r w:rsidRPr="005764F6">
        <w:rPr>
          <w:rStyle w:val="AERbody"/>
        </w:rPr>
        <w:fldChar w:fldCharType="separate"/>
      </w:r>
      <w:r w:rsidR="00A02D8C" w:rsidRPr="00247000">
        <w:rPr>
          <w:rStyle w:val="AERbody"/>
        </w:rPr>
        <w:t>table 4</w:t>
      </w:r>
      <w:r w:rsidR="00A02D8C" w:rsidRPr="00247000">
        <w:rPr>
          <w:rStyle w:val="AERbody"/>
        </w:rPr>
        <w:noBreakHyphen/>
        <w:t>4</w:t>
      </w:r>
      <w:r w:rsidRPr="005764F6">
        <w:rPr>
          <w:rStyle w:val="AERbody"/>
        </w:rPr>
        <w:fldChar w:fldCharType="end"/>
      </w:r>
      <w:r w:rsidRPr="005764F6">
        <w:rPr>
          <w:rStyle w:val="AERbody"/>
        </w:rPr>
        <w:t>, and present our assessment of the underlying evidence. This includes reasons for the relative levels of reliance we place on the underlying sources of evidence.</w:t>
      </w:r>
    </w:p>
    <w:p w:rsidR="001D37D5" w:rsidRPr="000C3267" w:rsidRDefault="001D37D5" w:rsidP="001D37D5">
      <w:pPr>
        <w:rPr>
          <w:rStyle w:val="AERbody"/>
        </w:rPr>
      </w:pPr>
      <w:r w:rsidRPr="005764F6">
        <w:rPr>
          <w:rStyle w:val="AERbody"/>
        </w:rPr>
        <w:t xml:space="preserve">We do not accept the service providers' proposed value of imputation credits of 0.25, calculated as the product of a distribution rate of 0.7 and a utilisation rate of 0.35 (see section </w:t>
      </w:r>
      <w:r w:rsidRPr="005764F6">
        <w:rPr>
          <w:rStyle w:val="AERbody"/>
        </w:rPr>
        <w:fldChar w:fldCharType="begin"/>
      </w:r>
      <w:r w:rsidRPr="005764F6">
        <w:rPr>
          <w:rStyle w:val="AERbody"/>
        </w:rPr>
        <w:instrText xml:space="preserve"> REF _Ref451709428 \r \h </w:instrText>
      </w:r>
      <w:r>
        <w:rPr>
          <w:rStyle w:val="AERbody"/>
        </w:rPr>
        <w:instrText xml:space="preserve"> \* MERGEFORMAT </w:instrText>
      </w:r>
      <w:r w:rsidRPr="005764F6">
        <w:rPr>
          <w:rStyle w:val="AERbody"/>
        </w:rPr>
      </w:r>
      <w:r w:rsidRPr="005764F6">
        <w:rPr>
          <w:rStyle w:val="AERbody"/>
        </w:rPr>
        <w:fldChar w:fldCharType="separate"/>
      </w:r>
      <w:r w:rsidR="00A02D8C">
        <w:rPr>
          <w:rStyle w:val="AERbody"/>
        </w:rPr>
        <w:t>4.2</w:t>
      </w:r>
      <w:r w:rsidRPr="005764F6">
        <w:rPr>
          <w:rStyle w:val="AERbody"/>
        </w:rPr>
        <w:fldChar w:fldCharType="end"/>
      </w:r>
      <w:r w:rsidRPr="005764F6">
        <w:rPr>
          <w:rStyle w:val="AERbody"/>
        </w:rPr>
        <w:t xml:space="preserve">). Specifically, we do not accept the service providers' proposed estimate of the utilisation rate of 0.35. This is because we do not consider it appropriate to rely exclusively </w:t>
      </w:r>
      <w:r w:rsidRPr="005764F6">
        <w:rPr>
          <w:rStyle w:val="AERbody"/>
        </w:rPr>
        <w:lastRenderedPageBreak/>
        <w:t>on implied market value studies (or SFG's single dividend drop off study). This position is supported by a number of experts.</w:t>
      </w:r>
      <w:r w:rsidRPr="006D590A">
        <w:rPr>
          <w:rStyle w:val="FootnoteReference"/>
        </w:rPr>
        <w:footnoteReference w:id="95"/>
      </w:r>
      <w:r w:rsidRPr="000C3267">
        <w:rPr>
          <w:rStyle w:val="AERbody"/>
        </w:rPr>
        <w:t xml:space="preserve"> The South Australian Centre for Economic Studies suggested that dividend drop off studies be disregarded entirely.</w:t>
      </w:r>
      <w:r w:rsidRPr="006D590A">
        <w:rPr>
          <w:rStyle w:val="FootnoteReference"/>
        </w:rPr>
        <w:footnoteReference w:id="96"/>
      </w:r>
      <w:r w:rsidRPr="000C3267">
        <w:rPr>
          <w:rStyle w:val="AERbody"/>
        </w:rPr>
        <w:t xml:space="preserve"> </w:t>
      </w:r>
    </w:p>
    <w:p w:rsidR="001D37D5" w:rsidRPr="00883125" w:rsidRDefault="001D37D5" w:rsidP="001D37D5">
      <w:pPr>
        <w:numPr>
          <w:ilvl w:val="0"/>
          <w:numId w:val="24"/>
        </w:numPr>
      </w:pPr>
      <w:r w:rsidRPr="00883125">
        <w:t>Even if we were to rely solely on the estimate of the utilisation rate of 0.35 from SFG's study, we consider that a value of imputation credits of 0.25 is unreasonable. This is because:</w:t>
      </w:r>
    </w:p>
    <w:p w:rsidR="001D37D5" w:rsidRPr="001D37D5" w:rsidRDefault="001D37D5" w:rsidP="001D37D5">
      <w:pPr>
        <w:pStyle w:val="AERbulletlistfirststyle"/>
      </w:pPr>
      <w:r w:rsidRPr="005764F6">
        <w:t>Handley and Lally advised that the proper use of this estimate of the utilisation rate requires its adjustment to 0.4. We agree with this adjustment which is required to correct for the incorrect post</w:t>
      </w:r>
      <w:r w:rsidRPr="001D37D5">
        <w:t xml:space="preserve"> tax valuation of cash dividends from SFG's study, which will also be expected to be reflected in the estimated utilisation rate. In the post-tax Officer framework underlying the NER/NGR, one dollar of dividends distributed to the investor is worth one dollar to investors post (company) tax. This is clear from Officer's definition of after tax net cash flows consistent with the post-tax vanilla WACC in formula (12) of his 1994 paper.</w:t>
      </w:r>
      <w:r w:rsidRPr="001D37D5">
        <w:rPr>
          <w:rStyle w:val="FootnoteReference"/>
        </w:rPr>
        <w:footnoteReference w:id="97"/>
      </w:r>
      <w:r w:rsidRPr="001D37D5">
        <w:t xml:space="preserve"> The incorrect post tax valuation of dividends (that will also be reflected in the estimated utilisation rate) is most likely due to differential personal taxes on dividends and capital gains which impact dividend drop off studies.</w:t>
      </w:r>
    </w:p>
    <w:p w:rsidR="001D37D5" w:rsidRPr="001D37D5" w:rsidRDefault="001D37D5" w:rsidP="001D37D5">
      <w:pPr>
        <w:pStyle w:val="AERbulletlistfirststyle"/>
      </w:pPr>
      <w:r w:rsidRPr="00883125">
        <w:t xml:space="preserve">This is an estimate of the utilisation rate of investors in only listed equity, and therefore </w:t>
      </w:r>
      <w:r w:rsidRPr="001D37D5">
        <w:t xml:space="preserve">we remain of the view it should be paired with either an estimate of the distribution rate from only listed equity using the cumulative payout approach (that is, 0.75); or Lally's estimate for only listed equity estimated using the top 20 listed firms (that is, 0.83). </w:t>
      </w:r>
    </w:p>
    <w:p w:rsidR="001D37D5" w:rsidRDefault="001D37D5" w:rsidP="001D37D5">
      <w:pPr>
        <w:numPr>
          <w:ilvl w:val="0"/>
          <w:numId w:val="24"/>
        </w:numPr>
      </w:pPr>
      <w:r w:rsidRPr="00883125">
        <w:t xml:space="preserve">Therefore, even if the service providers' proposed utilisation rate </w:t>
      </w:r>
      <w:r>
        <w:t xml:space="preserve">estimate </w:t>
      </w:r>
      <w:r w:rsidRPr="00883125">
        <w:t xml:space="preserve">is used, it yields a value of imputation credits of </w:t>
      </w:r>
      <w:r>
        <w:t xml:space="preserve">at least </w:t>
      </w:r>
      <w:r w:rsidRPr="00883125">
        <w:t>0.30 (0.4 x 0.75) rather than 0.25. However, with regard to the discussion above, our estimated value of imputation credits is higher than 0.30.</w:t>
      </w:r>
      <w:r>
        <w:t xml:space="preserve"> We also note we do not consider even the adjusted value from SFG's dividend drop off study is a reliable estimate of the utilisation rate for the reasons discussed in this decision (see section </w:t>
      </w:r>
      <w:r>
        <w:fldChar w:fldCharType="begin"/>
      </w:r>
      <w:r>
        <w:instrText xml:space="preserve"> REF _Ref450761230 \r \h </w:instrText>
      </w:r>
      <w:r>
        <w:fldChar w:fldCharType="separate"/>
      </w:r>
      <w:r w:rsidR="00A02D8C">
        <w:t>4.4.1</w:t>
      </w:r>
      <w:r>
        <w:fldChar w:fldCharType="end"/>
      </w:r>
      <w:r>
        <w:t>).</w:t>
      </w:r>
    </w:p>
    <w:p w:rsidR="001D37D5" w:rsidRPr="000C3267" w:rsidRDefault="001D37D5" w:rsidP="001D37D5">
      <w:pPr>
        <w:numPr>
          <w:ilvl w:val="0"/>
          <w:numId w:val="24"/>
        </w:numPr>
        <w:rPr>
          <w:rStyle w:val="AERbody"/>
        </w:rPr>
      </w:pPr>
      <w:r w:rsidRPr="000C3267">
        <w:rPr>
          <w:rStyle w:val="AERbody"/>
        </w:rPr>
        <w:t xml:space="preserve">We remain of the view that limited reliance should be placed on market based studies. These studies are influenced by differential personal taxes and are determined by the marginal investor that is trading around the ex-dividend date. We consider market based </w:t>
      </w:r>
      <w:r w:rsidRPr="000C3267">
        <w:rPr>
          <w:rStyle w:val="AERbody"/>
        </w:rPr>
        <w:lastRenderedPageBreak/>
        <w:t>studies are unlikely to provide an appropriate estimate for the utilisation rate. Therefore, given the data reliability issues with tax statistics, we consider the equity ownership approach provides the best estimate for the proportion of distributed imputation credits that are expected to be used to offset investor personal tax (that is, the utilisation rate). This is due to local investors effectively fully valuing distributed imputation credit at their face value on a pre-personal tax and pre-personal costs basis.</w:t>
      </w:r>
      <w:r w:rsidRPr="005764F6">
        <w:rPr>
          <w:rStyle w:val="FootnoteReference"/>
        </w:rPr>
        <w:footnoteReference w:id="98"/>
      </w:r>
      <w:r w:rsidRPr="000C3267">
        <w:rPr>
          <w:rStyle w:val="AERbody"/>
        </w:rPr>
        <w:t xml:space="preserve"> We remain of the view the 45 day holding rule does not be have a material impact on the utilisation of imputation credits by otherwise eligible (that is, domestic) investors.</w:t>
      </w:r>
    </w:p>
    <w:p w:rsidR="001D37D5" w:rsidRDefault="001D37D5" w:rsidP="001D37D5">
      <w:r>
        <w:t xml:space="preserve">In section </w:t>
      </w:r>
      <w:r>
        <w:fldChar w:fldCharType="begin"/>
      </w:r>
      <w:r>
        <w:instrText xml:space="preserve"> REF _Ref451240961 \r \h </w:instrText>
      </w:r>
      <w:r>
        <w:fldChar w:fldCharType="separate"/>
      </w:r>
      <w:r w:rsidR="00A02D8C">
        <w:t>4.4.2</w:t>
      </w:r>
      <w:r>
        <w:fldChar w:fldCharType="end"/>
      </w:r>
      <w:r>
        <w:t xml:space="preserve"> (and appendix A) we respond to the service providers' revised proposals in more detail. This includes late submissions that address the recent Tribunal decision.</w:t>
      </w:r>
    </w:p>
    <w:p w:rsidR="001D37D5" w:rsidRPr="001D37D5" w:rsidRDefault="001D37D5" w:rsidP="00247000">
      <w:pPr>
        <w:pStyle w:val="Heading3"/>
        <w:ind w:left="720"/>
      </w:pPr>
      <w:bookmarkStart w:id="144" w:name="_Ref450761230"/>
      <w:bookmarkStart w:id="145" w:name="_Toc451842243"/>
      <w:bookmarkStart w:id="146" w:name="_Toc451938299"/>
      <w:r>
        <w:t>Evidence underlying our estimate of the value of imputation credits</w:t>
      </w:r>
      <w:bookmarkEnd w:id="144"/>
      <w:bookmarkEnd w:id="145"/>
      <w:bookmarkEnd w:id="146"/>
      <w:r>
        <w:t xml:space="preserve"> </w:t>
      </w:r>
    </w:p>
    <w:p w:rsidR="001D37D5" w:rsidRDefault="001D37D5" w:rsidP="001D37D5">
      <w:r>
        <w:t>This section discusses the distribution rate and utilisation rate (or value) in more detail. More specifically, it describes our approach to estimating these sub-parameters of the value of imputation credits. This includes reasons for the relative levels of reliance we place on the underlying sources of evidence (for the utilisation rate in particular).</w:t>
      </w:r>
    </w:p>
    <w:p w:rsidR="001D37D5" w:rsidRDefault="001D37D5" w:rsidP="001D37D5">
      <w:pPr>
        <w:pStyle w:val="HeadingBoldBlue"/>
      </w:pPr>
      <w:r>
        <w:t>The distribution rate</w:t>
      </w:r>
    </w:p>
    <w:p w:rsidR="001D37D5" w:rsidRDefault="001D37D5" w:rsidP="001D37D5">
      <w:r w:rsidRPr="00883125">
        <w:t>The distribution rate is the proportion of imputation credits generated by the benchmark efficient entity that is distributed to investors.</w:t>
      </w:r>
      <w:r w:rsidRPr="00883125">
        <w:rPr>
          <w:rStyle w:val="FootnoteReference"/>
        </w:rPr>
        <w:footnoteReference w:id="99"/>
      </w:r>
      <w:r w:rsidRPr="00883125">
        <w:t xml:space="preserve"> We consider</w:t>
      </w:r>
      <w:r>
        <w:t>:</w:t>
      </w:r>
      <w:r w:rsidRPr="00883125">
        <w:t xml:space="preserve"> </w:t>
      </w:r>
    </w:p>
    <w:p w:rsidR="001D37D5" w:rsidRPr="001D37D5" w:rsidRDefault="001D37D5" w:rsidP="001D37D5">
      <w:pPr>
        <w:pStyle w:val="AERbulletlistfirststyle"/>
      </w:pPr>
      <w:r w:rsidRPr="00856171">
        <w:t xml:space="preserve">an estimate of 0.75 for the distribution rate is </w:t>
      </w:r>
      <w:r w:rsidRPr="001D37D5">
        <w:t xml:space="preserve">reasonable when considering estimates of the utilisation rate that relate to only listed equity. </w:t>
      </w:r>
    </w:p>
    <w:p w:rsidR="001D37D5" w:rsidRPr="001D37D5" w:rsidRDefault="001D37D5" w:rsidP="001D37D5">
      <w:pPr>
        <w:pStyle w:val="AERbulletlistfirststyle"/>
      </w:pPr>
      <w:r w:rsidRPr="00856171">
        <w:t xml:space="preserve">an estimate of 0.7 for the distribution rate is </w:t>
      </w:r>
      <w:r w:rsidRPr="001D37D5">
        <w:t xml:space="preserve">reasonable when considering estimates of the utilisation rate that relate to all equity. </w:t>
      </w:r>
    </w:p>
    <w:p w:rsidR="001D37D5" w:rsidRDefault="001D37D5" w:rsidP="001D37D5">
      <w:pPr>
        <w:numPr>
          <w:ilvl w:val="0"/>
          <w:numId w:val="24"/>
        </w:numPr>
      </w:pPr>
      <w:r>
        <w:t>Whether an estimate of the distribution rate will result in a reasonable estimate of the gamma value for a benchmark efficient entity depends on what is considered the best estimate of the utilisation rate (and if this should be based on all equity or a subset) and what is considered the best estimate of the distribution rate for a benchmark efficient entity. We note Lally effectively considers both 'matched' estimates will be too low given what he considers to be the best estimate of the market wide utilisation rate (of around 0.6) and the appropriate (firm specific) estimate of the distribution rate for a benchmark efficient entity (of 0.83).</w:t>
      </w:r>
      <w:r>
        <w:rPr>
          <w:rStyle w:val="FootnoteReference"/>
        </w:rPr>
        <w:footnoteReference w:id="100"/>
      </w:r>
      <w:r>
        <w:t xml:space="preserve"> </w:t>
      </w:r>
    </w:p>
    <w:p w:rsidR="001D37D5" w:rsidRPr="00883125" w:rsidRDefault="001D37D5" w:rsidP="001D37D5">
      <w:pPr>
        <w:numPr>
          <w:ilvl w:val="0"/>
          <w:numId w:val="24"/>
        </w:numPr>
      </w:pPr>
      <w:r w:rsidRPr="00883125">
        <w:lastRenderedPageBreak/>
        <w:t>Consistent with the Guideline, we estimate the distribution rate using the 'cumulative payout ratio approach', which uses data from the ATO on the accounts used by companies to track their stocks of imputation credits ('franking account balances').</w:t>
      </w:r>
      <w:r w:rsidRPr="00AE6B35">
        <w:rPr>
          <w:rStyle w:val="FootnoteReference"/>
        </w:rPr>
        <w:footnoteReference w:id="101"/>
      </w:r>
      <w:r w:rsidRPr="00AE6B35">
        <w:t xml:space="preserve"> </w:t>
      </w:r>
      <w:r w:rsidRPr="00883125">
        <w:t>We use the cumulative payout ratio approach because it:</w:t>
      </w:r>
    </w:p>
    <w:p w:rsidR="001D37D5" w:rsidRPr="00883125" w:rsidRDefault="001D37D5" w:rsidP="001D37D5">
      <w:pPr>
        <w:pStyle w:val="AERbulletlistfirststyle"/>
      </w:pPr>
      <w:r w:rsidRPr="00883125">
        <w:t>uses long-term, published data</w:t>
      </w:r>
    </w:p>
    <w:p w:rsidR="001D37D5" w:rsidRPr="001D37D5" w:rsidRDefault="001D37D5" w:rsidP="001D37D5">
      <w:pPr>
        <w:pStyle w:val="AERbulletlistfirststyle"/>
      </w:pPr>
      <w:r w:rsidRPr="00883125">
        <w:t>is supported by the service providers, Gray (for SFG), Handley, and McKenzie and Partington</w:t>
      </w:r>
      <w:r w:rsidRPr="001D37D5">
        <w:rPr>
          <w:rStyle w:val="FootnoteReference"/>
        </w:rPr>
        <w:footnoteReference w:id="102"/>
      </w:r>
      <w:r w:rsidRPr="001D37D5">
        <w:t xml:space="preserve"> </w:t>
      </w:r>
    </w:p>
    <w:p w:rsidR="001D37D5" w:rsidRPr="00883125" w:rsidRDefault="001D37D5" w:rsidP="001D37D5">
      <w:pPr>
        <w:pStyle w:val="AERbulletlistfirststyle"/>
      </w:pPr>
      <w:r w:rsidRPr="00883125">
        <w:t>is simple and intuitive.</w:t>
      </w:r>
    </w:p>
    <w:p w:rsidR="001D37D5" w:rsidRPr="00856171" w:rsidRDefault="001D37D5" w:rsidP="001D37D5">
      <w:r w:rsidRPr="00AE6B35">
        <w:t xml:space="preserve">Using this approach, NERA estimated a distribution rate across </w:t>
      </w:r>
      <w:r w:rsidRPr="00E82D06">
        <w:rPr>
          <w:rStyle w:val="AERtextunderline"/>
        </w:rPr>
        <w:t>all equity</w:t>
      </w:r>
      <w:r w:rsidRPr="00856171">
        <w:t xml:space="preserve"> of 0.7 for the period 1987 to 2011.</w:t>
      </w:r>
      <w:r w:rsidRPr="00856171">
        <w:rPr>
          <w:rStyle w:val="FootnoteReference"/>
        </w:rPr>
        <w:footnoteReference w:id="103"/>
      </w:r>
      <w:r w:rsidRPr="00856171">
        <w:t xml:space="preserve"> Hathaway found a similar estimate for the period 2004 to 2011.</w:t>
      </w:r>
      <w:r w:rsidRPr="00856171">
        <w:rPr>
          <w:rStyle w:val="FootnoteReference"/>
        </w:rPr>
        <w:footnoteReference w:id="104"/>
      </w:r>
      <w:r w:rsidRPr="00856171">
        <w:t xml:space="preserve"> We relied on these estimates in the Guideline and the decisions released in 2014. We consider that updated analysis of the ATO data to the 2012 tax year by NERA and Handley indicates that 0.7 remains a reasonable estimate of the distribution rate over all equity.</w:t>
      </w:r>
      <w:r w:rsidRPr="00856171">
        <w:rPr>
          <w:rStyle w:val="FootnoteReference"/>
        </w:rPr>
        <w:footnoteReference w:id="105"/>
      </w:r>
      <w:r w:rsidRPr="00856171">
        <w:t xml:space="preserve"> </w:t>
      </w:r>
    </w:p>
    <w:p w:rsidR="001D37D5" w:rsidRPr="00856171" w:rsidRDefault="001D37D5" w:rsidP="001D37D5">
      <w:r w:rsidRPr="00883125">
        <w:t xml:space="preserve">Gray </w:t>
      </w:r>
      <w:r w:rsidRPr="00856171">
        <w:t>(for Frontier) updated the ATO data up to 2012-13 and found that the payout ratio for all equity latest year is 64% and the cumulative ratio is 67%.</w:t>
      </w:r>
      <w:r w:rsidRPr="00856171">
        <w:rPr>
          <w:rStyle w:val="FootnoteReference"/>
        </w:rPr>
        <w:footnoteReference w:id="106"/>
      </w:r>
      <w:r w:rsidRPr="00856171">
        <w:t xml:space="preserve"> However, recognising the volatility in the data Frontier considered that 0.7 distribution rate still remained appropriate for all equity.</w:t>
      </w:r>
      <w:r w:rsidRPr="00856171">
        <w:rPr>
          <w:rStyle w:val="FootnoteReference"/>
        </w:rPr>
        <w:footnoteReference w:id="107"/>
      </w:r>
      <w:r w:rsidRPr="00856171">
        <w:t xml:space="preserve"> We have updated this data to 2014 and find the cumulative payout ratio for listed equity is 0.75 and for all equity is 0.68. However, consistent with the service providers' proposals, we remain of the view that a distribution rate of 0.7 is appropriate for all equity.</w:t>
      </w:r>
    </w:p>
    <w:p w:rsidR="001D37D5" w:rsidRPr="00883125" w:rsidRDefault="001D37D5" w:rsidP="001D37D5">
      <w:pPr>
        <w:numPr>
          <w:ilvl w:val="0"/>
          <w:numId w:val="24"/>
        </w:numPr>
      </w:pPr>
      <w:r w:rsidRPr="00883125">
        <w:t xml:space="preserve">Also using this approach, Handley estimated a distribution rate across only </w:t>
      </w:r>
      <w:r w:rsidRPr="00E82D06">
        <w:rPr>
          <w:rStyle w:val="AERtextunderline"/>
        </w:rPr>
        <w:t>listed equity</w:t>
      </w:r>
      <w:r w:rsidRPr="00883125">
        <w:t xml:space="preserve"> of 0.8 for the period 1987 to 2011.</w:t>
      </w:r>
      <w:r w:rsidRPr="00883125">
        <w:rPr>
          <w:rStyle w:val="FootnoteReference"/>
        </w:rPr>
        <w:footnoteReference w:id="108"/>
      </w:r>
      <w:r w:rsidRPr="00883125">
        <w:t xml:space="preserve"> We found a similar estimate for the period 2004 to 2011.</w:t>
      </w:r>
      <w:r w:rsidRPr="00883125">
        <w:rPr>
          <w:rStyle w:val="FootnoteReference"/>
        </w:rPr>
        <w:footnoteReference w:id="109"/>
      </w:r>
      <w:r w:rsidRPr="00883125">
        <w:t xml:space="preserve"> We relied on these estimates in the decisions we released in November 2014 and April 2015. Updated analysis of the ATO data to the 2012 tax year by NERA and Handley indicates that the distribution rate over only listed equity has fallen slightly.</w:t>
      </w:r>
      <w:r w:rsidRPr="00883125">
        <w:rPr>
          <w:rStyle w:val="FootnoteReference"/>
        </w:rPr>
        <w:footnoteReference w:id="110"/>
      </w:r>
      <w:r w:rsidRPr="00883125">
        <w:t xml:space="preserve"> In this final decision following a further update incorporating 2013 and 2014 data we consider an appropriate estimate of the distribution rate over only listed equity is 0.75. This is slightly lower than the value of 0.77 we used in </w:t>
      </w:r>
      <w:r>
        <w:t xml:space="preserve">our </w:t>
      </w:r>
      <w:r w:rsidRPr="00883125">
        <w:t xml:space="preserve">October and November 2015 decisions. </w:t>
      </w:r>
    </w:p>
    <w:p w:rsidR="001D37D5" w:rsidRDefault="001D37D5" w:rsidP="001D37D5">
      <w:pPr>
        <w:pStyle w:val="AERbulletlistfirststyle"/>
        <w:numPr>
          <w:ilvl w:val="0"/>
          <w:numId w:val="24"/>
        </w:numPr>
      </w:pPr>
      <w:r w:rsidRPr="00883125">
        <w:lastRenderedPageBreak/>
        <w:t>A distribution rate across only listed equity was not presented in the Guideline. However, as set out above, we now consider</w:t>
      </w:r>
      <w:r>
        <w:t xml:space="preserve"> i</w:t>
      </w:r>
      <w:r w:rsidRPr="00883125">
        <w:t>t is open to us to have regard to evidence from all equity and/or only listed equity</w:t>
      </w:r>
      <w:r>
        <w:t xml:space="preserve"> (see section </w:t>
      </w:r>
      <w:r>
        <w:fldChar w:fldCharType="begin"/>
      </w:r>
      <w:r>
        <w:instrText xml:space="preserve"> REF _Ref450765039 \r \h </w:instrText>
      </w:r>
      <w:r>
        <w:fldChar w:fldCharType="separate"/>
      </w:r>
      <w:r w:rsidR="00A02D8C">
        <w:t>A.9.2</w:t>
      </w:r>
      <w:r>
        <w:fldChar w:fldCharType="end"/>
      </w:r>
      <w:r>
        <w:t>)</w:t>
      </w:r>
      <w:r w:rsidRPr="00883125">
        <w:t>.</w:t>
      </w:r>
      <w:r>
        <w:t xml:space="preserve"> We consider estimates of the distribution rate from listed equity and all equity are reasonably consistent with a benchmark efficient entity given the difficulties associated with choosing a representative dataset (see section </w:t>
      </w:r>
      <w:r>
        <w:fldChar w:fldCharType="begin"/>
      </w:r>
      <w:r>
        <w:instrText xml:space="preserve"> REF _Ref401133206 \r \h </w:instrText>
      </w:r>
      <w:r>
        <w:fldChar w:fldCharType="separate"/>
      </w:r>
      <w:r w:rsidR="00A02D8C">
        <w:t>A.10</w:t>
      </w:r>
      <w:r>
        <w:fldChar w:fldCharType="end"/>
      </w:r>
      <w:r>
        <w:t>).</w:t>
      </w:r>
      <w:r>
        <w:rPr>
          <w:rStyle w:val="FootnoteReference"/>
        </w:rPr>
        <w:footnoteReference w:id="111"/>
      </w:r>
      <w:r>
        <w:t xml:space="preserve"> </w:t>
      </w:r>
    </w:p>
    <w:p w:rsidR="001D37D5" w:rsidRDefault="001D37D5" w:rsidP="001D37D5">
      <w:pPr>
        <w:pStyle w:val="AERbulletlistfirststyle"/>
        <w:numPr>
          <w:ilvl w:val="0"/>
          <w:numId w:val="24"/>
        </w:numPr>
      </w:pPr>
      <w:r>
        <w:t>In his latest report, Lally agrees that when estimating the distribution rate for a benchmark efficient entity, practical</w:t>
      </w:r>
      <w:r w:rsidRPr="000E7689">
        <w:t xml:space="preserve"> considerations </w:t>
      </w:r>
      <w:r>
        <w:t>indicate</w:t>
      </w:r>
      <w:r w:rsidRPr="000E7689">
        <w:t xml:space="preserve"> the use of sector-wide data.</w:t>
      </w:r>
      <w:r>
        <w:t xml:space="preserve"> He recommends a listed equity distribution rate estimated from financial statements of the top 20 listed firms, stating that:</w:t>
      </w:r>
      <w:r>
        <w:rPr>
          <w:rStyle w:val="FootnoteReference"/>
        </w:rPr>
        <w:footnoteReference w:id="112"/>
      </w:r>
    </w:p>
    <w:p w:rsidR="001D37D5" w:rsidRPr="001D37D5" w:rsidRDefault="001D37D5" w:rsidP="001D37D5">
      <w:pPr>
        <w:pStyle w:val="AERquote"/>
      </w:pPr>
      <w:r w:rsidRPr="00A660BD">
        <w:t>Furthermore, since privately-owned regulated businesses in Australia are typically listed firms or subsidiaries of listed firms, the appropriate set of firms to use to estimate the distribution rate of regulated businesses would seem to be listed firms.</w:t>
      </w:r>
    </w:p>
    <w:p w:rsidR="001D37D5" w:rsidRPr="00663AD0" w:rsidRDefault="001D37D5" w:rsidP="001D37D5">
      <w:pPr>
        <w:pStyle w:val="AERbulletlistfirststyle"/>
        <w:numPr>
          <w:ilvl w:val="0"/>
          <w:numId w:val="24"/>
        </w:numPr>
        <w:rPr>
          <w:rStyle w:val="AERtexthighlight"/>
        </w:rPr>
      </w:pPr>
      <w:r>
        <w:t>I</w:t>
      </w:r>
      <w:r w:rsidRPr="005764F6">
        <w:t xml:space="preserve">n his latest report, </w:t>
      </w:r>
      <w:r>
        <w:t xml:space="preserve">Lally also </w:t>
      </w:r>
      <w:r w:rsidRPr="005764F6">
        <w:t>considered it is 'not essential but nor is it precluded' to 'match' distribution rates from all equity (all listed equity) to utilisation rates from all equity (all listed equity).</w:t>
      </w:r>
      <w:r w:rsidRPr="00757350">
        <w:rPr>
          <w:rStyle w:val="FootnoteReference"/>
        </w:rPr>
        <w:footnoteReference w:id="113"/>
      </w:r>
      <w:r w:rsidRPr="005764F6">
        <w:t xml:space="preserve"> This is because, even though the distribution rate may be estimated using market-wide data, it is, in principle, a firm-specific parameter. On the other hand, the utilisation rate is a market-wide parameter.</w:t>
      </w:r>
      <w:r w:rsidRPr="00757350">
        <w:rPr>
          <w:rStyle w:val="FootnoteReference"/>
        </w:rPr>
        <w:footnoteReference w:id="114"/>
      </w:r>
      <w:r w:rsidRPr="005764F6">
        <w:t xml:space="preserve"> Following this, we consider it is not necessary to 'match' estimates of distribution rates and utilisation rates based on the dataset used</w:t>
      </w:r>
      <w:r>
        <w:rPr>
          <w:rStyle w:val="AERbody"/>
        </w:rPr>
        <w:t>; although we note the choice is open to us</w:t>
      </w:r>
      <w:r w:rsidRPr="00E64E9B">
        <w:rPr>
          <w:rStyle w:val="AERbody"/>
        </w:rPr>
        <w:t>.</w:t>
      </w:r>
      <w:r>
        <w:t xml:space="preserve"> While we principally maintain our previous approach (as is open to us), we also have some regard to </w:t>
      </w:r>
      <w:r w:rsidRPr="005764F6">
        <w:t>Lally</w:t>
      </w:r>
      <w:r>
        <w:t>'s preferred approach</w:t>
      </w:r>
      <w:r w:rsidRPr="005764F6">
        <w:t xml:space="preserve"> (which </w:t>
      </w:r>
      <w:r>
        <w:t>combines an all equity utilisation rate from the equity ownership approach with a distribution rate for listed equity from financial reports of the top 20 listed firms</w:t>
      </w:r>
      <w:r w:rsidRPr="005764F6">
        <w:t>).</w:t>
      </w:r>
      <w:r w:rsidRPr="00757350">
        <w:rPr>
          <w:rStyle w:val="FootnoteReference"/>
        </w:rPr>
        <w:footnoteReference w:id="115"/>
      </w:r>
      <w:r w:rsidRPr="00663AD0">
        <w:rPr>
          <w:rStyle w:val="AERtexthighlight"/>
        </w:rPr>
        <w:t xml:space="preserve"> </w:t>
      </w:r>
    </w:p>
    <w:p w:rsidR="001D37D5" w:rsidRDefault="001D37D5" w:rsidP="001D37D5">
      <w:r w:rsidRPr="00883125">
        <w:t>We discuss our approach to estimating the distribution rate further in section</w:t>
      </w:r>
      <w:r>
        <w:t>s</w:t>
      </w:r>
      <w:r w:rsidRPr="00883125">
        <w:t xml:space="preserve"> </w:t>
      </w:r>
      <w:r>
        <w:fldChar w:fldCharType="begin"/>
      </w:r>
      <w:r>
        <w:instrText xml:space="preserve"> REF _Ref414623120 \r \h </w:instrText>
      </w:r>
      <w:r>
        <w:fldChar w:fldCharType="separate"/>
      </w:r>
      <w:r w:rsidR="00A02D8C">
        <w:t>A.8</w:t>
      </w:r>
      <w:r>
        <w:fldChar w:fldCharType="end"/>
      </w:r>
      <w:r>
        <w:t xml:space="preserve"> and </w:t>
      </w:r>
      <w:r>
        <w:fldChar w:fldCharType="begin"/>
      </w:r>
      <w:r>
        <w:instrText xml:space="preserve"> REF _Ref415068711 \r \h </w:instrText>
      </w:r>
      <w:r>
        <w:fldChar w:fldCharType="separate"/>
      </w:r>
      <w:r w:rsidR="00A02D8C">
        <w:t>A.8.4</w:t>
      </w:r>
      <w:r>
        <w:fldChar w:fldCharType="end"/>
      </w:r>
      <w:r w:rsidRPr="00883125">
        <w:t>.</w:t>
      </w:r>
    </w:p>
    <w:p w:rsidR="001D37D5" w:rsidRPr="00856171" w:rsidRDefault="001D37D5" w:rsidP="001D37D5">
      <w:pPr>
        <w:pStyle w:val="HeadingBoldBlue"/>
      </w:pPr>
      <w:r>
        <w:t>The utilisation</w:t>
      </w:r>
      <w:r w:rsidRPr="00856171">
        <w:t xml:space="preserve"> rate </w:t>
      </w:r>
    </w:p>
    <w:p w:rsidR="001D37D5" w:rsidRPr="00883125" w:rsidRDefault="001D37D5" w:rsidP="001D37D5">
      <w:pPr>
        <w:numPr>
          <w:ilvl w:val="0"/>
          <w:numId w:val="24"/>
        </w:numPr>
      </w:pPr>
      <w:r w:rsidRPr="00883125">
        <w:t>We understand the utilisation rate to be the utilisation value to investors in the market per dollar of imputation credits distributed.</w:t>
      </w:r>
      <w:r>
        <w:rPr>
          <w:rStyle w:val="FootnoteReference"/>
        </w:rPr>
        <w:footnoteReference w:id="116"/>
      </w:r>
      <w:r w:rsidRPr="00883125">
        <w:t xml:space="preserve"> In the Monkhouse framework, the utilisation rate is equal to the weighted average, by wealth and risk aversion, of the utilisation rates of individual investors. For an ‘eligible’ investor, each dollar of imputation credit received can be fully returned to the investor in the form of a reduction in tax payable or a refund.</w:t>
      </w:r>
      <w:r w:rsidRPr="00883125">
        <w:rPr>
          <w:rStyle w:val="FootnoteReference"/>
        </w:rPr>
        <w:footnoteReference w:id="117"/>
      </w:r>
      <w:r w:rsidRPr="00883125">
        <w:t xml:space="preserve"> Therefore, we consider that eligible investors have a utilisation rate of 1. Conversely, ‘ineligible’ investors cannot utilise imputation credits and have a utilisation rate of 0. It follows that the utilisation rate reflects the extent to which investors can utilise the imputation credits they receive to reduce their tax or obtain a refund. </w:t>
      </w:r>
    </w:p>
    <w:p w:rsidR="001D37D5" w:rsidRPr="00883125" w:rsidRDefault="001D37D5" w:rsidP="001D37D5">
      <w:pPr>
        <w:pStyle w:val="AERbulletlistfirststyle"/>
        <w:numPr>
          <w:ilvl w:val="0"/>
          <w:numId w:val="24"/>
        </w:numPr>
      </w:pPr>
      <w:r>
        <w:lastRenderedPageBreak/>
        <w:t>This means</w:t>
      </w:r>
      <w:r w:rsidRPr="00883125">
        <w:t xml:space="preserve"> imputation credits expected to be utilised should be valued at full face value on a pre-personal tax basis. Valuing imputation credits at face value is consistent with how all inputs into the allowed rate of return are estimated. For example, the yield on debt is calculated where the face value of coupon payments and face value of the principal is used to determine the yield to maturity. Similarly, the face value of dividends are used to calculate the MRP under the historical average approach and in the dividend growth model. </w:t>
      </w:r>
    </w:p>
    <w:p w:rsidR="001D37D5" w:rsidRPr="00883125" w:rsidRDefault="001D37D5" w:rsidP="001D37D5">
      <w:pPr>
        <w:numPr>
          <w:ilvl w:val="0"/>
          <w:numId w:val="24"/>
        </w:numPr>
      </w:pPr>
      <w:r>
        <w:t>The</w:t>
      </w:r>
      <w:r w:rsidRPr="00856171">
        <w:t xml:space="preserve"> </w:t>
      </w:r>
      <w:r>
        <w:t xml:space="preserve">implied </w:t>
      </w:r>
      <w:r w:rsidRPr="00856171">
        <w:t xml:space="preserve">market </w:t>
      </w:r>
      <w:r>
        <w:t xml:space="preserve">value </w:t>
      </w:r>
      <w:r w:rsidRPr="00856171">
        <w:t>studies that value dividends and imputation credits around the ex-dividend date are influenced by different personal tax treatment of capital gains and dividend income. These estimates are neither pre- nor post- personal tax estimates. We do not consider this is appropriate given our post (corporate) tax regulatory framework based on Officer 1994.</w:t>
      </w:r>
      <w:r w:rsidRPr="00856171">
        <w:rPr>
          <w:rStyle w:val="FootnoteReference"/>
        </w:rPr>
        <w:footnoteReference w:id="118"/>
      </w:r>
      <w:r w:rsidRPr="00856171">
        <w:t xml:space="preserve"> What is relevant is the cost that is imposed on a benchmark efficient entity. This is the cost before personal taxes and personal transaction costs are incurred. The face value of the imputation credit is the pre-personal tax value and personal tax is levied on this estimate.</w:t>
      </w:r>
      <w:r>
        <w:rPr>
          <w:rStyle w:val="FootnoteReference"/>
        </w:rPr>
        <w:footnoteReference w:id="119"/>
      </w:r>
    </w:p>
    <w:p w:rsidR="001D37D5" w:rsidRPr="00883125" w:rsidRDefault="001D37D5" w:rsidP="001D37D5">
      <w:pPr>
        <w:numPr>
          <w:ilvl w:val="0"/>
          <w:numId w:val="24"/>
        </w:numPr>
      </w:pPr>
      <w:r w:rsidRPr="00883125">
        <w:t>Consistent with the Guideline, when estimating the utilisation rate we place:</w:t>
      </w:r>
    </w:p>
    <w:p w:rsidR="001D37D5" w:rsidRPr="00883125" w:rsidRDefault="001D37D5" w:rsidP="001D37D5">
      <w:pPr>
        <w:pStyle w:val="AERbulletlistfirststyle"/>
      </w:pPr>
      <w:r w:rsidRPr="00883125">
        <w:t>significant reliance upon the equity ownership approach</w:t>
      </w:r>
    </w:p>
    <w:p w:rsidR="001D37D5" w:rsidRPr="00883125" w:rsidRDefault="001D37D5" w:rsidP="001D37D5">
      <w:pPr>
        <w:pStyle w:val="AERbulletlistfirststyle"/>
      </w:pPr>
      <w:r w:rsidRPr="00883125">
        <w:t>some reliance upon tax statistics</w:t>
      </w:r>
    </w:p>
    <w:p w:rsidR="001D37D5" w:rsidRPr="001D37D5" w:rsidRDefault="001D37D5" w:rsidP="001D37D5">
      <w:pPr>
        <w:pStyle w:val="AERbulletlistfirststyle"/>
      </w:pPr>
      <w:r w:rsidRPr="00883125">
        <w:t>less reliance upon implied market value studies.</w:t>
      </w:r>
    </w:p>
    <w:p w:rsidR="001D37D5" w:rsidRPr="00883125" w:rsidRDefault="001D37D5" w:rsidP="001D37D5">
      <w:r>
        <w:t>This weighting is supported by Lally.</w:t>
      </w:r>
      <w:r>
        <w:rPr>
          <w:rStyle w:val="FootnoteReference"/>
        </w:rPr>
        <w:footnoteReference w:id="120"/>
      </w:r>
    </w:p>
    <w:p w:rsidR="001D37D5" w:rsidRDefault="001D37D5" w:rsidP="001D37D5">
      <w:pPr>
        <w:numPr>
          <w:ilvl w:val="0"/>
          <w:numId w:val="24"/>
        </w:numPr>
      </w:pPr>
      <w:r w:rsidRPr="00883125">
        <w:t>The results from th</w:t>
      </w:r>
      <w:r>
        <w:t>e</w:t>
      </w:r>
      <w:r w:rsidRPr="00883125">
        <w:t xml:space="preserve">se classes of evidence are summarised in </w:t>
      </w:r>
      <w:r w:rsidRPr="00883125">
        <w:fldChar w:fldCharType="begin"/>
      </w:r>
      <w:r w:rsidRPr="00883125">
        <w:instrText xml:space="preserve"> REF  _Ref400900366 \* Lower \h </w:instrText>
      </w:r>
      <w:r w:rsidRPr="00883125">
        <w:fldChar w:fldCharType="separate"/>
      </w:r>
      <w:r w:rsidR="00A02D8C" w:rsidRPr="00883125">
        <w:t xml:space="preserve">table </w:t>
      </w:r>
      <w:r w:rsidR="00A02D8C">
        <w:rPr>
          <w:noProof/>
        </w:rPr>
        <w:t>4</w:t>
      </w:r>
      <w:r w:rsidR="00A02D8C">
        <w:noBreakHyphen/>
      </w:r>
      <w:r w:rsidR="00A02D8C">
        <w:rPr>
          <w:noProof/>
        </w:rPr>
        <w:t>3</w:t>
      </w:r>
      <w:r w:rsidRPr="00883125">
        <w:fldChar w:fldCharType="end"/>
      </w:r>
      <w:r w:rsidRPr="00883125">
        <w:t xml:space="preserve"> and </w:t>
      </w:r>
      <w:r w:rsidRPr="00883125">
        <w:fldChar w:fldCharType="begin"/>
      </w:r>
      <w:r w:rsidRPr="00883125">
        <w:instrText xml:space="preserve"> REF  _Ref404072148 \* Lower \h </w:instrText>
      </w:r>
      <w:r w:rsidRPr="00883125">
        <w:fldChar w:fldCharType="separate"/>
      </w:r>
      <w:r w:rsidR="00A02D8C" w:rsidRPr="00883125">
        <w:t xml:space="preserve">table </w:t>
      </w:r>
      <w:r w:rsidR="00A02D8C">
        <w:rPr>
          <w:noProof/>
        </w:rPr>
        <w:t>4</w:t>
      </w:r>
      <w:r w:rsidR="00A02D8C">
        <w:noBreakHyphen/>
      </w:r>
      <w:r w:rsidR="00A02D8C">
        <w:rPr>
          <w:noProof/>
        </w:rPr>
        <w:t>4</w:t>
      </w:r>
      <w:r w:rsidRPr="00883125">
        <w:fldChar w:fldCharType="end"/>
      </w:r>
      <w:r w:rsidRPr="00883125">
        <w:t>.</w:t>
      </w:r>
      <w:r>
        <w:t xml:space="preserve"> </w:t>
      </w:r>
      <w:r w:rsidRPr="00883125">
        <w:t>The relative importance that we assign to each approach is supported by Handley and Lally, while McKenzie and Partington's report for the Queensland Resources Council suggested that having regard to all of these approaches is reasonable.</w:t>
      </w:r>
      <w:r w:rsidRPr="00883125">
        <w:rPr>
          <w:rStyle w:val="FootnoteReference"/>
        </w:rPr>
        <w:footnoteReference w:id="121"/>
      </w:r>
      <w:r w:rsidRPr="00883125">
        <w:t xml:space="preserve"> We discuss each approach in the sections below.</w:t>
      </w:r>
      <w:r w:rsidRPr="00883125">
        <w:rPr>
          <w:rStyle w:val="FootnoteReference"/>
        </w:rPr>
        <w:footnoteReference w:id="122"/>
      </w:r>
      <w:r w:rsidRPr="00883125">
        <w:t xml:space="preserve"> We depart from the Guideline by not relying upon the 'conceptual goalposts approach'.</w:t>
      </w:r>
    </w:p>
    <w:p w:rsidR="001D37D5" w:rsidRDefault="001D37D5" w:rsidP="001D37D5">
      <w:pPr>
        <w:numPr>
          <w:ilvl w:val="0"/>
          <w:numId w:val="24"/>
        </w:numPr>
      </w:pPr>
      <w:r w:rsidRPr="00883125">
        <w:t xml:space="preserve">We discuss our interpretation and definition of the utilisation rate further in sections </w:t>
      </w:r>
      <w:r w:rsidRPr="00883125">
        <w:fldChar w:fldCharType="begin"/>
      </w:r>
      <w:r w:rsidRPr="00883125">
        <w:instrText xml:space="preserve"> REF _Ref400965182 \r \h </w:instrText>
      </w:r>
      <w:r w:rsidRPr="00883125">
        <w:fldChar w:fldCharType="separate"/>
      </w:r>
      <w:r w:rsidR="00A02D8C">
        <w:t>A.6</w:t>
      </w:r>
      <w:r w:rsidRPr="00883125">
        <w:fldChar w:fldCharType="end"/>
      </w:r>
      <w:r w:rsidRPr="00883125">
        <w:t xml:space="preserve"> and </w:t>
      </w:r>
      <w:r w:rsidRPr="00883125">
        <w:fldChar w:fldCharType="begin"/>
      </w:r>
      <w:r w:rsidRPr="00883125">
        <w:instrText xml:space="preserve"> REF _Ref414623120 \r \h </w:instrText>
      </w:r>
      <w:r w:rsidRPr="00883125">
        <w:fldChar w:fldCharType="separate"/>
      </w:r>
      <w:r w:rsidR="00A02D8C">
        <w:t>A.8</w:t>
      </w:r>
      <w:r w:rsidRPr="00883125">
        <w:fldChar w:fldCharType="end"/>
      </w:r>
      <w:r w:rsidRPr="00883125">
        <w:t xml:space="preserve">. </w:t>
      </w:r>
    </w:p>
    <w:p w:rsidR="001D37D5" w:rsidRPr="00856171" w:rsidRDefault="001D37D5" w:rsidP="001D37D5">
      <w:pPr>
        <w:pStyle w:val="HeadingBoldItalic"/>
      </w:pPr>
      <w:r>
        <w:t>The equity ownership approach</w:t>
      </w:r>
    </w:p>
    <w:p w:rsidR="001D37D5" w:rsidRPr="00883125" w:rsidRDefault="001D37D5" w:rsidP="001D37D5">
      <w:pPr>
        <w:numPr>
          <w:ilvl w:val="0"/>
          <w:numId w:val="24"/>
        </w:numPr>
      </w:pPr>
      <w:r w:rsidRPr="00883125">
        <w:t xml:space="preserve">We consider that the value-weighted proportion of domestic investors in the Australian equity market is a reasonable estimate of the utilisation rate. This is because, in general, domestic </w:t>
      </w:r>
      <w:r w:rsidRPr="00883125">
        <w:lastRenderedPageBreak/>
        <w:t>investors are eligible to utilise imputation credits and foreign investors are not. Moreover, as discussed above, we consider that eligible investors have a utilisation rate of 1 because each dollar of imputation credit received by these investors can be fully returned to them in the form of a reduction in tax payable or a refund. On a pre-personal tax basis</w:t>
      </w:r>
      <w:r>
        <w:t>,</w:t>
      </w:r>
      <w:r w:rsidRPr="00883125">
        <w:t xml:space="preserve"> one dollar of imputation credits reduces an eligible investor's tax bill by one dollar. We refer to this approach as the 'equity ownership approach', and we use data from the National Accounts of the Australian Bureau of Statistics (ABS) to estimate the domestic ownership share.</w:t>
      </w:r>
      <w:r w:rsidRPr="00883125">
        <w:rPr>
          <w:rStyle w:val="FootnoteReference"/>
        </w:rPr>
        <w:footnoteReference w:id="123"/>
      </w:r>
    </w:p>
    <w:p w:rsidR="001D37D5" w:rsidRPr="00883125" w:rsidRDefault="001D37D5" w:rsidP="001D37D5">
      <w:pPr>
        <w:numPr>
          <w:ilvl w:val="0"/>
          <w:numId w:val="24"/>
        </w:numPr>
      </w:pPr>
      <w:r w:rsidRPr="00883125">
        <w:t>We place significant reliance upon the equity ownership approach when considering estimates of the utilisation rate. This is because:</w:t>
      </w:r>
    </w:p>
    <w:p w:rsidR="001D37D5" w:rsidRPr="00883125" w:rsidRDefault="001D37D5" w:rsidP="001D37D5">
      <w:pPr>
        <w:pStyle w:val="AERbulletlistfirststyle"/>
      </w:pPr>
      <w:r w:rsidRPr="00883125">
        <w:t>it is well aligned with the definition of the utilisation rate in the Monkhouse framework</w:t>
      </w:r>
    </w:p>
    <w:p w:rsidR="001D37D5" w:rsidRPr="00883125" w:rsidRDefault="001D37D5" w:rsidP="001D37D5">
      <w:pPr>
        <w:pStyle w:val="AERbulletlistfirststyle"/>
      </w:pPr>
      <w:r w:rsidRPr="00883125">
        <w:t>it employs a relatively simple and intuitive methodology</w:t>
      </w:r>
    </w:p>
    <w:p w:rsidR="001D37D5" w:rsidRPr="00883125" w:rsidRDefault="001D37D5" w:rsidP="001D37D5">
      <w:pPr>
        <w:pStyle w:val="AERbulletlistfirststyle"/>
      </w:pPr>
      <w:r w:rsidRPr="00883125">
        <w:t>it uses a reliable and transparent source of data</w:t>
      </w:r>
    </w:p>
    <w:p w:rsidR="001D37D5" w:rsidRPr="001D37D5" w:rsidRDefault="001D37D5" w:rsidP="001D37D5">
      <w:pPr>
        <w:pStyle w:val="AERbulletlistfirststyle"/>
      </w:pPr>
      <w:r w:rsidRPr="00883125">
        <w:t>it provides estimates of the utilisation rate for investors in both all equity and only listed equity</w:t>
      </w:r>
    </w:p>
    <w:p w:rsidR="001D37D5" w:rsidRDefault="001D37D5" w:rsidP="001D37D5">
      <w:r>
        <w:t>We recognise</w:t>
      </w:r>
      <w:r w:rsidRPr="00883125">
        <w:t xml:space="preserve"> the equity ownership approach </w:t>
      </w:r>
      <w:r>
        <w:t>does not take into account</w:t>
      </w:r>
      <w:r w:rsidRPr="00883125">
        <w:t xml:space="preserve"> </w:t>
      </w:r>
      <w:r>
        <w:t>the existence of</w:t>
      </w:r>
      <w:r w:rsidRPr="00883125">
        <w:t xml:space="preserve"> some </w:t>
      </w:r>
      <w:r>
        <w:t>domestic</w:t>
      </w:r>
      <w:r w:rsidRPr="00883125">
        <w:t xml:space="preserve"> investors </w:t>
      </w:r>
      <w:r>
        <w:t>that</w:t>
      </w:r>
      <w:r w:rsidRPr="00883125">
        <w:t xml:space="preserve"> do not hold their shares for 45 days at risk over the ex-dividend date</w:t>
      </w:r>
      <w:r>
        <w:t xml:space="preserve"> (the 45 day rule)</w:t>
      </w:r>
      <w:r w:rsidRPr="00883125">
        <w:t>.</w:t>
      </w:r>
      <w:r w:rsidRPr="00883125">
        <w:rPr>
          <w:rStyle w:val="FootnoteReference"/>
        </w:rPr>
        <w:footnoteReference w:id="124"/>
      </w:r>
      <w:r w:rsidRPr="00883125">
        <w:t xml:space="preserve"> </w:t>
      </w:r>
      <w:r>
        <w:t xml:space="preserve">However, we consider it is unlikely </w:t>
      </w:r>
      <w:r w:rsidRPr="00883125">
        <w:t>to have a material impact on the utilisation of imputation credits</w:t>
      </w:r>
      <w:r>
        <w:t xml:space="preserve"> by domestic</w:t>
      </w:r>
      <w:r w:rsidRPr="00883125">
        <w:t xml:space="preserve"> investors</w:t>
      </w:r>
      <w:r>
        <w:t xml:space="preserve">. Importantly, </w:t>
      </w:r>
      <w:r w:rsidRPr="00883125">
        <w:t xml:space="preserve">no data has been presented that </w:t>
      </w:r>
      <w:r>
        <w:t>demonstrates a material impact</w:t>
      </w:r>
      <w:r w:rsidRPr="00883125">
        <w:t>.</w:t>
      </w:r>
    </w:p>
    <w:p w:rsidR="001D37D5" w:rsidRDefault="001D37D5" w:rsidP="001D37D5">
      <w:r>
        <w:t xml:space="preserve">We also recognise the equity ownership approach produces a range of estimates of the utilisation rate, and the upper end of this range is higher than the estimate produced from tax statistics (see discussion under 'Tax statistics' below). However, we do not consider this means the equity ownership approach is incorrect. This is because tax statistics, like the equity ownership approach, produce an estimate of the utilisation rate. These estimates are uncertain and dependent on the quality of the underlying data (this is a particular issue for tax statistics). As such, </w:t>
      </w:r>
      <w:r w:rsidRPr="00883125">
        <w:t>the true (unknown) value could be higher or lower.</w:t>
      </w:r>
      <w:r>
        <w:t xml:space="preserve"> Following this, we do not consider </w:t>
      </w:r>
      <w:r w:rsidRPr="00883125">
        <w:t xml:space="preserve">the 45 day rule explains the difference in utilisation </w:t>
      </w:r>
      <w:r>
        <w:t>rate</w:t>
      </w:r>
      <w:r w:rsidRPr="00883125">
        <w:t xml:space="preserve"> </w:t>
      </w:r>
      <w:r>
        <w:t>estimates between</w:t>
      </w:r>
      <w:r w:rsidRPr="00883125">
        <w:t xml:space="preserve"> tax statistics and the equity ownership approach.</w:t>
      </w:r>
      <w:r w:rsidRPr="00E92A90">
        <w:t xml:space="preserve"> </w:t>
      </w:r>
      <w:r w:rsidRPr="00883125">
        <w:t>We consider the difference is likely drive</w:t>
      </w:r>
      <w:r>
        <w:t>n</w:t>
      </w:r>
      <w:r w:rsidRPr="00883125">
        <w:t xml:space="preserve"> by estimation error in the taxation data</w:t>
      </w:r>
      <w:r>
        <w:t>. This view is supported by Lally.</w:t>
      </w:r>
      <w:r>
        <w:rPr>
          <w:rStyle w:val="FootnoteReference"/>
        </w:rPr>
        <w:footnoteReference w:id="125"/>
      </w:r>
      <w:r w:rsidRPr="004F21F7">
        <w:t xml:space="preserve"> </w:t>
      </w:r>
      <w:r>
        <w:t>We also note Lally's statement that:</w:t>
      </w:r>
      <w:r>
        <w:rPr>
          <w:rStyle w:val="FootnoteReference"/>
        </w:rPr>
        <w:footnoteReference w:id="126"/>
      </w:r>
    </w:p>
    <w:p w:rsidR="001D37D5" w:rsidRPr="00883125" w:rsidRDefault="001D37D5" w:rsidP="001D37D5">
      <w:pPr>
        <w:pStyle w:val="AERquote"/>
      </w:pPr>
      <w:r w:rsidRPr="004F21F7">
        <w:t>Thus, if foreign investors are recognized and absent any information on the terms other than the value weights on the RHS of equation (8), the equity ownership approach is not an upper bound on theta but an unbiased estimate.</w:t>
      </w:r>
    </w:p>
    <w:p w:rsidR="001D37D5" w:rsidRPr="00883125" w:rsidRDefault="001D37D5" w:rsidP="001D37D5">
      <w:pPr>
        <w:numPr>
          <w:ilvl w:val="0"/>
          <w:numId w:val="24"/>
        </w:numPr>
      </w:pPr>
      <w:r w:rsidRPr="00883125">
        <w:t>We consider that a reasonable estimate for the utilisation rate from the equity ownership approach is between:</w:t>
      </w:r>
    </w:p>
    <w:p w:rsidR="001D37D5" w:rsidRPr="00883125" w:rsidRDefault="001D37D5" w:rsidP="001D37D5">
      <w:pPr>
        <w:pStyle w:val="AERbulletlistfirststyle"/>
      </w:pPr>
      <w:r w:rsidRPr="00883125">
        <w:lastRenderedPageBreak/>
        <w:t>0.56 and 0.68, if all equity is considered</w:t>
      </w:r>
    </w:p>
    <w:p w:rsidR="001D37D5" w:rsidRPr="00883125" w:rsidRDefault="001D37D5" w:rsidP="001D37D5">
      <w:pPr>
        <w:pStyle w:val="AERbulletlistfirststyle"/>
      </w:pPr>
      <w:r w:rsidRPr="00883125">
        <w:t>0.38 and 0.55, if only listed equity is considered.</w:t>
      </w:r>
    </w:p>
    <w:p w:rsidR="001D37D5" w:rsidRDefault="001D37D5" w:rsidP="001D37D5">
      <w:r w:rsidRPr="00883125">
        <w:t xml:space="preserve">This differs from the Guideline. In the Guideline, we considered that the equity ownership approach supported a utilisation rate between 0.7 and 0.8. Since the Guideline's publication, we have examined more closely the relevant data from the National Accounts. This has allowed us to update and refine our estimates. </w:t>
      </w:r>
    </w:p>
    <w:p w:rsidR="001D37D5" w:rsidRDefault="001D37D5" w:rsidP="001D37D5">
      <w:r w:rsidRPr="00883125">
        <w:t xml:space="preserve">We describe our application of the equity ownership approach and our re-examination of this source of evidence since the Guideline in detail in section </w:t>
      </w:r>
      <w:r w:rsidRPr="00883125">
        <w:fldChar w:fldCharType="begin"/>
      </w:r>
      <w:r w:rsidRPr="00883125">
        <w:instrText xml:space="preserve"> REF _Ref415049811 \r \h </w:instrText>
      </w:r>
      <w:r w:rsidRPr="00883125">
        <w:fldChar w:fldCharType="separate"/>
      </w:r>
      <w:r w:rsidR="00A02D8C">
        <w:t>A.12</w:t>
      </w:r>
      <w:r w:rsidRPr="00883125">
        <w:fldChar w:fldCharType="end"/>
      </w:r>
      <w:r w:rsidRPr="00883125">
        <w:t>.</w:t>
      </w:r>
    </w:p>
    <w:p w:rsidR="001D37D5" w:rsidRPr="00856171" w:rsidRDefault="001D37D5" w:rsidP="001D37D5">
      <w:pPr>
        <w:pStyle w:val="HeadingBoldItalic"/>
      </w:pPr>
      <w:r>
        <w:t>Tax statistics</w:t>
      </w:r>
    </w:p>
    <w:p w:rsidR="001D37D5" w:rsidRPr="00883125" w:rsidRDefault="001D37D5" w:rsidP="001D37D5">
      <w:pPr>
        <w:numPr>
          <w:ilvl w:val="0"/>
          <w:numId w:val="24"/>
        </w:numPr>
      </w:pPr>
      <w:r w:rsidRPr="00883125">
        <w:t>The ATO publishes aggregate statistics on the tax returns submitted by individuals, superannuation funds and companies, as well as on the imputation credits refunded to certain income tax exempt entities (for example, charities).</w:t>
      </w:r>
      <w:r w:rsidRPr="00883125">
        <w:rPr>
          <w:rStyle w:val="FootnoteReference"/>
        </w:rPr>
        <w:footnoteReference w:id="127"/>
      </w:r>
      <w:r w:rsidRPr="00883125">
        <w:t xml:space="preserve"> In theory, these statistics can be used to derive a measure of the total amount of imputation credits utilised by eligible investors to offset tax or to be refunded. As discussed in relation to the distribution rate, ATO statistics also provide estimates of the amount of imputation credits distributed. We consider the reported value of credits utilised divided by the reported value of credits distributed is </w:t>
      </w:r>
      <w:r w:rsidR="009C18DC" w:rsidRPr="00883125">
        <w:t>an</w:t>
      </w:r>
      <w:r w:rsidRPr="00883125">
        <w:t xml:space="preserve"> estimate of the utilisation rate</w:t>
      </w:r>
      <w:r>
        <w:t xml:space="preserve">. </w:t>
      </w:r>
      <w:r w:rsidRPr="00883125">
        <w:t xml:space="preserve"> </w:t>
      </w:r>
    </w:p>
    <w:p w:rsidR="001D37D5" w:rsidRDefault="001D37D5" w:rsidP="001D37D5">
      <w:pPr>
        <w:numPr>
          <w:ilvl w:val="0"/>
          <w:numId w:val="24"/>
        </w:numPr>
      </w:pPr>
      <w:r w:rsidRPr="00883125">
        <w:t>We have had regard to tax statistics when considering estimates of the utilisation rate. We place a degree of reliance upon tax statistics that is less than that placed upon the equity ownership approach, but which is more than that placed on implied market value studies. Our position on tax statistics is consistent with the advice from Handley and Lally. Handley considered tax statistics to be the second most important approach to estimating the utilisation rate after the equity ownership approach.</w:t>
      </w:r>
      <w:r w:rsidRPr="00883125">
        <w:rPr>
          <w:rStyle w:val="FootnoteReference"/>
        </w:rPr>
        <w:footnoteReference w:id="128"/>
      </w:r>
      <w:r w:rsidRPr="00883125">
        <w:t xml:space="preserve"> Lally considered that the tax statistics approach lacks precision, and he did not prefer it to the equity ownership approach.</w:t>
      </w:r>
      <w:r w:rsidRPr="00883125">
        <w:rPr>
          <w:rStyle w:val="FootnoteReference"/>
        </w:rPr>
        <w:footnoteReference w:id="129"/>
      </w:r>
      <w:r w:rsidRPr="00883125">
        <w:t xml:space="preserve"> However, Lally still preferred tax statistics to implied market value studies.</w:t>
      </w:r>
      <w:r w:rsidRPr="00883125">
        <w:rPr>
          <w:rStyle w:val="FootnoteReference"/>
        </w:rPr>
        <w:footnoteReference w:id="130"/>
      </w:r>
    </w:p>
    <w:p w:rsidR="001D37D5" w:rsidRPr="00883125" w:rsidRDefault="001D37D5" w:rsidP="001D37D5">
      <w:pPr>
        <w:numPr>
          <w:ilvl w:val="0"/>
          <w:numId w:val="24"/>
        </w:numPr>
      </w:pPr>
      <w:r w:rsidRPr="00883125">
        <w:t>We have placed less reliance upon tax statistics compared with the equity ownership approach because we consider that tax statistics have a number of limitations:</w:t>
      </w:r>
    </w:p>
    <w:p w:rsidR="001D37D5" w:rsidRPr="001D37D5" w:rsidRDefault="001D37D5" w:rsidP="001D37D5">
      <w:pPr>
        <w:pStyle w:val="AERbulletlistfirststyle"/>
      </w:pPr>
      <w:r w:rsidRPr="00883125">
        <w:t>There are residual concerns regarding the data. While Hathaway considered that the amounts of tax paid and credits utilised can be concluded ‘with some confidence’ and that they are ‘unlikely to be in major error’</w:t>
      </w:r>
      <w:r w:rsidRPr="001D37D5">
        <w:t xml:space="preserve">. Hathaway also identified a significant discrepancy associated with the tracking of imputation credits in the data that led him to </w:t>
      </w:r>
      <w:r w:rsidRPr="001D37D5">
        <w:lastRenderedPageBreak/>
        <w:t>'urge all caution in using ATO statistics for any estimates of parameters concerned with [imputation] credits'.</w:t>
      </w:r>
      <w:r w:rsidRPr="001D37D5">
        <w:rPr>
          <w:rStyle w:val="FootnoteReference"/>
        </w:rPr>
        <w:footnoteReference w:id="131"/>
      </w:r>
    </w:p>
    <w:p w:rsidR="001D37D5" w:rsidRPr="00883125" w:rsidRDefault="001D37D5" w:rsidP="001D37D5">
      <w:pPr>
        <w:pStyle w:val="AERbulletlistfirststyle"/>
      </w:pPr>
      <w:r w:rsidRPr="00883125">
        <w:t>They do not reflect the amount of credits refunded to individuals that do not have to fill out a tax return.</w:t>
      </w:r>
    </w:p>
    <w:p w:rsidR="001D37D5" w:rsidRPr="001D37D5" w:rsidRDefault="001D37D5" w:rsidP="001D37D5">
      <w:pPr>
        <w:pStyle w:val="AERbulletlistfirststyle"/>
      </w:pPr>
      <w:r w:rsidRPr="00883125">
        <w:t>They might not reflect the amount of credits refunded to certain types of entities.</w:t>
      </w:r>
      <w:r w:rsidRPr="001D37D5">
        <w:rPr>
          <w:rStyle w:val="FootnoteReference"/>
        </w:rPr>
        <w:footnoteReference w:id="132"/>
      </w:r>
      <w:r w:rsidRPr="001D37D5">
        <w:t xml:space="preserve"> </w:t>
      </w:r>
    </w:p>
    <w:p w:rsidR="001D37D5" w:rsidRPr="001D37D5" w:rsidRDefault="001D37D5" w:rsidP="001D37D5">
      <w:pPr>
        <w:pStyle w:val="AERbulletlistfirststyle"/>
      </w:pPr>
      <w:r w:rsidRPr="00883125">
        <w:t>They do not provide estimates of the utilisation rate for investors in only listed equity. Handley suggested that evidence from listed equity is more relevant to the benchmark efficient entity.</w:t>
      </w:r>
      <w:r w:rsidRPr="001D37D5">
        <w:rPr>
          <w:rStyle w:val="FootnoteReference"/>
        </w:rPr>
        <w:footnoteReference w:id="133"/>
      </w:r>
    </w:p>
    <w:p w:rsidR="001D37D5" w:rsidRPr="001D37D5" w:rsidRDefault="001D37D5" w:rsidP="001D37D5">
      <w:pPr>
        <w:pStyle w:val="AERbulletlistfirststyle"/>
      </w:pPr>
      <w:r w:rsidRPr="005764F6">
        <w:t xml:space="preserve">Lally, in his latest report, considered tax statistics </w:t>
      </w:r>
      <w:r w:rsidRPr="001D37D5">
        <w:t>based estimates of the utilisation rate are unreliable and potentially biased.</w:t>
      </w:r>
      <w:r w:rsidRPr="001D37D5">
        <w:rPr>
          <w:rStyle w:val="FootnoteReference"/>
        </w:rPr>
        <w:footnoteReference w:id="134"/>
      </w:r>
      <w:r w:rsidRPr="001D37D5">
        <w:t xml:space="preserve"> </w:t>
      </w:r>
    </w:p>
    <w:p w:rsidR="001D37D5" w:rsidRPr="00883125" w:rsidRDefault="001D37D5" w:rsidP="001D37D5">
      <w:pPr>
        <w:numPr>
          <w:ilvl w:val="0"/>
          <w:numId w:val="24"/>
        </w:numPr>
      </w:pPr>
      <w:r w:rsidRPr="00883125">
        <w:t>With regard to Hathaway's analysis, in the draft decisions released in 2014 we considered that tax statistics supported an estimate of the utilisation rate between 0.4 and 0.6.</w:t>
      </w:r>
      <w:r w:rsidRPr="00883125">
        <w:rPr>
          <w:rStyle w:val="FootnoteReference"/>
        </w:rPr>
        <w:footnoteReference w:id="135"/>
      </w:r>
      <w:r w:rsidRPr="00883125">
        <w:t xml:space="preserve"> However, we also recognised in the draft decisions </w:t>
      </w:r>
      <w:r>
        <w:t xml:space="preserve">released in 2014 </w:t>
      </w:r>
      <w:r w:rsidRPr="00883125">
        <w:t>that our estimate of the distribution rate (0.7) implied that we should adopt a utilisation rate of around 0.43 from within this range for consistency. This differs from the Guideline, in which we considered that tax statistics supported an estimate of the utilisation rate between 0.4 and 0.8.</w:t>
      </w:r>
    </w:p>
    <w:p w:rsidR="001D37D5" w:rsidRPr="00883125" w:rsidRDefault="001D37D5" w:rsidP="001D37D5">
      <w:pPr>
        <w:numPr>
          <w:ilvl w:val="0"/>
          <w:numId w:val="24"/>
        </w:numPr>
      </w:pPr>
      <w:r w:rsidRPr="00883125">
        <w:t>Since the Guideline, we have continued to examine this evidence. We now consider that greater reliance should be placed upon estimates that are:</w:t>
      </w:r>
    </w:p>
    <w:p w:rsidR="001D37D5" w:rsidRPr="001D37D5" w:rsidRDefault="001D37D5" w:rsidP="001D37D5">
      <w:pPr>
        <w:pStyle w:val="AERbulletlistfirststyle"/>
      </w:pPr>
      <w:r w:rsidRPr="00883125">
        <w:t>derived from post-2004 data, consistent with Hathaway's findings that the ATO statistics are subject to a number of issues prior to 2004</w:t>
      </w:r>
      <w:r w:rsidRPr="001D37D5">
        <w:rPr>
          <w:rStyle w:val="FootnoteReference"/>
        </w:rPr>
        <w:footnoteReference w:id="136"/>
      </w:r>
    </w:p>
    <w:p w:rsidR="001D37D5" w:rsidRPr="001D37D5" w:rsidRDefault="001D37D5" w:rsidP="001D37D5">
      <w:pPr>
        <w:pStyle w:val="AERbulletlistfirststyle"/>
      </w:pPr>
      <w:r w:rsidRPr="00883125">
        <w:t>consistent with our estimates of the distribution rate</w:t>
      </w:r>
      <w:r w:rsidRPr="001D37D5">
        <w:t xml:space="preserve"> using cumulative distribution rate data. However, we note this consistency principle does not preclude the combination of a utilisation rate estimated based on this principle with a higher estimate of the distribution rate for the benchmark efficient entity based on Lally's latest advice.</w:t>
      </w:r>
      <w:r w:rsidRPr="001D37D5">
        <w:rPr>
          <w:rStyle w:val="FootnoteReference"/>
        </w:rPr>
        <w:footnoteReference w:id="137"/>
      </w:r>
      <w:r w:rsidRPr="001D37D5">
        <w:t xml:space="preserve"> </w:t>
      </w:r>
    </w:p>
    <w:p w:rsidR="001D37D5" w:rsidRPr="00856171" w:rsidRDefault="001D37D5" w:rsidP="001D37D5">
      <w:r w:rsidRPr="00883125">
        <w:t xml:space="preserve">In this </w:t>
      </w:r>
      <w:r w:rsidRPr="00856171">
        <w:t>final decision, we have regard to NERA's updated analysis of the ATO data to the 2012 tax year.</w:t>
      </w:r>
      <w:r w:rsidRPr="00856171">
        <w:rPr>
          <w:rStyle w:val="FootnoteReference"/>
        </w:rPr>
        <w:footnoteReference w:id="138"/>
      </w:r>
      <w:r w:rsidRPr="00856171">
        <w:t xml:space="preserve"> This analysis supports a distribution rate of 0.7 and a utilisation rate of 0.45. Using updated ATO data to the 2012-13 year, Gray (for Frontier) has estimated a slightly higher utilisation rate of 0.46 for the period 2004 to 2013. Our analysis uses updated </w:t>
      </w:r>
      <w:r w:rsidRPr="00856171">
        <w:lastRenderedPageBreak/>
        <w:t>ATO data up to 2013-14 and estimates a slightly higher utilisation rate of 0.48 for the period 2004 to 2014.</w:t>
      </w:r>
    </w:p>
    <w:p w:rsidR="001D37D5" w:rsidRPr="00856171" w:rsidRDefault="001D37D5" w:rsidP="001D37D5">
      <w:r>
        <w:t>We consider</w:t>
      </w:r>
      <w:r w:rsidRPr="00856171">
        <w:t xml:space="preserve"> tax statistics are a valid method for estimating a point estimate of the utilisation </w:t>
      </w:r>
      <w:r>
        <w:t>rate</w:t>
      </w:r>
      <w:r w:rsidRPr="00856171">
        <w:t xml:space="preserve">. However, we consider it provides a less reliable estimate of the utilisation </w:t>
      </w:r>
      <w:r>
        <w:t>rate</w:t>
      </w:r>
      <w:r w:rsidRPr="00856171">
        <w:t xml:space="preserve"> than the equity ownership approach (see discussion under 'Equity ownership approach' above). This is because there are issues with the underlying taxation data. As explained above, we consider the</w:t>
      </w:r>
      <w:r>
        <w:t>re are issues with the</w:t>
      </w:r>
      <w:r w:rsidRPr="00856171">
        <w:t xml:space="preserve"> </w:t>
      </w:r>
      <w:r>
        <w:t xml:space="preserve">underlying taxation data </w:t>
      </w:r>
      <w:r w:rsidRPr="00856171">
        <w:t xml:space="preserve">and experts </w:t>
      </w:r>
      <w:r>
        <w:t>consider it to be unreliable</w:t>
      </w:r>
      <w:r w:rsidRPr="00856171">
        <w:t>.</w:t>
      </w:r>
      <w:r w:rsidRPr="00F17E04">
        <w:t xml:space="preserve"> </w:t>
      </w:r>
      <w:r>
        <w:t>Nevertheless, h</w:t>
      </w:r>
      <w:r w:rsidRPr="00F17E04">
        <w:t>aving regard to the potential data limitations and alternate estimates, the evidence from tax statistics is not inconsistent with the evidence from the equity ownership approach. We also note</w:t>
      </w:r>
      <w:r>
        <w:t xml:space="preserve"> that </w:t>
      </w:r>
      <w:r w:rsidRPr="00F17E04">
        <w:t>an estimate of gamma of approximately 0.4 is obtained when combining a utilisation rate of 0.48 (</w:t>
      </w:r>
      <w:r>
        <w:t>consistent with</w:t>
      </w:r>
      <w:r w:rsidRPr="00F17E04">
        <w:t xml:space="preserve"> FAB data) with Lally's preferred estimate of the distribution rate for a benchmark efficient entity of 0.83</w:t>
      </w:r>
      <w:r>
        <w:t>.</w:t>
      </w:r>
      <w:r w:rsidRPr="00856171">
        <w:t xml:space="preserve"> </w:t>
      </w:r>
    </w:p>
    <w:p w:rsidR="001D37D5" w:rsidRDefault="001D37D5" w:rsidP="001D37D5">
      <w:r w:rsidRPr="00883125">
        <w:t xml:space="preserve">We discuss our revised </w:t>
      </w:r>
      <w:r>
        <w:t xml:space="preserve">(post-Guideline) </w:t>
      </w:r>
      <w:r w:rsidRPr="00883125">
        <w:t xml:space="preserve">consideration of tax statistics in more detail in section </w:t>
      </w:r>
      <w:r w:rsidRPr="00883125">
        <w:fldChar w:fldCharType="begin"/>
      </w:r>
      <w:r w:rsidRPr="00883125">
        <w:instrText xml:space="preserve"> REF _Ref402179420 \r \h </w:instrText>
      </w:r>
      <w:r w:rsidRPr="00883125">
        <w:fldChar w:fldCharType="separate"/>
      </w:r>
      <w:r w:rsidR="00A02D8C">
        <w:t>A.13</w:t>
      </w:r>
      <w:r w:rsidRPr="00883125">
        <w:fldChar w:fldCharType="end"/>
      </w:r>
      <w:r w:rsidRPr="00883125">
        <w:t>.</w:t>
      </w:r>
    </w:p>
    <w:p w:rsidR="001D37D5" w:rsidRPr="00856171" w:rsidRDefault="001D37D5" w:rsidP="001D37D5">
      <w:pPr>
        <w:pStyle w:val="HeadingBoldItalic"/>
      </w:pPr>
      <w:r>
        <w:t>Implied market value studies</w:t>
      </w:r>
    </w:p>
    <w:p w:rsidR="001D37D5" w:rsidRPr="00883125" w:rsidRDefault="001D37D5" w:rsidP="001D37D5">
      <w:pPr>
        <w:numPr>
          <w:ilvl w:val="0"/>
          <w:numId w:val="24"/>
        </w:numPr>
      </w:pPr>
      <w:r w:rsidRPr="00883125">
        <w:t xml:space="preserve">Implied market value studies seek to infer from market prices the value of distributed imputation credits. A wide range of such studies have been conducted over time, employing a variety of techniques. A common type of implied market value study are dividend drop off studies. These studies compare the price of a security with and without the entitlement to a dividend. Econometric techniques are then used to infer the value of the imputation credits attached to these dividends. We discuss the different types of implied market value study in section </w:t>
      </w:r>
      <w:r w:rsidRPr="00883125">
        <w:fldChar w:fldCharType="begin"/>
      </w:r>
      <w:r w:rsidRPr="00883125">
        <w:instrText xml:space="preserve"> REF _Ref402791521 \r \h </w:instrText>
      </w:r>
      <w:r w:rsidRPr="00883125">
        <w:fldChar w:fldCharType="separate"/>
      </w:r>
      <w:r w:rsidR="00A02D8C">
        <w:t>A.15.1</w:t>
      </w:r>
      <w:r w:rsidRPr="00883125">
        <w:fldChar w:fldCharType="end"/>
      </w:r>
      <w:r w:rsidRPr="00883125">
        <w:t>.</w:t>
      </w:r>
    </w:p>
    <w:p w:rsidR="001D37D5" w:rsidRPr="00883125" w:rsidRDefault="001D37D5" w:rsidP="001D37D5">
      <w:pPr>
        <w:numPr>
          <w:ilvl w:val="0"/>
          <w:numId w:val="24"/>
        </w:numPr>
      </w:pPr>
      <w:r w:rsidRPr="00883125">
        <w:t>We consider that the equity ownership approach and tax statistics provide more direct and simpler evidence on the utilisation rate than implied market value studies. Handley supported this view; he noted that dividend drop off studies are the most relevant class of implied market value study, but considered them less important to estimating the utilisation rate than the equity ownership approach and tax statistics.</w:t>
      </w:r>
      <w:r w:rsidRPr="00883125">
        <w:rPr>
          <w:rStyle w:val="FootnoteReference"/>
        </w:rPr>
        <w:footnoteReference w:id="139"/>
      </w:r>
      <w:r w:rsidRPr="00883125">
        <w:t xml:space="preserve"> Lally identified a number of issues with using market prices to estimate the utilisation rate and, therefore, preferred the equity ownership approach.</w:t>
      </w:r>
      <w:r w:rsidRPr="00883125">
        <w:rPr>
          <w:rStyle w:val="FootnoteReference"/>
        </w:rPr>
        <w:footnoteReference w:id="140"/>
      </w:r>
      <w:r>
        <w:t xml:space="preserve"> In his latest report, Lally preferred both the equity ownership approach and tax statistics to dividend drop off studies.</w:t>
      </w:r>
      <w:r>
        <w:rPr>
          <w:rStyle w:val="FootnoteReference"/>
        </w:rPr>
        <w:footnoteReference w:id="141"/>
      </w:r>
    </w:p>
    <w:p w:rsidR="001D37D5" w:rsidRPr="00883125" w:rsidRDefault="001D37D5" w:rsidP="001D37D5">
      <w:pPr>
        <w:numPr>
          <w:ilvl w:val="0"/>
          <w:numId w:val="24"/>
        </w:numPr>
      </w:pPr>
      <w:r w:rsidRPr="00883125">
        <w:t>We also consider that these studies can be subject to a number of limitations. The limitations of implied market value studies can include:</w:t>
      </w:r>
    </w:p>
    <w:p w:rsidR="001D37D5" w:rsidRPr="00883125" w:rsidRDefault="001D37D5" w:rsidP="001D37D5">
      <w:pPr>
        <w:pStyle w:val="AERbulletlistfirststyle"/>
      </w:pPr>
      <w:r w:rsidRPr="00883125">
        <w:t>These studies can produce nonsensical estimates of the utilisation rate; that is, greater than one or less than zero.</w:t>
      </w:r>
    </w:p>
    <w:p w:rsidR="001D37D5" w:rsidRPr="00883125" w:rsidRDefault="001D37D5" w:rsidP="001D37D5">
      <w:pPr>
        <w:pStyle w:val="AERbulletlistfirststyle"/>
      </w:pPr>
      <w:r w:rsidRPr="00883125">
        <w:lastRenderedPageBreak/>
        <w:t>The results of these studies can be influenced by factors, such as differential personal taxes and risk, which are not relevant to the utilisation rate. The utilisation rate should be estimated on a pre-personal tax basis consistent with the allowed rate of return parameters and the post (corporate) tax framework in the NER/NGR.</w:t>
      </w:r>
    </w:p>
    <w:p w:rsidR="001D37D5" w:rsidRPr="001D37D5" w:rsidRDefault="001D37D5" w:rsidP="001D37D5">
      <w:pPr>
        <w:pStyle w:val="AERbulletlistfirststyle"/>
      </w:pPr>
      <w:r w:rsidRPr="00883125">
        <w:t>The results of these studies might not be reflective of the value of imputation credits to investors in the market as a whole. For instance, in dividend drop off studies the value of imputation credits is determined by the marginal investor that trade around the ex-dividend date.</w:t>
      </w:r>
      <w:r w:rsidRPr="001D37D5">
        <w:rPr>
          <w:rStyle w:val="FootnoteReference"/>
        </w:rPr>
        <w:footnoteReference w:id="142"/>
      </w:r>
      <w:r w:rsidRPr="001D37D5">
        <w:t xml:space="preserve"> There is no reason to assume this reflects the value that long term investors who provide capital to a benchmark efficient entity place on imputation credits in aggregate. There is also no reason to assume this value will show what proportion of company tax is a prepayment of personal tax.</w:t>
      </w:r>
      <w:r w:rsidRPr="001D37D5">
        <w:rPr>
          <w:rStyle w:val="FootnoteReference"/>
        </w:rPr>
        <w:footnoteReference w:id="143"/>
      </w:r>
    </w:p>
    <w:p w:rsidR="001D37D5" w:rsidRPr="00883125" w:rsidRDefault="001D37D5" w:rsidP="001D37D5">
      <w:pPr>
        <w:pStyle w:val="AERbulletlistfirststyle"/>
      </w:pPr>
      <w:r w:rsidRPr="00883125">
        <w:t>These studies can be data intensive and employ complex and sometimes problematic estimation methodologies.</w:t>
      </w:r>
    </w:p>
    <w:p w:rsidR="001D37D5" w:rsidRPr="00883125" w:rsidRDefault="001D37D5" w:rsidP="001D37D5">
      <w:pPr>
        <w:pStyle w:val="AERbulletlistfirststyle"/>
      </w:pPr>
      <w:r w:rsidRPr="00883125">
        <w:t>Regarding dividend drop off studies, it is only the value of the combined package of dividends and imputation credits that can be observed in the market. However, there is no consensus among experts on how to separate the value to the market of dividends from the value to the market of imputation credits (this is referred to as the 'allocation problem').</w:t>
      </w:r>
    </w:p>
    <w:p w:rsidR="001D37D5" w:rsidRDefault="001D37D5" w:rsidP="001D37D5">
      <w:pPr>
        <w:numPr>
          <w:ilvl w:val="0"/>
          <w:numId w:val="24"/>
        </w:numPr>
      </w:pPr>
      <w:r w:rsidRPr="00883125">
        <w:t xml:space="preserve">The limitations of dividend drop off studies are discussed in more detail in section </w:t>
      </w:r>
      <w:r>
        <w:fldChar w:fldCharType="begin"/>
      </w:r>
      <w:r>
        <w:instrText xml:space="preserve"> REF _Ref451242641 \r \h </w:instrText>
      </w:r>
      <w:r>
        <w:fldChar w:fldCharType="separate"/>
      </w:r>
      <w:r w:rsidR="00A02D8C">
        <w:t>A.15</w:t>
      </w:r>
      <w:r>
        <w:fldChar w:fldCharType="end"/>
      </w:r>
      <w:r w:rsidRPr="00883125">
        <w:t>.</w:t>
      </w:r>
      <w:r w:rsidRPr="00375E4D">
        <w:t xml:space="preserve"> </w:t>
      </w:r>
      <w:r>
        <w:t>However, we note here the following statement from Lally's latest report:</w:t>
      </w:r>
      <w:r>
        <w:rPr>
          <w:rStyle w:val="FootnoteReference"/>
        </w:rPr>
        <w:footnoteReference w:id="144"/>
      </w:r>
    </w:p>
    <w:p w:rsidR="001D37D5" w:rsidRPr="00883125" w:rsidRDefault="001D37D5" w:rsidP="001D37D5">
      <w:pPr>
        <w:pStyle w:val="AERquote"/>
      </w:pPr>
      <w:r w:rsidRPr="00375E4D">
        <w:t xml:space="preserve">In respect of dividend drop-off studies, my views on the merits of this approach appear in Lally (2013, section 3.5) and they are highly adverse.  In particular, the results from such studies are subject to considerable statistical uncertainty, to the tax positions and transactions costs incurred by arbitrageurs who may be quite unrepresentative of investors in general, the contentious question of which model to use, data filtering rules, deletion of outliers, the choice of the “tuning constant” in robust regression models, the wide divergence in results from other types of studies using market evidence, the wide range of evidence on anomalous </w:t>
      </w:r>
      <w:r w:rsidR="009C18DC" w:rsidRPr="00375E4D">
        <w:t>behaviour</w:t>
      </w:r>
      <w:r w:rsidRPr="00375E4D">
        <w:t xml:space="preserve"> around ex-days, and the need to correct the estimated coefficient on imputation credits for the difference in the tax rate on capital gains and dividends.</w:t>
      </w:r>
    </w:p>
    <w:p w:rsidR="001D37D5" w:rsidRPr="00883125" w:rsidRDefault="001D37D5" w:rsidP="001D37D5">
      <w:pPr>
        <w:numPr>
          <w:ilvl w:val="0"/>
          <w:numId w:val="24"/>
        </w:numPr>
      </w:pPr>
      <w:r>
        <w:t>I</w:t>
      </w:r>
      <w:r w:rsidRPr="00883125">
        <w:t xml:space="preserve">n section </w:t>
      </w:r>
      <w:r w:rsidRPr="00883125">
        <w:fldChar w:fldCharType="begin"/>
      </w:r>
      <w:r w:rsidRPr="00883125">
        <w:instrText xml:space="preserve"> REF _Ref403482459 \r \h </w:instrText>
      </w:r>
      <w:r w:rsidRPr="00883125">
        <w:fldChar w:fldCharType="separate"/>
      </w:r>
      <w:r w:rsidR="00A02D8C">
        <w:t>A.15.2</w:t>
      </w:r>
      <w:r w:rsidRPr="00883125">
        <w:fldChar w:fldCharType="end"/>
      </w:r>
      <w:r>
        <w:t>, w</w:t>
      </w:r>
      <w:r w:rsidRPr="00883125">
        <w:t xml:space="preserve">e summarise the available </w:t>
      </w:r>
      <w:r>
        <w:t xml:space="preserve">implied market value </w:t>
      </w:r>
      <w:r w:rsidRPr="00883125">
        <w:t>studies and their results. Opinion on the merits of the various studies differs:</w:t>
      </w:r>
    </w:p>
    <w:p w:rsidR="001D37D5" w:rsidRPr="001D37D5" w:rsidRDefault="001D37D5" w:rsidP="001D37D5">
      <w:pPr>
        <w:pStyle w:val="AERbulletlistfirststyle"/>
      </w:pPr>
      <w:r w:rsidRPr="00883125">
        <w:t xml:space="preserve">Gray (for SFG) considered that implied market value studies should be relied upon exclusively when estimating the (after-personal-tax and after-personal-costs) utilisation rate. Moreover, he considered that dividend drop off studies should be preferred to </w:t>
      </w:r>
      <w:r w:rsidRPr="00883125">
        <w:lastRenderedPageBreak/>
        <w:t>alternative market studies. In Gray's view, there is no reasonable basis for adopting an estimate from dividend drop off analysis above the 0.35 estimate from SFG's study.</w:t>
      </w:r>
      <w:r w:rsidRPr="001D37D5">
        <w:rPr>
          <w:rStyle w:val="FootnoteReference"/>
        </w:rPr>
        <w:footnoteReference w:id="145"/>
      </w:r>
    </w:p>
    <w:p w:rsidR="001D37D5" w:rsidRPr="001D37D5" w:rsidRDefault="001D37D5" w:rsidP="001D37D5">
      <w:pPr>
        <w:pStyle w:val="AERbulletlistfirststyle"/>
      </w:pPr>
      <w:r w:rsidRPr="00883125">
        <w:t>The Economic Regulation Authority of Western Australia (ERA) conducted its own dividend drop off study and concluded that a reasonable estimate is between 0.35 and 0.55.</w:t>
      </w:r>
      <w:r w:rsidRPr="001D37D5">
        <w:rPr>
          <w:rStyle w:val="FootnoteReference"/>
        </w:rPr>
        <w:footnoteReference w:id="146"/>
      </w:r>
    </w:p>
    <w:p w:rsidR="001D37D5" w:rsidRPr="001D37D5" w:rsidRDefault="001D37D5" w:rsidP="001D37D5">
      <w:pPr>
        <w:pStyle w:val="AERbulletlistfirststyle"/>
      </w:pPr>
      <w:r w:rsidRPr="00883125">
        <w:t>Lally concurred with the view that implied market value studies 'warrant low weight', but suggested that some studies are more useful than others based on their characteristics.</w:t>
      </w:r>
      <w:r w:rsidRPr="001D37D5">
        <w:rPr>
          <w:rStyle w:val="FootnoteReference"/>
        </w:rPr>
        <w:footnoteReference w:id="147"/>
      </w:r>
      <w:r w:rsidRPr="001D37D5">
        <w:t xml:space="preserve"> Lally also raised a number of issues in relation to SFG's dividend drop off study.</w:t>
      </w:r>
      <w:r w:rsidRPr="001D37D5">
        <w:rPr>
          <w:rStyle w:val="FootnoteReference"/>
        </w:rPr>
        <w:footnoteReference w:id="148"/>
      </w:r>
      <w:r w:rsidRPr="001D37D5">
        <w:t xml:space="preserve"> In his latest report, Lally reaffirmed his view that 'minimal weight' should be placed on dividend drop off studies.</w:t>
      </w:r>
      <w:r w:rsidRPr="001D37D5">
        <w:rPr>
          <w:rStyle w:val="FootnoteReference"/>
        </w:rPr>
        <w:footnoteReference w:id="149"/>
      </w:r>
    </w:p>
    <w:p w:rsidR="001D37D5" w:rsidRPr="001D37D5" w:rsidRDefault="001D37D5" w:rsidP="001D37D5">
      <w:pPr>
        <w:pStyle w:val="AERbulletlistfirststyle"/>
      </w:pPr>
      <w:r w:rsidRPr="00883125">
        <w:t>McKenzie and Partington considered that there is no obvious manner in which to weigh the results from various studies based on their characteristics. They observed that a simple average of the results from a reasonably comprehensive sample of studies suggests an estimate of the utilisation rate of 0.53. They also noted that their own studies suggest a significantly higher estimate of 0.83.</w:t>
      </w:r>
      <w:r w:rsidRPr="001D37D5">
        <w:rPr>
          <w:rStyle w:val="FootnoteReference"/>
        </w:rPr>
        <w:footnoteReference w:id="150"/>
      </w:r>
    </w:p>
    <w:p w:rsidR="001D37D5" w:rsidRPr="001D37D5" w:rsidRDefault="001D37D5" w:rsidP="001D37D5">
      <w:pPr>
        <w:pStyle w:val="AERbulletlistfirststyle"/>
      </w:pPr>
      <w:r w:rsidRPr="00883125">
        <w:t>Gray (for Frontier) expressed concerns that the reintroduction of pre-2000 and low quality studies is an error, and that it is also an error to assume all market value studies are of uniform relevance and quality.</w:t>
      </w:r>
      <w:r w:rsidRPr="001D37D5">
        <w:rPr>
          <w:rStyle w:val="FootnoteReference"/>
        </w:rPr>
        <w:footnoteReference w:id="151"/>
      </w:r>
      <w:r w:rsidRPr="001D37D5">
        <w:t xml:space="preserve"> </w:t>
      </w:r>
    </w:p>
    <w:p w:rsidR="001D37D5" w:rsidRPr="005764F6" w:rsidRDefault="001D37D5" w:rsidP="001D37D5">
      <w:pPr>
        <w:rPr>
          <w:rStyle w:val="AERbody"/>
        </w:rPr>
      </w:pPr>
      <w:r w:rsidRPr="005764F6">
        <w:rPr>
          <w:rStyle w:val="AERbody"/>
        </w:rPr>
        <w:t>A further issue regarding implied market value studies is the appropriate interpretation of their results. Handley and Lally both advised that in the rate of return framework investors are assumed to value one dollar of dividends at one dollar (on a pre-personal-tax basis). This is certainly true of how the MRP is estimated, where the face value of historically distributed dividends and historical capital gains are used. However, the results of implied market value studies can reflect certain factors that suggest that investors value one dollar of dividends at less than one dollar (such as differential personal taxes on dividends and capital gains). Moreover, any such factors will affect these studies' results for investors' valuation of imputation credits. Handley and Lally advised that the desired estimate of the utilisation rate should exclude the effect of these factors.</w:t>
      </w:r>
      <w:r w:rsidRPr="00CC0A37">
        <w:rPr>
          <w:rStyle w:val="FootnoteReference"/>
        </w:rPr>
        <w:footnoteReference w:id="152"/>
      </w:r>
      <w:r w:rsidRPr="005764F6">
        <w:rPr>
          <w:rStyle w:val="AERbody"/>
        </w:rPr>
        <w:t xml:space="preserve"> To remove the effect, they advised that the estimate of the utilisation rate from a given study can be divided by investors' estimated valuation of dividends from the same study.</w:t>
      </w:r>
      <w:r w:rsidRPr="00CC0A37">
        <w:rPr>
          <w:rStyle w:val="FootnoteReference"/>
        </w:rPr>
        <w:footnoteReference w:id="153"/>
      </w:r>
      <w:r w:rsidRPr="005764F6">
        <w:rPr>
          <w:rStyle w:val="AERbody"/>
        </w:rPr>
        <w:t xml:space="preserve"> Therefore, Handley and Lally advised that the </w:t>
      </w:r>
      <w:r w:rsidRPr="005764F6">
        <w:rPr>
          <w:rStyle w:val="AERbody"/>
        </w:rPr>
        <w:lastRenderedPageBreak/>
        <w:t>0.35 estimate from SFG's dividend drop off study should in fact be interpreted as an estimate of around 0.4.</w:t>
      </w:r>
    </w:p>
    <w:p w:rsidR="001D37D5" w:rsidRDefault="001D37D5" w:rsidP="001D37D5">
      <w:pPr>
        <w:numPr>
          <w:ilvl w:val="0"/>
          <w:numId w:val="24"/>
        </w:numPr>
      </w:pPr>
      <w:r>
        <w:t>In light of this, we consider</w:t>
      </w:r>
      <w:r w:rsidRPr="00883125">
        <w:t xml:space="preserve"> </w:t>
      </w:r>
      <w:r>
        <w:t>implied market value</w:t>
      </w:r>
      <w:r w:rsidRPr="00883125">
        <w:t xml:space="preserve"> studies</w:t>
      </w:r>
      <w:r>
        <w:t>, if they are to be used at all,</w:t>
      </w:r>
      <w:r w:rsidRPr="00883125">
        <w:t xml:space="preserve"> need to be adjusted for the incorrect estimates of the </w:t>
      </w:r>
      <w:r>
        <w:t xml:space="preserve">post-tax </w:t>
      </w:r>
      <w:r w:rsidRPr="00883125">
        <w:t>value of cash dividends which would expect to also result in an incorrect estimate of the value of imputation credits. This is likely correcting for the effect on the observed drop of</w:t>
      </w:r>
      <w:r>
        <w:t>f</w:t>
      </w:r>
      <w:r w:rsidRPr="00883125">
        <w:t xml:space="preserve"> ratio of differential personal taxes between income and capital gains</w:t>
      </w:r>
      <w:r>
        <w:t xml:space="preserve"> (see section </w:t>
      </w:r>
      <w:r>
        <w:fldChar w:fldCharType="begin"/>
      </w:r>
      <w:r>
        <w:instrText xml:space="preserve"> REF _Ref435171205 \r \h </w:instrText>
      </w:r>
      <w:r>
        <w:fldChar w:fldCharType="separate"/>
      </w:r>
      <w:r w:rsidR="00A02D8C">
        <w:t>A.15.3</w:t>
      </w:r>
      <w:r>
        <w:fldChar w:fldCharType="end"/>
      </w:r>
      <w:r>
        <w:t>)</w:t>
      </w:r>
      <w:r w:rsidRPr="00883125">
        <w:t>. This limitation does not apply to other market parameters in the allowed rate of return framework.</w:t>
      </w:r>
      <w:r>
        <w:t xml:space="preserve"> We also consider that, even when adjusted, we should place limited reliance on estimates of the utilisation rate from implied market value studies because of </w:t>
      </w:r>
      <w:r w:rsidRPr="00883125">
        <w:t>residual concerns about these studies and what they are measuring.</w:t>
      </w:r>
    </w:p>
    <w:p w:rsidR="001D37D5" w:rsidRPr="00883125" w:rsidRDefault="001D37D5" w:rsidP="001D37D5">
      <w:pPr>
        <w:numPr>
          <w:ilvl w:val="0"/>
          <w:numId w:val="24"/>
        </w:numPr>
      </w:pPr>
      <w:r w:rsidRPr="00883125">
        <w:t>In light of the differing views on these studies and the range of estimates they produce, we consider that implied market value studies provide limited guidance. In the Guideline, we considered that implied market value studies supported an estimate of the utilisation rate between 0 and 0.5. This range was determined with regard to a range of studies, with higher regard given to those studies that:</w:t>
      </w:r>
    </w:p>
    <w:p w:rsidR="001D37D5" w:rsidRPr="00883125" w:rsidRDefault="001D37D5" w:rsidP="001D37D5">
      <w:pPr>
        <w:pStyle w:val="AERbulletlistfirststyle"/>
      </w:pPr>
      <w:r w:rsidRPr="00883125">
        <w:t>used longer data periods</w:t>
      </w:r>
    </w:p>
    <w:p w:rsidR="001D37D5" w:rsidRPr="00883125" w:rsidRDefault="001D37D5" w:rsidP="001D37D5">
      <w:pPr>
        <w:pStyle w:val="AERbulletlistfirststyle"/>
      </w:pPr>
      <w:r w:rsidRPr="00883125">
        <w:t>used data since 2000, when the change in tax law entitled eligible investors to a refund of credits that exceeded their tax liability</w:t>
      </w:r>
    </w:p>
    <w:p w:rsidR="001D37D5" w:rsidRPr="00883125" w:rsidRDefault="001D37D5" w:rsidP="001D37D5">
      <w:pPr>
        <w:pStyle w:val="AERbulletlistfirststyle"/>
      </w:pPr>
      <w:r w:rsidRPr="00883125">
        <w:t>encompassed the breadth of the market instead of just selected firms, and</w:t>
      </w:r>
    </w:p>
    <w:p w:rsidR="001D37D5" w:rsidRPr="00883125" w:rsidRDefault="001D37D5" w:rsidP="001D37D5">
      <w:pPr>
        <w:pStyle w:val="AERbulletlistfirststyle"/>
      </w:pPr>
      <w:r w:rsidRPr="00883125">
        <w:t>appeared to use more reasonable and robust econometric treatments.</w:t>
      </w:r>
    </w:p>
    <w:p w:rsidR="001D37D5" w:rsidRPr="00883125" w:rsidRDefault="001D37D5" w:rsidP="001D37D5">
      <w:pPr>
        <w:numPr>
          <w:ilvl w:val="0"/>
          <w:numId w:val="24"/>
        </w:numPr>
      </w:pPr>
      <w:r w:rsidRPr="00883125">
        <w:t>However, in this final decision we recognise that experts advocate both broader and narrower assessments of the evidence from implied market value studies. McKenzie and Partington considered it reasonable to have regard to a range of studies, including those that produced estimates above 0.5.</w:t>
      </w:r>
      <w:r w:rsidRPr="00883125">
        <w:rPr>
          <w:rStyle w:val="FootnoteReference"/>
        </w:rPr>
        <w:footnoteReference w:id="154"/>
      </w:r>
      <w:r w:rsidRPr="00883125">
        <w:t xml:space="preserve"> In Gray's view (for SFG), there is no reasonable basis for adopting an estimate from dividend drop off analysis above the 0.35 estimate from SFG's study.</w:t>
      </w:r>
      <w:r w:rsidRPr="00883125">
        <w:rPr>
          <w:rStyle w:val="FootnoteReference"/>
        </w:rPr>
        <w:footnoteReference w:id="155"/>
      </w:r>
      <w:r w:rsidRPr="00883125">
        <w:t xml:space="preserve"> It appears that Gray (for Frontier) continues to hold this view.</w:t>
      </w:r>
      <w:r w:rsidRPr="00883125">
        <w:rPr>
          <w:rStyle w:val="FootnoteReference"/>
        </w:rPr>
        <w:footnoteReference w:id="156"/>
      </w:r>
      <w:r w:rsidRPr="00883125">
        <w:t xml:space="preserve"> </w:t>
      </w:r>
    </w:p>
    <w:p w:rsidR="001D37D5" w:rsidRPr="00883125" w:rsidRDefault="001D37D5" w:rsidP="001D37D5">
      <w:pPr>
        <w:numPr>
          <w:ilvl w:val="0"/>
          <w:numId w:val="24"/>
        </w:numPr>
      </w:pPr>
      <w:r w:rsidRPr="00883125">
        <w:t xml:space="preserve">Ultimately, as discussed in section </w:t>
      </w:r>
      <w:r w:rsidRPr="00883125">
        <w:fldChar w:fldCharType="begin"/>
      </w:r>
      <w:r w:rsidRPr="00883125">
        <w:instrText xml:space="preserve"> REF _Ref414624721 \r \h </w:instrText>
      </w:r>
      <w:r w:rsidRPr="00883125">
        <w:fldChar w:fldCharType="separate"/>
      </w:r>
      <w:r w:rsidR="00A02D8C">
        <w:t>A.15.5</w:t>
      </w:r>
      <w:r w:rsidRPr="00883125">
        <w:fldChar w:fldCharType="end"/>
      </w:r>
      <w:r>
        <w:t>,</w:t>
      </w:r>
      <w:r w:rsidRPr="00883125">
        <w:t xml:space="preserve"> estimates from implied market value studies and the level of reliance we place on them (including SFG's dividend drop off study) do not give us cause to move from the estimate of the value of imputation credits that we determine with regard to evidence from the equity ownership approach and tax statistics. In response to Gray's comments (for Frontier) on our consideration of "pre-2000 and low-quality studies"</w:t>
      </w:r>
      <w:r w:rsidRPr="00883125">
        <w:rPr>
          <w:rStyle w:val="FootnoteReference"/>
        </w:rPr>
        <w:footnoteReference w:id="157"/>
      </w:r>
      <w:r>
        <w:t xml:space="preserve"> </w:t>
      </w:r>
      <w:r w:rsidRPr="00883125">
        <w:t xml:space="preserve">we note that our having regard to more studies since the Guideline, including those that use pre 2000 data and those that estimate a value for theta between 0.5 and 1, was not material </w:t>
      </w:r>
      <w:r w:rsidRPr="00883125">
        <w:lastRenderedPageBreak/>
        <w:t xml:space="preserve">to our decision to set gamma at 0.4, and that we have had particular regard to SFG's dividend drop off study in making our decision. </w:t>
      </w:r>
    </w:p>
    <w:p w:rsidR="001D37D5" w:rsidRDefault="001D37D5" w:rsidP="001D37D5">
      <w:r>
        <w:t>We discuss our consideration of implied market value studies in detail in section A.15.</w:t>
      </w:r>
    </w:p>
    <w:p w:rsidR="001D37D5" w:rsidRPr="001D37D5" w:rsidRDefault="001D37D5" w:rsidP="00247000">
      <w:pPr>
        <w:pStyle w:val="Heading3"/>
        <w:ind w:left="720"/>
      </w:pPr>
      <w:bookmarkStart w:id="147" w:name="_Ref451240961"/>
      <w:bookmarkStart w:id="148" w:name="_Ref451816460"/>
      <w:bookmarkStart w:id="149" w:name="_Toc451842244"/>
      <w:bookmarkStart w:id="150" w:name="_Toc451938300"/>
      <w:r>
        <w:t>Response to submissions by stakeholders</w:t>
      </w:r>
      <w:bookmarkEnd w:id="147"/>
      <w:bookmarkEnd w:id="148"/>
      <w:bookmarkEnd w:id="149"/>
      <w:bookmarkEnd w:id="150"/>
    </w:p>
    <w:p w:rsidR="001D37D5" w:rsidRDefault="001D37D5" w:rsidP="001D37D5">
      <w:r>
        <w:t>The service providers currently under assessment submitted their initial proposals in April/June 2015 and their revised proposals in January 2016.</w:t>
      </w:r>
      <w:r>
        <w:rPr>
          <w:rStyle w:val="FootnoteReference"/>
        </w:rPr>
        <w:footnoteReference w:id="158"/>
      </w:r>
      <w:r>
        <w:t xml:space="preserve"> In section </w:t>
      </w:r>
      <w:r>
        <w:fldChar w:fldCharType="begin"/>
      </w:r>
      <w:r>
        <w:instrText xml:space="preserve"> REF _Ref415070393 \r \h </w:instrText>
      </w:r>
      <w:r>
        <w:fldChar w:fldCharType="separate"/>
      </w:r>
      <w:r w:rsidR="00A02D8C">
        <w:t>A.4</w:t>
      </w:r>
      <w:r>
        <w:fldChar w:fldCharType="end"/>
      </w:r>
      <w:r>
        <w:t xml:space="preserve">, we set out the key issues raised by these service providers, as well as the key issues raised by service providers we have assessed in the past (post-Guideline). The key issues raised are broadly consistent across the service providers. </w:t>
      </w:r>
    </w:p>
    <w:p w:rsidR="001D37D5" w:rsidRDefault="001D37D5" w:rsidP="001D37D5">
      <w:pPr>
        <w:numPr>
          <w:ilvl w:val="0"/>
          <w:numId w:val="24"/>
        </w:numPr>
      </w:pPr>
      <w:r w:rsidRPr="00883125">
        <w:t>Since the service providers</w:t>
      </w:r>
      <w:r>
        <w:t xml:space="preserve"> currently under assessment</w:t>
      </w:r>
      <w:r w:rsidRPr="00883125">
        <w:t xml:space="preserve"> submitted their revised proposals, </w:t>
      </w:r>
      <w:r>
        <w:t>a number have made late submissions.</w:t>
      </w:r>
      <w:r>
        <w:rPr>
          <w:rStyle w:val="FootnoteReference"/>
        </w:rPr>
        <w:footnoteReference w:id="159"/>
      </w:r>
      <w:r>
        <w:t xml:space="preserve"> These late submissions have asked us to take into account a range of issues identified in </w:t>
      </w:r>
      <w:r w:rsidRPr="00883125">
        <w:t xml:space="preserve">the </w:t>
      </w:r>
      <w:r>
        <w:t>Tribunal's</w:t>
      </w:r>
      <w:r w:rsidRPr="00883125">
        <w:t xml:space="preserve"> </w:t>
      </w:r>
      <w:r>
        <w:t xml:space="preserve">recent </w:t>
      </w:r>
      <w:r w:rsidRPr="00883125">
        <w:t>decisions for ActewAGL Distribution, Ausgrid, Endeavour Energy, Essential Energy and Jemena Gas Networks.</w:t>
      </w:r>
      <w:r>
        <w:rPr>
          <w:rStyle w:val="FootnoteReference"/>
        </w:rPr>
        <w:footnoteReference w:id="160"/>
      </w:r>
      <w:r w:rsidRPr="00883125">
        <w:t xml:space="preserve"> The Tribunal </w:t>
      </w:r>
      <w:r>
        <w:t>ordered the remittal of our final decisions for these service providers, with directions to remake by reference to an estimated cost of corporate income tax based on a gamma of 0.25</w:t>
      </w:r>
      <w:r w:rsidRPr="00883125">
        <w:t>.</w:t>
      </w:r>
    </w:p>
    <w:p w:rsidR="001D37D5" w:rsidRPr="00883125" w:rsidRDefault="001D37D5" w:rsidP="001D37D5">
      <w:pPr>
        <w:numPr>
          <w:ilvl w:val="0"/>
          <w:numId w:val="24"/>
        </w:numPr>
      </w:pPr>
      <w:r>
        <w:t xml:space="preserve">As discussed in section </w:t>
      </w:r>
      <w:r>
        <w:fldChar w:fldCharType="begin"/>
      </w:r>
      <w:r>
        <w:instrText xml:space="preserve"> REF _Ref451246970 \r \h </w:instrText>
      </w:r>
      <w:r>
        <w:fldChar w:fldCharType="separate"/>
      </w:r>
      <w:r w:rsidR="00A02D8C">
        <w:t>4.1</w:t>
      </w:r>
      <w:r>
        <w:fldChar w:fldCharType="end"/>
      </w:r>
      <w:r>
        <w:t xml:space="preserve">, at this time we have not completed the remittal of our final </w:t>
      </w:r>
      <w:r w:rsidRPr="008C419F">
        <w:t>decisions for ActewAGL Distribution, Ausgrid, Endeavour Energy, Essential Energy and Jemena Gas Networks</w:t>
      </w:r>
      <w:r>
        <w:t>. As such, we have not fully considered the Tribunal’s reasons nor formed a concluded view on how they should be applied in future decisions. However, in the limited time available, we have reviewed the late submissions from United Energy, ActewAGL, CitiPower and Powercor.</w:t>
      </w:r>
      <w:r>
        <w:rPr>
          <w:rStyle w:val="FootnoteReference"/>
        </w:rPr>
        <w:footnoteReference w:id="161"/>
      </w:r>
      <w:r>
        <w:t xml:space="preserve"> We have updated this decision to include a limited response to the key issues raised in the late submissions, with reference to the Tribunal's reasoning on these specific issues. </w:t>
      </w:r>
    </w:p>
    <w:p w:rsidR="001D37D5" w:rsidRPr="00883125" w:rsidRDefault="001D37D5" w:rsidP="001D37D5">
      <w:r>
        <w:fldChar w:fldCharType="begin"/>
      </w:r>
      <w:r>
        <w:instrText xml:space="preserve"> REF _Ref450761546 \h </w:instrText>
      </w:r>
      <w:r>
        <w:fldChar w:fldCharType="separate"/>
      </w:r>
      <w:r w:rsidR="00A02D8C">
        <w:t xml:space="preserve">Table </w:t>
      </w:r>
      <w:r w:rsidR="00A02D8C">
        <w:rPr>
          <w:noProof/>
        </w:rPr>
        <w:t>4</w:t>
      </w:r>
      <w:r w:rsidR="00A02D8C" w:rsidRPr="00856171">
        <w:noBreakHyphen/>
      </w:r>
      <w:r w:rsidR="00A02D8C">
        <w:rPr>
          <w:noProof/>
        </w:rPr>
        <w:t>5</w:t>
      </w:r>
      <w:r>
        <w:fldChar w:fldCharType="end"/>
      </w:r>
      <w:r>
        <w:t xml:space="preserve"> sets out the key issues raised by the service providers in their revised proposals and late submissions. We also provide a summary of our response and a reference to our more detailed response. </w:t>
      </w:r>
    </w:p>
    <w:p w:rsidR="001D37D5" w:rsidRPr="00856171" w:rsidRDefault="001D37D5" w:rsidP="001D37D5">
      <w:pPr>
        <w:pStyle w:val="Caption"/>
      </w:pPr>
      <w:bookmarkStart w:id="151" w:name="_Ref450761546"/>
      <w:r>
        <w:lastRenderedPageBreak/>
        <w:t xml:space="preserve">Table </w:t>
      </w:r>
      <w:r w:rsidRPr="001D37D5">
        <w:fldChar w:fldCharType="begin"/>
      </w:r>
      <w:r>
        <w:instrText xml:space="preserve"> STYLEREF 1 \s </w:instrText>
      </w:r>
      <w:r w:rsidRPr="001D37D5">
        <w:fldChar w:fldCharType="separate"/>
      </w:r>
      <w:r w:rsidR="00A02D8C">
        <w:rPr>
          <w:noProof/>
        </w:rPr>
        <w:t>4</w:t>
      </w:r>
      <w:r w:rsidRPr="001D37D5">
        <w:fldChar w:fldCharType="end"/>
      </w:r>
      <w:r w:rsidRPr="00856171">
        <w:noBreakHyphen/>
      </w:r>
      <w:r w:rsidRPr="001D37D5">
        <w:fldChar w:fldCharType="begin"/>
      </w:r>
      <w:r>
        <w:instrText xml:space="preserve"> SEQ Table \* ARABIC \s 1 </w:instrText>
      </w:r>
      <w:r w:rsidRPr="001D37D5">
        <w:fldChar w:fldCharType="separate"/>
      </w:r>
      <w:r w:rsidR="00A02D8C">
        <w:rPr>
          <w:noProof/>
        </w:rPr>
        <w:t>5</w:t>
      </w:r>
      <w:r w:rsidRPr="001D37D5">
        <w:fldChar w:fldCharType="end"/>
      </w:r>
      <w:bookmarkEnd w:id="151"/>
      <w:r w:rsidRPr="00856171">
        <w:tab/>
        <w:t>Key issues raised by service providers</w:t>
      </w:r>
    </w:p>
    <w:tbl>
      <w:tblPr>
        <w:tblStyle w:val="AERtable-text0"/>
        <w:tblW w:w="0" w:type="auto"/>
        <w:tblLook w:val="04A0" w:firstRow="1" w:lastRow="0" w:firstColumn="1" w:lastColumn="0" w:noHBand="0" w:noVBand="1"/>
      </w:tblPr>
      <w:tblGrid>
        <w:gridCol w:w="3652"/>
        <w:gridCol w:w="4394"/>
        <w:gridCol w:w="851"/>
      </w:tblGrid>
      <w:tr w:rsidR="001D37D5" w:rsidTr="00247000">
        <w:trPr>
          <w:cnfStyle w:val="100000000000" w:firstRow="1" w:lastRow="0" w:firstColumn="0" w:lastColumn="0" w:oddVBand="0" w:evenVBand="0" w:oddHBand="0" w:evenHBand="0" w:firstRowFirstColumn="0" w:firstRowLastColumn="0" w:lastRowFirstColumn="0" w:lastRowLastColumn="0"/>
          <w:tblHeader/>
        </w:trPr>
        <w:tc>
          <w:tcPr>
            <w:tcW w:w="3652" w:type="dxa"/>
          </w:tcPr>
          <w:p w:rsidR="001D37D5" w:rsidRPr="001D37D5" w:rsidRDefault="001D37D5" w:rsidP="001D37D5">
            <w:r>
              <w:t>Issue</w:t>
            </w:r>
          </w:p>
        </w:tc>
        <w:tc>
          <w:tcPr>
            <w:tcW w:w="4394" w:type="dxa"/>
          </w:tcPr>
          <w:p w:rsidR="001D37D5" w:rsidRPr="001D37D5" w:rsidRDefault="001D37D5" w:rsidP="001D37D5">
            <w:r>
              <w:t>Summary of response</w:t>
            </w:r>
          </w:p>
        </w:tc>
        <w:tc>
          <w:tcPr>
            <w:tcW w:w="851" w:type="dxa"/>
          </w:tcPr>
          <w:p w:rsidR="001D37D5" w:rsidRPr="001D37D5" w:rsidRDefault="001D37D5" w:rsidP="001D37D5">
            <w:r>
              <w:t>S</w:t>
            </w:r>
            <w:r w:rsidRPr="001D37D5">
              <w:t>ection</w:t>
            </w:r>
          </w:p>
        </w:tc>
      </w:tr>
      <w:tr w:rsidR="001D37D5" w:rsidTr="005E1FC3">
        <w:tc>
          <w:tcPr>
            <w:tcW w:w="3652" w:type="dxa"/>
          </w:tcPr>
          <w:p w:rsidR="001D37D5" w:rsidRPr="00E82D06" w:rsidRDefault="001D37D5" w:rsidP="001D37D5">
            <w:pPr>
              <w:rPr>
                <w:rStyle w:val="Strong"/>
              </w:rPr>
            </w:pPr>
            <w:r w:rsidRPr="00E82D06">
              <w:rPr>
                <w:rStyle w:val="Strong"/>
              </w:rPr>
              <w:t>Conceptual framework</w:t>
            </w:r>
          </w:p>
        </w:tc>
        <w:tc>
          <w:tcPr>
            <w:tcW w:w="4394" w:type="dxa"/>
          </w:tcPr>
          <w:p w:rsidR="001D37D5" w:rsidRDefault="001D37D5" w:rsidP="001D37D5"/>
        </w:tc>
        <w:tc>
          <w:tcPr>
            <w:tcW w:w="851" w:type="dxa"/>
          </w:tcPr>
          <w:p w:rsidR="001D37D5" w:rsidRDefault="001D37D5" w:rsidP="001D37D5"/>
        </w:tc>
      </w:tr>
      <w:tr w:rsidR="001D37D5" w:rsidTr="005E1FC3">
        <w:trPr>
          <w:cnfStyle w:val="000000010000" w:firstRow="0" w:lastRow="0" w:firstColumn="0" w:lastColumn="0" w:oddVBand="0" w:evenVBand="0" w:oddHBand="0" w:evenHBand="1" w:firstRowFirstColumn="0" w:firstRowLastColumn="0" w:lastRowFirstColumn="0" w:lastRowLastColumn="0"/>
        </w:trPr>
        <w:tc>
          <w:tcPr>
            <w:tcW w:w="3652" w:type="dxa"/>
          </w:tcPr>
          <w:p w:rsidR="001D37D5" w:rsidRPr="001D37D5" w:rsidRDefault="001D37D5" w:rsidP="001D37D5">
            <w:r>
              <w:t xml:space="preserve">Our </w:t>
            </w:r>
            <w:r w:rsidRPr="001D37D5">
              <w:t>conceptual approach to gamma, redefining it as the value of imputation credits that are available for redemption, is inconsistent with the concept of gamma in the Officer framework for the WACC and inconsistent with the requirements of the NGR. It is also inconsistent with the objective of ensuring a market rate of return on equity.</w:t>
            </w:r>
            <w:r w:rsidRPr="001D37D5">
              <w:rPr>
                <w:rStyle w:val="FootnoteReference"/>
              </w:rPr>
              <w:footnoteReference w:id="162"/>
            </w:r>
          </w:p>
          <w:p w:rsidR="001D37D5" w:rsidRPr="001D37D5" w:rsidRDefault="001D37D5" w:rsidP="001D37D5">
            <w:r>
              <w:t>The Tribunal considered</w:t>
            </w:r>
            <w:r w:rsidRPr="001D37D5">
              <w:t xml:space="preserve"> the equity ownership and tax statistics approaches to estimating the utilisation rate ignore factors which reduce the value of imputation credits to shareholders below the face value. As a result, it considered these approaches are inconsistent with a proper interpretation of the Officer framework.</w:t>
            </w:r>
            <w:r w:rsidRPr="001D37D5">
              <w:rPr>
                <w:rStyle w:val="FootnoteReference"/>
              </w:rPr>
              <w:footnoteReference w:id="163"/>
            </w:r>
          </w:p>
        </w:tc>
        <w:tc>
          <w:tcPr>
            <w:tcW w:w="4394" w:type="dxa"/>
          </w:tcPr>
          <w:p w:rsidR="001D37D5" w:rsidRPr="001D37D5" w:rsidRDefault="001D37D5" w:rsidP="001D37D5">
            <w:r w:rsidRPr="00365D40">
              <w:t xml:space="preserve">We have not redefined gamma as the value of imputation credits available for redemption. Rather, our conceptual approach considers </w:t>
            </w:r>
            <w:r w:rsidRPr="001D37D5">
              <w:t xml:space="preserve">imputation credits should be valued at face value on a post-company tax basis, before the impact of personal taxes and transaction costs. This is consistent with the Officer framework. Based on this, we consider gamma to be equal to the product of the distribution rate and the utilisation rate to investors in the market per dollar of credits distributed (the 'utilisation rate'). </w:t>
            </w:r>
          </w:p>
          <w:p w:rsidR="001D37D5" w:rsidRPr="001D37D5" w:rsidRDefault="001D37D5" w:rsidP="001D37D5">
            <w:r>
              <w:t xml:space="preserve">The equity ownership approach and tax statistics are consistent with our conceptual approach. They value </w:t>
            </w:r>
            <w:r w:rsidRPr="001D37D5">
              <w:t>imputation credits expected to be utilised (the utilisation rate) at full face value on a pre-personal tax and costs basis. Conversely, estimates of the utilisation rate from implied market value studies are influenced by different personal tax treatment of capital gains and dividend income.</w:t>
            </w:r>
          </w:p>
          <w:p w:rsidR="001D37D5" w:rsidRPr="001D37D5" w:rsidRDefault="001D37D5" w:rsidP="001D37D5">
            <w:r>
              <w:t>Also, v</w:t>
            </w:r>
            <w:r w:rsidRPr="001D37D5">
              <w:t>aluing imputation credits at face value is consistent with how all inputs into the allowed rate of return are estimated.</w:t>
            </w:r>
          </w:p>
          <w:p w:rsidR="001D37D5" w:rsidRPr="001D37D5" w:rsidRDefault="001D37D5" w:rsidP="001D37D5">
            <w:r>
              <w:t>In regards to the 'factors', w</w:t>
            </w:r>
            <w:r w:rsidRPr="001D37D5">
              <w:t>e have received advice from Handley on these factors. We consider such factors are either immaterial or should not be accounted for when estimating the properly defined utilisation rate.</w:t>
            </w:r>
          </w:p>
        </w:tc>
        <w:tc>
          <w:tcPr>
            <w:tcW w:w="851" w:type="dxa"/>
          </w:tcPr>
          <w:p w:rsidR="001D37D5" w:rsidRPr="001D37D5" w:rsidRDefault="001D37D5" w:rsidP="001D37D5">
            <w:r w:rsidRPr="001D37D5">
              <w:fldChar w:fldCharType="begin"/>
            </w:r>
            <w:r w:rsidRPr="001D37D5">
              <w:instrText xml:space="preserve"> REF _Ref451789904 \r \h </w:instrText>
            </w:r>
            <w:r w:rsidRPr="001D37D5">
              <w:fldChar w:fldCharType="separate"/>
            </w:r>
            <w:r w:rsidR="00A02D8C">
              <w:t>4.1</w:t>
            </w:r>
            <w:r w:rsidRPr="001D37D5">
              <w:fldChar w:fldCharType="end"/>
            </w:r>
          </w:p>
          <w:p w:rsidR="001D37D5" w:rsidRPr="001D37D5" w:rsidRDefault="001D37D5" w:rsidP="001D37D5">
            <w:r w:rsidRPr="001D37D5">
              <w:fldChar w:fldCharType="begin"/>
            </w:r>
            <w:r w:rsidRPr="001D37D5">
              <w:instrText xml:space="preserve"> REF _Ref416802130 \r \h </w:instrText>
            </w:r>
            <w:r w:rsidRPr="001D37D5">
              <w:fldChar w:fldCharType="separate"/>
            </w:r>
            <w:r w:rsidR="00A02D8C">
              <w:t>4.3.1</w:t>
            </w:r>
            <w:r w:rsidRPr="001D37D5">
              <w:fldChar w:fldCharType="end"/>
            </w:r>
          </w:p>
          <w:p w:rsidR="001D37D5" w:rsidRPr="001D37D5" w:rsidRDefault="001D37D5" w:rsidP="001D37D5">
            <w:r w:rsidRPr="001D37D5">
              <w:fldChar w:fldCharType="begin"/>
            </w:r>
            <w:r w:rsidRPr="001D37D5">
              <w:instrText xml:space="preserve"> REF _Ref415144114 \r \h </w:instrText>
            </w:r>
            <w:r w:rsidRPr="001D37D5">
              <w:fldChar w:fldCharType="separate"/>
            </w:r>
            <w:r w:rsidR="00A02D8C">
              <w:t>A.5</w:t>
            </w:r>
            <w:r w:rsidRPr="001D37D5">
              <w:fldChar w:fldCharType="end"/>
            </w:r>
          </w:p>
          <w:p w:rsidR="001D37D5" w:rsidRPr="001D37D5" w:rsidRDefault="001D37D5" w:rsidP="001D37D5">
            <w:r w:rsidRPr="001D37D5">
              <w:fldChar w:fldCharType="begin"/>
            </w:r>
            <w:r w:rsidRPr="001D37D5">
              <w:instrText xml:space="preserve"> REF _Ref400965182 \r \h </w:instrText>
            </w:r>
            <w:r w:rsidRPr="001D37D5">
              <w:fldChar w:fldCharType="separate"/>
            </w:r>
            <w:r w:rsidR="00A02D8C">
              <w:t>A.6</w:t>
            </w:r>
            <w:r w:rsidRPr="001D37D5">
              <w:fldChar w:fldCharType="end"/>
            </w:r>
          </w:p>
          <w:p w:rsidR="001D37D5" w:rsidRPr="001D37D5" w:rsidRDefault="001D37D5" w:rsidP="001D37D5">
            <w:r w:rsidRPr="001D37D5">
              <w:fldChar w:fldCharType="begin"/>
            </w:r>
            <w:r w:rsidRPr="001D37D5">
              <w:instrText xml:space="preserve"> REF _Ref451789926 \r \h </w:instrText>
            </w:r>
            <w:r w:rsidRPr="001D37D5">
              <w:fldChar w:fldCharType="separate"/>
            </w:r>
            <w:r w:rsidR="00A02D8C">
              <w:t>A.7</w:t>
            </w:r>
            <w:r w:rsidRPr="001D37D5">
              <w:fldChar w:fldCharType="end"/>
            </w:r>
          </w:p>
          <w:p w:rsidR="001D37D5" w:rsidRPr="001D37D5" w:rsidRDefault="001D37D5" w:rsidP="001D37D5">
            <w:r w:rsidRPr="001D37D5">
              <w:fldChar w:fldCharType="begin"/>
            </w:r>
            <w:r w:rsidRPr="001D37D5">
              <w:instrText xml:space="preserve"> REF _Ref414623120 \r \h </w:instrText>
            </w:r>
            <w:r w:rsidRPr="001D37D5">
              <w:fldChar w:fldCharType="separate"/>
            </w:r>
            <w:r w:rsidR="00A02D8C">
              <w:t>A.8</w:t>
            </w:r>
            <w:r w:rsidRPr="001D37D5">
              <w:fldChar w:fldCharType="end"/>
            </w:r>
          </w:p>
        </w:tc>
      </w:tr>
      <w:tr w:rsidR="001D37D5" w:rsidTr="005E1FC3">
        <w:tc>
          <w:tcPr>
            <w:tcW w:w="3652" w:type="dxa"/>
          </w:tcPr>
          <w:p w:rsidR="001D37D5" w:rsidRPr="00E82D06" w:rsidRDefault="001D37D5" w:rsidP="001D37D5">
            <w:pPr>
              <w:rPr>
                <w:rStyle w:val="Strong"/>
              </w:rPr>
            </w:pPr>
            <w:r w:rsidRPr="00E82D06">
              <w:rPr>
                <w:rStyle w:val="Strong"/>
              </w:rPr>
              <w:t>Distribution rate</w:t>
            </w:r>
          </w:p>
        </w:tc>
        <w:tc>
          <w:tcPr>
            <w:tcW w:w="4394" w:type="dxa"/>
          </w:tcPr>
          <w:p w:rsidR="001D37D5" w:rsidRDefault="001D37D5" w:rsidP="001D37D5"/>
        </w:tc>
        <w:tc>
          <w:tcPr>
            <w:tcW w:w="851" w:type="dxa"/>
          </w:tcPr>
          <w:p w:rsidR="001D37D5" w:rsidRDefault="001D37D5" w:rsidP="001D37D5"/>
        </w:tc>
      </w:tr>
      <w:tr w:rsidR="001D37D5" w:rsidTr="005E1FC3">
        <w:trPr>
          <w:cnfStyle w:val="000000010000" w:firstRow="0" w:lastRow="0" w:firstColumn="0" w:lastColumn="0" w:oddVBand="0" w:evenVBand="0" w:oddHBand="0" w:evenHBand="1" w:firstRowFirstColumn="0" w:firstRowLastColumn="0" w:lastRowFirstColumn="0" w:lastRowLastColumn="0"/>
        </w:trPr>
        <w:tc>
          <w:tcPr>
            <w:tcW w:w="3652" w:type="dxa"/>
          </w:tcPr>
          <w:p w:rsidR="001D37D5" w:rsidRPr="001D37D5" w:rsidRDefault="001D37D5" w:rsidP="001D37D5">
            <w:r>
              <w:t>It is appropriate to use an all equity based estimate of the distribution rate.</w:t>
            </w:r>
            <w:r w:rsidRPr="001D37D5">
              <w:rPr>
                <w:rStyle w:val="FootnoteReference"/>
              </w:rPr>
              <w:footnoteReference w:id="164"/>
            </w:r>
            <w:r w:rsidRPr="001D37D5">
              <w:t xml:space="preserve"> The distribution rate for listed equity is likely to be a poor proxy for a benchmark efficient entity.</w:t>
            </w:r>
            <w:r w:rsidRPr="001D37D5">
              <w:rPr>
                <w:rStyle w:val="FootnoteReference"/>
              </w:rPr>
              <w:footnoteReference w:id="165"/>
            </w:r>
          </w:p>
          <w:p w:rsidR="001D37D5" w:rsidRPr="001D37D5" w:rsidRDefault="001D37D5" w:rsidP="001D37D5">
            <w:r w:rsidRPr="00692B72">
              <w:lastRenderedPageBreak/>
              <w:t>The Tribunal considered we provided insufficient</w:t>
            </w:r>
            <w:r w:rsidRPr="001D37D5">
              <w:t xml:space="preserve"> reasoning for introducing listed equity distribution rate.</w:t>
            </w:r>
            <w:r w:rsidRPr="001D37D5">
              <w:rPr>
                <w:rStyle w:val="FootnoteReference"/>
              </w:rPr>
              <w:footnoteReference w:id="166"/>
            </w:r>
          </w:p>
        </w:tc>
        <w:tc>
          <w:tcPr>
            <w:tcW w:w="4394" w:type="dxa"/>
          </w:tcPr>
          <w:p w:rsidR="001D37D5" w:rsidRPr="001D37D5" w:rsidRDefault="001D37D5" w:rsidP="001D37D5">
            <w:r>
              <w:lastRenderedPageBreak/>
              <w:t>We consider the use of a distribution rate for listed equity is open to us</w:t>
            </w:r>
            <w:r w:rsidRPr="001D37D5">
              <w:t xml:space="preserve"> and reasonably reflective of a benchmark efficient entity given the difficulties associated with choosing a representative dataset. Lally also recommends </w:t>
            </w:r>
            <w:r w:rsidRPr="001D37D5">
              <w:lastRenderedPageBreak/>
              <w:t>distribution rate based on listed equity for a benchmark efficient entity, although he estimates this using financial statements of the top 20 listed firms.</w:t>
            </w:r>
          </w:p>
          <w:p w:rsidR="001D37D5" w:rsidRPr="001D37D5" w:rsidRDefault="001D37D5" w:rsidP="001D37D5">
            <w:r>
              <w:t>Further, w</w:t>
            </w:r>
            <w:r w:rsidRPr="001D37D5">
              <w:t xml:space="preserve">e consider it is inappropriate to focus on individual elements of a benchmark efficient entity, such as foreign income and foreign ownership. Instead, we consider a benchmark efficient entity should be assessed holistically. When determining gamma for a benchmark efficient entity, what is relevant is how it generates and distributes imputation credits. We also note that if we estimated a distribution rate strictly in accordance with our benchmark definition we would use only the firms we regulate, or an observable set of similar firms. </w:t>
            </w:r>
          </w:p>
          <w:p w:rsidR="001D37D5" w:rsidRPr="001D37D5" w:rsidRDefault="001D37D5" w:rsidP="001D37D5">
            <w:r w:rsidRPr="000076F2">
              <w:t>Finally, it is not clear that foreign income results in a higher imputation payout ratio. In fact, Lally's analysis suggests the opposite.</w:t>
            </w:r>
          </w:p>
        </w:tc>
        <w:tc>
          <w:tcPr>
            <w:tcW w:w="851" w:type="dxa"/>
          </w:tcPr>
          <w:p w:rsidR="001D37D5" w:rsidRPr="001D37D5" w:rsidRDefault="001D37D5" w:rsidP="001D37D5">
            <w:r w:rsidRPr="001D37D5">
              <w:lastRenderedPageBreak/>
              <w:fldChar w:fldCharType="begin"/>
            </w:r>
            <w:r w:rsidRPr="001D37D5">
              <w:instrText xml:space="preserve"> REF _Ref450761230 \r \h </w:instrText>
            </w:r>
            <w:r w:rsidRPr="001D37D5">
              <w:fldChar w:fldCharType="separate"/>
            </w:r>
            <w:r w:rsidR="00A02D8C">
              <w:t>4.4.1</w:t>
            </w:r>
            <w:r w:rsidRPr="001D37D5">
              <w:fldChar w:fldCharType="end"/>
            </w:r>
          </w:p>
          <w:p w:rsidR="001D37D5" w:rsidRPr="001D37D5" w:rsidRDefault="001D37D5" w:rsidP="001D37D5">
            <w:r w:rsidRPr="001D37D5">
              <w:fldChar w:fldCharType="begin"/>
            </w:r>
            <w:r w:rsidRPr="001D37D5">
              <w:instrText xml:space="preserve"> REF _Ref401133206 \r \h </w:instrText>
            </w:r>
            <w:r w:rsidRPr="001D37D5">
              <w:fldChar w:fldCharType="separate"/>
            </w:r>
            <w:r w:rsidR="00A02D8C">
              <w:t>A.10</w:t>
            </w:r>
            <w:r w:rsidRPr="001D37D5">
              <w:fldChar w:fldCharType="end"/>
            </w:r>
          </w:p>
        </w:tc>
      </w:tr>
      <w:tr w:rsidR="001D37D5" w:rsidTr="005E1FC3">
        <w:tc>
          <w:tcPr>
            <w:tcW w:w="3652" w:type="dxa"/>
          </w:tcPr>
          <w:p w:rsidR="001D37D5" w:rsidRPr="001D37D5" w:rsidRDefault="001D37D5" w:rsidP="001D37D5">
            <w:r>
              <w:lastRenderedPageBreak/>
              <w:t>Estimates of the utilisation rate from listed equity (all equity) do not have to be paired with estimates of the distribution rate from listed equity (all equity).</w:t>
            </w:r>
            <w:r w:rsidRPr="001D37D5">
              <w:rPr>
                <w:rStyle w:val="FootnoteReference"/>
              </w:rPr>
              <w:footnoteReference w:id="167"/>
            </w:r>
            <w:r w:rsidRPr="001D37D5">
              <w:t xml:space="preserve"> </w:t>
            </w:r>
          </w:p>
        </w:tc>
        <w:tc>
          <w:tcPr>
            <w:tcW w:w="4394" w:type="dxa"/>
          </w:tcPr>
          <w:p w:rsidR="001D37D5" w:rsidRPr="001D37D5" w:rsidRDefault="001D37D5" w:rsidP="001D37D5">
            <w:r>
              <w:t>F</w:t>
            </w:r>
            <w:r w:rsidRPr="001D37D5">
              <w:t>ollowing Lally's latest report, we consider it is not essential to 'match' estimates of distribution rates and utilisation rates based on the dataset used; although we note the choice is open to us. While we primarily rely on 'matched' estimates, we also have regard to Lally's preferred estimate based on an all equity utilisation rate from the equity ownership approach and a distribution rate for listed equity from financial reports of the top 20 listed firms.</w:t>
            </w:r>
          </w:p>
        </w:tc>
        <w:tc>
          <w:tcPr>
            <w:tcW w:w="851" w:type="dxa"/>
          </w:tcPr>
          <w:p w:rsidR="001D37D5" w:rsidRPr="001D37D5" w:rsidRDefault="001D37D5" w:rsidP="001D37D5">
            <w:r w:rsidRPr="001D37D5">
              <w:fldChar w:fldCharType="begin"/>
            </w:r>
            <w:r w:rsidRPr="001D37D5">
              <w:instrText xml:space="preserve"> REF _Ref450761230 \r \h </w:instrText>
            </w:r>
            <w:r w:rsidRPr="001D37D5">
              <w:fldChar w:fldCharType="separate"/>
            </w:r>
            <w:r w:rsidR="00A02D8C">
              <w:t>4.4.1</w:t>
            </w:r>
            <w:r w:rsidRPr="001D37D5">
              <w:fldChar w:fldCharType="end"/>
            </w:r>
          </w:p>
          <w:p w:rsidR="001D37D5" w:rsidRPr="001D37D5" w:rsidRDefault="001D37D5" w:rsidP="001D37D5">
            <w:r w:rsidRPr="001D37D5">
              <w:fldChar w:fldCharType="begin"/>
            </w:r>
            <w:r w:rsidRPr="001D37D5">
              <w:instrText xml:space="preserve"> REF _Ref451790065 \r \h </w:instrText>
            </w:r>
            <w:r w:rsidRPr="001D37D5">
              <w:fldChar w:fldCharType="separate"/>
            </w:r>
            <w:r w:rsidR="00A02D8C">
              <w:t>A.9</w:t>
            </w:r>
            <w:r w:rsidRPr="001D37D5">
              <w:fldChar w:fldCharType="end"/>
            </w:r>
          </w:p>
        </w:tc>
      </w:tr>
      <w:tr w:rsidR="001D37D5" w:rsidTr="005E1FC3">
        <w:trPr>
          <w:cnfStyle w:val="000000010000" w:firstRow="0" w:lastRow="0" w:firstColumn="0" w:lastColumn="0" w:oddVBand="0" w:evenVBand="0" w:oddHBand="0" w:evenHBand="1" w:firstRowFirstColumn="0" w:firstRowLastColumn="0" w:lastRowFirstColumn="0" w:lastRowLastColumn="0"/>
        </w:trPr>
        <w:tc>
          <w:tcPr>
            <w:tcW w:w="3652" w:type="dxa"/>
          </w:tcPr>
          <w:p w:rsidR="001D37D5" w:rsidRPr="00E82D06" w:rsidRDefault="001D37D5" w:rsidP="001D37D5">
            <w:pPr>
              <w:rPr>
                <w:rStyle w:val="Strong"/>
              </w:rPr>
            </w:pPr>
            <w:r w:rsidRPr="00E82D06">
              <w:rPr>
                <w:rStyle w:val="Strong"/>
              </w:rPr>
              <w:t>Utilisation rate</w:t>
            </w:r>
          </w:p>
        </w:tc>
        <w:tc>
          <w:tcPr>
            <w:tcW w:w="4394" w:type="dxa"/>
          </w:tcPr>
          <w:p w:rsidR="001D37D5" w:rsidRDefault="001D37D5" w:rsidP="001D37D5"/>
        </w:tc>
        <w:tc>
          <w:tcPr>
            <w:tcW w:w="851" w:type="dxa"/>
          </w:tcPr>
          <w:p w:rsidR="001D37D5" w:rsidRDefault="001D37D5" w:rsidP="001D37D5"/>
        </w:tc>
      </w:tr>
      <w:tr w:rsidR="001D37D5" w:rsidTr="005E1FC3">
        <w:tc>
          <w:tcPr>
            <w:tcW w:w="3652" w:type="dxa"/>
          </w:tcPr>
          <w:p w:rsidR="001D37D5" w:rsidRPr="001D37D5" w:rsidRDefault="001D37D5" w:rsidP="001D37D5">
            <w:r w:rsidRPr="006B5C23">
              <w:rPr>
                <w:rStyle w:val="AERtextitalic"/>
              </w:rPr>
              <w:t>Equity ownership approach</w:t>
            </w:r>
          </w:p>
        </w:tc>
        <w:tc>
          <w:tcPr>
            <w:tcW w:w="4394" w:type="dxa"/>
          </w:tcPr>
          <w:p w:rsidR="001D37D5" w:rsidRDefault="001D37D5" w:rsidP="001D37D5"/>
        </w:tc>
        <w:tc>
          <w:tcPr>
            <w:tcW w:w="851" w:type="dxa"/>
          </w:tcPr>
          <w:p w:rsidR="001D37D5" w:rsidRDefault="001D37D5" w:rsidP="001D37D5"/>
        </w:tc>
      </w:tr>
      <w:tr w:rsidR="001D37D5" w:rsidTr="005E1FC3">
        <w:trPr>
          <w:cnfStyle w:val="000000010000" w:firstRow="0" w:lastRow="0" w:firstColumn="0" w:lastColumn="0" w:oddVBand="0" w:evenVBand="0" w:oddHBand="0" w:evenHBand="1" w:firstRowFirstColumn="0" w:firstRowLastColumn="0" w:lastRowFirstColumn="0" w:lastRowLastColumn="0"/>
        </w:trPr>
        <w:tc>
          <w:tcPr>
            <w:tcW w:w="3652" w:type="dxa"/>
          </w:tcPr>
          <w:p w:rsidR="001D37D5" w:rsidRPr="001D37D5" w:rsidRDefault="001D37D5" w:rsidP="001D37D5">
            <w:r>
              <w:t>The equity ownership approach overstates the utilisation rate (</w:t>
            </w:r>
            <w:r w:rsidRPr="001D37D5">
              <w:t>relative to an upper bound based on tax statistics)</w:t>
            </w:r>
            <w:r w:rsidRPr="001D37D5">
              <w:rPr>
                <w:rStyle w:val="FootnoteReference"/>
              </w:rPr>
              <w:footnoteReference w:id="168"/>
            </w:r>
            <w:r w:rsidRPr="001D37D5">
              <w:t xml:space="preserve"> </w:t>
            </w:r>
          </w:p>
          <w:p w:rsidR="001D37D5" w:rsidRPr="001D37D5" w:rsidRDefault="001D37D5" w:rsidP="001D37D5">
            <w:pPr>
              <w:rPr>
                <w:rStyle w:val="AERtextitalic"/>
              </w:rPr>
            </w:pPr>
            <w:r>
              <w:lastRenderedPageBreak/>
              <w:t>The Tribunal consider</w:t>
            </w:r>
            <w:r w:rsidRPr="001D37D5">
              <w:t>ed this shows there are investors who we assume are eligible to redeem imputation credits but, for whatever reasons, either cannot redeem them or attribute so little value to the credits that they do not utilise them. In particular, there are investors who hold shares for less than 45 days.</w:t>
            </w:r>
            <w:r w:rsidRPr="001D37D5">
              <w:rPr>
                <w:rStyle w:val="FootnoteReference"/>
              </w:rPr>
              <w:footnoteReference w:id="169"/>
            </w:r>
          </w:p>
        </w:tc>
        <w:tc>
          <w:tcPr>
            <w:tcW w:w="4394" w:type="dxa"/>
          </w:tcPr>
          <w:p w:rsidR="001D37D5" w:rsidRPr="001D37D5" w:rsidRDefault="001D37D5" w:rsidP="001D37D5">
            <w:r>
              <w:lastRenderedPageBreak/>
              <w:t xml:space="preserve">We do not consider the estimate of the utilisation rate from tax statistics is an upper bound (see </w:t>
            </w:r>
            <w:r w:rsidRPr="001D37D5">
              <w:t xml:space="preserve">response under 'Tax statistics'). </w:t>
            </w:r>
          </w:p>
          <w:p w:rsidR="001D37D5" w:rsidRPr="001D37D5" w:rsidRDefault="001D37D5" w:rsidP="001D37D5">
            <w:r>
              <w:lastRenderedPageBreak/>
              <w:t>We consider the 45 day rule</w:t>
            </w:r>
            <w:r w:rsidRPr="001D37D5">
              <w:t xml:space="preserve"> is unlikely to have a material impact on the utilisation of imputation credits by domestic investors, and no data has been presented that demonstrates a material impact. As such, we do not consider the 45 day rule explains the difference in utilisation rate estimates between tax statistics and the equity ownership approach. We consider the difference is likely driven by estimation error in the taxation data. Lally considers the most obvious explanation for the difference is the estimate of the redemption rate from tax statistics used by the AER is too low.</w:t>
            </w:r>
            <w:r w:rsidRPr="001D37D5">
              <w:rPr>
                <w:rStyle w:val="FootnoteReference"/>
              </w:rPr>
              <w:footnoteReference w:id="170"/>
            </w:r>
          </w:p>
          <w:p w:rsidR="001D37D5" w:rsidRDefault="001D37D5" w:rsidP="001D37D5">
            <w:r>
              <w:t>We use an estimate of the utilisation rate below the top of the range from the equity ownership approach.</w:t>
            </w:r>
          </w:p>
        </w:tc>
        <w:tc>
          <w:tcPr>
            <w:tcW w:w="851" w:type="dxa"/>
          </w:tcPr>
          <w:p w:rsidR="001D37D5" w:rsidRPr="001D37D5" w:rsidRDefault="001D37D5" w:rsidP="001D37D5">
            <w:r w:rsidRPr="001D37D5">
              <w:lastRenderedPageBreak/>
              <w:fldChar w:fldCharType="begin"/>
            </w:r>
            <w:r w:rsidRPr="001D37D5">
              <w:instrText xml:space="preserve"> REF _Ref450761230 \r \h </w:instrText>
            </w:r>
            <w:r w:rsidRPr="001D37D5">
              <w:fldChar w:fldCharType="separate"/>
            </w:r>
            <w:r w:rsidR="00A02D8C">
              <w:t>4.4.1</w:t>
            </w:r>
            <w:r w:rsidRPr="001D37D5">
              <w:fldChar w:fldCharType="end"/>
            </w:r>
          </w:p>
          <w:p w:rsidR="001D37D5" w:rsidRPr="001D37D5" w:rsidRDefault="001D37D5" w:rsidP="001D37D5">
            <w:r w:rsidRPr="001D37D5">
              <w:fldChar w:fldCharType="begin"/>
            </w:r>
            <w:r w:rsidRPr="001D37D5">
              <w:instrText xml:space="preserve"> REF _Ref415049811 \r \h </w:instrText>
            </w:r>
            <w:r w:rsidRPr="001D37D5">
              <w:fldChar w:fldCharType="separate"/>
            </w:r>
            <w:r w:rsidR="00A02D8C">
              <w:t>A.12</w:t>
            </w:r>
            <w:r w:rsidRPr="001D37D5">
              <w:fldChar w:fldCharType="end"/>
            </w:r>
          </w:p>
          <w:p w:rsidR="001D37D5" w:rsidRPr="001D37D5" w:rsidRDefault="001D37D5" w:rsidP="001D37D5">
            <w:r w:rsidRPr="001D37D5">
              <w:lastRenderedPageBreak/>
              <w:fldChar w:fldCharType="begin"/>
            </w:r>
            <w:r w:rsidRPr="001D37D5">
              <w:instrText xml:space="preserve"> REF _Ref450298682 \r \h </w:instrText>
            </w:r>
            <w:r w:rsidRPr="001D37D5">
              <w:fldChar w:fldCharType="separate"/>
            </w:r>
            <w:r w:rsidR="00A02D8C">
              <w:t>A.14</w:t>
            </w:r>
            <w:r w:rsidRPr="001D37D5">
              <w:fldChar w:fldCharType="end"/>
            </w:r>
          </w:p>
          <w:p w:rsidR="001D37D5" w:rsidRPr="001D37D5" w:rsidRDefault="001D37D5" w:rsidP="001D37D5">
            <w:r w:rsidRPr="001D37D5">
              <w:fldChar w:fldCharType="begin"/>
            </w:r>
            <w:r w:rsidRPr="001D37D5">
              <w:instrText xml:space="preserve"> REF _Ref414099389 \r \h </w:instrText>
            </w:r>
            <w:r w:rsidRPr="001D37D5">
              <w:fldChar w:fldCharType="separate"/>
            </w:r>
            <w:r w:rsidR="00A02D8C">
              <w:t>A.8.3</w:t>
            </w:r>
            <w:r w:rsidRPr="001D37D5">
              <w:fldChar w:fldCharType="end"/>
            </w:r>
          </w:p>
        </w:tc>
      </w:tr>
      <w:tr w:rsidR="001D37D5" w:rsidTr="005E1FC3">
        <w:tc>
          <w:tcPr>
            <w:tcW w:w="3652" w:type="dxa"/>
          </w:tcPr>
          <w:p w:rsidR="001D37D5" w:rsidRPr="001D37D5" w:rsidRDefault="001D37D5" w:rsidP="001D37D5">
            <w:r>
              <w:lastRenderedPageBreak/>
              <w:t>T</w:t>
            </w:r>
            <w:r w:rsidRPr="001D37D5">
              <w:t>he equity ownership approach is inconsistent with the proper interpretation of the Officer framework.</w:t>
            </w:r>
            <w:r w:rsidRPr="001D37D5">
              <w:rPr>
                <w:rStyle w:val="FootnoteReference"/>
              </w:rPr>
              <w:footnoteReference w:id="171"/>
            </w:r>
          </w:p>
          <w:p w:rsidR="001D37D5" w:rsidRPr="001D37D5" w:rsidRDefault="001D37D5" w:rsidP="001D37D5">
            <w:r>
              <w:t xml:space="preserve">The equity ownership approach does not </w:t>
            </w:r>
            <w:r w:rsidRPr="001D37D5">
              <w:t>reflect factors which affect investors' valuation of imputation credits (below their full face value).</w:t>
            </w:r>
            <w:r w:rsidRPr="001D37D5">
              <w:rPr>
                <w:rStyle w:val="FootnoteReference"/>
              </w:rPr>
              <w:footnoteReference w:id="172"/>
            </w:r>
          </w:p>
        </w:tc>
        <w:tc>
          <w:tcPr>
            <w:tcW w:w="4394" w:type="dxa"/>
          </w:tcPr>
          <w:p w:rsidR="001D37D5" w:rsidRPr="001D37D5" w:rsidRDefault="001D37D5" w:rsidP="001D37D5">
            <w:r>
              <w:t>See response under 'Conceptual framework'</w:t>
            </w:r>
            <w:r w:rsidRPr="001D37D5">
              <w:t xml:space="preserve">. </w:t>
            </w:r>
          </w:p>
        </w:tc>
        <w:tc>
          <w:tcPr>
            <w:tcW w:w="851" w:type="dxa"/>
          </w:tcPr>
          <w:p w:rsidR="001D37D5" w:rsidRPr="001D37D5" w:rsidRDefault="001D37D5" w:rsidP="001D37D5">
            <w:r w:rsidRPr="001D37D5">
              <w:fldChar w:fldCharType="begin"/>
            </w:r>
            <w:r w:rsidRPr="001D37D5">
              <w:instrText xml:space="preserve"> REF _Ref414099389 \r \h </w:instrText>
            </w:r>
            <w:r w:rsidRPr="001D37D5">
              <w:fldChar w:fldCharType="separate"/>
            </w:r>
            <w:r w:rsidR="00A02D8C">
              <w:t>A.8.3</w:t>
            </w:r>
            <w:r w:rsidRPr="001D37D5">
              <w:fldChar w:fldCharType="end"/>
            </w:r>
          </w:p>
          <w:p w:rsidR="001D37D5" w:rsidRPr="001D37D5" w:rsidRDefault="001D37D5" w:rsidP="001D37D5">
            <w:r w:rsidRPr="001D37D5">
              <w:fldChar w:fldCharType="begin"/>
            </w:r>
            <w:r w:rsidRPr="001D37D5">
              <w:instrText xml:space="preserve"> REF _Ref415049811 \r \h </w:instrText>
            </w:r>
            <w:r w:rsidRPr="001D37D5">
              <w:fldChar w:fldCharType="separate"/>
            </w:r>
            <w:r w:rsidR="00A02D8C">
              <w:t>A.12</w:t>
            </w:r>
            <w:r w:rsidRPr="001D37D5">
              <w:fldChar w:fldCharType="end"/>
            </w:r>
          </w:p>
        </w:tc>
      </w:tr>
      <w:tr w:rsidR="001D37D5" w:rsidTr="005E1FC3">
        <w:trPr>
          <w:cnfStyle w:val="000000010000" w:firstRow="0" w:lastRow="0" w:firstColumn="0" w:lastColumn="0" w:oddVBand="0" w:evenVBand="0" w:oddHBand="0" w:evenHBand="1" w:firstRowFirstColumn="0" w:firstRowLastColumn="0" w:lastRowFirstColumn="0" w:lastRowLastColumn="0"/>
        </w:trPr>
        <w:tc>
          <w:tcPr>
            <w:tcW w:w="3652" w:type="dxa"/>
          </w:tcPr>
          <w:p w:rsidR="001D37D5" w:rsidRPr="001D37D5" w:rsidRDefault="001D37D5" w:rsidP="001D37D5">
            <w:r>
              <w:t>The equity ownership approach can only be used informatively</w:t>
            </w:r>
            <w:r w:rsidRPr="001D37D5">
              <w:t xml:space="preserve"> as an upper bound or as a check on other estimates (like tax statistics)</w:t>
            </w:r>
            <w:r w:rsidRPr="001D37D5">
              <w:rPr>
                <w:rStyle w:val="FootnoteReference"/>
              </w:rPr>
              <w:footnoteReference w:id="173"/>
            </w:r>
          </w:p>
        </w:tc>
        <w:tc>
          <w:tcPr>
            <w:tcW w:w="4394" w:type="dxa"/>
          </w:tcPr>
          <w:p w:rsidR="001D37D5" w:rsidRPr="001D37D5" w:rsidRDefault="001D37D5" w:rsidP="001D37D5">
            <w:r>
              <w:t>The equity ownership approach (and tax statistics) can</w:t>
            </w:r>
            <w:r w:rsidRPr="001D37D5">
              <w:t xml:space="preserve"> used to generate a point estimate of the utilisation rate.</w:t>
            </w:r>
            <w:r w:rsidRPr="001D37D5">
              <w:tab/>
            </w:r>
          </w:p>
        </w:tc>
        <w:tc>
          <w:tcPr>
            <w:tcW w:w="851" w:type="dxa"/>
          </w:tcPr>
          <w:p w:rsidR="001D37D5" w:rsidRPr="001D37D5" w:rsidRDefault="001D37D5" w:rsidP="001D37D5">
            <w:r w:rsidRPr="001D37D5">
              <w:fldChar w:fldCharType="begin"/>
            </w:r>
            <w:r w:rsidRPr="001D37D5">
              <w:instrText xml:space="preserve"> REF _Ref451790207 \r \h </w:instrText>
            </w:r>
            <w:r w:rsidRPr="001D37D5">
              <w:fldChar w:fldCharType="separate"/>
            </w:r>
            <w:r w:rsidR="00A02D8C">
              <w:t>4.4</w:t>
            </w:r>
            <w:r w:rsidRPr="001D37D5">
              <w:fldChar w:fldCharType="end"/>
            </w:r>
          </w:p>
          <w:p w:rsidR="001D37D5" w:rsidRPr="001D37D5" w:rsidRDefault="001D37D5" w:rsidP="001D37D5">
            <w:r w:rsidRPr="001D37D5">
              <w:fldChar w:fldCharType="begin"/>
            </w:r>
            <w:r w:rsidRPr="001D37D5">
              <w:instrText xml:space="preserve"> REF _Ref415049811 \r \h </w:instrText>
            </w:r>
            <w:r w:rsidRPr="001D37D5">
              <w:fldChar w:fldCharType="separate"/>
            </w:r>
            <w:r w:rsidR="00A02D8C">
              <w:t>A.12</w:t>
            </w:r>
            <w:r w:rsidRPr="001D37D5">
              <w:fldChar w:fldCharType="end"/>
            </w:r>
          </w:p>
        </w:tc>
      </w:tr>
      <w:tr w:rsidR="001D37D5" w:rsidTr="005E1FC3">
        <w:tc>
          <w:tcPr>
            <w:tcW w:w="3652" w:type="dxa"/>
          </w:tcPr>
          <w:p w:rsidR="001D37D5" w:rsidRPr="001D37D5" w:rsidRDefault="001D37D5" w:rsidP="001D37D5">
            <w:r>
              <w:t>The equity ownership approach estimate of the utilisation rate should be based on listed equity</w:t>
            </w:r>
            <w:r w:rsidRPr="001D37D5">
              <w:rPr>
                <w:rStyle w:val="FootnoteReference"/>
              </w:rPr>
              <w:footnoteReference w:id="174"/>
            </w:r>
          </w:p>
        </w:tc>
        <w:tc>
          <w:tcPr>
            <w:tcW w:w="4394" w:type="dxa"/>
          </w:tcPr>
          <w:p w:rsidR="001D37D5" w:rsidRDefault="001D37D5" w:rsidP="001D37D5">
            <w:r>
              <w:t>We consider utilisation rates from the equity ownership approach based on listed equity and all equity.</w:t>
            </w:r>
          </w:p>
        </w:tc>
        <w:tc>
          <w:tcPr>
            <w:tcW w:w="851" w:type="dxa"/>
          </w:tcPr>
          <w:p w:rsidR="001D37D5" w:rsidRPr="001D37D5" w:rsidRDefault="001D37D5" w:rsidP="001D37D5">
            <w:r w:rsidRPr="001D37D5">
              <w:fldChar w:fldCharType="begin"/>
            </w:r>
            <w:r w:rsidRPr="001D37D5">
              <w:instrText xml:space="preserve"> REF _Ref401048631 \r \h </w:instrText>
            </w:r>
            <w:r w:rsidRPr="001D37D5">
              <w:fldChar w:fldCharType="separate"/>
            </w:r>
            <w:r w:rsidR="00A02D8C">
              <w:t>A.9.1</w:t>
            </w:r>
            <w:r w:rsidRPr="001D37D5">
              <w:fldChar w:fldCharType="end"/>
            </w:r>
          </w:p>
          <w:p w:rsidR="001D37D5" w:rsidRPr="001D37D5" w:rsidRDefault="001D37D5" w:rsidP="001D37D5">
            <w:r w:rsidRPr="001D37D5">
              <w:fldChar w:fldCharType="begin"/>
            </w:r>
            <w:r w:rsidRPr="001D37D5">
              <w:instrText xml:space="preserve"> REF _Ref415049811 \r \h </w:instrText>
            </w:r>
            <w:r w:rsidRPr="001D37D5">
              <w:fldChar w:fldCharType="separate"/>
            </w:r>
            <w:r w:rsidR="00A02D8C">
              <w:t>A.12</w:t>
            </w:r>
            <w:r w:rsidRPr="001D37D5">
              <w:fldChar w:fldCharType="end"/>
            </w:r>
          </w:p>
        </w:tc>
      </w:tr>
      <w:tr w:rsidR="001D37D5" w:rsidTr="005E1FC3">
        <w:trPr>
          <w:cnfStyle w:val="000000010000" w:firstRow="0" w:lastRow="0" w:firstColumn="0" w:lastColumn="0" w:oddVBand="0" w:evenVBand="0" w:oddHBand="0" w:evenHBand="1" w:firstRowFirstColumn="0" w:firstRowLastColumn="0" w:lastRowFirstColumn="0" w:lastRowLastColumn="0"/>
        </w:trPr>
        <w:tc>
          <w:tcPr>
            <w:tcW w:w="3652" w:type="dxa"/>
          </w:tcPr>
          <w:p w:rsidR="001D37D5" w:rsidRPr="001D37D5" w:rsidRDefault="001D37D5" w:rsidP="001D37D5">
            <w:r>
              <w:lastRenderedPageBreak/>
              <w:t>O</w:t>
            </w:r>
            <w:r w:rsidRPr="001D37D5">
              <w:t>nly the most recent point estimates of the equity ownership share are relevant.</w:t>
            </w:r>
            <w:r w:rsidRPr="001D37D5">
              <w:rPr>
                <w:rStyle w:val="FootnoteReference"/>
              </w:rPr>
              <w:footnoteReference w:id="175"/>
            </w:r>
          </w:p>
        </w:tc>
        <w:tc>
          <w:tcPr>
            <w:tcW w:w="4394" w:type="dxa"/>
          </w:tcPr>
          <w:p w:rsidR="001D37D5" w:rsidRPr="001D37D5" w:rsidRDefault="001D37D5" w:rsidP="001D37D5">
            <w:r w:rsidRPr="005B650B">
              <w:t xml:space="preserve">We disagree. Given that the series exhibits considerable volatility, we </w:t>
            </w:r>
            <w:r w:rsidRPr="001D37D5">
              <w:t xml:space="preserve">consider it is reasonable to not rely solely on the most recent point estimate. Similarly, we estimate an MRP (for the return on equity) that reflects prevailing market conditions using a historical series of excess returns. </w:t>
            </w:r>
          </w:p>
        </w:tc>
        <w:tc>
          <w:tcPr>
            <w:tcW w:w="851" w:type="dxa"/>
          </w:tcPr>
          <w:p w:rsidR="001D37D5" w:rsidRPr="001D37D5" w:rsidRDefault="001D37D5" w:rsidP="001D37D5">
            <w:r w:rsidRPr="001D37D5">
              <w:fldChar w:fldCharType="begin"/>
            </w:r>
            <w:r w:rsidRPr="001D37D5">
              <w:instrText xml:space="preserve"> REF _Ref415049811 \r \h </w:instrText>
            </w:r>
            <w:r w:rsidRPr="001D37D5">
              <w:fldChar w:fldCharType="separate"/>
            </w:r>
            <w:r w:rsidR="00A02D8C">
              <w:t>A.12</w:t>
            </w:r>
            <w:r w:rsidRPr="001D37D5">
              <w:fldChar w:fldCharType="end"/>
            </w:r>
          </w:p>
        </w:tc>
      </w:tr>
      <w:tr w:rsidR="001D37D5" w:rsidTr="005E1FC3">
        <w:tc>
          <w:tcPr>
            <w:tcW w:w="3652" w:type="dxa"/>
          </w:tcPr>
          <w:p w:rsidR="001D37D5" w:rsidRPr="001D37D5" w:rsidRDefault="001D37D5" w:rsidP="001D37D5">
            <w:r w:rsidRPr="006B5C23">
              <w:rPr>
                <w:rStyle w:val="AERtextitalic"/>
              </w:rPr>
              <w:t>Tax statistics</w:t>
            </w:r>
          </w:p>
        </w:tc>
        <w:tc>
          <w:tcPr>
            <w:tcW w:w="4394" w:type="dxa"/>
          </w:tcPr>
          <w:p w:rsidR="001D37D5" w:rsidRDefault="001D37D5" w:rsidP="001D37D5"/>
        </w:tc>
        <w:tc>
          <w:tcPr>
            <w:tcW w:w="851" w:type="dxa"/>
          </w:tcPr>
          <w:p w:rsidR="001D37D5" w:rsidRDefault="001D37D5" w:rsidP="001D37D5"/>
        </w:tc>
      </w:tr>
      <w:tr w:rsidR="001D37D5" w:rsidTr="005E1FC3">
        <w:trPr>
          <w:cnfStyle w:val="000000010000" w:firstRow="0" w:lastRow="0" w:firstColumn="0" w:lastColumn="0" w:oddVBand="0" w:evenVBand="0" w:oddHBand="0" w:evenHBand="1" w:firstRowFirstColumn="0" w:firstRowLastColumn="0" w:lastRowFirstColumn="0" w:lastRowLastColumn="0"/>
        </w:trPr>
        <w:tc>
          <w:tcPr>
            <w:tcW w:w="3652" w:type="dxa"/>
          </w:tcPr>
          <w:p w:rsidR="001D37D5" w:rsidRPr="001D37D5" w:rsidRDefault="001D37D5" w:rsidP="001D37D5">
            <w:r>
              <w:t xml:space="preserve">Tax statistics are inconsistent with the </w:t>
            </w:r>
            <w:r w:rsidRPr="001D37D5">
              <w:t>proper interpretation of the Officer framework</w:t>
            </w:r>
            <w:r w:rsidRPr="001D37D5">
              <w:rPr>
                <w:rStyle w:val="FootnoteReference"/>
              </w:rPr>
              <w:footnoteReference w:id="176"/>
            </w:r>
          </w:p>
          <w:p w:rsidR="001D37D5" w:rsidRPr="001D37D5" w:rsidRDefault="001D37D5" w:rsidP="001D37D5">
            <w:r>
              <w:t>Tax statistics do</w:t>
            </w:r>
            <w:r w:rsidRPr="001D37D5">
              <w:t xml:space="preserve"> not reflect factors which affect investors' valuation of imputation credits (below their full face value).</w:t>
            </w:r>
            <w:r w:rsidRPr="001D37D5">
              <w:rPr>
                <w:rStyle w:val="FootnoteReference"/>
              </w:rPr>
              <w:footnoteReference w:id="177"/>
            </w:r>
          </w:p>
        </w:tc>
        <w:tc>
          <w:tcPr>
            <w:tcW w:w="4394" w:type="dxa"/>
          </w:tcPr>
          <w:p w:rsidR="001D37D5" w:rsidRPr="001D37D5" w:rsidRDefault="001D37D5" w:rsidP="001D37D5">
            <w:r>
              <w:t xml:space="preserve">See </w:t>
            </w:r>
            <w:r w:rsidRPr="001D37D5">
              <w:t>response under 'Conceptual framework'.</w:t>
            </w:r>
          </w:p>
        </w:tc>
        <w:tc>
          <w:tcPr>
            <w:tcW w:w="851" w:type="dxa"/>
          </w:tcPr>
          <w:p w:rsidR="001D37D5" w:rsidRPr="001D37D5" w:rsidRDefault="001D37D5" w:rsidP="001D37D5">
            <w:r w:rsidRPr="001D37D5">
              <w:fldChar w:fldCharType="begin"/>
            </w:r>
            <w:r w:rsidRPr="001D37D5">
              <w:instrText xml:space="preserve"> REF _Ref451793040 \r \h </w:instrText>
            </w:r>
            <w:r w:rsidRPr="001D37D5">
              <w:fldChar w:fldCharType="separate"/>
            </w:r>
            <w:r w:rsidR="00A02D8C">
              <w:t>4.1</w:t>
            </w:r>
            <w:r w:rsidRPr="001D37D5">
              <w:fldChar w:fldCharType="end"/>
            </w:r>
          </w:p>
          <w:p w:rsidR="001D37D5" w:rsidRPr="001D37D5" w:rsidRDefault="001D37D5" w:rsidP="001D37D5">
            <w:r w:rsidRPr="001D37D5">
              <w:fldChar w:fldCharType="begin"/>
            </w:r>
            <w:r w:rsidRPr="001D37D5">
              <w:instrText xml:space="preserve"> REF _Ref414099389 \r \h </w:instrText>
            </w:r>
            <w:r w:rsidRPr="001D37D5">
              <w:fldChar w:fldCharType="separate"/>
            </w:r>
            <w:r w:rsidR="00A02D8C">
              <w:t>A.8.3</w:t>
            </w:r>
            <w:r w:rsidRPr="001D37D5">
              <w:fldChar w:fldCharType="end"/>
            </w:r>
          </w:p>
          <w:p w:rsidR="001D37D5" w:rsidRPr="001D37D5" w:rsidRDefault="001D37D5" w:rsidP="001D37D5">
            <w:r w:rsidRPr="001D37D5">
              <w:fldChar w:fldCharType="begin"/>
            </w:r>
            <w:r w:rsidRPr="001D37D5">
              <w:instrText xml:space="preserve"> REF _Ref402179420 \r \h </w:instrText>
            </w:r>
            <w:r w:rsidRPr="001D37D5">
              <w:fldChar w:fldCharType="separate"/>
            </w:r>
            <w:r w:rsidR="00A02D8C">
              <w:t>A.13</w:t>
            </w:r>
            <w:r w:rsidRPr="001D37D5">
              <w:fldChar w:fldCharType="end"/>
            </w:r>
          </w:p>
        </w:tc>
      </w:tr>
      <w:tr w:rsidR="001D37D5" w:rsidTr="005E1FC3">
        <w:tc>
          <w:tcPr>
            <w:tcW w:w="3652" w:type="dxa"/>
          </w:tcPr>
          <w:p w:rsidR="001D37D5" w:rsidRPr="001D37D5" w:rsidRDefault="001D37D5" w:rsidP="001D37D5">
            <w:pPr>
              <w:rPr>
                <w:rStyle w:val="AERtextitalic"/>
              </w:rPr>
            </w:pPr>
            <w:r>
              <w:t>Tax statistics can only provide an upper bound for the estimate of the utilisation rate</w:t>
            </w:r>
            <w:r w:rsidRPr="001D37D5">
              <w:rPr>
                <w:rStyle w:val="FootnoteReference"/>
              </w:rPr>
              <w:footnoteReference w:id="178"/>
            </w:r>
          </w:p>
        </w:tc>
        <w:tc>
          <w:tcPr>
            <w:tcW w:w="4394" w:type="dxa"/>
          </w:tcPr>
          <w:p w:rsidR="001D37D5" w:rsidRPr="001D37D5" w:rsidRDefault="001D37D5" w:rsidP="001D37D5">
            <w:r>
              <w:t>We do not consider t</w:t>
            </w:r>
            <w:r w:rsidRPr="001D37D5">
              <w:t>ax statistics provide an upper bound estimate. An upper bound is a value above which the true value cannot exceed.</w:t>
            </w:r>
            <w:r w:rsidRPr="001D37D5">
              <w:rPr>
                <w:rStyle w:val="FootnoteReference"/>
              </w:rPr>
              <w:footnoteReference w:id="179"/>
            </w:r>
          </w:p>
          <w:p w:rsidR="001D37D5" w:rsidRPr="001D37D5" w:rsidRDefault="001D37D5" w:rsidP="001D37D5">
            <w:r w:rsidRPr="00C70506">
              <w:t xml:space="preserve">Rather, tax statistics provide one point estimate for the </w:t>
            </w:r>
            <w:r w:rsidRPr="001D37D5">
              <w:t xml:space="preserve">utilisation rate. This estimate is, by definition, uncertain and dependant on the quality of the underlying data. As such, the true (unknown) value could be higher or lower. Importantly, the quality of the underlying taxation data is </w:t>
            </w:r>
            <w:r w:rsidRPr="001D37D5">
              <w:lastRenderedPageBreak/>
              <w:t>poor and experts consider it to be unreliable. Lally considers the tax statistic used by us is not an upper bound.</w:t>
            </w:r>
            <w:r w:rsidRPr="001D37D5">
              <w:rPr>
                <w:rStyle w:val="FootnoteReference"/>
              </w:rPr>
              <w:footnoteReference w:id="180"/>
            </w:r>
          </w:p>
        </w:tc>
        <w:tc>
          <w:tcPr>
            <w:tcW w:w="851" w:type="dxa"/>
          </w:tcPr>
          <w:p w:rsidR="001D37D5" w:rsidRPr="001D37D5" w:rsidRDefault="001D37D5" w:rsidP="001D37D5">
            <w:r w:rsidRPr="001D37D5">
              <w:lastRenderedPageBreak/>
              <w:fldChar w:fldCharType="begin"/>
            </w:r>
            <w:r w:rsidRPr="001D37D5">
              <w:instrText xml:space="preserve"> REF _Ref450761230 \r \h </w:instrText>
            </w:r>
            <w:r w:rsidRPr="001D37D5">
              <w:fldChar w:fldCharType="separate"/>
            </w:r>
            <w:r w:rsidR="00A02D8C">
              <w:t>4.4.1</w:t>
            </w:r>
            <w:r w:rsidRPr="001D37D5">
              <w:fldChar w:fldCharType="end"/>
            </w:r>
          </w:p>
          <w:p w:rsidR="001D37D5" w:rsidRPr="001D37D5" w:rsidRDefault="001D37D5" w:rsidP="001D37D5">
            <w:r w:rsidRPr="001D37D5">
              <w:fldChar w:fldCharType="begin"/>
            </w:r>
            <w:r w:rsidRPr="001D37D5">
              <w:instrText xml:space="preserve"> REF _Ref402179420 \r \h </w:instrText>
            </w:r>
            <w:r w:rsidRPr="001D37D5">
              <w:fldChar w:fldCharType="separate"/>
            </w:r>
            <w:r w:rsidR="00A02D8C">
              <w:t>A.13</w:t>
            </w:r>
            <w:r w:rsidRPr="001D37D5">
              <w:fldChar w:fldCharType="end"/>
            </w:r>
          </w:p>
        </w:tc>
      </w:tr>
      <w:tr w:rsidR="001D37D5" w:rsidTr="005E1FC3">
        <w:trPr>
          <w:cnfStyle w:val="000000010000" w:firstRow="0" w:lastRow="0" w:firstColumn="0" w:lastColumn="0" w:oddVBand="0" w:evenVBand="0" w:oddHBand="0" w:evenHBand="1" w:firstRowFirstColumn="0" w:firstRowLastColumn="0" w:lastRowFirstColumn="0" w:lastRowLastColumn="0"/>
        </w:trPr>
        <w:tc>
          <w:tcPr>
            <w:tcW w:w="3652" w:type="dxa"/>
          </w:tcPr>
          <w:p w:rsidR="001D37D5" w:rsidRPr="001D37D5" w:rsidRDefault="001D37D5" w:rsidP="001D37D5">
            <w:r w:rsidRPr="006B5C23">
              <w:rPr>
                <w:rStyle w:val="AERtextitalic"/>
              </w:rPr>
              <w:lastRenderedPageBreak/>
              <w:t>Implied market value studies</w:t>
            </w:r>
          </w:p>
        </w:tc>
        <w:tc>
          <w:tcPr>
            <w:tcW w:w="4394" w:type="dxa"/>
          </w:tcPr>
          <w:p w:rsidR="001D37D5" w:rsidRDefault="001D37D5" w:rsidP="001D37D5"/>
        </w:tc>
        <w:tc>
          <w:tcPr>
            <w:tcW w:w="851" w:type="dxa"/>
          </w:tcPr>
          <w:p w:rsidR="001D37D5" w:rsidRDefault="001D37D5" w:rsidP="001D37D5"/>
        </w:tc>
      </w:tr>
      <w:tr w:rsidR="001D37D5" w:rsidTr="005E1FC3">
        <w:tc>
          <w:tcPr>
            <w:tcW w:w="3652" w:type="dxa"/>
          </w:tcPr>
          <w:p w:rsidR="001D37D5" w:rsidRPr="001D37D5" w:rsidRDefault="001D37D5" w:rsidP="001D37D5">
            <w:r>
              <w:t>W</w:t>
            </w:r>
            <w:r w:rsidRPr="001D37D5">
              <w:t>e should rely more on estimates of the utilisation rate from implied market value studies as they are direct evidence on the value of imputation credits to investors.</w:t>
            </w:r>
            <w:r w:rsidRPr="001D37D5">
              <w:rPr>
                <w:rStyle w:val="FootnoteReference"/>
              </w:rPr>
              <w:footnoteReference w:id="181"/>
            </w:r>
            <w:r w:rsidRPr="001D37D5">
              <w:t xml:space="preserve"> </w:t>
            </w:r>
          </w:p>
          <w:p w:rsidR="001D37D5" w:rsidRPr="001D37D5" w:rsidRDefault="001D37D5" w:rsidP="001D37D5">
            <w:pPr>
              <w:rPr>
                <w:rStyle w:val="AERtextitalic"/>
              </w:rPr>
            </w:pPr>
            <w:r>
              <w:t>T</w:t>
            </w:r>
            <w:r w:rsidRPr="001D37D5">
              <w:t>he Tribunal considered implied market value studies are best placed to capture the considerations investors make in determining the utilisation rate (or the worth of imputation credits to them).</w:t>
            </w:r>
            <w:r w:rsidRPr="001D37D5">
              <w:rPr>
                <w:rStyle w:val="FootnoteReference"/>
              </w:rPr>
              <w:footnoteReference w:id="182"/>
            </w:r>
          </w:p>
        </w:tc>
        <w:tc>
          <w:tcPr>
            <w:tcW w:w="4394" w:type="dxa"/>
          </w:tcPr>
          <w:p w:rsidR="001D37D5" w:rsidRPr="001D37D5" w:rsidRDefault="001D37D5" w:rsidP="001D37D5">
            <w:r>
              <w:t xml:space="preserve">See </w:t>
            </w:r>
            <w:r w:rsidRPr="001D37D5">
              <w:t>response under 'Conceptual framework'.</w:t>
            </w:r>
          </w:p>
          <w:p w:rsidR="001D37D5" w:rsidRPr="001D37D5" w:rsidRDefault="001D37D5" w:rsidP="001D37D5">
            <w:r>
              <w:t>E</w:t>
            </w:r>
            <w:r w:rsidRPr="001D37D5">
              <w:t>ven when adjusted for the impacts of differential personal taxation, we consider limited reliance should be placed on the results of these studies. This is because these studies have a range of limitations, including that they do not clearly measure the utilisation value to long term investors.</w:t>
            </w:r>
          </w:p>
          <w:p w:rsidR="001D37D5" w:rsidRPr="001D37D5" w:rsidRDefault="001D37D5" w:rsidP="001D37D5">
            <w:r>
              <w:t>We consider m</w:t>
            </w:r>
            <w:r w:rsidRPr="001D37D5">
              <w:t>arket value studies do not provide a post-tax estimate of the utilisation rate unless they are corrected for the impact of differential personal taxation on capital gains and dividend income. Without this adjustment they are inconsistent with the Officer framework.</w:t>
            </w:r>
          </w:p>
          <w:p w:rsidR="001D37D5" w:rsidRDefault="001D37D5" w:rsidP="001D37D5"/>
        </w:tc>
        <w:tc>
          <w:tcPr>
            <w:tcW w:w="851" w:type="dxa"/>
          </w:tcPr>
          <w:p w:rsidR="001D37D5" w:rsidRPr="001D37D5" w:rsidRDefault="001D37D5" w:rsidP="001D37D5">
            <w:r w:rsidRPr="001D37D5">
              <w:fldChar w:fldCharType="begin"/>
            </w:r>
            <w:r w:rsidRPr="001D37D5">
              <w:instrText xml:space="preserve"> REF _Ref450761230 \r \h </w:instrText>
            </w:r>
            <w:r w:rsidRPr="001D37D5">
              <w:fldChar w:fldCharType="separate"/>
            </w:r>
            <w:r w:rsidR="00A02D8C">
              <w:t>4.4.1</w:t>
            </w:r>
            <w:r w:rsidRPr="001D37D5">
              <w:fldChar w:fldCharType="end"/>
            </w:r>
          </w:p>
          <w:p w:rsidR="001D37D5" w:rsidRDefault="001D37D5" w:rsidP="001D37D5">
            <w:r>
              <w:t>A.15</w:t>
            </w:r>
          </w:p>
        </w:tc>
      </w:tr>
      <w:tr w:rsidR="001D37D5" w:rsidTr="005E1FC3">
        <w:trPr>
          <w:cnfStyle w:val="000000010000" w:firstRow="0" w:lastRow="0" w:firstColumn="0" w:lastColumn="0" w:oddVBand="0" w:evenVBand="0" w:oddHBand="0" w:evenHBand="1" w:firstRowFirstColumn="0" w:firstRowLastColumn="0" w:lastRowFirstColumn="0" w:lastRowLastColumn="0"/>
        </w:trPr>
        <w:tc>
          <w:tcPr>
            <w:tcW w:w="3652" w:type="dxa"/>
          </w:tcPr>
          <w:p w:rsidR="001D37D5" w:rsidRPr="001D37D5" w:rsidRDefault="001D37D5" w:rsidP="001D37D5">
            <w:r>
              <w:t>We should rely exclusively on SFG's study</w:t>
            </w:r>
            <w:r w:rsidRPr="001D37D5">
              <w:t>, which suggests a best estimate of 0.35 for the utilisation rate</w:t>
            </w:r>
            <w:r w:rsidRPr="001D37D5">
              <w:rPr>
                <w:rStyle w:val="FootnoteReference"/>
              </w:rPr>
              <w:footnoteReference w:id="183"/>
            </w:r>
          </w:p>
        </w:tc>
        <w:tc>
          <w:tcPr>
            <w:tcW w:w="4394" w:type="dxa"/>
          </w:tcPr>
          <w:p w:rsidR="001D37D5" w:rsidRPr="001D37D5" w:rsidRDefault="001D37D5" w:rsidP="001D37D5">
            <w:r>
              <w:t>See response to '</w:t>
            </w:r>
            <w:r w:rsidRPr="001D37D5">
              <w:t>We should rely more on estimates of the utilisation rate from implied market value studies'.</w:t>
            </w:r>
          </w:p>
          <w:p w:rsidR="001D37D5" w:rsidRPr="001D37D5" w:rsidRDefault="001D37D5" w:rsidP="001D37D5">
            <w:r>
              <w:t>W</w:t>
            </w:r>
            <w:r w:rsidRPr="001D37D5">
              <w:t xml:space="preserve">e do not consider it appropriate to rely exclusively on implied market value studies (or SFG's single dividend drop off study). Even if we were to rely solely on SFG's study, we consider it does not support a gamma of 0.25. This is because the estimate of the utilisation rate requires an adjustment for factors that suggest investors value a dollar of dividends at less than one dollar. </w:t>
            </w:r>
          </w:p>
        </w:tc>
        <w:tc>
          <w:tcPr>
            <w:tcW w:w="851" w:type="dxa"/>
          </w:tcPr>
          <w:p w:rsidR="001D37D5" w:rsidRDefault="001D37D5" w:rsidP="001D37D5">
            <w:r>
              <w:t>4.4</w:t>
            </w:r>
          </w:p>
          <w:p w:rsidR="001D37D5" w:rsidRDefault="001D37D5" w:rsidP="001D37D5">
            <w:r>
              <w:t>4.4.1</w:t>
            </w:r>
          </w:p>
        </w:tc>
      </w:tr>
      <w:tr w:rsidR="001D37D5" w:rsidTr="005E1FC3">
        <w:tc>
          <w:tcPr>
            <w:tcW w:w="3652" w:type="dxa"/>
          </w:tcPr>
          <w:p w:rsidR="001D37D5" w:rsidRPr="001D37D5" w:rsidRDefault="001D37D5" w:rsidP="001D37D5">
            <w:r>
              <w:t>T</w:t>
            </w:r>
            <w:r w:rsidRPr="001D37D5">
              <w:t>he use of implied market value studies to estimate the utilisation rate (and thus gamma) is consistent with the approach to estimating other rate of return parameters.</w:t>
            </w:r>
            <w:r w:rsidRPr="001D37D5">
              <w:rPr>
                <w:rStyle w:val="FootnoteReference"/>
              </w:rPr>
              <w:footnoteReference w:id="184"/>
            </w:r>
          </w:p>
        </w:tc>
        <w:tc>
          <w:tcPr>
            <w:tcW w:w="4394" w:type="dxa"/>
          </w:tcPr>
          <w:p w:rsidR="001D37D5" w:rsidRPr="001D37D5" w:rsidRDefault="001D37D5" w:rsidP="001D37D5">
            <w:r>
              <w:t xml:space="preserve">We disagree. See </w:t>
            </w:r>
            <w:r w:rsidRPr="001D37D5">
              <w:t>response under 'Conceptual framework'.</w:t>
            </w:r>
          </w:p>
        </w:tc>
        <w:tc>
          <w:tcPr>
            <w:tcW w:w="851" w:type="dxa"/>
          </w:tcPr>
          <w:p w:rsidR="001D37D5" w:rsidRPr="001D37D5" w:rsidRDefault="001D37D5" w:rsidP="001D37D5">
            <w:r w:rsidRPr="001D37D5">
              <w:fldChar w:fldCharType="begin"/>
            </w:r>
            <w:r w:rsidRPr="001D37D5">
              <w:instrText xml:space="preserve"> REF _Ref450298425 \r \h </w:instrText>
            </w:r>
            <w:r w:rsidRPr="001D37D5">
              <w:fldChar w:fldCharType="separate"/>
            </w:r>
            <w:r w:rsidR="00A02D8C">
              <w:t>A.8.2</w:t>
            </w:r>
            <w:r w:rsidRPr="001D37D5">
              <w:fldChar w:fldCharType="end"/>
            </w:r>
          </w:p>
          <w:p w:rsidR="001D37D5" w:rsidRDefault="001D37D5" w:rsidP="001D37D5">
            <w:r>
              <w:t>A.15</w:t>
            </w:r>
          </w:p>
        </w:tc>
      </w:tr>
      <w:tr w:rsidR="001D37D5" w:rsidTr="005E1FC3">
        <w:trPr>
          <w:cnfStyle w:val="000000010000" w:firstRow="0" w:lastRow="0" w:firstColumn="0" w:lastColumn="0" w:oddVBand="0" w:evenVBand="0" w:oddHBand="0" w:evenHBand="1" w:firstRowFirstColumn="0" w:firstRowLastColumn="0" w:lastRowFirstColumn="0" w:lastRowLastColumn="0"/>
        </w:trPr>
        <w:tc>
          <w:tcPr>
            <w:tcW w:w="3652" w:type="dxa"/>
          </w:tcPr>
          <w:p w:rsidR="001D37D5" w:rsidRPr="001D37D5" w:rsidRDefault="001D37D5" w:rsidP="001D37D5">
            <w:r>
              <w:lastRenderedPageBreak/>
              <w:t xml:space="preserve">Under our conceptual approach to gamma, the appropriate adjustment to </w:t>
            </w:r>
            <w:r w:rsidRPr="001D37D5">
              <w:t>the results of SFG's study results in a gamma of 0.3. However, this adjustment is not necessary because our conceptual approach is incorrect.</w:t>
            </w:r>
            <w:r w:rsidRPr="001D37D5">
              <w:rPr>
                <w:rStyle w:val="FootnoteReference"/>
              </w:rPr>
              <w:footnoteReference w:id="185"/>
            </w:r>
          </w:p>
        </w:tc>
        <w:tc>
          <w:tcPr>
            <w:tcW w:w="4394" w:type="dxa"/>
          </w:tcPr>
          <w:p w:rsidR="001D37D5" w:rsidRPr="001D37D5" w:rsidRDefault="001D37D5" w:rsidP="001D37D5">
            <w:r>
              <w:t xml:space="preserve">See </w:t>
            </w:r>
            <w:r w:rsidRPr="001D37D5">
              <w:t>response under 'Conceptual framework'.</w:t>
            </w:r>
          </w:p>
          <w:p w:rsidR="001D37D5" w:rsidRDefault="001D37D5" w:rsidP="001D37D5">
            <w:r>
              <w:t>We disagree and consider the Handley/Lally adjustment is necessary.</w:t>
            </w:r>
          </w:p>
        </w:tc>
        <w:tc>
          <w:tcPr>
            <w:tcW w:w="851" w:type="dxa"/>
          </w:tcPr>
          <w:p w:rsidR="001D37D5" w:rsidRPr="001D37D5" w:rsidRDefault="001D37D5" w:rsidP="001D37D5">
            <w:r w:rsidRPr="001D37D5">
              <w:fldChar w:fldCharType="begin"/>
            </w:r>
            <w:r w:rsidRPr="001D37D5">
              <w:instrText xml:space="preserve"> REF _Ref450761230 \r \h </w:instrText>
            </w:r>
            <w:r w:rsidRPr="001D37D5">
              <w:fldChar w:fldCharType="separate"/>
            </w:r>
            <w:r w:rsidR="00A02D8C">
              <w:t>4.4.1</w:t>
            </w:r>
            <w:r w:rsidRPr="001D37D5">
              <w:fldChar w:fldCharType="end"/>
            </w:r>
          </w:p>
          <w:p w:rsidR="001D37D5" w:rsidRDefault="001D37D5" w:rsidP="001D37D5">
            <w:r>
              <w:t>A.15</w:t>
            </w:r>
          </w:p>
        </w:tc>
      </w:tr>
      <w:tr w:rsidR="001D37D5" w:rsidTr="005E1FC3">
        <w:tc>
          <w:tcPr>
            <w:tcW w:w="3652" w:type="dxa"/>
          </w:tcPr>
          <w:p w:rsidR="001D37D5" w:rsidRPr="001D37D5" w:rsidRDefault="001D37D5" w:rsidP="001D37D5">
            <w:r>
              <w:t>S</w:t>
            </w:r>
            <w:r w:rsidRPr="001D37D5">
              <w:t>everal of the limitations that we have identified as applying to implied market value studies do not apply to SFG's study, which has not been assessed individually on its merits</w:t>
            </w:r>
            <w:r w:rsidRPr="001D37D5">
              <w:rPr>
                <w:rStyle w:val="FootnoteReference"/>
              </w:rPr>
              <w:footnoteReference w:id="186"/>
            </w:r>
          </w:p>
        </w:tc>
        <w:tc>
          <w:tcPr>
            <w:tcW w:w="4394" w:type="dxa"/>
          </w:tcPr>
          <w:p w:rsidR="001D37D5" w:rsidRDefault="001D37D5" w:rsidP="001D37D5">
            <w:r>
              <w:t>We consider the key limitations that apply to implied market value studies also apply to SFG's study.</w:t>
            </w:r>
          </w:p>
        </w:tc>
        <w:tc>
          <w:tcPr>
            <w:tcW w:w="851" w:type="dxa"/>
          </w:tcPr>
          <w:p w:rsidR="001D37D5" w:rsidRDefault="001D37D5" w:rsidP="001D37D5">
            <w:r>
              <w:t>A.15</w:t>
            </w:r>
          </w:p>
        </w:tc>
      </w:tr>
      <w:tr w:rsidR="001D37D5" w:rsidTr="005E1FC3">
        <w:trPr>
          <w:cnfStyle w:val="000000010000" w:firstRow="0" w:lastRow="0" w:firstColumn="0" w:lastColumn="0" w:oddVBand="0" w:evenVBand="0" w:oddHBand="0" w:evenHBand="1" w:firstRowFirstColumn="0" w:firstRowLastColumn="0" w:lastRowFirstColumn="0" w:lastRowLastColumn="0"/>
        </w:trPr>
        <w:tc>
          <w:tcPr>
            <w:tcW w:w="3652" w:type="dxa"/>
          </w:tcPr>
          <w:p w:rsidR="001D37D5" w:rsidRPr="001D37D5" w:rsidRDefault="001D37D5" w:rsidP="001D37D5">
            <w:r>
              <w:t xml:space="preserve">Instead of adjusting the estimate of the utilisation rate (theta) to correct for </w:t>
            </w:r>
            <w:r w:rsidRPr="001D37D5">
              <w:t>the apparent incorrect valuation of cash dividends, the appropriate response is not to adjust the theta estimate. Rather it is to adjust the allowed return on equity.</w:t>
            </w:r>
            <w:r w:rsidRPr="001D37D5">
              <w:rPr>
                <w:rStyle w:val="FootnoteReference"/>
              </w:rPr>
              <w:footnoteReference w:id="187"/>
            </w:r>
          </w:p>
        </w:tc>
        <w:tc>
          <w:tcPr>
            <w:tcW w:w="4394" w:type="dxa"/>
          </w:tcPr>
          <w:p w:rsidR="001D37D5" w:rsidRPr="001D37D5" w:rsidRDefault="001D37D5" w:rsidP="001D37D5">
            <w:r w:rsidRPr="00C80AFF">
              <w:t>We consider that such an adjustment to the allowed return on equity would not be appropriate. The post-co</w:t>
            </w:r>
            <w:r w:rsidRPr="001D37D5">
              <w:t xml:space="preserve">mpany tax and pre-personal tax required return on the equities market is reflective of the face value of dividends paid in the market, not a higher amount. We also note the equities market sets equilibrium prices based on the expected post-tax returns to shareholders (post-tax dividends, post-tax capital gains and post-tax imputation credits). </w:t>
            </w:r>
          </w:p>
        </w:tc>
        <w:tc>
          <w:tcPr>
            <w:tcW w:w="851" w:type="dxa"/>
          </w:tcPr>
          <w:p w:rsidR="001D37D5" w:rsidRDefault="001D37D5" w:rsidP="001D37D5"/>
        </w:tc>
      </w:tr>
      <w:tr w:rsidR="001D37D5" w:rsidTr="005E1FC3">
        <w:tc>
          <w:tcPr>
            <w:tcW w:w="3652" w:type="dxa"/>
          </w:tcPr>
          <w:p w:rsidR="001D37D5" w:rsidRPr="001D37D5" w:rsidRDefault="001D37D5" w:rsidP="001D37D5">
            <w:r w:rsidRPr="006B5C23">
              <w:rPr>
                <w:rStyle w:val="Strong"/>
              </w:rPr>
              <w:t>Other</w:t>
            </w:r>
          </w:p>
        </w:tc>
        <w:tc>
          <w:tcPr>
            <w:tcW w:w="4394" w:type="dxa"/>
          </w:tcPr>
          <w:p w:rsidR="001D37D5" w:rsidRDefault="001D37D5" w:rsidP="001D37D5"/>
        </w:tc>
        <w:tc>
          <w:tcPr>
            <w:tcW w:w="851" w:type="dxa"/>
          </w:tcPr>
          <w:p w:rsidR="001D37D5" w:rsidRDefault="001D37D5" w:rsidP="001D37D5"/>
        </w:tc>
      </w:tr>
      <w:tr w:rsidR="001D37D5" w:rsidTr="005E1FC3">
        <w:trPr>
          <w:cnfStyle w:val="000000010000" w:firstRow="0" w:lastRow="0" w:firstColumn="0" w:lastColumn="0" w:oddVBand="0" w:evenVBand="0" w:oddHBand="0" w:evenHBand="1" w:firstRowFirstColumn="0" w:firstRowLastColumn="0" w:lastRowFirstColumn="0" w:lastRowLastColumn="0"/>
        </w:trPr>
        <w:tc>
          <w:tcPr>
            <w:tcW w:w="3652" w:type="dxa"/>
          </w:tcPr>
          <w:p w:rsidR="001D37D5" w:rsidRPr="001D37D5" w:rsidRDefault="001D37D5" w:rsidP="001D37D5">
            <w:r w:rsidRPr="00E82D06">
              <w:t>There is an inconsistency between the corporate income tax and the allowed rate of return.</w:t>
            </w:r>
            <w:r w:rsidRPr="001D37D5">
              <w:rPr>
                <w:rStyle w:val="FootnoteReference"/>
              </w:rPr>
              <w:footnoteReference w:id="188"/>
            </w:r>
          </w:p>
        </w:tc>
        <w:tc>
          <w:tcPr>
            <w:tcW w:w="4394" w:type="dxa"/>
          </w:tcPr>
          <w:p w:rsidR="001D37D5" w:rsidRPr="001D37D5" w:rsidRDefault="001D37D5" w:rsidP="001D37D5">
            <w:r>
              <w:t>We disagree. We discuss this</w:t>
            </w:r>
            <w:r w:rsidRPr="001D37D5">
              <w:t xml:space="preserve"> in detail in section C.6 of Attachment 3.</w:t>
            </w:r>
          </w:p>
        </w:tc>
        <w:tc>
          <w:tcPr>
            <w:tcW w:w="851" w:type="dxa"/>
          </w:tcPr>
          <w:p w:rsidR="001D37D5" w:rsidRDefault="001D37D5" w:rsidP="001D37D5"/>
        </w:tc>
      </w:tr>
    </w:tbl>
    <w:p w:rsidR="001D37D5" w:rsidRDefault="001D37D5" w:rsidP="001D37D5">
      <w:pPr>
        <w:pStyle w:val="AERtablesource"/>
      </w:pPr>
      <w:r>
        <w:t>Source:</w:t>
      </w:r>
      <w:r>
        <w:tab/>
        <w:t>AER analysis; service providers' revised proposals; Tribunal decisions.</w:t>
      </w:r>
    </w:p>
    <w:p w:rsidR="001D37D5" w:rsidRPr="00883125" w:rsidRDefault="001D37D5" w:rsidP="001D37D5">
      <w:r>
        <w:t>We have also received a number of submissions on gamma from consumer representatives. These are</w:t>
      </w:r>
      <w:r w:rsidRPr="00031E20">
        <w:t xml:space="preserve"> </w:t>
      </w:r>
      <w:r w:rsidRPr="00883125">
        <w:t>summarised below:</w:t>
      </w:r>
    </w:p>
    <w:p w:rsidR="001D37D5" w:rsidRPr="001D37D5" w:rsidRDefault="001D37D5" w:rsidP="001D37D5">
      <w:pPr>
        <w:pStyle w:val="AERbulletlistfirststyle"/>
      </w:pPr>
      <w:r w:rsidRPr="00883125">
        <w:t>The CCP expressed a view that suggests we should take into account the interrelationship with the corporate tax allowance when determining the value of imputation credits.</w:t>
      </w:r>
      <w:r w:rsidRPr="001D37D5">
        <w:rPr>
          <w:rStyle w:val="FootnoteReference"/>
        </w:rPr>
        <w:footnoteReference w:id="189"/>
      </w:r>
      <w:r w:rsidRPr="001D37D5">
        <w:t xml:space="preserve"> We address this in section </w:t>
      </w:r>
      <w:r w:rsidRPr="001D37D5">
        <w:fldChar w:fldCharType="begin"/>
      </w:r>
      <w:r w:rsidRPr="001D37D5">
        <w:instrText xml:space="preserve"> REF _Ref415070818 \r \h </w:instrText>
      </w:r>
      <w:r w:rsidRPr="001D37D5">
        <w:fldChar w:fldCharType="separate"/>
      </w:r>
      <w:r w:rsidR="00A02D8C">
        <w:t>4.3.4</w:t>
      </w:r>
      <w:r w:rsidRPr="001D37D5">
        <w:fldChar w:fldCharType="end"/>
      </w:r>
      <w:r w:rsidRPr="001D37D5">
        <w:t>.</w:t>
      </w:r>
    </w:p>
    <w:p w:rsidR="001D37D5" w:rsidRPr="001D37D5" w:rsidRDefault="001D37D5" w:rsidP="001D37D5">
      <w:pPr>
        <w:pStyle w:val="AERbulletlistfirststyle"/>
      </w:pPr>
      <w:r w:rsidRPr="00883125">
        <w:lastRenderedPageBreak/>
        <w:t>The Public Interest Advocacy Centre (PIAC) submitted that the Australian Competition Tribunal's decision in 2011 to rely on an estimate of the utilisation rate from the 2011 version of SFG's dividend drop off study should not be viewed as permanently determinative.</w:t>
      </w:r>
      <w:r w:rsidRPr="001D37D5">
        <w:rPr>
          <w:rStyle w:val="FootnoteReference"/>
        </w:rPr>
        <w:footnoteReference w:id="190"/>
      </w:r>
      <w:r w:rsidRPr="001D37D5">
        <w:t xml:space="preserve"> We agree with these comments in light of the Tribunal's finding that:</w:t>
      </w:r>
      <w:r w:rsidRPr="001D37D5">
        <w:rPr>
          <w:rStyle w:val="FootnoteReference"/>
        </w:rPr>
        <w:footnoteReference w:id="191"/>
      </w:r>
    </w:p>
    <w:p w:rsidR="001D37D5" w:rsidRPr="00883125" w:rsidRDefault="001D37D5" w:rsidP="001D37D5">
      <w:pPr>
        <w:pStyle w:val="AERquote"/>
      </w:pPr>
      <w:r w:rsidRPr="00883125">
        <w:t>Further, the Tribunal notes that estimation of a parameter such as gamma [the value of imputation credits] is necessarily, and desirably, an ongoing intellectual and empirical endeavour. Its decision in these proceedings is based on the material before it.</w:t>
      </w:r>
    </w:p>
    <w:p w:rsidR="001D37D5" w:rsidRPr="001D37D5" w:rsidRDefault="001D37D5" w:rsidP="001D37D5">
      <w:pPr>
        <w:pStyle w:val="AERbulletlistfirststyle"/>
      </w:pPr>
      <w:r w:rsidRPr="00883125">
        <w:t>PIAC also submitted that our draft decisions adequately set out the reasons for departing from the value of imputation credits in the Guideline.</w:t>
      </w:r>
      <w:r w:rsidRPr="001D37D5">
        <w:rPr>
          <w:rStyle w:val="FootnoteReference"/>
        </w:rPr>
        <w:footnoteReference w:id="192"/>
      </w:r>
    </w:p>
    <w:p w:rsidR="001D37D5" w:rsidRPr="001D37D5" w:rsidRDefault="001D37D5" w:rsidP="001D37D5">
      <w:pPr>
        <w:pStyle w:val="AERbulletlistfirststyle"/>
      </w:pPr>
      <w:r w:rsidRPr="00883125">
        <w:t>The Energy Markets Reform Forum (EMRF) submitted that our estimates of the utilisation and distribution rates are lower (and, therefore more favourable to service providers) than those relevant to a pure play energy network (which is the benchmark efficient entity for setting the rate of return).</w:t>
      </w:r>
      <w:r w:rsidRPr="001D37D5">
        <w:rPr>
          <w:rStyle w:val="FootnoteReference"/>
        </w:rPr>
        <w:footnoteReference w:id="193"/>
      </w:r>
      <w:r w:rsidRPr="001D37D5">
        <w:t xml:space="preserve"> The EMRF also submitted that we should consider actual industry practices when determining the value of imputation credits—for example, the EMRF submitted that none of APA Group, Envestra Limited (pre-sale) or JGN's parent company had balances in their franking accounts.</w:t>
      </w:r>
      <w:r w:rsidRPr="001D37D5">
        <w:rPr>
          <w:rStyle w:val="FootnoteReference"/>
        </w:rPr>
        <w:footnoteReference w:id="194"/>
      </w:r>
      <w:r w:rsidRPr="001D37D5">
        <w:t xml:space="preserve"> To clarify, we have interpreted and estimated the value of imputation credits consistently with Officer's 1994 paper and related literature, such as Monkhouse. Under this literature, the utilisation rate is a market-wide parameter and the distribution rate is a firm specific parameter. We estimate the utilisation rate on a market-wide basis. Although the distribution rate is a firm specific parameter, we estimate it on a market-wide basis also and our reasons for doing so are set out in the Guideline.</w:t>
      </w:r>
      <w:r w:rsidRPr="001D37D5">
        <w:rPr>
          <w:rStyle w:val="FootnoteReference"/>
        </w:rPr>
        <w:footnoteReference w:id="195"/>
      </w:r>
    </w:p>
    <w:p w:rsidR="001D37D5" w:rsidRPr="001D37D5" w:rsidRDefault="001D37D5" w:rsidP="001D37D5">
      <w:pPr>
        <w:pStyle w:val="AERbulletlistfirststyle"/>
      </w:pPr>
      <w:r w:rsidRPr="00883125">
        <w:t>The South Australian Council of Social Service (SACOSS) submitted, based on advice received from the South Australian Centre for Economic Studies, that evidence was emerging for a value of imputation credits lower than the 0.5 in the Guideline.</w:t>
      </w:r>
      <w:r w:rsidRPr="001D37D5">
        <w:rPr>
          <w:rStyle w:val="FootnoteReference"/>
        </w:rPr>
        <w:footnoteReference w:id="196"/>
      </w:r>
      <w:r w:rsidRPr="001D37D5">
        <w:t xml:space="preserve"> SACOSS supported a value of imputation credits of at least 0.4. In a subsequent submission on the AER's preliminary decision for SA Power Networks SACOSS supported the AER's decision to use the lower estimate of gamma than in the rate of return guideline, although noting its preferred estimate was for a gamma of 0.36. </w:t>
      </w:r>
      <w:r w:rsidRPr="001D37D5">
        <w:lastRenderedPageBreak/>
        <w:t>However, given the AER is reporting gamma to one decimal place SACOSS acknowledged that its preferred estimate of 0.36 concurs with the AER's estimate of 0.4 to one decimal place.</w:t>
      </w:r>
      <w:r w:rsidRPr="001D37D5">
        <w:rPr>
          <w:rStyle w:val="FootnoteReference"/>
        </w:rPr>
        <w:footnoteReference w:id="197"/>
      </w:r>
    </w:p>
    <w:p w:rsidR="001D37D5" w:rsidRPr="001D37D5" w:rsidRDefault="001D37D5" w:rsidP="001D37D5">
      <w:pPr>
        <w:pStyle w:val="AERbulletlistfirststyle"/>
      </w:pPr>
      <w:r w:rsidRPr="00883125">
        <w:t>The Energy Consumers Coalition of South Australia (ECCSA) considered that the service providers (who had submitted regulatory proposals to us in 2014) submitted no new evidence to change our conclusions in the Guideline regarding the value of imputation credits.</w:t>
      </w:r>
      <w:r w:rsidRPr="001D37D5">
        <w:rPr>
          <w:rStyle w:val="FootnoteReference"/>
        </w:rPr>
        <w:footnoteReference w:id="198"/>
      </w:r>
      <w:r w:rsidRPr="001D37D5">
        <w:t xml:space="preserve"> We set out in this decision how and why we have departed from the Guideline. In a subsequent submission on the AER's preliminary decision the ECCSA submitted that 'the AER has moved to a conservative position on the issue of gamma to the detriment of consumers' and it appeared 'the AER has based its assessment on lower utilisation and distribution rates than would otherwise be the case for a pure play energy network which is the benchmark entity for setting the WACC.'</w:t>
      </w:r>
      <w:r w:rsidRPr="001D37D5">
        <w:rPr>
          <w:rStyle w:val="FootnoteReference"/>
        </w:rPr>
        <w:footnoteReference w:id="199"/>
      </w:r>
    </w:p>
    <w:p w:rsidR="001D37D5" w:rsidRPr="001D37D5" w:rsidRDefault="001D37D5" w:rsidP="001D37D5">
      <w:pPr>
        <w:pStyle w:val="AERbulletlistfirststyle"/>
      </w:pPr>
      <w:r w:rsidRPr="00883125">
        <w:t xml:space="preserve">In a submission on </w:t>
      </w:r>
      <w:r w:rsidRPr="001D37D5">
        <w:t>our draft decision for Australian Gas Networks, the ECCSA consider that imposing an assumption that the benchmark entity would frank its dividend to the market average is a conservative assumption.</w:t>
      </w:r>
      <w:r w:rsidRPr="001D37D5">
        <w:rPr>
          <w:rStyle w:val="FootnoteReference"/>
        </w:rPr>
        <w:footnoteReference w:id="200"/>
      </w:r>
      <w:r w:rsidRPr="001D37D5">
        <w:t xml:space="preserve"> The AER considers that the benchmark selected to estimate gamma is appropriate. In section </w:t>
      </w:r>
      <w:r w:rsidRPr="001D37D5">
        <w:fldChar w:fldCharType="begin"/>
      </w:r>
      <w:r w:rsidRPr="001D37D5">
        <w:instrText xml:space="preserve"> REF _Ref403481194 \r \h </w:instrText>
      </w:r>
      <w:r w:rsidRPr="001D37D5">
        <w:fldChar w:fldCharType="separate"/>
      </w:r>
      <w:r w:rsidR="00A02D8C">
        <w:t>A.9.2</w:t>
      </w:r>
      <w:r w:rsidRPr="001D37D5">
        <w:fldChar w:fldCharType="end"/>
      </w:r>
      <w:r w:rsidRPr="001D37D5">
        <w:t xml:space="preserve"> and section </w:t>
      </w:r>
      <w:r w:rsidRPr="001D37D5">
        <w:fldChar w:fldCharType="begin"/>
      </w:r>
      <w:r w:rsidRPr="001D37D5">
        <w:instrText xml:space="preserve"> REF _Ref414289334 \r \h </w:instrText>
      </w:r>
      <w:r w:rsidRPr="001D37D5">
        <w:fldChar w:fldCharType="separate"/>
      </w:r>
      <w:r w:rsidR="00A02D8C">
        <w:t>A.10.1</w:t>
      </w:r>
      <w:r w:rsidRPr="001D37D5">
        <w:fldChar w:fldCharType="end"/>
      </w:r>
      <w:r w:rsidRPr="001D37D5">
        <w:t>, the AER considers that benchmark should be assessed holistically. Further, the ECCSA stated that it is inappropriate to reward offshore investors in energy networks by providing extra revenue when they have made a conscious decision to invest even though they gain no benefit from imputation.</w:t>
      </w:r>
      <w:r w:rsidRPr="001D37D5">
        <w:rPr>
          <w:rStyle w:val="FootnoteReference"/>
        </w:rPr>
        <w:footnoteReference w:id="201"/>
      </w:r>
      <w:r w:rsidRPr="001D37D5">
        <w:t xml:space="preserve"> In response, the AER considers that gamma and the return on equity are estimated on a consistent basis.</w:t>
      </w:r>
    </w:p>
    <w:p w:rsidR="001D37D5" w:rsidRPr="001D37D5" w:rsidRDefault="001D37D5" w:rsidP="001D37D5">
      <w:pPr>
        <w:pStyle w:val="AERbulletlistfirststyle"/>
      </w:pPr>
      <w:r w:rsidRPr="00883125">
        <w:t>The Queensland Council of Social Service (QCOSS) submitted a 'more even-handed and consistent approach' would be a value of imputation credits of 0.5 as per the Guideline.</w:t>
      </w:r>
      <w:r w:rsidRPr="001D37D5">
        <w:rPr>
          <w:rStyle w:val="FootnoteReference"/>
        </w:rPr>
        <w:footnoteReference w:id="202"/>
      </w:r>
      <w:r w:rsidRPr="001D37D5">
        <w:t xml:space="preserve"> QCOSS had regard to a recent decision by the Queensland Competition Authority for a value of 0.47. We set out in this decision why we consider 0.4 to be the best estimate from within the range 0.3 to 0.5.</w:t>
      </w:r>
    </w:p>
    <w:p w:rsidR="001D37D5" w:rsidRPr="001D37D5" w:rsidRDefault="001D37D5" w:rsidP="001D37D5">
      <w:pPr>
        <w:pStyle w:val="AERbulletlistfirststyle"/>
      </w:pPr>
      <w:r w:rsidRPr="00883125">
        <w:t>The Alliance of Electricity Consumers (the Alliance) employed a value of imputation credits of 0.25 in its estimation of an efficient rate of return.</w:t>
      </w:r>
      <w:r w:rsidRPr="001D37D5">
        <w:rPr>
          <w:rStyle w:val="FootnoteReference"/>
        </w:rPr>
        <w:footnoteReference w:id="203"/>
      </w:r>
      <w:r w:rsidRPr="001D37D5">
        <w:t xml:space="preserve"> However, the Alliance provided no discussion or justification for the use of this estimate. Regardless, the Alliance submitted that the appropriate rate of return was 3.76 per cent, which is less than half the rate of return typically proposed by the service providers.</w:t>
      </w:r>
    </w:p>
    <w:p w:rsidR="001D37D5" w:rsidRPr="001D37D5" w:rsidRDefault="001D37D5" w:rsidP="001D37D5">
      <w:pPr>
        <w:pStyle w:val="AERbulletlistfirststyle"/>
      </w:pPr>
      <w:r w:rsidRPr="00883125">
        <w:lastRenderedPageBreak/>
        <w:t>UnitingCare Australia supported our value for gamma, if a value for gamma is necessary.</w:t>
      </w:r>
      <w:r w:rsidRPr="001D37D5">
        <w:rPr>
          <w:rStyle w:val="FootnoteReference"/>
        </w:rPr>
        <w:footnoteReference w:id="204"/>
      </w:r>
      <w:bookmarkStart w:id="152" w:name="_Toc450119234"/>
      <w:bookmarkStart w:id="153" w:name="_Toc450119396"/>
      <w:bookmarkStart w:id="154" w:name="_Toc450119236"/>
      <w:bookmarkStart w:id="155" w:name="_Toc450119398"/>
      <w:bookmarkStart w:id="156" w:name="_Toc450119239"/>
      <w:bookmarkStart w:id="157" w:name="_Toc450119401"/>
      <w:bookmarkEnd w:id="152"/>
      <w:bookmarkEnd w:id="153"/>
      <w:bookmarkEnd w:id="154"/>
      <w:bookmarkEnd w:id="155"/>
      <w:bookmarkEnd w:id="156"/>
      <w:bookmarkEnd w:id="157"/>
    </w:p>
    <w:p w:rsidR="001D37D5" w:rsidRPr="00883125" w:rsidRDefault="001D37D5" w:rsidP="001D37D5"/>
    <w:p w:rsidR="001D37D5" w:rsidRPr="00883125" w:rsidRDefault="001D37D5" w:rsidP="001D37D5">
      <w:pPr>
        <w:pStyle w:val="Heading7"/>
      </w:pPr>
      <w:bookmarkStart w:id="158" w:name="_Toc436049441"/>
      <w:bookmarkStart w:id="159" w:name="_Toc451842245"/>
      <w:bookmarkStart w:id="160" w:name="_Toc451938301"/>
      <w:r w:rsidRPr="00883125">
        <w:lastRenderedPageBreak/>
        <w:t>Value of imputation credits: Detailed analysis</w:t>
      </w:r>
      <w:bookmarkEnd w:id="158"/>
      <w:bookmarkEnd w:id="159"/>
      <w:bookmarkEnd w:id="160"/>
    </w:p>
    <w:p w:rsidR="001D37D5" w:rsidRPr="00883125" w:rsidRDefault="001D37D5" w:rsidP="001D37D5">
      <w:r w:rsidRPr="00883125">
        <w:t>In attachment 4, we set out our decision on the value of imputation credits</w:t>
      </w:r>
      <w:r>
        <w:t xml:space="preserve"> (gamma)</w:t>
      </w:r>
      <w:r w:rsidRPr="00883125">
        <w:t>—which is to adopt a value of 0.4—and our key reasons for that view. We also indicated the position submitted to us by the service providers and briefly set out our consideration of that position. In this appendix, we set out further supporting material for our decision on the value of imputation credits. We also respond in more detail to the position submitted to us by the service providers.</w:t>
      </w:r>
    </w:p>
    <w:p w:rsidR="001D37D5" w:rsidRDefault="001D37D5" w:rsidP="001D37D5">
      <w:r w:rsidRPr="00883125">
        <w:t>All of the service providers proposed a value of imputation credits of 0.25. The reasons submitted by the service providers in their initial and revised proposals were largely the same. The only new material that was submitted as part of the revised proposal was a consultant report by Frontier Economics.</w:t>
      </w:r>
      <w:r w:rsidRPr="00883125">
        <w:rPr>
          <w:rStyle w:val="FootnoteReference"/>
        </w:rPr>
        <w:footnoteReference w:id="205"/>
      </w:r>
      <w:r w:rsidRPr="00883125">
        <w:t xml:space="preserve"> The substance of this report is largely unchanged from earlier expert material submitted by the service providers and considered in our draft decisions. </w:t>
      </w:r>
      <w:r>
        <w:t>However, the Frontier Economics report has updated values for the distribution rate and the tax statistics which are considered in this final decision.</w:t>
      </w:r>
    </w:p>
    <w:p w:rsidR="001D37D5" w:rsidRPr="00883125" w:rsidRDefault="001D37D5" w:rsidP="001D37D5">
      <w:r>
        <w:t>In addition, as set out in section 4.1, the Australian Competition Tribunal (Tribunal) released its decisions for a number of service providers on 26 February 2016. Following this</w:t>
      </w:r>
      <w:r w:rsidRPr="00883125">
        <w:t xml:space="preserve">, </w:t>
      </w:r>
      <w:r>
        <w:t>four</w:t>
      </w:r>
      <w:r w:rsidRPr="00883125">
        <w:t xml:space="preserve"> service providers </w:t>
      </w:r>
      <w:r>
        <w:t>filed late submissions</w:t>
      </w:r>
      <w:r w:rsidRPr="00883125">
        <w:t xml:space="preserve"> in support of </w:t>
      </w:r>
      <w:r>
        <w:t xml:space="preserve">a </w:t>
      </w:r>
      <w:r w:rsidRPr="00883125">
        <w:t xml:space="preserve">value of </w:t>
      </w:r>
      <w:r>
        <w:t xml:space="preserve">imputation credits of </w:t>
      </w:r>
      <w:r w:rsidRPr="00883125">
        <w:t>0.25</w:t>
      </w:r>
      <w:r>
        <w:t>, referencing</w:t>
      </w:r>
      <w:r w:rsidRPr="00883125">
        <w:t xml:space="preserve"> the </w:t>
      </w:r>
      <w:r>
        <w:t xml:space="preserve">recent </w:t>
      </w:r>
      <w:r w:rsidRPr="00883125">
        <w:t>Tribunal decision</w:t>
      </w:r>
      <w:r>
        <w:t>s</w:t>
      </w:r>
      <w:r w:rsidRPr="00883125">
        <w:t xml:space="preserve"> in support of their position.</w:t>
      </w:r>
      <w:r>
        <w:rPr>
          <w:rStyle w:val="FootnoteReference"/>
        </w:rPr>
        <w:footnoteReference w:id="206"/>
      </w:r>
      <w:r w:rsidRPr="00883125">
        <w:t xml:space="preserve"> Consistent with our draft decision, in this final decision we have adopted a value of 0.4 for gamma. We remain of the view 0.4 is appropriate having given careful consideration to all the material before us. </w:t>
      </w:r>
      <w:r>
        <w:t>This includes the late submissions by a number of service providers, and a report we commissioned from Dr Martin Lally (Lally) following the late submissions. However, given the timing of the late submissions, we have had limited time to review the material.</w:t>
      </w:r>
      <w:r w:rsidRPr="00BE07EB">
        <w:t xml:space="preserve"> </w:t>
      </w:r>
    </w:p>
    <w:p w:rsidR="001D37D5" w:rsidRDefault="001D37D5" w:rsidP="001D37D5">
      <w:r>
        <w:t>This appendix is structured under the following headings:</w:t>
      </w:r>
    </w:p>
    <w:p w:rsidR="001D37D5" w:rsidRPr="001D37D5" w:rsidRDefault="001D37D5" w:rsidP="001D37D5">
      <w:pPr>
        <w:pStyle w:val="AERbulletlistfirststyle"/>
      </w:pPr>
      <w:r>
        <w:t>expert views</w:t>
      </w:r>
      <w:r w:rsidRPr="001D37D5">
        <w:t xml:space="preserve"> on the value of imputation credits</w:t>
      </w:r>
      <w:r w:rsidRPr="001D37D5" w:rsidDel="00BD4879">
        <w:t xml:space="preserve"> </w:t>
      </w:r>
    </w:p>
    <w:p w:rsidR="001D37D5" w:rsidRPr="001D37D5" w:rsidRDefault="001D37D5" w:rsidP="001D37D5">
      <w:pPr>
        <w:pStyle w:val="AERbulletlistfirststyle"/>
      </w:pPr>
      <w:r>
        <w:t xml:space="preserve">the </w:t>
      </w:r>
      <w:r w:rsidRPr="001D37D5">
        <w:t>value of imputation credits used by other regulators</w:t>
      </w:r>
      <w:r w:rsidRPr="001D37D5" w:rsidDel="00BD4879">
        <w:t xml:space="preserve"> </w:t>
      </w:r>
    </w:p>
    <w:p w:rsidR="001D37D5" w:rsidRPr="001D37D5" w:rsidRDefault="001D37D5" w:rsidP="001D37D5">
      <w:pPr>
        <w:pStyle w:val="AERbulletlistfirststyle"/>
      </w:pPr>
      <w:r>
        <w:t xml:space="preserve">previous </w:t>
      </w:r>
      <w:r w:rsidRPr="001D37D5">
        <w:t>Australian Competition Tribunal (Tribunal) considerations</w:t>
      </w:r>
    </w:p>
    <w:p w:rsidR="001D37D5" w:rsidRPr="001D37D5" w:rsidRDefault="001D37D5" w:rsidP="001D37D5">
      <w:pPr>
        <w:pStyle w:val="AERbulletlistfirststyle"/>
      </w:pPr>
      <w:r>
        <w:t>key</w:t>
      </w:r>
      <w:r w:rsidRPr="001D37D5" w:rsidDel="00BD4879">
        <w:t xml:space="preserve"> </w:t>
      </w:r>
      <w:r w:rsidRPr="001D37D5">
        <w:t>concerns of the service providers</w:t>
      </w:r>
      <w:r w:rsidRPr="001D37D5" w:rsidDel="00BD4879">
        <w:t xml:space="preserve"> </w:t>
      </w:r>
    </w:p>
    <w:p w:rsidR="001D37D5" w:rsidRPr="001D37D5" w:rsidRDefault="001D37D5" w:rsidP="001D37D5">
      <w:pPr>
        <w:pStyle w:val="AERbulletlistfirststyle"/>
      </w:pPr>
      <w:r>
        <w:t xml:space="preserve">the </w:t>
      </w:r>
      <w:r w:rsidRPr="001D37D5">
        <w:t>role of the value of imputation credits in the regulatory framework</w:t>
      </w:r>
      <w:r w:rsidRPr="001D37D5" w:rsidDel="00BD4879">
        <w:t xml:space="preserve"> </w:t>
      </w:r>
    </w:p>
    <w:p w:rsidR="001D37D5" w:rsidRPr="001D37D5" w:rsidRDefault="001D37D5" w:rsidP="001D37D5">
      <w:pPr>
        <w:pStyle w:val="AERbulletlistfirststyle"/>
      </w:pPr>
      <w:r>
        <w:t xml:space="preserve">the </w:t>
      </w:r>
      <w:r w:rsidRPr="001D37D5">
        <w:t>conceptual framework for the value of imputation credits</w:t>
      </w:r>
      <w:r w:rsidRPr="001D37D5" w:rsidDel="00BD4879">
        <w:t xml:space="preserve"> </w:t>
      </w:r>
    </w:p>
    <w:p w:rsidR="001D37D5" w:rsidRPr="001D37D5" w:rsidRDefault="001D37D5" w:rsidP="001D37D5">
      <w:pPr>
        <w:pStyle w:val="AERbulletlistfirststyle"/>
      </w:pPr>
      <w:r>
        <w:t xml:space="preserve">Professor Stephen Gray's (Gray's) </w:t>
      </w:r>
      <w:r w:rsidRPr="001D37D5">
        <w:t>comments on the conceptual framework</w:t>
      </w:r>
    </w:p>
    <w:p w:rsidR="001D37D5" w:rsidRPr="001D37D5" w:rsidRDefault="001D37D5" w:rsidP="001D37D5">
      <w:pPr>
        <w:pStyle w:val="AERbulletlistfirststyle"/>
      </w:pPr>
      <w:r>
        <w:t>further</w:t>
      </w:r>
      <w:r w:rsidRPr="001D37D5" w:rsidDel="00BD4879">
        <w:t xml:space="preserve"> </w:t>
      </w:r>
      <w:r w:rsidRPr="001D37D5">
        <w:t>issues relating to the utilisation rate</w:t>
      </w:r>
      <w:r w:rsidRPr="001D37D5" w:rsidDel="00BD4879">
        <w:t xml:space="preserve"> </w:t>
      </w:r>
    </w:p>
    <w:p w:rsidR="001D37D5" w:rsidRPr="001D37D5" w:rsidRDefault="001D37D5" w:rsidP="001D37D5">
      <w:pPr>
        <w:pStyle w:val="AERbulletlistfirststyle"/>
      </w:pPr>
      <w:r>
        <w:lastRenderedPageBreak/>
        <w:t xml:space="preserve">estimation </w:t>
      </w:r>
      <w:r w:rsidRPr="001D37D5">
        <w:t>approach considerations</w:t>
      </w:r>
      <w:r w:rsidRPr="001D37D5" w:rsidDel="00BD4879">
        <w:t xml:space="preserve"> </w:t>
      </w:r>
    </w:p>
    <w:p w:rsidR="001D37D5" w:rsidRPr="001D37D5" w:rsidRDefault="001D37D5" w:rsidP="001D37D5">
      <w:pPr>
        <w:pStyle w:val="AERbulletlistfirststyle"/>
      </w:pPr>
      <w:r>
        <w:t xml:space="preserve">estimating </w:t>
      </w:r>
      <w:r w:rsidRPr="001D37D5">
        <w:t>the distribution rate</w:t>
      </w:r>
    </w:p>
    <w:p w:rsidR="001D37D5" w:rsidRPr="001D37D5" w:rsidRDefault="001D37D5" w:rsidP="001D37D5">
      <w:pPr>
        <w:pStyle w:val="AERbulletlistfirststyle"/>
      </w:pPr>
      <w:r>
        <w:t xml:space="preserve">application </w:t>
      </w:r>
      <w:r w:rsidRPr="001D37D5">
        <w:t>of rate of return criteria to evidence on the utilisation rate</w:t>
      </w:r>
    </w:p>
    <w:p w:rsidR="001D37D5" w:rsidRPr="001D37D5" w:rsidRDefault="001D37D5" w:rsidP="001D37D5">
      <w:pPr>
        <w:pStyle w:val="AERbulletlistfirststyle"/>
      </w:pPr>
      <w:r>
        <w:t xml:space="preserve">the </w:t>
      </w:r>
      <w:r w:rsidRPr="001D37D5">
        <w:t>equity ownership approach</w:t>
      </w:r>
    </w:p>
    <w:p w:rsidR="001D37D5" w:rsidRPr="001D37D5" w:rsidRDefault="001D37D5" w:rsidP="001D37D5">
      <w:pPr>
        <w:pStyle w:val="AERbulletlistfirststyle"/>
      </w:pPr>
      <w:r>
        <w:t>tax statistics</w:t>
      </w:r>
    </w:p>
    <w:p w:rsidR="001D37D5" w:rsidRPr="001D37D5" w:rsidRDefault="001D37D5" w:rsidP="001D37D5">
      <w:pPr>
        <w:pStyle w:val="AERbulletlistfirststyle"/>
      </w:pPr>
      <w:r>
        <w:t xml:space="preserve">the </w:t>
      </w:r>
      <w:r w:rsidRPr="001D37D5">
        <w:t>difference between equity ownership approach and tax statistics</w:t>
      </w:r>
    </w:p>
    <w:p w:rsidR="001D37D5" w:rsidRPr="00B27BE5" w:rsidRDefault="001D37D5" w:rsidP="001D37D5">
      <w:pPr>
        <w:pStyle w:val="AERbulletlistfirststyle"/>
      </w:pPr>
      <w:r w:rsidRPr="00B27BE5">
        <w:t>implied market value studies.</w:t>
      </w:r>
    </w:p>
    <w:p w:rsidR="001D37D5" w:rsidRPr="00883125" w:rsidRDefault="001D37D5" w:rsidP="001D37D5">
      <w:pPr>
        <w:pStyle w:val="Heading8"/>
      </w:pPr>
      <w:bookmarkStart w:id="161" w:name="_Ref414621676"/>
      <w:bookmarkStart w:id="162" w:name="_Toc436049442"/>
      <w:bookmarkStart w:id="163" w:name="_Toc451842246"/>
      <w:bookmarkStart w:id="164" w:name="_Toc451938302"/>
      <w:r w:rsidRPr="00883125">
        <w:t>Expert views on the value of imputation credits</w:t>
      </w:r>
      <w:bookmarkEnd w:id="161"/>
      <w:bookmarkEnd w:id="162"/>
      <w:bookmarkEnd w:id="163"/>
      <w:bookmarkEnd w:id="164"/>
    </w:p>
    <w:p w:rsidR="001D37D5" w:rsidRPr="00883125" w:rsidRDefault="001D37D5" w:rsidP="001D37D5">
      <w:r w:rsidRPr="00883125">
        <w:t xml:space="preserve">We, other regulators, service providers and consumer representatives have commissioned expert advice on the value of imputation credits from a range of experts in the context of a number of regulatory processes. These expert reports demonstrate that there is no consensus among experts on either the value of imputation credits (particularly for the utilisation rate parameter), nor on the techniques to estimate it. </w:t>
      </w:r>
      <w:r w:rsidRPr="00883125">
        <w:fldChar w:fldCharType="begin"/>
      </w:r>
      <w:r w:rsidRPr="00883125">
        <w:instrText xml:space="preserve"> REF _Ref400609043 \h </w:instrText>
      </w:r>
      <w:r w:rsidRPr="00883125">
        <w:fldChar w:fldCharType="separate"/>
      </w:r>
      <w:r w:rsidR="00A02D8C" w:rsidRPr="00883125">
        <w:t xml:space="preserve">Table </w:t>
      </w:r>
      <w:r w:rsidR="00A02D8C">
        <w:rPr>
          <w:noProof/>
        </w:rPr>
        <w:t>4</w:t>
      </w:r>
      <w:r w:rsidR="00A02D8C">
        <w:noBreakHyphen/>
      </w:r>
      <w:r w:rsidR="00A02D8C">
        <w:rPr>
          <w:noProof/>
        </w:rPr>
        <w:t>6</w:t>
      </w:r>
      <w:r w:rsidRPr="00883125">
        <w:fldChar w:fldCharType="end"/>
      </w:r>
      <w:r w:rsidRPr="00883125">
        <w:t xml:space="preserve"> summarises recent expert advice of which we are aware. We have considered the advice from each of these experts in forming our position on the value of imputation credits. For this </w:t>
      </w:r>
      <w:r>
        <w:t>final</w:t>
      </w:r>
      <w:r w:rsidRPr="00883125">
        <w:t xml:space="preserve"> decision </w:t>
      </w:r>
      <w:r>
        <w:t>we have</w:t>
      </w:r>
      <w:r w:rsidRPr="00883125">
        <w:t xml:space="preserve"> considered the new expert report from the </w:t>
      </w:r>
      <w:r>
        <w:t>service provider</w:t>
      </w:r>
      <w:r w:rsidRPr="00883125">
        <w:t>s</w:t>
      </w:r>
      <w:r>
        <w:t>.</w:t>
      </w:r>
      <w:r>
        <w:rPr>
          <w:rStyle w:val="FootnoteReference"/>
        </w:rPr>
        <w:footnoteReference w:id="207"/>
      </w:r>
      <w:r>
        <w:t xml:space="preserve"> We</w:t>
      </w:r>
      <w:r w:rsidRPr="00883125">
        <w:t xml:space="preserve"> </w:t>
      </w:r>
      <w:r>
        <w:t>have</w:t>
      </w:r>
      <w:r w:rsidRPr="00883125">
        <w:t xml:space="preserve"> </w:t>
      </w:r>
      <w:r>
        <w:t xml:space="preserve">also </w:t>
      </w:r>
      <w:r w:rsidRPr="00883125">
        <w:t>commissioned further expert advice</w:t>
      </w:r>
      <w:r>
        <w:t xml:space="preserve"> from Lally following late submissions by a number of service providers</w:t>
      </w:r>
      <w:r w:rsidRPr="00883125">
        <w:t>.</w:t>
      </w:r>
      <w:r>
        <w:rPr>
          <w:rStyle w:val="FootnoteReference"/>
        </w:rPr>
        <w:footnoteReference w:id="208"/>
      </w:r>
      <w:r w:rsidRPr="00883125">
        <w:t xml:space="preserve"> We consider the new expert report from the service providers do not provide new evidence to justify a departure from the position we adopted in the decisions we released in October and November 2015.</w:t>
      </w:r>
    </w:p>
    <w:p w:rsidR="001D37D5" w:rsidRPr="00883125" w:rsidRDefault="001D37D5" w:rsidP="001D37D5">
      <w:pPr>
        <w:pStyle w:val="Caption"/>
      </w:pPr>
      <w:bookmarkStart w:id="165" w:name="_Ref400609043"/>
      <w:r w:rsidRPr="00883125">
        <w:t xml:space="preserve">Table </w:t>
      </w:r>
      <w:r w:rsidRPr="001D37D5">
        <w:fldChar w:fldCharType="begin"/>
      </w:r>
      <w:r>
        <w:instrText xml:space="preserve"> STYLEREF 1 \s </w:instrText>
      </w:r>
      <w:r w:rsidRPr="001D37D5">
        <w:fldChar w:fldCharType="separate"/>
      </w:r>
      <w:r w:rsidR="00A02D8C">
        <w:rPr>
          <w:noProof/>
        </w:rPr>
        <w:t>4</w:t>
      </w:r>
      <w:r w:rsidRPr="001D37D5">
        <w:fldChar w:fldCharType="end"/>
      </w:r>
      <w:r>
        <w:noBreakHyphen/>
      </w:r>
      <w:r w:rsidRPr="001D37D5">
        <w:fldChar w:fldCharType="begin"/>
      </w:r>
      <w:r>
        <w:instrText xml:space="preserve"> SEQ Table \* ARABIC \s 1 </w:instrText>
      </w:r>
      <w:r w:rsidRPr="001D37D5">
        <w:fldChar w:fldCharType="separate"/>
      </w:r>
      <w:r w:rsidR="00A02D8C">
        <w:rPr>
          <w:noProof/>
        </w:rPr>
        <w:t>6</w:t>
      </w:r>
      <w:r w:rsidRPr="001D37D5">
        <w:fldChar w:fldCharType="end"/>
      </w:r>
      <w:bookmarkEnd w:id="165"/>
      <w:r w:rsidRPr="00883125">
        <w:tab/>
        <w:t>Summary of expert views on the value of imputation credits</w:t>
      </w:r>
    </w:p>
    <w:tbl>
      <w:tblPr>
        <w:tblStyle w:val="AERtable-text0"/>
        <w:tblW w:w="0" w:type="auto"/>
        <w:tblLook w:val="04A0" w:firstRow="1" w:lastRow="0" w:firstColumn="1" w:lastColumn="0" w:noHBand="0" w:noVBand="1"/>
      </w:tblPr>
      <w:tblGrid>
        <w:gridCol w:w="1562"/>
        <w:gridCol w:w="2560"/>
        <w:gridCol w:w="2560"/>
        <w:gridCol w:w="2560"/>
      </w:tblGrid>
      <w:tr w:rsidR="001D37D5" w:rsidTr="005E1FC3">
        <w:trPr>
          <w:cnfStyle w:val="100000000000" w:firstRow="1" w:lastRow="0" w:firstColumn="0" w:lastColumn="0" w:oddVBand="0" w:evenVBand="0" w:oddHBand="0" w:evenHBand="0" w:firstRowFirstColumn="0" w:firstRowLastColumn="0" w:lastRowFirstColumn="0" w:lastRowLastColumn="0"/>
          <w:cantSplit/>
          <w:tblHeader/>
        </w:trPr>
        <w:tc>
          <w:tcPr>
            <w:tcW w:w="1562" w:type="dxa"/>
          </w:tcPr>
          <w:p w:rsidR="001D37D5" w:rsidRPr="00883125" w:rsidRDefault="001D37D5" w:rsidP="001D37D5">
            <w:pPr>
              <w:numPr>
                <w:ilvl w:val="0"/>
                <w:numId w:val="24"/>
              </w:numPr>
            </w:pPr>
            <w:r w:rsidRPr="00883125">
              <w:t>Expert</w:t>
            </w:r>
          </w:p>
        </w:tc>
        <w:tc>
          <w:tcPr>
            <w:tcW w:w="2560" w:type="dxa"/>
          </w:tcPr>
          <w:p w:rsidR="001D37D5" w:rsidRPr="00883125" w:rsidRDefault="001D37D5" w:rsidP="001D37D5">
            <w:pPr>
              <w:numPr>
                <w:ilvl w:val="0"/>
                <w:numId w:val="24"/>
              </w:numPr>
            </w:pPr>
            <w:r w:rsidRPr="00883125">
              <w:t>Distribution rate</w:t>
            </w:r>
          </w:p>
        </w:tc>
        <w:tc>
          <w:tcPr>
            <w:tcW w:w="2560" w:type="dxa"/>
          </w:tcPr>
          <w:p w:rsidR="001D37D5" w:rsidRPr="00883125" w:rsidRDefault="001D37D5" w:rsidP="001D37D5">
            <w:pPr>
              <w:numPr>
                <w:ilvl w:val="0"/>
                <w:numId w:val="24"/>
              </w:numPr>
            </w:pPr>
            <w:r w:rsidRPr="00883125">
              <w:t>Utilisation rate</w:t>
            </w:r>
          </w:p>
        </w:tc>
        <w:tc>
          <w:tcPr>
            <w:tcW w:w="2560" w:type="dxa"/>
          </w:tcPr>
          <w:p w:rsidR="001D37D5" w:rsidRPr="00883125" w:rsidRDefault="001D37D5" w:rsidP="001D37D5">
            <w:pPr>
              <w:numPr>
                <w:ilvl w:val="0"/>
                <w:numId w:val="24"/>
              </w:numPr>
            </w:pPr>
            <w:r w:rsidRPr="00883125">
              <w:t>Value of imputation credits</w:t>
            </w:r>
          </w:p>
        </w:tc>
      </w:tr>
      <w:tr w:rsidR="001D37D5" w:rsidTr="005E1FC3">
        <w:trPr>
          <w:cantSplit/>
        </w:trPr>
        <w:tc>
          <w:tcPr>
            <w:tcW w:w="1562" w:type="dxa"/>
          </w:tcPr>
          <w:p w:rsidR="001D37D5" w:rsidRPr="00883125" w:rsidRDefault="001D37D5" w:rsidP="001D37D5">
            <w:pPr>
              <w:numPr>
                <w:ilvl w:val="0"/>
                <w:numId w:val="24"/>
              </w:numPr>
            </w:pPr>
            <w:r>
              <w:t>Lally (2016)</w:t>
            </w:r>
            <w:r>
              <w:rPr>
                <w:rStyle w:val="FootnoteReference"/>
              </w:rPr>
              <w:footnoteReference w:id="209"/>
            </w:r>
          </w:p>
        </w:tc>
        <w:tc>
          <w:tcPr>
            <w:tcW w:w="2560" w:type="dxa"/>
          </w:tcPr>
          <w:p w:rsidR="001D37D5" w:rsidRPr="00883125" w:rsidRDefault="001D37D5" w:rsidP="001D37D5">
            <w:pPr>
              <w:numPr>
                <w:ilvl w:val="0"/>
                <w:numId w:val="24"/>
              </w:numPr>
              <w:rPr>
                <w:rStyle w:val="Strong"/>
              </w:rPr>
            </w:pPr>
            <w:r>
              <w:rPr>
                <w:rStyle w:val="Strong"/>
              </w:rPr>
              <w:t xml:space="preserve">At least </w:t>
            </w:r>
            <w:r w:rsidRPr="00883125">
              <w:rPr>
                <w:rStyle w:val="Strong"/>
              </w:rPr>
              <w:t>0.8</w:t>
            </w:r>
            <w:r>
              <w:rPr>
                <w:rStyle w:val="Strong"/>
              </w:rPr>
              <w:t>3</w:t>
            </w:r>
            <w:r w:rsidRPr="00883125">
              <w:t xml:space="preserve"> using the financial statements of 20 largest ASX-listed companies</w:t>
            </w:r>
          </w:p>
        </w:tc>
        <w:tc>
          <w:tcPr>
            <w:tcW w:w="2560" w:type="dxa"/>
          </w:tcPr>
          <w:p w:rsidR="001D37D5" w:rsidRPr="00883125" w:rsidRDefault="001D37D5" w:rsidP="001D37D5">
            <w:pPr>
              <w:numPr>
                <w:ilvl w:val="0"/>
                <w:numId w:val="24"/>
              </w:numPr>
              <w:rPr>
                <w:rStyle w:val="Strong"/>
              </w:rPr>
            </w:pPr>
            <w:r>
              <w:rPr>
                <w:rStyle w:val="Strong"/>
              </w:rPr>
              <w:t>At least 0</w:t>
            </w:r>
            <w:r w:rsidRPr="00883125">
              <w:rPr>
                <w:rStyle w:val="Strong"/>
              </w:rPr>
              <w:t>.</w:t>
            </w:r>
            <w:r>
              <w:rPr>
                <w:rStyle w:val="Strong"/>
              </w:rPr>
              <w:t>6</w:t>
            </w:r>
            <w:r w:rsidRPr="00883125">
              <w:t xml:space="preserve">, </w:t>
            </w:r>
            <w:r>
              <w:t xml:space="preserve">using the all equity estimate of local equity ownership </w:t>
            </w:r>
          </w:p>
        </w:tc>
        <w:tc>
          <w:tcPr>
            <w:tcW w:w="2560" w:type="dxa"/>
          </w:tcPr>
          <w:p w:rsidR="001D37D5" w:rsidRPr="001D37D5" w:rsidRDefault="001D37D5" w:rsidP="001D37D5">
            <w:pPr>
              <w:rPr>
                <w:rStyle w:val="Strong"/>
              </w:rPr>
            </w:pPr>
            <w:r>
              <w:rPr>
                <w:rStyle w:val="Strong"/>
              </w:rPr>
              <w:t>At least 0.5</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tcW w:w="1562" w:type="dxa"/>
          </w:tcPr>
          <w:p w:rsidR="001D37D5" w:rsidRPr="00883125" w:rsidRDefault="001D37D5" w:rsidP="001D37D5">
            <w:pPr>
              <w:numPr>
                <w:ilvl w:val="0"/>
                <w:numId w:val="24"/>
              </w:numPr>
            </w:pPr>
            <w:r w:rsidRPr="00883125">
              <w:t>Lally (2013a, 2013b, 2014)</w:t>
            </w:r>
            <w:r w:rsidRPr="00883125">
              <w:rPr>
                <w:rStyle w:val="FootnoteReference"/>
              </w:rPr>
              <w:footnoteReference w:id="210"/>
            </w:r>
          </w:p>
        </w:tc>
        <w:tc>
          <w:tcPr>
            <w:tcW w:w="2560" w:type="dxa"/>
          </w:tcPr>
          <w:p w:rsidR="001D37D5" w:rsidRPr="00883125" w:rsidRDefault="001D37D5" w:rsidP="001D37D5">
            <w:pPr>
              <w:numPr>
                <w:ilvl w:val="0"/>
                <w:numId w:val="24"/>
              </w:numPr>
            </w:pPr>
            <w:r w:rsidRPr="00883125">
              <w:rPr>
                <w:rStyle w:val="Strong"/>
              </w:rPr>
              <w:t>0.84</w:t>
            </w:r>
            <w:r w:rsidRPr="00883125">
              <w:t xml:space="preserve"> using the financial statements of 20 largest ASX-listed companies</w:t>
            </w:r>
          </w:p>
        </w:tc>
        <w:tc>
          <w:tcPr>
            <w:tcW w:w="2560" w:type="dxa"/>
          </w:tcPr>
          <w:p w:rsidR="001D37D5" w:rsidRPr="00883125" w:rsidRDefault="001D37D5" w:rsidP="001D37D5">
            <w:pPr>
              <w:numPr>
                <w:ilvl w:val="0"/>
                <w:numId w:val="24"/>
              </w:numPr>
            </w:pPr>
            <w:r w:rsidRPr="00883125">
              <w:rPr>
                <w:rStyle w:val="Strong"/>
              </w:rPr>
              <w:t>1.0</w:t>
            </w:r>
            <w:r w:rsidRPr="00883125">
              <w:t>, based on assumption that all investors in the Officer CAPM are domestic investors</w:t>
            </w:r>
          </w:p>
          <w:p w:rsidR="001D37D5" w:rsidRPr="00883125" w:rsidRDefault="001D37D5" w:rsidP="001D37D5">
            <w:pPr>
              <w:numPr>
                <w:ilvl w:val="0"/>
                <w:numId w:val="24"/>
              </w:numPr>
            </w:pPr>
            <w:r w:rsidRPr="00883125">
              <w:t>0.54 to 0.7, using equity ownership as second preference</w:t>
            </w:r>
          </w:p>
        </w:tc>
        <w:tc>
          <w:tcPr>
            <w:tcW w:w="2560" w:type="dxa"/>
          </w:tcPr>
          <w:p w:rsidR="001D37D5" w:rsidRPr="001D37D5" w:rsidRDefault="001D37D5" w:rsidP="001D37D5">
            <w:pPr>
              <w:rPr>
                <w:rStyle w:val="Strong"/>
              </w:rPr>
            </w:pPr>
            <w:r w:rsidRPr="00883125">
              <w:rPr>
                <w:rStyle w:val="Strong"/>
              </w:rPr>
              <w:t>0.84</w:t>
            </w:r>
          </w:p>
          <w:p w:rsidR="001D37D5" w:rsidRPr="001D37D5" w:rsidRDefault="001D37D5" w:rsidP="001D37D5">
            <w:pPr>
              <w:rPr>
                <w:rStyle w:val="Strong"/>
              </w:rPr>
            </w:pPr>
            <w:r w:rsidRPr="00883125">
              <w:t xml:space="preserve">0.45 to 0.59 using second preference utilisation </w:t>
            </w:r>
            <w:r w:rsidRPr="001D37D5">
              <w:t>rate</w:t>
            </w:r>
          </w:p>
        </w:tc>
      </w:tr>
      <w:tr w:rsidR="001D37D5" w:rsidTr="005E1FC3">
        <w:trPr>
          <w:cantSplit/>
        </w:trPr>
        <w:tc>
          <w:tcPr>
            <w:tcW w:w="1562" w:type="dxa"/>
          </w:tcPr>
          <w:p w:rsidR="001D37D5" w:rsidRPr="00883125" w:rsidRDefault="001D37D5" w:rsidP="001D37D5">
            <w:pPr>
              <w:numPr>
                <w:ilvl w:val="0"/>
                <w:numId w:val="24"/>
              </w:numPr>
            </w:pPr>
            <w:r w:rsidRPr="00883125">
              <w:lastRenderedPageBreak/>
              <w:t>McKenzie and Partington (2013)</w:t>
            </w:r>
            <w:r w:rsidRPr="00883125">
              <w:rPr>
                <w:rStyle w:val="FootnoteReference"/>
              </w:rPr>
              <w:footnoteReference w:id="211"/>
            </w:r>
          </w:p>
        </w:tc>
        <w:tc>
          <w:tcPr>
            <w:tcW w:w="2560" w:type="dxa"/>
          </w:tcPr>
          <w:p w:rsidR="001D37D5" w:rsidRPr="00883125" w:rsidRDefault="001D37D5" w:rsidP="001D37D5">
            <w:pPr>
              <w:numPr>
                <w:ilvl w:val="0"/>
                <w:numId w:val="24"/>
              </w:numPr>
            </w:pPr>
            <w:r w:rsidRPr="00883125">
              <w:rPr>
                <w:rStyle w:val="Strong"/>
              </w:rPr>
              <w:t>0.7</w:t>
            </w:r>
            <w:r w:rsidRPr="00883125">
              <w:t>, using cumulative payout ratio approach over all equity</w:t>
            </w:r>
          </w:p>
        </w:tc>
        <w:tc>
          <w:tcPr>
            <w:tcW w:w="2560" w:type="dxa"/>
          </w:tcPr>
          <w:p w:rsidR="001D37D5" w:rsidRPr="00883125" w:rsidRDefault="001D37D5" w:rsidP="001D37D5">
            <w:pPr>
              <w:numPr>
                <w:ilvl w:val="0"/>
                <w:numId w:val="24"/>
              </w:numPr>
            </w:pPr>
            <w:r w:rsidRPr="00883125">
              <w:rPr>
                <w:rStyle w:val="Strong"/>
              </w:rPr>
              <w:t>None recommended</w:t>
            </w:r>
            <w:r w:rsidRPr="00883125">
              <w:t>, although estimates considered included 0.7 from AER draft rate of return Guideline approach, 0.53 from average of implied market value studies and 0.83 from average of McKenzie and Partington's implied market value studies</w:t>
            </w:r>
          </w:p>
        </w:tc>
        <w:tc>
          <w:tcPr>
            <w:tcW w:w="2560" w:type="dxa"/>
          </w:tcPr>
          <w:p w:rsidR="001D37D5" w:rsidRPr="001D37D5" w:rsidRDefault="001D37D5" w:rsidP="001D37D5">
            <w:pPr>
              <w:rPr>
                <w:rStyle w:val="Strong"/>
              </w:rPr>
            </w:pPr>
            <w:r w:rsidRPr="001A60DE">
              <w:t>Evidence not compelling enough to depart from</w:t>
            </w:r>
            <w:r w:rsidRPr="001D37D5">
              <w:rPr>
                <w:rStyle w:val="Strong"/>
              </w:rPr>
              <w:t xml:space="preserve"> 0.5</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tcW w:w="1562" w:type="dxa"/>
          </w:tcPr>
          <w:p w:rsidR="001D37D5" w:rsidRPr="00883125" w:rsidRDefault="001D37D5" w:rsidP="001D37D5">
            <w:pPr>
              <w:numPr>
                <w:ilvl w:val="0"/>
                <w:numId w:val="24"/>
              </w:numPr>
            </w:pPr>
            <w:r w:rsidRPr="00883125">
              <w:t>Handley (2014)</w:t>
            </w:r>
            <w:r w:rsidRPr="00883125">
              <w:rPr>
                <w:rStyle w:val="FootnoteReference"/>
              </w:rPr>
              <w:footnoteReference w:id="212"/>
            </w:r>
          </w:p>
        </w:tc>
        <w:tc>
          <w:tcPr>
            <w:tcW w:w="2560" w:type="dxa"/>
          </w:tcPr>
          <w:p w:rsidR="001D37D5" w:rsidRPr="00883125" w:rsidRDefault="001D37D5" w:rsidP="001D37D5">
            <w:pPr>
              <w:numPr>
                <w:ilvl w:val="0"/>
                <w:numId w:val="24"/>
              </w:numPr>
            </w:pPr>
            <w:r w:rsidRPr="00883125">
              <w:rPr>
                <w:rStyle w:val="Strong"/>
              </w:rPr>
              <w:t>0.8</w:t>
            </w:r>
            <w:r w:rsidRPr="00883125">
              <w:t xml:space="preserve">, using cumulative payout ratio approach over only listed equity </w:t>
            </w:r>
          </w:p>
        </w:tc>
        <w:tc>
          <w:tcPr>
            <w:tcW w:w="2560" w:type="dxa"/>
          </w:tcPr>
          <w:p w:rsidR="001D37D5" w:rsidRPr="00883125" w:rsidRDefault="001D37D5" w:rsidP="001D37D5">
            <w:pPr>
              <w:numPr>
                <w:ilvl w:val="0"/>
                <w:numId w:val="24"/>
              </w:numPr>
            </w:pPr>
            <w:r w:rsidRPr="00883125">
              <w:rPr>
                <w:rStyle w:val="Strong"/>
              </w:rPr>
              <w:t>0.5 to 0.6</w:t>
            </w:r>
            <w:r w:rsidRPr="00883125">
              <w:t>, with regard to (in order of importance) equity ownership approach, tax statistics and dividend drop off studies</w:t>
            </w:r>
          </w:p>
        </w:tc>
        <w:tc>
          <w:tcPr>
            <w:tcW w:w="2560" w:type="dxa"/>
          </w:tcPr>
          <w:p w:rsidR="001D37D5" w:rsidRPr="00883125" w:rsidRDefault="001D37D5" w:rsidP="001D37D5">
            <w:pPr>
              <w:numPr>
                <w:ilvl w:val="0"/>
                <w:numId w:val="24"/>
              </w:numPr>
              <w:rPr>
                <w:rStyle w:val="Strong"/>
              </w:rPr>
            </w:pPr>
            <w:r w:rsidRPr="00883125">
              <w:rPr>
                <w:rStyle w:val="Strong"/>
              </w:rPr>
              <w:t>0.4 to 0.5</w:t>
            </w:r>
          </w:p>
        </w:tc>
      </w:tr>
      <w:tr w:rsidR="001D37D5" w:rsidTr="005E1FC3">
        <w:trPr>
          <w:cantSplit/>
        </w:trPr>
        <w:tc>
          <w:tcPr>
            <w:tcW w:w="1562" w:type="dxa"/>
          </w:tcPr>
          <w:p w:rsidR="001D37D5" w:rsidRPr="00883125" w:rsidRDefault="001D37D5" w:rsidP="001D37D5">
            <w:pPr>
              <w:numPr>
                <w:ilvl w:val="0"/>
                <w:numId w:val="24"/>
              </w:numPr>
            </w:pPr>
            <w:r w:rsidRPr="00883125">
              <w:t>SACES (2015)</w:t>
            </w:r>
            <w:r w:rsidRPr="00883125">
              <w:rPr>
                <w:rStyle w:val="FootnoteReference"/>
              </w:rPr>
              <w:footnoteReference w:id="213"/>
            </w:r>
          </w:p>
        </w:tc>
        <w:tc>
          <w:tcPr>
            <w:tcW w:w="2560" w:type="dxa"/>
          </w:tcPr>
          <w:p w:rsidR="001D37D5" w:rsidRPr="001D37D5" w:rsidRDefault="001D37D5" w:rsidP="001D37D5">
            <w:pPr>
              <w:rPr>
                <w:rStyle w:val="Strong"/>
              </w:rPr>
            </w:pPr>
            <w:r w:rsidRPr="00883125">
              <w:rPr>
                <w:rStyle w:val="Strong"/>
              </w:rPr>
              <w:t>0.8</w:t>
            </w:r>
            <w:r w:rsidRPr="001D37D5">
              <w:t>, using cumulative payout ratio approach over only listed equity</w:t>
            </w:r>
          </w:p>
        </w:tc>
        <w:tc>
          <w:tcPr>
            <w:tcW w:w="2560" w:type="dxa"/>
          </w:tcPr>
          <w:p w:rsidR="001D37D5" w:rsidRPr="00883125" w:rsidRDefault="001D37D5" w:rsidP="001D37D5">
            <w:pPr>
              <w:numPr>
                <w:ilvl w:val="0"/>
                <w:numId w:val="24"/>
              </w:numPr>
              <w:rPr>
                <w:rStyle w:val="Strong"/>
              </w:rPr>
            </w:pPr>
            <w:r w:rsidRPr="00883125">
              <w:rPr>
                <w:rStyle w:val="Strong"/>
              </w:rPr>
              <w:t>0.45</w:t>
            </w:r>
            <w:r w:rsidRPr="00883125">
              <w:t>, using the average of the estimate from tax statistics (0.43) and the refined domestic ownership share of only listed equity (0.46)</w:t>
            </w:r>
          </w:p>
        </w:tc>
        <w:tc>
          <w:tcPr>
            <w:tcW w:w="2560" w:type="dxa"/>
          </w:tcPr>
          <w:p w:rsidR="001D37D5" w:rsidRPr="00883125" w:rsidRDefault="001D37D5" w:rsidP="001D37D5">
            <w:pPr>
              <w:numPr>
                <w:ilvl w:val="0"/>
                <w:numId w:val="24"/>
              </w:numPr>
              <w:rPr>
                <w:rStyle w:val="Strong"/>
              </w:rPr>
            </w:pPr>
            <w:r w:rsidRPr="00883125">
              <w:rPr>
                <w:rStyle w:val="Strong"/>
              </w:rPr>
              <w:t>0.36</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tcW w:w="1562" w:type="dxa"/>
          </w:tcPr>
          <w:p w:rsidR="001D37D5" w:rsidRPr="00883125" w:rsidRDefault="001D37D5" w:rsidP="001D37D5">
            <w:pPr>
              <w:numPr>
                <w:ilvl w:val="0"/>
                <w:numId w:val="24"/>
              </w:numPr>
            </w:pPr>
            <w:r w:rsidRPr="00883125">
              <w:t>CEG (2014)</w:t>
            </w:r>
            <w:r w:rsidRPr="00883125">
              <w:rPr>
                <w:rStyle w:val="FootnoteReference"/>
              </w:rPr>
              <w:footnoteReference w:id="214"/>
            </w:r>
          </w:p>
        </w:tc>
        <w:tc>
          <w:tcPr>
            <w:tcW w:w="2560" w:type="dxa"/>
          </w:tcPr>
          <w:p w:rsidR="001D37D5" w:rsidRPr="00883125" w:rsidRDefault="001D37D5" w:rsidP="001D37D5">
            <w:pPr>
              <w:numPr>
                <w:ilvl w:val="0"/>
                <w:numId w:val="24"/>
              </w:numPr>
            </w:pPr>
            <w:r w:rsidRPr="00883125">
              <w:rPr>
                <w:rStyle w:val="Strong"/>
              </w:rPr>
              <w:t>0.7</w:t>
            </w:r>
            <w:r w:rsidRPr="00883125">
              <w:t>, using cumulative payout ratio approach over all equity</w:t>
            </w:r>
          </w:p>
        </w:tc>
        <w:tc>
          <w:tcPr>
            <w:tcW w:w="2560" w:type="dxa"/>
          </w:tcPr>
          <w:p w:rsidR="001D37D5" w:rsidRPr="00883125" w:rsidRDefault="001D37D5" w:rsidP="001D37D5">
            <w:pPr>
              <w:numPr>
                <w:ilvl w:val="0"/>
                <w:numId w:val="24"/>
              </w:numPr>
            </w:pPr>
            <w:r w:rsidRPr="00883125">
              <w:rPr>
                <w:rStyle w:val="Strong"/>
              </w:rPr>
              <w:t>0.35</w:t>
            </w:r>
            <w:r w:rsidRPr="00883125">
              <w:t>, based on SFG's dividend drop off study</w:t>
            </w:r>
          </w:p>
        </w:tc>
        <w:tc>
          <w:tcPr>
            <w:tcW w:w="2560" w:type="dxa"/>
          </w:tcPr>
          <w:p w:rsidR="001D37D5" w:rsidRPr="00883125" w:rsidRDefault="001D37D5" w:rsidP="001D37D5">
            <w:pPr>
              <w:numPr>
                <w:ilvl w:val="0"/>
                <w:numId w:val="24"/>
              </w:numPr>
              <w:rPr>
                <w:rStyle w:val="Strong"/>
              </w:rPr>
            </w:pPr>
            <w:r w:rsidRPr="00883125">
              <w:rPr>
                <w:rStyle w:val="Strong"/>
              </w:rPr>
              <w:t>0.25</w:t>
            </w:r>
          </w:p>
        </w:tc>
      </w:tr>
      <w:tr w:rsidR="001D37D5" w:rsidTr="005E1FC3">
        <w:trPr>
          <w:cantSplit/>
        </w:trPr>
        <w:tc>
          <w:tcPr>
            <w:tcW w:w="1562" w:type="dxa"/>
          </w:tcPr>
          <w:p w:rsidR="001D37D5" w:rsidRPr="00883125" w:rsidRDefault="001D37D5" w:rsidP="001D37D5">
            <w:pPr>
              <w:numPr>
                <w:ilvl w:val="0"/>
                <w:numId w:val="24"/>
              </w:numPr>
            </w:pPr>
            <w:r w:rsidRPr="00883125">
              <w:t>Gray (for SFG) (2015)</w:t>
            </w:r>
            <w:r w:rsidRPr="00883125">
              <w:rPr>
                <w:rStyle w:val="FootnoteReference"/>
              </w:rPr>
              <w:footnoteReference w:id="215"/>
            </w:r>
          </w:p>
        </w:tc>
        <w:tc>
          <w:tcPr>
            <w:tcW w:w="2560" w:type="dxa"/>
          </w:tcPr>
          <w:p w:rsidR="001D37D5" w:rsidRPr="00883125" w:rsidRDefault="001D37D5" w:rsidP="001D37D5">
            <w:pPr>
              <w:numPr>
                <w:ilvl w:val="0"/>
                <w:numId w:val="24"/>
              </w:numPr>
            </w:pPr>
            <w:r w:rsidRPr="00883125">
              <w:rPr>
                <w:rStyle w:val="Strong"/>
              </w:rPr>
              <w:t>0.7</w:t>
            </w:r>
            <w:r w:rsidRPr="00883125">
              <w:t>, using cumulative payout ratio approach over all equity</w:t>
            </w:r>
          </w:p>
        </w:tc>
        <w:tc>
          <w:tcPr>
            <w:tcW w:w="2560" w:type="dxa"/>
          </w:tcPr>
          <w:p w:rsidR="001D37D5" w:rsidRPr="00883125" w:rsidRDefault="001D37D5" w:rsidP="001D37D5">
            <w:pPr>
              <w:numPr>
                <w:ilvl w:val="0"/>
                <w:numId w:val="24"/>
              </w:numPr>
            </w:pPr>
            <w:r w:rsidRPr="00883125">
              <w:rPr>
                <w:rStyle w:val="Strong"/>
              </w:rPr>
              <w:t>0.35</w:t>
            </w:r>
            <w:r w:rsidRPr="00883125">
              <w:t>, based on SFG's dividend drop off study</w:t>
            </w:r>
          </w:p>
        </w:tc>
        <w:tc>
          <w:tcPr>
            <w:tcW w:w="2560" w:type="dxa"/>
          </w:tcPr>
          <w:p w:rsidR="001D37D5" w:rsidRPr="00883125" w:rsidRDefault="001D37D5" w:rsidP="001D37D5">
            <w:pPr>
              <w:numPr>
                <w:ilvl w:val="0"/>
                <w:numId w:val="24"/>
              </w:numPr>
              <w:rPr>
                <w:rStyle w:val="Strong"/>
              </w:rPr>
            </w:pPr>
            <w:r w:rsidRPr="00883125">
              <w:rPr>
                <w:rStyle w:val="Strong"/>
              </w:rPr>
              <w:t>0.25</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tcW w:w="1562" w:type="dxa"/>
          </w:tcPr>
          <w:p w:rsidR="001D37D5" w:rsidRPr="00883125" w:rsidRDefault="001D37D5" w:rsidP="001D37D5">
            <w:pPr>
              <w:numPr>
                <w:ilvl w:val="0"/>
                <w:numId w:val="24"/>
              </w:numPr>
            </w:pPr>
            <w:r w:rsidRPr="00883125">
              <w:t>Gray (for Frontier) (2015)</w:t>
            </w:r>
            <w:r w:rsidRPr="00883125">
              <w:rPr>
                <w:rStyle w:val="FootnoteReference"/>
              </w:rPr>
              <w:footnoteReference w:id="216"/>
            </w:r>
          </w:p>
        </w:tc>
        <w:tc>
          <w:tcPr>
            <w:tcW w:w="2560" w:type="dxa"/>
          </w:tcPr>
          <w:p w:rsidR="001D37D5" w:rsidRPr="001D37D5" w:rsidRDefault="001D37D5" w:rsidP="001D37D5">
            <w:pPr>
              <w:rPr>
                <w:rStyle w:val="Strong"/>
              </w:rPr>
            </w:pPr>
            <w:r w:rsidRPr="00883125">
              <w:rPr>
                <w:rStyle w:val="Strong"/>
              </w:rPr>
              <w:t>0.7</w:t>
            </w:r>
            <w:r w:rsidRPr="001D37D5">
              <w:t>, using cumulative payout ratio approach over all equity, or alternatively using an estimate of the payout ratio for listed equity excluding the 20 largest firms.</w:t>
            </w:r>
          </w:p>
        </w:tc>
        <w:tc>
          <w:tcPr>
            <w:tcW w:w="2560" w:type="dxa"/>
          </w:tcPr>
          <w:p w:rsidR="001D37D5" w:rsidRPr="001D37D5" w:rsidRDefault="001D37D5" w:rsidP="001D37D5">
            <w:pPr>
              <w:rPr>
                <w:rStyle w:val="Strong"/>
              </w:rPr>
            </w:pPr>
            <w:r w:rsidRPr="00883125">
              <w:rPr>
                <w:rStyle w:val="Strong"/>
              </w:rPr>
              <w:t>0.35</w:t>
            </w:r>
            <w:r w:rsidRPr="001D37D5">
              <w:t>, based on SFG's dividend drop off study</w:t>
            </w:r>
          </w:p>
        </w:tc>
        <w:tc>
          <w:tcPr>
            <w:tcW w:w="2560" w:type="dxa"/>
          </w:tcPr>
          <w:p w:rsidR="001D37D5" w:rsidRPr="00883125" w:rsidRDefault="001D37D5" w:rsidP="001D37D5">
            <w:pPr>
              <w:numPr>
                <w:ilvl w:val="0"/>
                <w:numId w:val="24"/>
              </w:numPr>
              <w:rPr>
                <w:rStyle w:val="Strong"/>
              </w:rPr>
            </w:pPr>
            <w:r w:rsidRPr="00883125">
              <w:rPr>
                <w:rStyle w:val="Strong"/>
              </w:rPr>
              <w:t>0.25</w:t>
            </w:r>
          </w:p>
        </w:tc>
      </w:tr>
    </w:tbl>
    <w:p w:rsidR="001D37D5" w:rsidRPr="00883125" w:rsidRDefault="001D37D5" w:rsidP="001D37D5">
      <w:pPr>
        <w:pStyle w:val="AERtablesource"/>
      </w:pPr>
      <w:r w:rsidRPr="00883125">
        <w:t>Source:</w:t>
      </w:r>
      <w:r w:rsidRPr="00883125">
        <w:tab/>
        <w:t>As specified in table.</w:t>
      </w:r>
    </w:p>
    <w:p w:rsidR="001D37D5" w:rsidRPr="00883125" w:rsidRDefault="001D37D5" w:rsidP="001D37D5">
      <w:pPr>
        <w:numPr>
          <w:ilvl w:val="0"/>
          <w:numId w:val="24"/>
        </w:numPr>
      </w:pPr>
      <w:r w:rsidRPr="00883125">
        <w:t xml:space="preserve">In summary: </w:t>
      </w:r>
    </w:p>
    <w:p w:rsidR="001D37D5" w:rsidRPr="001D37D5" w:rsidRDefault="001D37D5" w:rsidP="001D37D5">
      <w:pPr>
        <w:pStyle w:val="AERbulletlistfirststyle"/>
      </w:pPr>
      <w:r w:rsidRPr="00883125">
        <w:t xml:space="preserve">A distribution rate of 0.7 estimated using the cumulative payout ratio approach is most commonly accepted. We describe this approach in section </w:t>
      </w:r>
      <w:r w:rsidRPr="001D37D5">
        <w:fldChar w:fldCharType="begin"/>
      </w:r>
      <w:r w:rsidRPr="001D37D5">
        <w:instrText xml:space="preserve"> REF _Ref415126827 \r \h </w:instrText>
      </w:r>
      <w:r w:rsidRPr="001D37D5">
        <w:fldChar w:fldCharType="separate"/>
      </w:r>
      <w:r w:rsidR="00A02D8C">
        <w:t>A.10.2</w:t>
      </w:r>
      <w:r w:rsidRPr="001D37D5">
        <w:fldChar w:fldCharType="end"/>
      </w:r>
      <w:r w:rsidRPr="001D37D5">
        <w:t xml:space="preserve">. However, Handley considers that this approach should be applied to only listed equity, and this produces a higher estimate of the distribution rate. The South Australian Centre for Economic Studies (SACES) accepts Handley's approach. Lally considers consistency between the distribution rate and utilisation rate is not essential (but nor is it precluded). Lally </w:t>
      </w:r>
      <w:r w:rsidRPr="001D37D5">
        <w:lastRenderedPageBreak/>
        <w:t>considers the best estimate of the distribution rate for a benchmark efficient entity is 0.83, calculated using the financial statements of the 20 largest ASX-listed companies.</w:t>
      </w:r>
    </w:p>
    <w:p w:rsidR="001D37D5" w:rsidRPr="001D37D5" w:rsidRDefault="001D37D5" w:rsidP="001D37D5">
      <w:pPr>
        <w:pStyle w:val="AERbulletlistfirststyle"/>
      </w:pPr>
      <w:r w:rsidRPr="00883125">
        <w:t>There is no widely accepted utilisation rate or method for estimating it. The recommended values for the utilisation rate range from 0.35 to 1</w:t>
      </w:r>
      <w:r w:rsidRPr="001D37D5">
        <w:t xml:space="preserve">.0. </w:t>
      </w:r>
    </w:p>
    <w:p w:rsidR="001D37D5" w:rsidRPr="00883125" w:rsidRDefault="001D37D5" w:rsidP="001D37D5">
      <w:pPr>
        <w:pStyle w:val="AERbulletlistfirststyle"/>
      </w:pPr>
      <w:r w:rsidRPr="00883125">
        <w:t>Only CEG, SFG, and Gray (for SFG and Frontier), rely exclusively on the SFG dividend drop off study when estimating the utilisation rate. Handley and McKenzie and Partington rely on a range of evidence. SACES gives equal weight to the equity ownership approach and tax statistics. Lally prefers a conceptual approach, but his second preference is the equity ownership approach.</w:t>
      </w:r>
    </w:p>
    <w:p w:rsidR="001D37D5" w:rsidRPr="001D37D5" w:rsidRDefault="001D37D5" w:rsidP="001D37D5">
      <w:pPr>
        <w:pStyle w:val="AERbulletlistfirststyle"/>
      </w:pPr>
      <w:r w:rsidRPr="00883125">
        <w:t>As a result of the differing approaches, particularly to the utilisation rate, the range of estimates of the value of imputation credits is 0.25 to 0.8</w:t>
      </w:r>
      <w:r w:rsidRPr="001D37D5">
        <w:t>3.</w:t>
      </w:r>
    </w:p>
    <w:p w:rsidR="001D37D5" w:rsidRPr="00883125" w:rsidRDefault="001D37D5" w:rsidP="001D37D5">
      <w:r w:rsidRPr="00883125">
        <w:t>Conceptually, the value of imputation credits must be between 0 and 1. Accordingly</w:t>
      </w:r>
      <w:r>
        <w:t>,</w:t>
      </w:r>
      <w:r w:rsidRPr="00883125">
        <w:t xml:space="preserve"> the range of recommended estimates from 0.25 to 0.8</w:t>
      </w:r>
      <w:r>
        <w:t>3</w:t>
      </w:r>
      <w:r w:rsidRPr="00883125">
        <w:t>, which spans most of the possible range for the value of imputation credits, highlights the lack of consensus among experts. Our final decision value of imputation credits of 0.4 sits in the lower half of the range recommended by experts, which is more favourable to service providers.</w:t>
      </w:r>
    </w:p>
    <w:p w:rsidR="001D37D5" w:rsidRPr="00883125" w:rsidRDefault="001D37D5" w:rsidP="001D37D5">
      <w:pPr>
        <w:pStyle w:val="Heading8"/>
      </w:pPr>
      <w:bookmarkStart w:id="166" w:name="_Toc450119245"/>
      <w:bookmarkStart w:id="167" w:name="_Toc450119407"/>
      <w:bookmarkStart w:id="168" w:name="_Ref414621875"/>
      <w:bookmarkStart w:id="169" w:name="_Toc436049443"/>
      <w:bookmarkStart w:id="170" w:name="_Toc451842247"/>
      <w:bookmarkStart w:id="171" w:name="_Toc451938303"/>
      <w:bookmarkEnd w:id="166"/>
      <w:bookmarkEnd w:id="167"/>
      <w:r w:rsidRPr="00883125">
        <w:t>The value of imputation credits used by other regulators</w:t>
      </w:r>
      <w:bookmarkEnd w:id="168"/>
      <w:bookmarkEnd w:id="169"/>
      <w:bookmarkEnd w:id="170"/>
      <w:bookmarkEnd w:id="171"/>
    </w:p>
    <w:p w:rsidR="001D37D5" w:rsidRPr="00883125" w:rsidRDefault="001D37D5" w:rsidP="001D37D5">
      <w:r w:rsidRPr="00883125">
        <w:t xml:space="preserve">Australian regulators have applied a wide range of approaches to estimate the value of imputation credits, resulting in varied outcomes. </w:t>
      </w:r>
      <w:r w:rsidRPr="00883125">
        <w:fldChar w:fldCharType="begin"/>
      </w:r>
      <w:r w:rsidRPr="00883125">
        <w:instrText xml:space="preserve"> REF _Ref401082422 \h </w:instrText>
      </w:r>
      <w:r w:rsidRPr="00883125">
        <w:fldChar w:fldCharType="separate"/>
      </w:r>
      <w:r w:rsidR="00A02D8C" w:rsidRPr="00883125">
        <w:t xml:space="preserve">Table </w:t>
      </w:r>
      <w:r w:rsidR="00A02D8C">
        <w:rPr>
          <w:noProof/>
        </w:rPr>
        <w:t>4</w:t>
      </w:r>
      <w:r w:rsidR="00A02D8C">
        <w:noBreakHyphen/>
      </w:r>
      <w:r w:rsidR="00A02D8C">
        <w:rPr>
          <w:noProof/>
        </w:rPr>
        <w:t>7</w:t>
      </w:r>
      <w:r w:rsidRPr="00883125">
        <w:fldChar w:fldCharType="end"/>
      </w:r>
      <w:r w:rsidRPr="00883125">
        <w:t xml:space="preserve"> summarises some recent regulatory decisions on the value of imputation credits. While these decisions have not directly informed our position on the value of imputation credits, they indicate that there is no conceptual or practical consensus amongst Australian regulators.</w:t>
      </w:r>
    </w:p>
    <w:p w:rsidR="001D37D5" w:rsidRPr="00883125" w:rsidRDefault="001D37D5" w:rsidP="001D37D5">
      <w:pPr>
        <w:pStyle w:val="Caption"/>
      </w:pPr>
      <w:bookmarkStart w:id="172" w:name="_Ref401082422"/>
      <w:r w:rsidRPr="00883125">
        <w:t xml:space="preserve">Table </w:t>
      </w:r>
      <w:r w:rsidRPr="001D37D5">
        <w:fldChar w:fldCharType="begin"/>
      </w:r>
      <w:r>
        <w:instrText xml:space="preserve"> STYLEREF 1 \s </w:instrText>
      </w:r>
      <w:r w:rsidRPr="001D37D5">
        <w:fldChar w:fldCharType="separate"/>
      </w:r>
      <w:r w:rsidR="00A02D8C">
        <w:rPr>
          <w:noProof/>
        </w:rPr>
        <w:t>4</w:t>
      </w:r>
      <w:r w:rsidRPr="001D37D5">
        <w:fldChar w:fldCharType="end"/>
      </w:r>
      <w:r>
        <w:noBreakHyphen/>
      </w:r>
      <w:r w:rsidRPr="001D37D5">
        <w:fldChar w:fldCharType="begin"/>
      </w:r>
      <w:r>
        <w:instrText xml:space="preserve"> SEQ Table \* ARABIC \s 1 </w:instrText>
      </w:r>
      <w:r w:rsidRPr="001D37D5">
        <w:fldChar w:fldCharType="separate"/>
      </w:r>
      <w:r w:rsidR="00A02D8C">
        <w:rPr>
          <w:noProof/>
        </w:rPr>
        <w:t>7</w:t>
      </w:r>
      <w:r w:rsidRPr="001D37D5">
        <w:fldChar w:fldCharType="end"/>
      </w:r>
      <w:bookmarkEnd w:id="172"/>
      <w:r w:rsidRPr="00883125">
        <w:tab/>
        <w:t>Australian regulators' approaches to the value of imputation credits</w:t>
      </w:r>
    </w:p>
    <w:tbl>
      <w:tblPr>
        <w:tblStyle w:val="AERtable-numbers"/>
        <w:tblW w:w="9242" w:type="dxa"/>
        <w:tblLayout w:type="fixed"/>
        <w:tblLook w:val="04A0" w:firstRow="1" w:lastRow="0" w:firstColumn="1" w:lastColumn="0" w:noHBand="0" w:noVBand="1"/>
      </w:tblPr>
      <w:tblGrid>
        <w:gridCol w:w="1101"/>
        <w:gridCol w:w="1842"/>
        <w:gridCol w:w="709"/>
        <w:gridCol w:w="1768"/>
        <w:gridCol w:w="1911"/>
        <w:gridCol w:w="1911"/>
      </w:tblGrid>
      <w:tr w:rsidR="001D37D5" w:rsidTr="005E1FC3">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101" w:type="dxa"/>
          </w:tcPr>
          <w:p w:rsidR="001D37D5" w:rsidRPr="00883125" w:rsidRDefault="001D37D5" w:rsidP="001D37D5">
            <w:pPr>
              <w:numPr>
                <w:ilvl w:val="0"/>
                <w:numId w:val="24"/>
              </w:numPr>
            </w:pPr>
            <w:r w:rsidRPr="00883125">
              <w:t>Regulator</w:t>
            </w:r>
          </w:p>
        </w:tc>
        <w:tc>
          <w:tcPr>
            <w:tcW w:w="1842" w:type="dxa"/>
          </w:tcPr>
          <w:p w:rsidR="001D37D5" w:rsidRPr="00883125" w:rsidRDefault="001D37D5" w:rsidP="001D37D5">
            <w:pPr>
              <w:numPr>
                <w:ilvl w:val="0"/>
                <w:numId w:val="24"/>
              </w:numPr>
              <w:cnfStyle w:val="100000000000" w:firstRow="1" w:lastRow="0" w:firstColumn="0" w:lastColumn="0" w:oddVBand="0" w:evenVBand="0" w:oddHBand="0" w:evenHBand="0" w:firstRowFirstColumn="0" w:firstRowLastColumn="0" w:lastRowFirstColumn="0" w:lastRowLastColumn="0"/>
            </w:pPr>
            <w:r w:rsidRPr="00883125">
              <w:t>Form of adoption</w:t>
            </w:r>
          </w:p>
        </w:tc>
        <w:tc>
          <w:tcPr>
            <w:tcW w:w="709" w:type="dxa"/>
          </w:tcPr>
          <w:p w:rsidR="001D37D5" w:rsidRPr="00883125" w:rsidRDefault="001D37D5" w:rsidP="001D37D5">
            <w:pPr>
              <w:numPr>
                <w:ilvl w:val="0"/>
                <w:numId w:val="24"/>
              </w:numPr>
              <w:cnfStyle w:val="100000000000" w:firstRow="1" w:lastRow="0" w:firstColumn="0" w:lastColumn="0" w:oddVBand="0" w:evenVBand="0" w:oddHBand="0" w:evenHBand="0" w:firstRowFirstColumn="0" w:firstRowLastColumn="0" w:lastRowFirstColumn="0" w:lastRowLastColumn="0"/>
            </w:pPr>
            <w:r w:rsidRPr="00883125">
              <w:t>Year</w:t>
            </w:r>
          </w:p>
        </w:tc>
        <w:tc>
          <w:tcPr>
            <w:tcW w:w="1768" w:type="dxa"/>
          </w:tcPr>
          <w:p w:rsidR="001D37D5" w:rsidRPr="00883125" w:rsidRDefault="001D37D5" w:rsidP="001D37D5">
            <w:pPr>
              <w:numPr>
                <w:ilvl w:val="0"/>
                <w:numId w:val="24"/>
              </w:numPr>
              <w:cnfStyle w:val="100000000000" w:firstRow="1" w:lastRow="0" w:firstColumn="0" w:lastColumn="0" w:oddVBand="0" w:evenVBand="0" w:oddHBand="0" w:evenHBand="0" w:firstRowFirstColumn="0" w:firstRowLastColumn="0" w:lastRowFirstColumn="0" w:lastRowLastColumn="0"/>
            </w:pPr>
            <w:r w:rsidRPr="00883125">
              <w:t>Distribution rate</w:t>
            </w:r>
          </w:p>
        </w:tc>
        <w:tc>
          <w:tcPr>
            <w:tcW w:w="1911" w:type="dxa"/>
          </w:tcPr>
          <w:p w:rsidR="001D37D5" w:rsidRPr="00883125" w:rsidRDefault="001D37D5" w:rsidP="001D37D5">
            <w:pPr>
              <w:numPr>
                <w:ilvl w:val="0"/>
                <w:numId w:val="24"/>
              </w:numPr>
              <w:cnfStyle w:val="100000000000" w:firstRow="1" w:lastRow="0" w:firstColumn="0" w:lastColumn="0" w:oddVBand="0" w:evenVBand="0" w:oddHBand="0" w:evenHBand="0" w:firstRowFirstColumn="0" w:firstRowLastColumn="0" w:lastRowFirstColumn="0" w:lastRowLastColumn="0"/>
            </w:pPr>
            <w:r w:rsidRPr="00883125">
              <w:t>Utilisation rate</w:t>
            </w:r>
          </w:p>
        </w:tc>
        <w:tc>
          <w:tcPr>
            <w:tcW w:w="1911" w:type="dxa"/>
          </w:tcPr>
          <w:p w:rsidR="001D37D5" w:rsidRPr="00883125" w:rsidRDefault="001D37D5" w:rsidP="001D37D5">
            <w:pPr>
              <w:numPr>
                <w:ilvl w:val="0"/>
                <w:numId w:val="24"/>
              </w:numPr>
              <w:cnfStyle w:val="100000000000" w:firstRow="1" w:lastRow="0" w:firstColumn="0" w:lastColumn="0" w:oddVBand="0" w:evenVBand="0" w:oddHBand="0" w:evenHBand="0" w:firstRowFirstColumn="0" w:firstRowLastColumn="0" w:lastRowFirstColumn="0" w:lastRowLastColumn="0"/>
            </w:pPr>
            <w:r w:rsidRPr="00883125">
              <w:t>Value of imputation credits</w:t>
            </w:r>
          </w:p>
        </w:tc>
      </w:tr>
      <w:tr w:rsidR="001D37D5" w:rsidTr="005E1FC3">
        <w:trPr>
          <w:cantSplit/>
        </w:trPr>
        <w:tc>
          <w:tcPr>
            <w:cnfStyle w:val="001000000000" w:firstRow="0" w:lastRow="0" w:firstColumn="1" w:lastColumn="0" w:oddVBand="0" w:evenVBand="0" w:oddHBand="0" w:evenHBand="0" w:firstRowFirstColumn="0" w:firstRowLastColumn="0" w:lastRowFirstColumn="0" w:lastRowLastColumn="0"/>
            <w:tcW w:w="1101" w:type="dxa"/>
          </w:tcPr>
          <w:p w:rsidR="001D37D5" w:rsidRPr="001D37D5" w:rsidRDefault="001D37D5" w:rsidP="001D37D5">
            <w:r w:rsidRPr="00883125">
              <w:t>IPART</w:t>
            </w:r>
            <w:r w:rsidRPr="001D37D5">
              <w:rPr>
                <w:rStyle w:val="FootnoteReference"/>
              </w:rPr>
              <w:footnoteReference w:id="217"/>
            </w:r>
          </w:p>
        </w:tc>
        <w:tc>
          <w:tcPr>
            <w:tcW w:w="1842"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t>Review of imputation credits, final decision</w:t>
            </w:r>
          </w:p>
        </w:tc>
        <w:tc>
          <w:tcPr>
            <w:tcW w:w="709"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t>2012</w:t>
            </w:r>
          </w:p>
        </w:tc>
        <w:tc>
          <w:tcPr>
            <w:tcW w:w="1768"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rPr>
                <w:rStyle w:val="Strong"/>
              </w:rPr>
              <w:t>0.7</w:t>
            </w:r>
            <w:r w:rsidRPr="00883125">
              <w:t>, using cumulative payout ratio approach</w:t>
            </w:r>
          </w:p>
        </w:tc>
        <w:tc>
          <w:tcPr>
            <w:tcW w:w="1911"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rPr>
                <w:rStyle w:val="Strong"/>
              </w:rPr>
              <w:t>0.35</w:t>
            </w:r>
            <w:r w:rsidRPr="00883125">
              <w:t>, using 2011 version of SFG dividend drop off study</w:t>
            </w:r>
          </w:p>
        </w:tc>
        <w:tc>
          <w:tcPr>
            <w:tcW w:w="1911"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rPr>
                <w:rStyle w:val="Strong"/>
              </w:rPr>
            </w:pPr>
            <w:r w:rsidRPr="00883125">
              <w:rPr>
                <w:rStyle w:val="Strong"/>
              </w:rPr>
              <w:t>0.25</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101" w:type="dxa"/>
          </w:tcPr>
          <w:p w:rsidR="001D37D5" w:rsidRPr="001D37D5" w:rsidRDefault="001D37D5" w:rsidP="001D37D5">
            <w:r w:rsidRPr="00883125">
              <w:lastRenderedPageBreak/>
              <w:t>ESC</w:t>
            </w:r>
            <w:r w:rsidRPr="001D37D5">
              <w:rPr>
                <w:rStyle w:val="AERsuperscript"/>
              </w:rPr>
              <w:footnoteReference w:id="218"/>
            </w:r>
          </w:p>
        </w:tc>
        <w:tc>
          <w:tcPr>
            <w:tcW w:w="1842" w:type="dxa"/>
          </w:tcPr>
          <w:p w:rsidR="001D37D5" w:rsidRPr="00883125" w:rsidRDefault="001D37D5" w:rsidP="001D37D5">
            <w:pPr>
              <w:numPr>
                <w:ilvl w:val="0"/>
                <w:numId w:val="24"/>
              </w:numPr>
              <w:cnfStyle w:val="000000010000" w:firstRow="0" w:lastRow="0" w:firstColumn="0" w:lastColumn="0" w:oddVBand="0" w:evenVBand="0" w:oddHBand="0" w:evenHBand="1" w:firstRowFirstColumn="0" w:firstRowLastColumn="0" w:lastRowFirstColumn="0" w:lastRowLastColumn="0"/>
            </w:pPr>
            <w:r w:rsidRPr="00883125">
              <w:t>Price review, greater metropolitan water businesses, final decision</w:t>
            </w:r>
          </w:p>
        </w:tc>
        <w:tc>
          <w:tcPr>
            <w:tcW w:w="709" w:type="dxa"/>
          </w:tcPr>
          <w:p w:rsidR="001D37D5" w:rsidRPr="00883125" w:rsidRDefault="001D37D5" w:rsidP="001D37D5">
            <w:pPr>
              <w:numPr>
                <w:ilvl w:val="0"/>
                <w:numId w:val="24"/>
              </w:numPr>
              <w:cnfStyle w:val="000000010000" w:firstRow="0" w:lastRow="0" w:firstColumn="0" w:lastColumn="0" w:oddVBand="0" w:evenVBand="0" w:oddHBand="0" w:evenHBand="1" w:firstRowFirstColumn="0" w:firstRowLastColumn="0" w:lastRowFirstColumn="0" w:lastRowLastColumn="0"/>
            </w:pPr>
            <w:r w:rsidRPr="00883125">
              <w:t>2013</w:t>
            </w:r>
          </w:p>
        </w:tc>
        <w:tc>
          <w:tcPr>
            <w:tcW w:w="1768" w:type="dxa"/>
          </w:tcPr>
          <w:p w:rsidR="001D37D5" w:rsidRPr="00883125" w:rsidRDefault="001D37D5" w:rsidP="001D37D5">
            <w:pPr>
              <w:numPr>
                <w:ilvl w:val="0"/>
                <w:numId w:val="24"/>
              </w:numPr>
              <w:cnfStyle w:val="000000010000" w:firstRow="0" w:lastRow="0" w:firstColumn="0" w:lastColumn="0" w:oddVBand="0" w:evenVBand="0" w:oddHBand="0" w:evenHBand="1" w:firstRowFirstColumn="0" w:firstRowLastColumn="0" w:lastRowFirstColumn="0" w:lastRowLastColumn="0"/>
              <w:rPr>
                <w:rStyle w:val="Strong"/>
              </w:rPr>
            </w:pPr>
            <w:r w:rsidRPr="00883125">
              <w:t>N/A</w:t>
            </w:r>
          </w:p>
        </w:tc>
        <w:tc>
          <w:tcPr>
            <w:tcW w:w="1911" w:type="dxa"/>
          </w:tcPr>
          <w:p w:rsidR="001D37D5" w:rsidRPr="00883125" w:rsidRDefault="001D37D5" w:rsidP="001D37D5">
            <w:pPr>
              <w:numPr>
                <w:ilvl w:val="0"/>
                <w:numId w:val="24"/>
              </w:numPr>
              <w:cnfStyle w:val="000000010000" w:firstRow="0" w:lastRow="0" w:firstColumn="0" w:lastColumn="0" w:oddVBand="0" w:evenVBand="0" w:oddHBand="0" w:evenHBand="1" w:firstRowFirstColumn="0" w:firstRowLastColumn="0" w:lastRowFirstColumn="0" w:lastRowLastColumn="0"/>
              <w:rPr>
                <w:rStyle w:val="Strong"/>
              </w:rPr>
            </w:pPr>
            <w:r w:rsidRPr="00883125">
              <w:t>N/A</w:t>
            </w:r>
          </w:p>
        </w:tc>
        <w:tc>
          <w:tcPr>
            <w:tcW w:w="1911" w:type="dxa"/>
          </w:tcPr>
          <w:p w:rsidR="001D37D5" w:rsidRPr="00883125" w:rsidRDefault="001D37D5" w:rsidP="001D37D5">
            <w:pPr>
              <w:numPr>
                <w:ilvl w:val="0"/>
                <w:numId w:val="24"/>
              </w:numPr>
              <w:cnfStyle w:val="000000010000" w:firstRow="0" w:lastRow="0" w:firstColumn="0" w:lastColumn="0" w:oddVBand="0" w:evenVBand="0" w:oddHBand="0" w:evenHBand="1" w:firstRowFirstColumn="0" w:firstRowLastColumn="0" w:lastRowFirstColumn="0" w:lastRowLastColumn="0"/>
              <w:rPr>
                <w:rStyle w:val="Strong"/>
              </w:rPr>
            </w:pPr>
            <w:r w:rsidRPr="00883125">
              <w:rPr>
                <w:rStyle w:val="Strong"/>
              </w:rPr>
              <w:t>0.5</w:t>
            </w:r>
            <w:r w:rsidRPr="00883125">
              <w:t>, based on 2011 guidance</w:t>
            </w:r>
            <w:r w:rsidRPr="00883125">
              <w:rPr>
                <w:rStyle w:val="FootnoteReference"/>
              </w:rPr>
              <w:footnoteReference w:id="219"/>
            </w:r>
          </w:p>
        </w:tc>
      </w:tr>
      <w:tr w:rsidR="001D37D5" w:rsidTr="005E1FC3">
        <w:trPr>
          <w:cantSplit/>
        </w:trPr>
        <w:tc>
          <w:tcPr>
            <w:cnfStyle w:val="001000000000" w:firstRow="0" w:lastRow="0" w:firstColumn="1" w:lastColumn="0" w:oddVBand="0" w:evenVBand="0" w:oddHBand="0" w:evenHBand="0" w:firstRowFirstColumn="0" w:firstRowLastColumn="0" w:lastRowFirstColumn="0" w:lastRowLastColumn="0"/>
            <w:tcW w:w="1101" w:type="dxa"/>
          </w:tcPr>
          <w:p w:rsidR="001D37D5" w:rsidRPr="001D37D5" w:rsidRDefault="001D37D5" w:rsidP="001D37D5">
            <w:r w:rsidRPr="00883125">
              <w:t>QCA</w:t>
            </w:r>
            <w:r w:rsidRPr="001D37D5">
              <w:rPr>
                <w:rStyle w:val="FootnoteReference"/>
              </w:rPr>
              <w:footnoteReference w:id="220"/>
            </w:r>
            <w:r w:rsidRPr="001D37D5">
              <w:t xml:space="preserve">  </w:t>
            </w:r>
          </w:p>
        </w:tc>
        <w:tc>
          <w:tcPr>
            <w:tcW w:w="1842"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t>Cost of capital market parameters, final decision</w:t>
            </w:r>
          </w:p>
        </w:tc>
        <w:tc>
          <w:tcPr>
            <w:tcW w:w="709"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t>2014</w:t>
            </w:r>
          </w:p>
        </w:tc>
        <w:tc>
          <w:tcPr>
            <w:tcW w:w="1768"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rPr>
                <w:rStyle w:val="Strong"/>
              </w:rPr>
              <w:t>0.84</w:t>
            </w:r>
            <w:r w:rsidRPr="00883125">
              <w:t>, using the financial statements of 20 largest ASX-listed companies</w:t>
            </w:r>
          </w:p>
        </w:tc>
        <w:tc>
          <w:tcPr>
            <w:tcW w:w="1911"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rPr>
                <w:rStyle w:val="Strong"/>
              </w:rPr>
              <w:t>0.56</w:t>
            </w:r>
            <w:r w:rsidRPr="00883125">
              <w:t>, based primarily on the domestic ownership share of listed equity</w:t>
            </w:r>
          </w:p>
        </w:tc>
        <w:tc>
          <w:tcPr>
            <w:tcW w:w="1911"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rPr>
                <w:rStyle w:val="Strong"/>
              </w:rPr>
            </w:pPr>
            <w:r w:rsidRPr="00883125">
              <w:rPr>
                <w:rStyle w:val="Strong"/>
              </w:rPr>
              <w:t>0.47</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101" w:type="dxa"/>
          </w:tcPr>
          <w:p w:rsidR="001D37D5" w:rsidRPr="00883125" w:rsidRDefault="001D37D5" w:rsidP="001D37D5">
            <w:pPr>
              <w:numPr>
                <w:ilvl w:val="0"/>
                <w:numId w:val="24"/>
              </w:numPr>
            </w:pPr>
            <w:r w:rsidRPr="00883125">
              <w:t>ERA</w:t>
            </w:r>
            <w:r w:rsidRPr="00883125">
              <w:rPr>
                <w:rStyle w:val="FootnoteReference"/>
              </w:rPr>
              <w:footnoteReference w:id="221"/>
            </w:r>
            <w:r w:rsidRPr="00883125">
              <w:t xml:space="preserve">  </w:t>
            </w:r>
          </w:p>
        </w:tc>
        <w:tc>
          <w:tcPr>
            <w:tcW w:w="1842" w:type="dxa"/>
          </w:tcPr>
          <w:p w:rsidR="001D37D5" w:rsidRPr="00883125" w:rsidRDefault="001D37D5" w:rsidP="001D37D5">
            <w:pPr>
              <w:numPr>
                <w:ilvl w:val="0"/>
                <w:numId w:val="24"/>
              </w:numPr>
              <w:cnfStyle w:val="000000010000" w:firstRow="0" w:lastRow="0" w:firstColumn="0" w:lastColumn="0" w:oddVBand="0" w:evenVBand="0" w:oddHBand="0" w:evenHBand="1" w:firstRowFirstColumn="0" w:firstRowLastColumn="0" w:lastRowFirstColumn="0" w:lastRowLastColumn="0"/>
            </w:pPr>
            <w:r w:rsidRPr="00883125">
              <w:t xml:space="preserve">Review of rate of return estimation for rail networks, revised draft determination </w:t>
            </w:r>
          </w:p>
        </w:tc>
        <w:tc>
          <w:tcPr>
            <w:tcW w:w="709" w:type="dxa"/>
          </w:tcPr>
          <w:p w:rsidR="001D37D5" w:rsidRPr="00883125" w:rsidRDefault="001D37D5" w:rsidP="001D37D5">
            <w:pPr>
              <w:numPr>
                <w:ilvl w:val="0"/>
                <w:numId w:val="24"/>
              </w:numPr>
              <w:cnfStyle w:val="000000010000" w:firstRow="0" w:lastRow="0" w:firstColumn="0" w:lastColumn="0" w:oddVBand="0" w:evenVBand="0" w:oddHBand="0" w:evenHBand="1" w:firstRowFirstColumn="0" w:firstRowLastColumn="0" w:lastRowFirstColumn="0" w:lastRowLastColumn="0"/>
            </w:pPr>
            <w:r w:rsidRPr="00883125">
              <w:t>2014</w:t>
            </w:r>
          </w:p>
        </w:tc>
        <w:tc>
          <w:tcPr>
            <w:tcW w:w="1768" w:type="dxa"/>
          </w:tcPr>
          <w:p w:rsidR="001D37D5" w:rsidRPr="00883125" w:rsidRDefault="001D37D5" w:rsidP="001D37D5">
            <w:pPr>
              <w:numPr>
                <w:ilvl w:val="0"/>
                <w:numId w:val="24"/>
              </w:numPr>
              <w:cnfStyle w:val="000000010000" w:firstRow="0" w:lastRow="0" w:firstColumn="0" w:lastColumn="0" w:oddVBand="0" w:evenVBand="0" w:oddHBand="0" w:evenHBand="1" w:firstRowFirstColumn="0" w:firstRowLastColumn="0" w:lastRowFirstColumn="0" w:lastRowLastColumn="0"/>
            </w:pPr>
            <w:r w:rsidRPr="00883125">
              <w:rPr>
                <w:rStyle w:val="Strong"/>
              </w:rPr>
              <w:t>0.7</w:t>
            </w:r>
            <w:r w:rsidRPr="00883125">
              <w:t>, using cumulative payout ratio approach</w:t>
            </w:r>
          </w:p>
        </w:tc>
        <w:tc>
          <w:tcPr>
            <w:tcW w:w="1911" w:type="dxa"/>
          </w:tcPr>
          <w:p w:rsidR="001D37D5" w:rsidRPr="00883125" w:rsidRDefault="001D37D5" w:rsidP="001D37D5">
            <w:pPr>
              <w:numPr>
                <w:ilvl w:val="0"/>
                <w:numId w:val="24"/>
              </w:numPr>
              <w:cnfStyle w:val="000000010000" w:firstRow="0" w:lastRow="0" w:firstColumn="0" w:lastColumn="0" w:oddVBand="0" w:evenVBand="0" w:oddHBand="0" w:evenHBand="1" w:firstRowFirstColumn="0" w:firstRowLastColumn="0" w:lastRowFirstColumn="0" w:lastRowLastColumn="0"/>
            </w:pPr>
            <w:r w:rsidRPr="00883125">
              <w:rPr>
                <w:rStyle w:val="Strong"/>
              </w:rPr>
              <w:t>0.7</w:t>
            </w:r>
            <w:r w:rsidRPr="00883125">
              <w:t>, most weight to simple domestic ownership share of all equity, some weight to conceptual goalposts approach, low weight to tax statistics and dividend drop off studies</w:t>
            </w:r>
          </w:p>
        </w:tc>
        <w:tc>
          <w:tcPr>
            <w:tcW w:w="1911" w:type="dxa"/>
          </w:tcPr>
          <w:p w:rsidR="001D37D5" w:rsidRPr="00883125" w:rsidRDefault="001D37D5" w:rsidP="001D37D5">
            <w:pPr>
              <w:numPr>
                <w:ilvl w:val="0"/>
                <w:numId w:val="24"/>
              </w:numPr>
              <w:cnfStyle w:val="000000010000" w:firstRow="0" w:lastRow="0" w:firstColumn="0" w:lastColumn="0" w:oddVBand="0" w:evenVBand="0" w:oddHBand="0" w:evenHBand="1" w:firstRowFirstColumn="0" w:firstRowLastColumn="0" w:lastRowFirstColumn="0" w:lastRowLastColumn="0"/>
            </w:pPr>
            <w:r w:rsidRPr="00883125">
              <w:rPr>
                <w:rStyle w:val="Strong"/>
              </w:rPr>
              <w:t>0.5</w:t>
            </w:r>
          </w:p>
        </w:tc>
      </w:tr>
      <w:tr w:rsidR="001D37D5" w:rsidTr="005E1FC3">
        <w:trPr>
          <w:cantSplit/>
        </w:trPr>
        <w:tc>
          <w:tcPr>
            <w:cnfStyle w:val="001000000000" w:firstRow="0" w:lastRow="0" w:firstColumn="1" w:lastColumn="0" w:oddVBand="0" w:evenVBand="0" w:oddHBand="0" w:evenHBand="0" w:firstRowFirstColumn="0" w:firstRowLastColumn="0" w:lastRowFirstColumn="0" w:lastRowLastColumn="0"/>
            <w:tcW w:w="1101" w:type="dxa"/>
          </w:tcPr>
          <w:p w:rsidR="001D37D5" w:rsidRPr="00883125" w:rsidRDefault="001D37D5" w:rsidP="001D37D5">
            <w:pPr>
              <w:numPr>
                <w:ilvl w:val="0"/>
                <w:numId w:val="24"/>
              </w:numPr>
            </w:pPr>
            <w:r w:rsidRPr="00883125">
              <w:t>ACCC</w:t>
            </w:r>
            <w:r w:rsidRPr="00883125">
              <w:rPr>
                <w:rStyle w:val="FootnoteReference"/>
              </w:rPr>
              <w:footnoteReference w:id="222"/>
            </w:r>
            <w:r w:rsidRPr="00883125">
              <w:t xml:space="preserve"> </w:t>
            </w:r>
          </w:p>
        </w:tc>
        <w:tc>
          <w:tcPr>
            <w:tcW w:w="1842"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t>Fixed line services (telecommunications), draft decision on access determination</w:t>
            </w:r>
          </w:p>
        </w:tc>
        <w:tc>
          <w:tcPr>
            <w:tcW w:w="709"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t>2015</w:t>
            </w:r>
          </w:p>
        </w:tc>
        <w:tc>
          <w:tcPr>
            <w:tcW w:w="1768"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t>N/A</w:t>
            </w:r>
          </w:p>
        </w:tc>
        <w:tc>
          <w:tcPr>
            <w:tcW w:w="1911"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t>N/A</w:t>
            </w:r>
          </w:p>
        </w:tc>
        <w:tc>
          <w:tcPr>
            <w:tcW w:w="1911"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rPr>
                <w:rStyle w:val="Strong"/>
              </w:rPr>
              <w:t>0.45</w:t>
            </w:r>
            <w:r w:rsidRPr="00883125">
              <w:t>, set for consistency with previous ACCC decisions, but with regard to a range of recent evidence, including firm specific factors</w:t>
            </w:r>
          </w:p>
        </w:tc>
      </w:tr>
    </w:tbl>
    <w:p w:rsidR="001D37D5" w:rsidRPr="00883125" w:rsidRDefault="001D37D5" w:rsidP="001D37D5">
      <w:pPr>
        <w:pStyle w:val="AERtablesource"/>
      </w:pPr>
      <w:r w:rsidRPr="00883125">
        <w:t>Source:</w:t>
      </w:r>
      <w:r w:rsidRPr="00883125">
        <w:tab/>
        <w:t>As specified in table.</w:t>
      </w:r>
    </w:p>
    <w:p w:rsidR="001D37D5" w:rsidRPr="00883125" w:rsidRDefault="001D37D5" w:rsidP="001D37D5">
      <w:r w:rsidRPr="00883125">
        <w:t xml:space="preserve">Conceptually, the value of imputation credits must be between 0 and 1. The range of values adopted by Australian regulators is from 0.25 to 0.5. This range is narrower than the range of estimates recommended by experts (from 0.25 to 0.84), but it is still quite wide. This highlights the lack of consensus among regulators on the value of imputation credits. Given </w:t>
      </w:r>
      <w:r w:rsidRPr="00883125">
        <w:lastRenderedPageBreak/>
        <w:t>the lack of consensus among experts, this is perhaps not surprising. Our final decision value of imputation credits of 0.4 sits within the range adopted by regulators.</w:t>
      </w:r>
    </w:p>
    <w:p w:rsidR="001D37D5" w:rsidRPr="00883125" w:rsidRDefault="001D37D5" w:rsidP="001D37D5">
      <w:pPr>
        <w:pStyle w:val="Heading8"/>
      </w:pPr>
      <w:bookmarkStart w:id="173" w:name="_Toc436049444"/>
      <w:bookmarkStart w:id="174" w:name="_Toc451842248"/>
      <w:bookmarkStart w:id="175" w:name="_Toc451938304"/>
      <w:r w:rsidRPr="00883125">
        <w:t>Previous Australian Competition Tribunal considerations</w:t>
      </w:r>
      <w:bookmarkEnd w:id="173"/>
      <w:bookmarkEnd w:id="174"/>
      <w:bookmarkEnd w:id="175"/>
    </w:p>
    <w:p w:rsidR="001D37D5" w:rsidRPr="00883125" w:rsidRDefault="001D37D5" w:rsidP="001D37D5">
      <w:pPr>
        <w:numPr>
          <w:ilvl w:val="0"/>
          <w:numId w:val="24"/>
        </w:numPr>
      </w:pPr>
      <w:r w:rsidRPr="00883125">
        <w:t>The Australian Competition Tribunal has considered in detail the value of imputation credits (gamma) in four proceedings since 2010, relating to applications by:</w:t>
      </w:r>
    </w:p>
    <w:p w:rsidR="001D37D5" w:rsidRPr="001D37D5" w:rsidRDefault="001D37D5" w:rsidP="001D37D5">
      <w:pPr>
        <w:pStyle w:val="AERbulletlistfirststyle"/>
        <w:rPr>
          <w:rStyle w:val="CommentReference"/>
        </w:rPr>
      </w:pPr>
      <w:r w:rsidRPr="00883125">
        <w:t>ActewAGL Distribution, Ausgrid, Endeavour Energy, Essential Energy and Jemena Gas Networks</w:t>
      </w:r>
      <w:r w:rsidRPr="001D37D5" w:rsidDel="00C2259D">
        <w:rPr>
          <w:rStyle w:val="CommentReference"/>
        </w:rPr>
        <w:t xml:space="preserve"> </w:t>
      </w:r>
    </w:p>
    <w:p w:rsidR="001D37D5" w:rsidRPr="00883125" w:rsidRDefault="001D37D5" w:rsidP="001D37D5">
      <w:pPr>
        <w:pStyle w:val="AERbulletlistfirststyle"/>
      </w:pPr>
      <w:r w:rsidRPr="00883125">
        <w:t>Energex Limited</w:t>
      </w:r>
    </w:p>
    <w:p w:rsidR="001D37D5" w:rsidRPr="00883125" w:rsidRDefault="001D37D5" w:rsidP="001D37D5">
      <w:pPr>
        <w:pStyle w:val="AERbulletlistfirststyle"/>
      </w:pPr>
      <w:r w:rsidRPr="00883125">
        <w:t>DBNGP (WA) Transmission Pty Ltd, and</w:t>
      </w:r>
    </w:p>
    <w:p w:rsidR="001D37D5" w:rsidRPr="00883125" w:rsidRDefault="001D37D5" w:rsidP="001D37D5">
      <w:pPr>
        <w:pStyle w:val="AERbulletlistfirststyle"/>
      </w:pPr>
      <w:r w:rsidRPr="00883125">
        <w:t>WA Gas Networks Pty Ltd.</w:t>
      </w:r>
    </w:p>
    <w:p w:rsidR="001D37D5" w:rsidRPr="00883125" w:rsidRDefault="001D37D5" w:rsidP="001D37D5">
      <w:pPr>
        <w:numPr>
          <w:ilvl w:val="0"/>
          <w:numId w:val="24"/>
        </w:numPr>
      </w:pPr>
      <w:r w:rsidRPr="00883125">
        <w:t>The Tribunal's comments in each case referred to the lack of expert consensus regarding the value of imputation credits and the scope that existed for future assessments of the evidence. We discuss these comments further in the sections below.</w:t>
      </w:r>
    </w:p>
    <w:p w:rsidR="001D37D5" w:rsidRPr="00883125" w:rsidRDefault="001D37D5" w:rsidP="001D37D5">
      <w:pPr>
        <w:pStyle w:val="Heading9"/>
      </w:pPr>
      <w:bookmarkStart w:id="176" w:name="_Ref451813952"/>
      <w:r w:rsidRPr="00883125">
        <w:t>ActewAGL Distribution, Ausgrid, Endeavour Energy, Essential Energy and Jemena Gas Networks</w:t>
      </w:r>
      <w:bookmarkEnd w:id="176"/>
      <w:r w:rsidRPr="00883125">
        <w:t xml:space="preserve"> </w:t>
      </w:r>
    </w:p>
    <w:p w:rsidR="001D37D5" w:rsidRPr="00883125" w:rsidRDefault="001D37D5" w:rsidP="001D37D5">
      <w:r w:rsidRPr="00883125">
        <w:t>In April and June 2015 we released our final decisions for ActewAGL Distribution, Ausgrid, Endeavour Energy, Essential Energy and Jemena Gas Networks. In these decisions, we adopted a gamma estimate of 0.4.</w:t>
      </w:r>
    </w:p>
    <w:p w:rsidR="001D37D5" w:rsidRPr="00B27BE5" w:rsidRDefault="001D37D5" w:rsidP="001D37D5">
      <w:r w:rsidRPr="00883125">
        <w:t xml:space="preserve">ActewAGL Distribution, Ausgrid, Endeavour Energy, Essential Energy and Jemena Gas Networks </w:t>
      </w:r>
      <w:r w:rsidRPr="00B27BE5">
        <w:t>successfully sought review of these final decisions by the Australian Competition Tribunal.</w:t>
      </w:r>
      <w:r>
        <w:rPr>
          <w:rStyle w:val="FootnoteReference"/>
        </w:rPr>
        <w:footnoteReference w:id="223"/>
      </w:r>
      <w:r w:rsidRPr="00B27BE5">
        <w:t xml:space="preserve"> The Tribunal set aside </w:t>
      </w:r>
      <w:r>
        <w:t>our</w:t>
      </w:r>
      <w:r w:rsidRPr="00B27BE5">
        <w:t xml:space="preserve"> decision</w:t>
      </w:r>
      <w:r>
        <w:t>s</w:t>
      </w:r>
      <w:r w:rsidRPr="00B27BE5">
        <w:t xml:space="preserve"> and </w:t>
      </w:r>
      <w:r>
        <w:t>has</w:t>
      </w:r>
      <w:r w:rsidRPr="00B27BE5">
        <w:t xml:space="preserve"> remitted the matter back to </w:t>
      </w:r>
      <w:r>
        <w:t>us</w:t>
      </w:r>
      <w:r w:rsidRPr="00B27BE5">
        <w:t xml:space="preserve"> to remake the decision using a gamma value of 0.25. </w:t>
      </w:r>
      <w:r>
        <w:t>T</w:t>
      </w:r>
      <w:r w:rsidRPr="00B27BE5">
        <w:t xml:space="preserve">he </w:t>
      </w:r>
      <w:r>
        <w:t>T</w:t>
      </w:r>
      <w:r w:rsidRPr="00B27BE5">
        <w:t>ribunal considered the appropriate distribution rate to use is 0.7 based on a value from all equity</w:t>
      </w:r>
      <w:r>
        <w:t>. It also</w:t>
      </w:r>
      <w:r w:rsidRPr="00B27BE5">
        <w:t xml:space="preserve"> considered it was appropriate to use market based studies to solely estimate the value of distributed imputation credits (</w:t>
      </w:r>
      <w:r>
        <w:t xml:space="preserve">also known as the utilisation rate, </w:t>
      </w:r>
      <w:r w:rsidRPr="00B27BE5">
        <w:t xml:space="preserve">or theta). </w:t>
      </w:r>
    </w:p>
    <w:p w:rsidR="001D37D5" w:rsidRPr="008F5D24" w:rsidRDefault="001D37D5" w:rsidP="001D37D5">
      <w:r w:rsidRPr="008F5D24">
        <w:t xml:space="preserve">In reaching its position, the Tribunal expressed views on the important factors in its decisions. The Tribunals views and our initial response is summarised in </w:t>
      </w:r>
      <w:r w:rsidRPr="00C43CF0">
        <w:fldChar w:fldCharType="begin"/>
      </w:r>
      <w:r w:rsidRPr="008F5D24">
        <w:instrText xml:space="preserve"> REF  _Ref450040370 \* Lower \h  \* MERGEFORMAT </w:instrText>
      </w:r>
      <w:r w:rsidRPr="00C43CF0">
        <w:fldChar w:fldCharType="separate"/>
      </w:r>
      <w:r w:rsidR="00A02D8C" w:rsidRPr="005764F6">
        <w:t xml:space="preserve">table </w:t>
      </w:r>
      <w:r w:rsidR="00A02D8C">
        <w:t>4</w:t>
      </w:r>
      <w:r w:rsidR="00A02D8C" w:rsidRPr="005764F6">
        <w:noBreakHyphen/>
      </w:r>
      <w:r w:rsidR="00A02D8C">
        <w:t>8</w:t>
      </w:r>
      <w:r w:rsidRPr="00C43CF0">
        <w:fldChar w:fldCharType="end"/>
      </w:r>
      <w:r w:rsidRPr="008F5D24">
        <w:t xml:space="preserve"> below. However, we note that at this time, we have not completed the remittal of our final decisions for the above-mentioned service providers.</w:t>
      </w:r>
    </w:p>
    <w:p w:rsidR="001D37D5" w:rsidRPr="00883125" w:rsidRDefault="001D37D5" w:rsidP="001D37D5"/>
    <w:p w:rsidR="001D37D5" w:rsidRPr="00883125" w:rsidRDefault="001D37D5" w:rsidP="001D37D5">
      <w:pPr>
        <w:sectPr w:rsidR="001D37D5" w:rsidRPr="00883125" w:rsidSect="005E1FC3">
          <w:footerReference w:type="even" r:id="rId16"/>
          <w:footerReference w:type="default" r:id="rId17"/>
          <w:pgSz w:w="11906" w:h="16838"/>
          <w:pgMar w:top="1440" w:right="1440" w:bottom="1440" w:left="1440" w:header="708" w:footer="708" w:gutter="0"/>
          <w:pgNumType w:chapStyle="1"/>
          <w:cols w:space="708"/>
          <w:docGrid w:linePitch="360"/>
        </w:sectPr>
      </w:pPr>
    </w:p>
    <w:p w:rsidR="001D37D5" w:rsidRPr="005764F6" w:rsidRDefault="001D37D5" w:rsidP="001D37D5">
      <w:pPr>
        <w:pStyle w:val="Tabletitle"/>
      </w:pPr>
      <w:bookmarkStart w:id="177" w:name="_Ref450040370"/>
      <w:r w:rsidRPr="005764F6">
        <w:lastRenderedPageBreak/>
        <w:t xml:space="preserve">Table </w:t>
      </w:r>
      <w:r w:rsidR="00F470C7">
        <w:fldChar w:fldCharType="begin"/>
      </w:r>
      <w:r w:rsidR="00F470C7">
        <w:instrText xml:space="preserve"> STYLEREF 1 \s </w:instrText>
      </w:r>
      <w:r w:rsidR="00F470C7">
        <w:fldChar w:fldCharType="separate"/>
      </w:r>
      <w:r w:rsidR="00A02D8C">
        <w:rPr>
          <w:noProof/>
        </w:rPr>
        <w:t>4</w:t>
      </w:r>
      <w:r w:rsidR="00F470C7">
        <w:rPr>
          <w:noProof/>
        </w:rPr>
        <w:fldChar w:fldCharType="end"/>
      </w:r>
      <w:r w:rsidRPr="005764F6">
        <w:noBreakHyphen/>
      </w:r>
      <w:r w:rsidR="00F470C7">
        <w:fldChar w:fldCharType="begin"/>
      </w:r>
      <w:r w:rsidR="00F470C7">
        <w:instrText xml:space="preserve"> SEQ Table \* ARABIC \s 1 </w:instrText>
      </w:r>
      <w:r w:rsidR="00F470C7">
        <w:fldChar w:fldCharType="separate"/>
      </w:r>
      <w:r w:rsidR="00A02D8C">
        <w:rPr>
          <w:noProof/>
        </w:rPr>
        <w:t>8</w:t>
      </w:r>
      <w:r w:rsidR="00F470C7">
        <w:rPr>
          <w:noProof/>
        </w:rPr>
        <w:fldChar w:fldCharType="end"/>
      </w:r>
      <w:bookmarkEnd w:id="177"/>
      <w:r w:rsidRPr="005764F6">
        <w:tab/>
        <w:t>Australian Competition Tribunal's observations on imputation credits in ActewAGL Distribution, Ausgrid, Endeavour Energy, Essential Energy and Jemena Gas Networks matter</w:t>
      </w:r>
    </w:p>
    <w:tbl>
      <w:tblPr>
        <w:tblStyle w:val="AERtable-text0"/>
        <w:tblW w:w="5000" w:type="pct"/>
        <w:tblLook w:val="04A0" w:firstRow="1" w:lastRow="0" w:firstColumn="1" w:lastColumn="0" w:noHBand="0" w:noVBand="1"/>
      </w:tblPr>
      <w:tblGrid>
        <w:gridCol w:w="2222"/>
        <w:gridCol w:w="6438"/>
        <w:gridCol w:w="5514"/>
      </w:tblGrid>
      <w:tr w:rsidR="001D37D5" w:rsidTr="00247000">
        <w:trPr>
          <w:cnfStyle w:val="100000000000" w:firstRow="1" w:lastRow="0" w:firstColumn="0" w:lastColumn="0" w:oddVBand="0" w:evenVBand="0" w:oddHBand="0" w:evenHBand="0" w:firstRowFirstColumn="0" w:firstRowLastColumn="0" w:lastRowFirstColumn="0" w:lastRowLastColumn="0"/>
          <w:tblHeader/>
        </w:trPr>
        <w:tc>
          <w:tcPr>
            <w:tcW w:w="784" w:type="pct"/>
          </w:tcPr>
          <w:p w:rsidR="001D37D5" w:rsidRPr="001D37D5" w:rsidRDefault="001D37D5" w:rsidP="001D37D5">
            <w:r w:rsidRPr="00883125">
              <w:t>Issue</w:t>
            </w:r>
          </w:p>
        </w:tc>
        <w:tc>
          <w:tcPr>
            <w:tcW w:w="2271" w:type="pct"/>
          </w:tcPr>
          <w:p w:rsidR="001D37D5" w:rsidRPr="001D37D5" w:rsidRDefault="001D37D5" w:rsidP="001D37D5">
            <w:r w:rsidRPr="00883125">
              <w:t>Tribunal comments</w:t>
            </w:r>
          </w:p>
        </w:tc>
        <w:tc>
          <w:tcPr>
            <w:tcW w:w="1945" w:type="pct"/>
          </w:tcPr>
          <w:p w:rsidR="001D37D5" w:rsidRPr="001D37D5" w:rsidRDefault="001D37D5" w:rsidP="001D37D5">
            <w:r w:rsidRPr="00883125">
              <w:t xml:space="preserve">AER </w:t>
            </w:r>
            <w:r w:rsidRPr="001D37D5">
              <w:t>initial comments</w:t>
            </w:r>
          </w:p>
        </w:tc>
      </w:tr>
      <w:tr w:rsidR="001D37D5" w:rsidTr="005E1FC3">
        <w:tc>
          <w:tcPr>
            <w:tcW w:w="784" w:type="pct"/>
          </w:tcPr>
          <w:p w:rsidR="001D37D5" w:rsidRPr="001D37D5" w:rsidRDefault="001D37D5" w:rsidP="001D37D5">
            <w:r w:rsidRPr="00883125">
              <w:t>The conceptual framework for gamma</w:t>
            </w:r>
          </w:p>
        </w:tc>
        <w:tc>
          <w:tcPr>
            <w:tcW w:w="2271" w:type="pct"/>
          </w:tcPr>
          <w:p w:rsidR="001D37D5" w:rsidRPr="001D37D5" w:rsidRDefault="001D37D5" w:rsidP="001D37D5">
            <w:r w:rsidRPr="00883125">
              <w:t xml:space="preserve">By placing </w:t>
            </w:r>
            <w:r w:rsidRPr="001D37D5">
              <w:t>most reliance on the equity ownership approach and effectively defining the utilisation value as the proportion of distributed imputation credits available for redemption, the AER has adopted a conceptual approach to gamma that redefines it as the value of imputation credits that are available for redemption.</w:t>
            </w:r>
            <w:r w:rsidRPr="001D37D5">
              <w:rPr>
                <w:rStyle w:val="FootnoteReference"/>
              </w:rPr>
              <w:footnoteReference w:id="224"/>
            </w:r>
            <w:r w:rsidRPr="001D37D5">
              <w:t xml:space="preserve"> This is inconsistent with the concept of gamma in the Officer Framework for the WACC which underlines the Rules, and with the objective of ensuring a market rate of return on equity by making an adjustment to the revenue allowance for taxation to account for imputation credits.</w:t>
            </w:r>
            <w:r w:rsidRPr="001D37D5">
              <w:rPr>
                <w:rStyle w:val="FootnoteReference"/>
              </w:rPr>
              <w:footnoteReference w:id="225"/>
            </w:r>
          </w:p>
          <w:p w:rsidR="001D37D5" w:rsidRPr="001D37D5" w:rsidRDefault="001D37D5" w:rsidP="001D37D5">
            <w:r w:rsidRPr="00883125">
              <w:t xml:space="preserve">It </w:t>
            </w:r>
            <w:r w:rsidRPr="001D37D5">
              <w:t>did not accept the AER's approach that imputation credits are values at their claimable amount or face value. The value is not what can be claimed or utilised, but what is claimed or utilised as demonstrated by the behaviour of the shareholder recipients of the imputation credits.</w:t>
            </w:r>
            <w:r w:rsidRPr="001D37D5">
              <w:rPr>
                <w:rStyle w:val="FootnoteReference"/>
              </w:rPr>
              <w:footnoteReference w:id="226"/>
            </w:r>
          </w:p>
          <w:p w:rsidR="001D37D5" w:rsidRPr="001D37D5" w:rsidRDefault="001D37D5" w:rsidP="001D37D5">
            <w:r w:rsidRPr="00883125">
              <w:t xml:space="preserve">Handley's extension of the Officer Framework does not appear to present an empirically robust and internally consistent explanation for the link </w:t>
            </w:r>
            <w:r w:rsidRPr="001D37D5">
              <w:t>between the existence of imputation credits and the applicability of the vanilla WACC.</w:t>
            </w:r>
            <w:r w:rsidRPr="001D37D5">
              <w:rPr>
                <w:rStyle w:val="FootnoteReference"/>
              </w:rPr>
              <w:footnoteReference w:id="227"/>
            </w:r>
          </w:p>
        </w:tc>
        <w:tc>
          <w:tcPr>
            <w:tcW w:w="1945" w:type="pct"/>
          </w:tcPr>
          <w:p w:rsidR="001D37D5" w:rsidRPr="001D37D5" w:rsidRDefault="001D37D5" w:rsidP="001D37D5">
            <w:r w:rsidRPr="00883125">
              <w:t>In developing the Guideline, we re-evaluated the conceptual framework for the value of imputation credits</w:t>
            </w:r>
            <w:r w:rsidRPr="001D37D5">
              <w:t xml:space="preserve"> in consultation with stakeholders. In making this final decision, we have built on this re-evaluation. We discuss the role of the value of imputation credits and the underlying conceptual framework in sections </w:t>
            </w:r>
            <w:r w:rsidRPr="001D37D5">
              <w:fldChar w:fldCharType="begin"/>
            </w:r>
            <w:r w:rsidRPr="001D37D5">
              <w:instrText xml:space="preserve"> REF _Ref415144114 \r \h  \* MERGEFORMAT </w:instrText>
            </w:r>
            <w:r w:rsidRPr="001D37D5">
              <w:fldChar w:fldCharType="separate"/>
            </w:r>
            <w:r w:rsidR="00A02D8C">
              <w:t>A.5</w:t>
            </w:r>
            <w:r w:rsidRPr="001D37D5">
              <w:fldChar w:fldCharType="end"/>
            </w:r>
            <w:r w:rsidRPr="001D37D5">
              <w:t xml:space="preserve"> and </w:t>
            </w:r>
            <w:r w:rsidRPr="001D37D5">
              <w:fldChar w:fldCharType="begin"/>
            </w:r>
            <w:r w:rsidRPr="001D37D5">
              <w:instrText xml:space="preserve"> REF _Ref400965182 \r \h  \* MERGEFORMAT </w:instrText>
            </w:r>
            <w:r w:rsidRPr="001D37D5">
              <w:fldChar w:fldCharType="separate"/>
            </w:r>
            <w:r w:rsidR="00A02D8C">
              <w:t>A.6</w:t>
            </w:r>
            <w:r w:rsidRPr="001D37D5">
              <w:fldChar w:fldCharType="end"/>
            </w:r>
            <w:r w:rsidRPr="001D37D5">
              <w:t>.</w:t>
            </w:r>
          </w:p>
          <w:p w:rsidR="001D37D5" w:rsidRPr="001D37D5" w:rsidRDefault="001D37D5" w:rsidP="001D37D5">
            <w:r>
              <w:t>We</w:t>
            </w:r>
            <w:r w:rsidRPr="001D37D5">
              <w:t xml:space="preserve"> consider the face value of imputation credits is the most appropriate measure and is consistent with the Officer framework. We consider it uses market values only where it is appropriate to do so and some other parameters used by us are also based on face values. For instance, when estimating the MRP we use the face value of dividends. Similarly, when estimating the yield to maturity for the return on debt and the risk free rate, the face value of the coupon payment and the face value of the principal is used.</w:t>
            </w:r>
          </w:p>
          <w:p w:rsidR="001D37D5" w:rsidRPr="001D37D5" w:rsidRDefault="001D37D5" w:rsidP="001D37D5">
            <w:r w:rsidRPr="00883125">
              <w:t xml:space="preserve">The </w:t>
            </w:r>
            <w:r w:rsidRPr="001D37D5">
              <w:t>Officer framework is based on a post-company tax and pre-personal tax framework. In order to be consistent with the Officer framework, all parameters need to be estimated on a pre-personal tax basis. The face value of imputation credits, dividends and debt coupon payments are the pre-personal tax values as personal tax rates are levied on these values. Similarly, the returns calculated from the market values of equity prices and debt prices are pre-personal tax values as the personal capital gains tax is levied on these returns.</w:t>
            </w:r>
          </w:p>
          <w:p w:rsidR="001D37D5" w:rsidRPr="001D37D5" w:rsidRDefault="001D37D5" w:rsidP="001D37D5">
            <w:r w:rsidRPr="00883125">
              <w:t>However, t</w:t>
            </w:r>
            <w:r w:rsidRPr="001D37D5">
              <w:t xml:space="preserve">he dividend drop off imputation credit estimate is neither a pre-personal tax nor a post-personal tax estimate. As a result, this estimate (absent adjustment) cannot be used at all in our regulatory context as it is </w:t>
            </w:r>
            <w:r w:rsidRPr="001D37D5">
              <w:lastRenderedPageBreak/>
              <w:t xml:space="preserve">inconsistent with the post-tax Officer framework. This is further discussed in section </w:t>
            </w:r>
            <w:r w:rsidRPr="001D37D5">
              <w:fldChar w:fldCharType="begin"/>
            </w:r>
            <w:r w:rsidRPr="001D37D5">
              <w:instrText xml:space="preserve"> REF _Ref435171205 \r \h  \* MERGEFORMAT </w:instrText>
            </w:r>
            <w:r w:rsidRPr="001D37D5">
              <w:fldChar w:fldCharType="separate"/>
            </w:r>
            <w:r w:rsidR="00A02D8C">
              <w:t>A.15.3</w:t>
            </w:r>
            <w:r w:rsidRPr="001D37D5">
              <w:fldChar w:fldCharType="end"/>
            </w:r>
            <w:r w:rsidRPr="001D37D5">
              <w:t>.</w:t>
            </w:r>
          </w:p>
        </w:tc>
      </w:tr>
      <w:tr w:rsidR="001D37D5" w:rsidTr="005E1FC3">
        <w:trPr>
          <w:cnfStyle w:val="000000010000" w:firstRow="0" w:lastRow="0" w:firstColumn="0" w:lastColumn="0" w:oddVBand="0" w:evenVBand="0" w:oddHBand="0" w:evenHBand="1" w:firstRowFirstColumn="0" w:firstRowLastColumn="0" w:lastRowFirstColumn="0" w:lastRowLastColumn="0"/>
        </w:trPr>
        <w:tc>
          <w:tcPr>
            <w:tcW w:w="784" w:type="pct"/>
          </w:tcPr>
          <w:p w:rsidR="001D37D5" w:rsidRPr="001D37D5" w:rsidRDefault="001D37D5" w:rsidP="001D37D5">
            <w:r w:rsidRPr="00883125">
              <w:lastRenderedPageBreak/>
              <w:t>The distribution rate (payout ratio)</w:t>
            </w:r>
          </w:p>
        </w:tc>
        <w:tc>
          <w:tcPr>
            <w:tcW w:w="2271" w:type="pct"/>
          </w:tcPr>
          <w:p w:rsidR="001D37D5" w:rsidRPr="001D37D5" w:rsidRDefault="001D37D5" w:rsidP="001D37D5">
            <w:r w:rsidRPr="00883125">
              <w:t>There is insufficient explanation for introducing the distribution rate for only listed equity.</w:t>
            </w:r>
            <w:r w:rsidRPr="001D37D5">
              <w:rPr>
                <w:rStyle w:val="FootnoteReference"/>
              </w:rPr>
              <w:footnoteReference w:id="228"/>
            </w:r>
          </w:p>
        </w:tc>
        <w:tc>
          <w:tcPr>
            <w:tcW w:w="1945" w:type="pct"/>
          </w:tcPr>
          <w:p w:rsidR="001D37D5" w:rsidRPr="001D37D5" w:rsidRDefault="001D37D5" w:rsidP="001D37D5">
            <w:r w:rsidRPr="00B31DF2">
              <w:t>As discussed in section</w:t>
            </w:r>
            <w:r w:rsidRPr="001D37D5">
              <w:t xml:space="preserve"> </w:t>
            </w:r>
            <w:r w:rsidRPr="001D37D5">
              <w:fldChar w:fldCharType="begin"/>
            </w:r>
            <w:r w:rsidRPr="001D37D5">
              <w:instrText xml:space="preserve"> REF _Ref451262944 \r \h  \* MERGEFORMAT </w:instrText>
            </w:r>
            <w:r w:rsidRPr="001D37D5">
              <w:fldChar w:fldCharType="separate"/>
            </w:r>
            <w:r w:rsidR="00A02D8C">
              <w:t>4.4</w:t>
            </w:r>
            <w:r w:rsidRPr="001D37D5">
              <w:fldChar w:fldCharType="end"/>
            </w:r>
            <w:r w:rsidRPr="001D37D5">
              <w:t xml:space="preserve"> of attachment 4 and section </w:t>
            </w:r>
            <w:r w:rsidRPr="001D37D5">
              <w:fldChar w:fldCharType="begin"/>
            </w:r>
            <w:r w:rsidRPr="001D37D5">
              <w:instrText xml:space="preserve"> REF _Ref401133206 \r \h </w:instrText>
            </w:r>
            <w:r w:rsidRPr="001D37D5">
              <w:fldChar w:fldCharType="separate"/>
            </w:r>
            <w:r w:rsidR="00A02D8C">
              <w:t>A.10</w:t>
            </w:r>
            <w:r w:rsidRPr="001D37D5">
              <w:fldChar w:fldCharType="end"/>
            </w:r>
            <w:r w:rsidRPr="001D37D5">
              <w:t xml:space="preserve"> of this appendix, we consider the use of a distribution rate for listed equity is open to us and reasonably reflective of a benchmark efficient entity given the difficulties associated with choosing a representative dataset.</w:t>
            </w:r>
            <w:r w:rsidRPr="001D37D5">
              <w:rPr>
                <w:rStyle w:val="FootnoteReference"/>
              </w:rPr>
              <w:footnoteReference w:id="229"/>
            </w:r>
            <w:r w:rsidRPr="001D37D5">
              <w:t xml:space="preserve"> Lally also recommends distribution rate based on listed equity for a benchmark efficient entity, although he estimates this using financial statements of the top 20 listed firms.</w:t>
            </w:r>
            <w:r w:rsidRPr="001D37D5">
              <w:rPr>
                <w:rStyle w:val="FootnoteReference"/>
              </w:rPr>
              <w:footnoteReference w:id="230"/>
            </w:r>
          </w:p>
          <w:p w:rsidR="001D37D5" w:rsidRPr="001D37D5" w:rsidRDefault="001D37D5" w:rsidP="001D37D5">
            <w:r w:rsidRPr="00B31DF2">
              <w:t>As discussed in section</w:t>
            </w:r>
            <w:r w:rsidRPr="001D37D5">
              <w:t xml:space="preserve"> </w:t>
            </w:r>
            <w:r w:rsidRPr="001D37D5">
              <w:fldChar w:fldCharType="begin"/>
            </w:r>
            <w:r w:rsidRPr="001D37D5">
              <w:instrText xml:space="preserve"> REF _Ref451262944 \r \h  \* MERGEFORMAT </w:instrText>
            </w:r>
            <w:r w:rsidRPr="001D37D5">
              <w:fldChar w:fldCharType="separate"/>
            </w:r>
            <w:r w:rsidR="00A02D8C">
              <w:t>4.4</w:t>
            </w:r>
            <w:r w:rsidRPr="001D37D5">
              <w:fldChar w:fldCharType="end"/>
            </w:r>
            <w:r w:rsidRPr="001D37D5">
              <w:t xml:space="preserve"> of attachment 4 and section </w:t>
            </w:r>
            <w:r w:rsidRPr="001D37D5">
              <w:fldChar w:fldCharType="begin"/>
            </w:r>
            <w:r w:rsidRPr="001D37D5">
              <w:instrText xml:space="preserve"> REF _Ref450299300 \r \h </w:instrText>
            </w:r>
            <w:r w:rsidRPr="001D37D5">
              <w:fldChar w:fldCharType="separate"/>
            </w:r>
            <w:r w:rsidR="00A02D8C">
              <w:t>A.9.2</w:t>
            </w:r>
            <w:r w:rsidRPr="001D37D5">
              <w:fldChar w:fldCharType="end"/>
            </w:r>
            <w:r w:rsidRPr="001D37D5">
              <w:t xml:space="preserve"> of this appendix, following Lally's latest report, we consider it is not essential to 'match' estimates of distribution rates and utilisation rates based on the dataset used; although we note the choice is open to us.</w:t>
            </w:r>
            <w:r w:rsidRPr="001D37D5">
              <w:rPr>
                <w:rStyle w:val="FootnoteReference"/>
              </w:rPr>
              <w:footnoteReference w:id="231"/>
            </w:r>
            <w:r w:rsidRPr="001D37D5">
              <w:t xml:space="preserve"> While we primarily rely on 'matched' estimates, we also have regard to Lally's preferred estimate based on an all equity utilisation rate from the equity ownership approach and a distribution rate for listed equity from financial reports of the top 20 listed firms.</w:t>
            </w:r>
            <w:r w:rsidRPr="001D37D5">
              <w:rPr>
                <w:rStyle w:val="FootnoteReference"/>
              </w:rPr>
              <w:footnoteReference w:id="232"/>
            </w:r>
          </w:p>
        </w:tc>
      </w:tr>
      <w:tr w:rsidR="001D37D5" w:rsidTr="005E1FC3">
        <w:tc>
          <w:tcPr>
            <w:tcW w:w="784" w:type="pct"/>
          </w:tcPr>
          <w:p w:rsidR="001D37D5" w:rsidRPr="001D37D5" w:rsidRDefault="001D37D5" w:rsidP="001D37D5">
            <w:r w:rsidRPr="00883125">
              <w:t>Equity ownership approach</w:t>
            </w:r>
          </w:p>
        </w:tc>
        <w:tc>
          <w:tcPr>
            <w:tcW w:w="2271" w:type="pct"/>
          </w:tcPr>
          <w:p w:rsidR="001D37D5" w:rsidRPr="001D37D5" w:rsidRDefault="001D37D5" w:rsidP="001D37D5">
            <w:r w:rsidRPr="00883125">
              <w:t xml:space="preserve">To the extent that the equity ownership approach indicates that theta is above the </w:t>
            </w:r>
            <w:r w:rsidRPr="001D37D5">
              <w:t>amount specified through tax statistics, it is apparent that there are investors who the AER assume are eligible to redeem imputation credits but, for whatever reasons, either cannot redeem them or attribute so little value to the credits that they do not utilise them.</w:t>
            </w:r>
            <w:r w:rsidRPr="001D37D5">
              <w:rPr>
                <w:rStyle w:val="FootnoteReference"/>
              </w:rPr>
              <w:footnoteReference w:id="233"/>
            </w:r>
          </w:p>
          <w:p w:rsidR="001D37D5" w:rsidRPr="001D37D5" w:rsidRDefault="001D37D5" w:rsidP="001D37D5">
            <w:r w:rsidRPr="00883125">
              <w:t xml:space="preserve">There are investors who hold shares for less than 45 days. The issue is not whether such a class exists, but the size of that class and the extent to which the value of </w:t>
            </w:r>
            <w:r w:rsidRPr="00883125">
              <w:lastRenderedPageBreak/>
              <w:t>imputation credits is lower as a result of domestic shareholders being unable to use them.</w:t>
            </w:r>
            <w:r w:rsidRPr="001D37D5">
              <w:rPr>
                <w:rStyle w:val="FootnoteReference"/>
              </w:rPr>
              <w:footnoteReference w:id="234"/>
            </w:r>
          </w:p>
          <w:p w:rsidR="001D37D5" w:rsidRPr="001D37D5" w:rsidRDefault="001D37D5" w:rsidP="001D37D5">
            <w:r w:rsidRPr="00883125">
              <w:t>The equity ownership approach overstates the redemption rates and would only be useful a further check on other estimates.</w:t>
            </w:r>
            <w:r w:rsidRPr="001D37D5">
              <w:rPr>
                <w:rStyle w:val="FootnoteReference"/>
              </w:rPr>
              <w:footnoteReference w:id="235"/>
            </w:r>
          </w:p>
          <w:p w:rsidR="001D37D5" w:rsidRPr="001D37D5" w:rsidRDefault="001D37D5" w:rsidP="001D37D5">
            <w:r w:rsidRPr="00883125">
              <w:t>The AER's equity ownership and tax statistics approaches makes no attempt to assess the value of imputation credits to shareholders and ignores the likely existent of factors, such as the 45 day rule, which, across all eligible shareholders, reduce the value of imputation credits to those shareholders below the "face" value assumed by the AER. As a result, these approaches are inconsistent with a proper interpretation of the Officer Framework underlying 2 .5.3 of the NEL.</w:t>
            </w:r>
            <w:r w:rsidRPr="001D37D5">
              <w:rPr>
                <w:rStyle w:val="FootnoteReference"/>
              </w:rPr>
              <w:footnoteReference w:id="236"/>
            </w:r>
          </w:p>
        </w:tc>
        <w:tc>
          <w:tcPr>
            <w:tcW w:w="1945" w:type="pct"/>
          </w:tcPr>
          <w:p w:rsidR="001D37D5" w:rsidRPr="001D37D5" w:rsidRDefault="001D37D5" w:rsidP="001D37D5">
            <w:r>
              <w:lastRenderedPageBreak/>
              <w:t>We</w:t>
            </w:r>
            <w:r w:rsidRPr="001D37D5">
              <w:t xml:space="preserve"> consider the equity ownership approach remains the best method to estimate the utilisation rate. We do not consider the difference between the equity ownership approach and tax statistics is due to the 45 day holding rule and Lally, in his recent report, agrees with this.</w:t>
            </w:r>
            <w:r w:rsidRPr="001D37D5">
              <w:rPr>
                <w:rStyle w:val="FootnoteReference"/>
              </w:rPr>
              <w:footnoteReference w:id="237"/>
            </w:r>
            <w:r w:rsidRPr="001D37D5">
              <w:t xml:space="preserve"> Instead, we consider the difference in the utilisation rate is likely driven by the unreliability in the taxation data underlying the tax statistics estimate. Lally, in his recent report, considers the most obvious explanation for the difference is the estimate of the redemption rate from tax statistics used by </w:t>
            </w:r>
            <w:r w:rsidRPr="001D37D5">
              <w:lastRenderedPageBreak/>
              <w:t>the AER is too low.</w:t>
            </w:r>
            <w:r w:rsidR="005E1FC3">
              <w:rPr>
                <w:rStyle w:val="FootnoteReference"/>
              </w:rPr>
              <w:footnoteReference w:id="238"/>
            </w:r>
            <w:r w:rsidRPr="001D37D5">
              <w:t xml:space="preserve"> However we note that, regardless of any issues of taxation data reliability, an estimate of gamma of approximately 0.4 is obtained when combining a utilisation rate of 0.48 (consistent with FAB data) with Lally's preferred estimate of the distribution rate for a benchmark efficient entity of 0.83.</w:t>
            </w:r>
            <w:r w:rsidRPr="001D37D5">
              <w:rPr>
                <w:rStyle w:val="FootnoteReference"/>
              </w:rPr>
              <w:footnoteReference w:id="239"/>
            </w:r>
          </w:p>
          <w:p w:rsidR="001D37D5" w:rsidRPr="001D37D5" w:rsidRDefault="001D37D5" w:rsidP="001D37D5">
            <w:r>
              <w:t>We</w:t>
            </w:r>
            <w:r w:rsidRPr="001D37D5">
              <w:t xml:space="preserve"> remain of the view that the 45 day rule does not have a material impact on the utilisation rate. This is supported by Lally.</w:t>
            </w:r>
            <w:r w:rsidRPr="001D37D5">
              <w:rPr>
                <w:rStyle w:val="FootnoteReference"/>
              </w:rPr>
              <w:footnoteReference w:id="240"/>
            </w:r>
            <w:r w:rsidRPr="001D37D5">
              <w:t xml:space="preserve"> We have not been presented with any data that would suggest the 45 day rule is having any impact on the utilisation of imputation credits. </w:t>
            </w:r>
          </w:p>
          <w:p w:rsidR="001D37D5" w:rsidRPr="001D37D5" w:rsidRDefault="001D37D5" w:rsidP="001D37D5">
            <w:r>
              <w:t>We</w:t>
            </w:r>
            <w:r w:rsidRPr="001D37D5">
              <w:t xml:space="preserve"> consider that on a pre-personal tax basis, investors that are eligible to receive imputation credits value them at their full face value. A dollar face value of imputation credits reduces eligible investor's tax liabilities by one dollar. The face value of the imputation credit is the pre-personal tax value of the imputation credit.</w:t>
            </w:r>
          </w:p>
        </w:tc>
      </w:tr>
      <w:tr w:rsidR="001D37D5" w:rsidRPr="00B45BDD" w:rsidTr="005E1FC3">
        <w:trPr>
          <w:cnfStyle w:val="000000010000" w:firstRow="0" w:lastRow="0" w:firstColumn="0" w:lastColumn="0" w:oddVBand="0" w:evenVBand="0" w:oddHBand="0" w:evenHBand="1" w:firstRowFirstColumn="0" w:firstRowLastColumn="0" w:lastRowFirstColumn="0" w:lastRowLastColumn="0"/>
        </w:trPr>
        <w:tc>
          <w:tcPr>
            <w:tcW w:w="784" w:type="pct"/>
          </w:tcPr>
          <w:p w:rsidR="001D37D5" w:rsidRPr="001D37D5" w:rsidRDefault="001D37D5" w:rsidP="001D37D5">
            <w:r w:rsidRPr="00883125">
              <w:lastRenderedPageBreak/>
              <w:t>Tax statistic estimates</w:t>
            </w:r>
          </w:p>
        </w:tc>
        <w:tc>
          <w:tcPr>
            <w:tcW w:w="2271" w:type="pct"/>
          </w:tcPr>
          <w:p w:rsidR="001D37D5" w:rsidRPr="001D37D5" w:rsidRDefault="001D37D5" w:rsidP="001D37D5">
            <w:r w:rsidRPr="00883125">
              <w:t>Tax statistics can only provide an upper bound on the estimate of theta.</w:t>
            </w:r>
            <w:r w:rsidRPr="001D37D5">
              <w:rPr>
                <w:rStyle w:val="FootnoteReference"/>
              </w:rPr>
              <w:footnoteReference w:id="241"/>
            </w:r>
          </w:p>
          <w:p w:rsidR="001D37D5" w:rsidRPr="001D37D5" w:rsidRDefault="001D37D5" w:rsidP="001D37D5">
            <w:r w:rsidRPr="00883125">
              <w:t xml:space="preserve">The value of theta produced by taxation statistics is evidence that Australian investors do not value </w:t>
            </w:r>
            <w:r w:rsidRPr="001D37D5">
              <w:t>imputation credits at their face value, because they may be unable to use them.</w:t>
            </w:r>
            <w:r w:rsidRPr="001D37D5">
              <w:rPr>
                <w:rStyle w:val="FootnoteReference"/>
              </w:rPr>
              <w:footnoteReference w:id="242"/>
            </w:r>
          </w:p>
          <w:p w:rsidR="001D37D5" w:rsidRPr="001D37D5" w:rsidRDefault="001D37D5" w:rsidP="001D37D5">
            <w:r w:rsidRPr="00883125">
              <w:t>The ATO data relied by Hathaway has since been acknowledged by Hathaway to be of some concern.</w:t>
            </w:r>
            <w:r w:rsidRPr="001D37D5">
              <w:rPr>
                <w:rStyle w:val="FootnoteReference"/>
              </w:rPr>
              <w:footnoteReference w:id="243"/>
            </w:r>
          </w:p>
        </w:tc>
        <w:tc>
          <w:tcPr>
            <w:tcW w:w="1945" w:type="pct"/>
          </w:tcPr>
          <w:p w:rsidR="001D37D5" w:rsidRPr="001D37D5" w:rsidRDefault="001D37D5" w:rsidP="001D37D5">
            <w:r w:rsidRPr="00883125">
              <w:t xml:space="preserve">Handley advised that his previous comments regarding the use of tax statistics being an 'upper bound' were misinterpreted in these proceedings. Handley confirmed that tax statistics can be used to produce a point estimate of the utilisation </w:t>
            </w:r>
            <w:r w:rsidRPr="001D37D5">
              <w:t xml:space="preserve">rate. We discussed Handley's views in section A.6.1 of the draft/preliminary decisions. We discuss the use of tax statistics more broadly in section </w:t>
            </w:r>
            <w:r w:rsidRPr="001D37D5">
              <w:fldChar w:fldCharType="begin"/>
            </w:r>
            <w:r w:rsidRPr="001D37D5">
              <w:instrText xml:space="preserve"> REF _Ref402179420 \r \h  \* MERGEFORMAT </w:instrText>
            </w:r>
            <w:r w:rsidRPr="001D37D5">
              <w:fldChar w:fldCharType="separate"/>
            </w:r>
            <w:r w:rsidR="00A02D8C">
              <w:t>A.13</w:t>
            </w:r>
            <w:r w:rsidRPr="001D37D5">
              <w:fldChar w:fldCharType="end"/>
            </w:r>
            <w:r w:rsidRPr="001D37D5">
              <w:t xml:space="preserve"> of this appendix.</w:t>
            </w:r>
          </w:p>
          <w:p w:rsidR="001D37D5" w:rsidRPr="001D37D5" w:rsidRDefault="001D37D5" w:rsidP="001D37D5">
            <w:r>
              <w:t>Lally advised that the correct tax statistic is upward biased as it</w:t>
            </w:r>
            <w:r w:rsidRPr="001D37D5">
              <w:t xml:space="preserve"> is expected local investors would tilt their shareholding towards stock with </w:t>
            </w:r>
            <w:r w:rsidRPr="001D37D5">
              <w:lastRenderedPageBreak/>
              <w:t>high imputation credit yields. However, he considers that given the taxation data reliability issues and the fact that we select the lower of the two possible tax statistic estimates (0.45 vs. 0.62), the tax statistic estimate we use (updated to 0.48 in this decision) is not an upper bound.</w:t>
            </w:r>
            <w:r w:rsidRPr="001D37D5">
              <w:rPr>
                <w:rStyle w:val="FootnoteReference"/>
              </w:rPr>
              <w:footnoteReference w:id="244"/>
            </w:r>
            <w:r w:rsidRPr="001D37D5">
              <w:t xml:space="preserve"> Ultimately, we consider any uncertain estimate is not an upper bound. Moreover, even if we do use an estimate of the utilisation rate of 0.48 from tax statistics (consistent with FAB data), this results in an estimate for gamma of approximately 0.4 when combined with Lally's preferred distribution rate of 0.83 for a benchmark efficient entity.</w:t>
            </w:r>
          </w:p>
          <w:p w:rsidR="001D37D5" w:rsidRPr="001D37D5" w:rsidRDefault="001D37D5" w:rsidP="001D37D5">
            <w:r w:rsidRPr="00FF12F1">
              <w:t>Having regard to the potential data limitations and alternate estimates, the evidence from tax statistics is not inconsistent with the evidence from the equity ownership approach, but we place less reliance upon it.</w:t>
            </w:r>
            <w:r w:rsidRPr="001D37D5">
              <w:t xml:space="preserve"> </w:t>
            </w:r>
          </w:p>
          <w:p w:rsidR="001D37D5" w:rsidRPr="001D37D5" w:rsidRDefault="001D37D5" w:rsidP="001D37D5">
            <w:r>
              <w:t>We do</w:t>
            </w:r>
            <w:r w:rsidRPr="001D37D5">
              <w:t xml:space="preserve"> not consider the  utilisation rate produced by taxation statistics is evidence that Australian investors do not value imputation credits at their face value. Rather we consider the evidence demonstrates there are potential data reliability issues with tax statistics. The Tribunal itself has acknowledged concerns with the ATO data.</w:t>
            </w:r>
            <w:r w:rsidRPr="001D37D5">
              <w:rPr>
                <w:rStyle w:val="FootnoteReference"/>
              </w:rPr>
              <w:footnoteReference w:id="245"/>
            </w:r>
          </w:p>
        </w:tc>
      </w:tr>
      <w:tr w:rsidR="001D37D5" w:rsidRPr="00B45BDD" w:rsidTr="005E1FC3">
        <w:tc>
          <w:tcPr>
            <w:tcW w:w="784" w:type="pct"/>
          </w:tcPr>
          <w:p w:rsidR="001D37D5" w:rsidRPr="001D37D5" w:rsidRDefault="001D37D5" w:rsidP="001D37D5">
            <w:r w:rsidRPr="00883125">
              <w:lastRenderedPageBreak/>
              <w:t>The conceptual basis for dividend drop off studies</w:t>
            </w:r>
          </w:p>
        </w:tc>
        <w:tc>
          <w:tcPr>
            <w:tcW w:w="2271" w:type="pct"/>
          </w:tcPr>
          <w:p w:rsidR="001D37D5" w:rsidRPr="001D37D5" w:rsidRDefault="001D37D5" w:rsidP="001D37D5">
            <w:r>
              <w:t>O</w:t>
            </w:r>
            <w:r w:rsidRPr="001D37D5">
              <w:t>f the various methodologies for estimating gamma employed by the AER, market value studies are best placed to capture the considerations that investors make in determining the worth of imputation credits to them.</w:t>
            </w:r>
            <w:r w:rsidRPr="001D37D5">
              <w:rPr>
                <w:rStyle w:val="FootnoteReference"/>
              </w:rPr>
              <w:footnoteReference w:id="246"/>
            </w:r>
          </w:p>
          <w:p w:rsidR="001D37D5" w:rsidRPr="001D37D5" w:rsidRDefault="001D37D5" w:rsidP="001D37D5">
            <w:r w:rsidRPr="00883125">
              <w:t>The AER could have excluded earlier market based studies that were not relevant, such as the studies that were conducted on pre 2000 data.</w:t>
            </w:r>
            <w:r w:rsidRPr="001D37D5">
              <w:rPr>
                <w:rStyle w:val="FootnoteReference"/>
              </w:rPr>
              <w:footnoteReference w:id="247"/>
            </w:r>
          </w:p>
          <w:p w:rsidR="001D37D5" w:rsidRPr="001D37D5" w:rsidRDefault="001D37D5" w:rsidP="001D37D5">
            <w:r w:rsidRPr="00883125">
              <w:t xml:space="preserve">That the econometric issues identified in market based studies is at odds with the AER's </w:t>
            </w:r>
            <w:r w:rsidRPr="001D37D5">
              <w:t>reliance on economic modelling in other aspects of its determinations.</w:t>
            </w:r>
            <w:r w:rsidRPr="001D37D5">
              <w:rPr>
                <w:rStyle w:val="FootnoteReference"/>
              </w:rPr>
              <w:footnoteReference w:id="248"/>
            </w:r>
          </w:p>
          <w:p w:rsidR="001D37D5" w:rsidRPr="001D37D5" w:rsidRDefault="001D37D5" w:rsidP="001D37D5">
            <w:r w:rsidRPr="00883125">
              <w:t xml:space="preserve">The best estimate derived by the updated SFG study is 0.35 and it </w:t>
            </w:r>
            <w:r w:rsidRPr="001D37D5">
              <w:t xml:space="preserve">is incorrect for the AER to adjusted the SFG study for factors, such as differential personal taxes and </w:t>
            </w:r>
            <w:r w:rsidRPr="001D37D5">
              <w:lastRenderedPageBreak/>
              <w:t>risk.</w:t>
            </w:r>
            <w:r w:rsidRPr="001D37D5">
              <w:rPr>
                <w:rStyle w:val="FootnoteReference"/>
              </w:rPr>
              <w:footnoteReference w:id="249"/>
            </w:r>
          </w:p>
          <w:p w:rsidR="001D37D5" w:rsidRPr="001D37D5" w:rsidRDefault="001D37D5" w:rsidP="001D37D5">
            <w:r w:rsidRPr="00883125">
              <w:t>The SFG 2013 Study represents one point of view. As in a number of instances in these matters, there are conflicting expert views. Without the benefit of learning further from the experts, the Tribunal (like the AER) is faced with the selection between competing views.</w:t>
            </w:r>
            <w:r w:rsidRPr="001D37D5">
              <w:rPr>
                <w:rStyle w:val="FootnoteReference"/>
              </w:rPr>
              <w:footnoteReference w:id="250"/>
            </w:r>
          </w:p>
        </w:tc>
        <w:tc>
          <w:tcPr>
            <w:tcW w:w="1945" w:type="pct"/>
          </w:tcPr>
          <w:p w:rsidR="001D37D5" w:rsidRPr="001D37D5" w:rsidRDefault="001D37D5" w:rsidP="001D37D5">
            <w:r w:rsidRPr="00883125">
              <w:lastRenderedPageBreak/>
              <w:t xml:space="preserve">The limitations of dividend drop off studies have been widely identified—we provide a selection of comments from academics and regulators in section </w:t>
            </w:r>
            <w:r w:rsidRPr="001D37D5">
              <w:fldChar w:fldCharType="begin"/>
            </w:r>
            <w:r w:rsidRPr="001D37D5">
              <w:instrText xml:space="preserve"> REF _Ref451266265 \r \h  \* MERGEFORMAT </w:instrText>
            </w:r>
            <w:r w:rsidRPr="001D37D5">
              <w:fldChar w:fldCharType="separate"/>
            </w:r>
            <w:r w:rsidR="00A02D8C">
              <w:t>A.15</w:t>
            </w:r>
            <w:r w:rsidRPr="001D37D5">
              <w:fldChar w:fldCharType="end"/>
            </w:r>
            <w:r w:rsidRPr="001D37D5">
              <w:t xml:space="preserve"> and </w:t>
            </w:r>
            <w:r w:rsidRPr="001D37D5">
              <w:fldChar w:fldCharType="begin"/>
            </w:r>
            <w:r w:rsidRPr="001D37D5">
              <w:instrText xml:space="preserve"> REF _Ref450761230 \r \h </w:instrText>
            </w:r>
            <w:r w:rsidRPr="001D37D5">
              <w:fldChar w:fldCharType="separate"/>
            </w:r>
            <w:r w:rsidR="00A02D8C">
              <w:t>4.4.1</w:t>
            </w:r>
            <w:r w:rsidRPr="001D37D5">
              <w:fldChar w:fldCharType="end"/>
            </w:r>
            <w:r w:rsidRPr="001D37D5">
              <w:t>. Moreover, both Handley and Lally advised that other approaches to estimating the utilisation rate should be preferred. Handley and Lally also advised that, without adjustment, dividend drop off studies produce downwards-biased estimates of the utilisation rate.</w:t>
            </w:r>
          </w:p>
          <w:p w:rsidR="001D37D5" w:rsidRPr="001D37D5" w:rsidRDefault="001D37D5" w:rsidP="001D37D5">
            <w:r w:rsidRPr="00883125">
              <w:t xml:space="preserve">The issue with dividend </w:t>
            </w:r>
            <w:r w:rsidRPr="001D37D5">
              <w:t xml:space="preserve">drop off estimates of the utilisation rate (or value) is that they do not produce a post-tax (pre-personal tax) estimate and therefore do not produce estimates consistent with the Officer post-tax framework. The dividend drop off estimate is influenced by differential </w:t>
            </w:r>
            <w:r w:rsidRPr="001D37D5">
              <w:lastRenderedPageBreak/>
              <w:t xml:space="preserve">personal taxes, given that investor value capital gains more than dividend income due preferential tax treatment of capital gains. Further, dividend drop off studies reflect the value of the marginal investor and not the value of aggregate long term investors in regulated utilities. This is further discussed in section </w:t>
            </w:r>
            <w:r w:rsidRPr="001D37D5">
              <w:fldChar w:fldCharType="begin"/>
            </w:r>
            <w:r w:rsidRPr="001D37D5">
              <w:instrText xml:space="preserve"> REF _Ref435171205 \r \h  \* MERGEFORMAT </w:instrText>
            </w:r>
            <w:r w:rsidRPr="001D37D5">
              <w:fldChar w:fldCharType="separate"/>
            </w:r>
            <w:r w:rsidR="00A02D8C">
              <w:t>A.15.3</w:t>
            </w:r>
            <w:r w:rsidRPr="001D37D5">
              <w:fldChar w:fldCharType="end"/>
            </w:r>
            <w:r w:rsidRPr="001D37D5">
              <w:t>.</w:t>
            </w:r>
          </w:p>
          <w:p w:rsidR="001D37D5" w:rsidRPr="001D37D5" w:rsidRDefault="001D37D5" w:rsidP="001D37D5">
            <w:r w:rsidRPr="00883125">
              <w:t xml:space="preserve">The </w:t>
            </w:r>
            <w:r w:rsidRPr="001D37D5">
              <w:t>utilisation value estimate from dividend drop off studies is neither a pre- nor post-personal tax estimate. The pre-personal tax estimate of the utilisation value is the face value of imputation credits. The personal tax is levied on the face value of imputation credits (levied on gross dividend).</w:t>
            </w:r>
          </w:p>
        </w:tc>
      </w:tr>
      <w:tr w:rsidR="001D37D5" w:rsidRPr="00B45BDD" w:rsidTr="005E1FC3">
        <w:trPr>
          <w:cnfStyle w:val="000000010000" w:firstRow="0" w:lastRow="0" w:firstColumn="0" w:lastColumn="0" w:oddVBand="0" w:evenVBand="0" w:oddHBand="0" w:evenHBand="1" w:firstRowFirstColumn="0" w:firstRowLastColumn="0" w:lastRowFirstColumn="0" w:lastRowLastColumn="0"/>
        </w:trPr>
        <w:tc>
          <w:tcPr>
            <w:tcW w:w="784" w:type="pct"/>
          </w:tcPr>
          <w:p w:rsidR="001D37D5" w:rsidRPr="001D37D5" w:rsidRDefault="001D37D5" w:rsidP="001D37D5">
            <w:r w:rsidRPr="00883125">
              <w:lastRenderedPageBreak/>
              <w:t>Consistency of allowed rate of return parameters</w:t>
            </w:r>
          </w:p>
        </w:tc>
        <w:tc>
          <w:tcPr>
            <w:tcW w:w="2271" w:type="pct"/>
          </w:tcPr>
          <w:p w:rsidR="001D37D5" w:rsidRPr="001D37D5" w:rsidRDefault="001D37D5" w:rsidP="001D37D5">
            <w:r w:rsidRPr="00883125">
              <w:t>The AER's reasoning ignores the fact that other parameters in the WACC calculation are market values that already incorporate the effects of the difference in investors' tax position and transaction costs'.</w:t>
            </w:r>
            <w:r w:rsidRPr="001D37D5">
              <w:rPr>
                <w:rStyle w:val="FootnoteReference"/>
              </w:rPr>
              <w:footnoteReference w:id="251"/>
            </w:r>
            <w:r w:rsidRPr="001D37D5">
              <w:t xml:space="preserve"> There is no inconsistency between the use of market studies to estimate the value of imputation credits and the method used to calculate other parameters of the cost of debt and equity from market data.</w:t>
            </w:r>
            <w:r w:rsidRPr="001D37D5">
              <w:rPr>
                <w:rStyle w:val="FootnoteReference"/>
              </w:rPr>
              <w:footnoteReference w:id="252"/>
            </w:r>
            <w:r w:rsidRPr="001D37D5">
              <w:t xml:space="preserve"> The Tribunal consider that return on equity is derived from market prices of government bonds (the risk free rate) and from the market prices of shares (beta and MRP).</w:t>
            </w:r>
            <w:r w:rsidRPr="001D37D5">
              <w:rPr>
                <w:rStyle w:val="FootnoteReference"/>
              </w:rPr>
              <w:footnoteReference w:id="253"/>
            </w:r>
            <w:r w:rsidRPr="001D37D5">
              <w:t xml:space="preserve"> The cost of debt is calculated by reference to bond yields which are derived directly from traded market prices.</w:t>
            </w:r>
            <w:r w:rsidRPr="001D37D5">
              <w:rPr>
                <w:rStyle w:val="FootnoteReference"/>
              </w:rPr>
              <w:footnoteReference w:id="254"/>
            </w:r>
            <w:r w:rsidRPr="001D37D5">
              <w:t xml:space="preserve"> These market prices reflect every consideration that investors make in determining the worth of shares to them and that the bond prices, and the yields that are derived from them, reflect every consideration that investors make in determining the worth of the asset to them, including "personal costs".</w:t>
            </w:r>
            <w:r w:rsidRPr="001D37D5">
              <w:rPr>
                <w:rStyle w:val="FootnoteReference"/>
              </w:rPr>
              <w:footnoteReference w:id="255"/>
            </w:r>
          </w:p>
        </w:tc>
        <w:tc>
          <w:tcPr>
            <w:tcW w:w="1945" w:type="pct"/>
          </w:tcPr>
          <w:p w:rsidR="001D37D5" w:rsidRPr="001D37D5" w:rsidRDefault="001D37D5" w:rsidP="001D37D5">
            <w:r w:rsidRPr="00B27BE5">
              <w:t xml:space="preserve">The market value of imputation credits is inferred from dividend drop off studies which measure the dividend drop off ratio. The value of imputation credits from dividend drop off studies is influenced by differential personal taxation of dividend income and capital gains. It reflects investor's preference for capital gains over dividend income given the preferential tax treatment of capital gains in Australia. As such, it does not reflect a post-tax value consistent with the </w:t>
            </w:r>
            <w:r w:rsidRPr="001D37D5">
              <w:t>framework in the NER/NGR based on Officer's work.</w:t>
            </w:r>
          </w:p>
          <w:p w:rsidR="001D37D5" w:rsidRPr="001D37D5" w:rsidRDefault="001D37D5" w:rsidP="001D37D5">
            <w:r>
              <w:t>We</w:t>
            </w:r>
            <w:r w:rsidRPr="001D37D5">
              <w:t xml:space="preserve"> consider all parameters in the WACC are calculated on a consistent basis. In the WACC we use both market values (equity and debt prices) and face values (dividends, imputation credits, debt coupons, debt principal). We use the face value for imputation credits because this value is a pre-personal tax value and is internally consistent with all other allowed rate of return parameters. We note personal tax is levied on the face value of imputation credits (levied on gross dividends). </w:t>
            </w:r>
          </w:p>
        </w:tc>
      </w:tr>
      <w:tr w:rsidR="001D37D5" w:rsidTr="005E1FC3">
        <w:tc>
          <w:tcPr>
            <w:tcW w:w="784" w:type="pct"/>
          </w:tcPr>
          <w:p w:rsidR="001D37D5" w:rsidRPr="001D37D5" w:rsidRDefault="001D37D5" w:rsidP="001D37D5">
            <w:r w:rsidRPr="00883125">
              <w:t xml:space="preserve">The need to re-evaluate </w:t>
            </w:r>
            <w:r w:rsidRPr="00883125">
              <w:lastRenderedPageBreak/>
              <w:t>gamma</w:t>
            </w:r>
          </w:p>
        </w:tc>
        <w:tc>
          <w:tcPr>
            <w:tcW w:w="2271" w:type="pct"/>
          </w:tcPr>
          <w:p w:rsidR="001D37D5" w:rsidRPr="001D37D5" w:rsidRDefault="001D37D5" w:rsidP="001D37D5">
            <w:r w:rsidRPr="00883125">
              <w:lastRenderedPageBreak/>
              <w:t xml:space="preserve">Changes to the NER and the NEL allow </w:t>
            </w:r>
            <w:r w:rsidRPr="001D37D5">
              <w:t xml:space="preserve">the AER greater flexibility to adopt a more </w:t>
            </w:r>
            <w:r w:rsidRPr="001D37D5">
              <w:lastRenderedPageBreak/>
              <w:t>sophisticated approach to the cost of capital than previously envisaged by the NER and the NEL.</w:t>
            </w:r>
            <w:r w:rsidRPr="001D37D5">
              <w:rPr>
                <w:rStyle w:val="FootnoteReference"/>
              </w:rPr>
              <w:footnoteReference w:id="256"/>
            </w:r>
            <w:r w:rsidRPr="001D37D5">
              <w:t xml:space="preserve"> It is appropriate that the AER should use that additional flexibility to seek advice on alternatives to the Officer Framework that better define the impact of imputation credits on the cost of capital.</w:t>
            </w:r>
            <w:r w:rsidRPr="001D37D5">
              <w:rPr>
                <w:rStyle w:val="FootnoteReference"/>
              </w:rPr>
              <w:footnoteReference w:id="257"/>
            </w:r>
          </w:p>
          <w:p w:rsidR="001D37D5" w:rsidRPr="001D37D5" w:rsidRDefault="001D37D5" w:rsidP="001D37D5">
            <w:r w:rsidRPr="00883125">
              <w:t>Suggested that given the New Zealand High Court decision financial modelling may not yet have produced a workable version of a CAPM that incorporates a generalised treatment of imputation credits, in which case the AER would necessarily have to make judgements about whether and how to modify the methodology in the RoR Guidelines for factors subsequently raise in advice it received from experts.</w:t>
            </w:r>
            <w:r w:rsidRPr="001D37D5">
              <w:rPr>
                <w:rStyle w:val="FootnoteReference"/>
              </w:rPr>
              <w:footnoteReference w:id="258"/>
            </w:r>
          </w:p>
          <w:p w:rsidR="001D37D5" w:rsidRPr="001D37D5" w:rsidRDefault="001D37D5" w:rsidP="001D37D5">
            <w:r w:rsidRPr="00883125">
              <w:t>Experts present no consistently coherent CAPM framework for the assessment of the components of the cost of capital. There are models with disputed applicability which may or may not be consistent with the application of a vanilla WACC.</w:t>
            </w:r>
            <w:r w:rsidRPr="001D37D5">
              <w:rPr>
                <w:rStyle w:val="FootnoteReference"/>
              </w:rPr>
              <w:footnoteReference w:id="259"/>
            </w:r>
          </w:p>
        </w:tc>
        <w:tc>
          <w:tcPr>
            <w:tcW w:w="1945" w:type="pct"/>
          </w:tcPr>
          <w:p w:rsidR="001D37D5" w:rsidRPr="001D37D5" w:rsidRDefault="001D37D5" w:rsidP="001D37D5">
            <w:r>
              <w:lastRenderedPageBreak/>
              <w:t>We</w:t>
            </w:r>
            <w:r w:rsidRPr="001D37D5">
              <w:t xml:space="preserve"> remain of the view that Officer Framework remains appropriate for the </w:t>
            </w:r>
            <w:r w:rsidRPr="001D37D5">
              <w:lastRenderedPageBreak/>
              <w:t>current final decisions. We consider our application of the Officer Framework will lead to an overall rate of return (inclusive of the value of imputation credits) that is commensurate with the efficient financing costs of a benchmark efficient entity in the provision of regulated services. I</w:t>
            </w:r>
          </w:p>
        </w:tc>
      </w:tr>
    </w:tbl>
    <w:p w:rsidR="001D37D5" w:rsidRPr="00883125" w:rsidRDefault="001D37D5" w:rsidP="001D37D5">
      <w:pPr>
        <w:pStyle w:val="AERtablesource"/>
      </w:pPr>
      <w:r w:rsidRPr="00883125">
        <w:lastRenderedPageBreak/>
        <w:t xml:space="preserve">Source: </w:t>
      </w:r>
      <w:r w:rsidRPr="00883125">
        <w:tab/>
        <w:t>As specified in table.</w:t>
      </w:r>
    </w:p>
    <w:p w:rsidR="001D37D5" w:rsidRPr="00883125" w:rsidRDefault="001D37D5" w:rsidP="001D37D5"/>
    <w:p w:rsidR="001D37D5" w:rsidRPr="00883125" w:rsidRDefault="001D37D5" w:rsidP="001D37D5">
      <w:pPr>
        <w:sectPr w:rsidR="001D37D5" w:rsidRPr="00883125" w:rsidSect="005E1FC3">
          <w:pgSz w:w="16838" w:h="11906" w:orient="landscape"/>
          <w:pgMar w:top="1440" w:right="1440" w:bottom="1440" w:left="1440" w:header="709" w:footer="709" w:gutter="0"/>
          <w:pgNumType w:chapStyle="1"/>
          <w:cols w:space="708"/>
          <w:docGrid w:linePitch="360"/>
        </w:sectPr>
      </w:pPr>
    </w:p>
    <w:p w:rsidR="001D37D5" w:rsidRPr="00883125" w:rsidRDefault="001D37D5" w:rsidP="001D37D5">
      <w:pPr>
        <w:pStyle w:val="Heading9"/>
      </w:pPr>
      <w:r>
        <w:lastRenderedPageBreak/>
        <w:t xml:space="preserve"> </w:t>
      </w:r>
      <w:r w:rsidRPr="00883125">
        <w:t>Energex</w:t>
      </w:r>
    </w:p>
    <w:p w:rsidR="001D37D5" w:rsidRPr="00883125" w:rsidRDefault="001D37D5" w:rsidP="001D37D5">
      <w:pPr>
        <w:numPr>
          <w:ilvl w:val="0"/>
          <w:numId w:val="24"/>
        </w:numPr>
      </w:pPr>
      <w:r w:rsidRPr="00883125">
        <w:t>In our 2009 industry wide review of rate of return parameters (the 2009 WACC review), we adopted a gamma of 0.65.</w:t>
      </w:r>
      <w:r w:rsidRPr="00883125">
        <w:rPr>
          <w:rStyle w:val="FootnoteReference"/>
        </w:rPr>
        <w:footnoteReference w:id="260"/>
      </w:r>
      <w:r w:rsidRPr="00883125">
        <w:t xml:space="preserve"> In 2009, we applied this value in the Queensland and South Australian electricity distribution determinations. Energex and Ergon successfully sought review of this decision by the Australian Competition Tribunal. The Tribunal set the distribution rate to 0.7 and initiated a dividend drop off study from SFG to estimate the utilisation rate. The Tribunal adopted SFG's recommendation that the utilisation rate be set at 0.35. This resulted in a gamma of 0.25. </w:t>
      </w:r>
    </w:p>
    <w:p w:rsidR="001D37D5" w:rsidRPr="00883125" w:rsidRDefault="001D37D5" w:rsidP="001D37D5">
      <w:r w:rsidRPr="00883125">
        <w:t xml:space="preserve">In reaching its position, the Tribunal expressed views on the important factors in its decisions. This included areas where the Tribunal felt its understanding was incomplete, as summarised in </w:t>
      </w:r>
      <w:r w:rsidRPr="00883125">
        <w:fldChar w:fldCharType="begin"/>
      </w:r>
      <w:r w:rsidRPr="00883125">
        <w:instrText xml:space="preserve"> REF  _Ref400609646 \* Lower \h  \* MERGEFORMAT </w:instrText>
      </w:r>
      <w:r w:rsidRPr="00883125">
        <w:fldChar w:fldCharType="separate"/>
      </w:r>
      <w:r w:rsidR="00A02D8C" w:rsidRPr="00883125">
        <w:t xml:space="preserve">table </w:t>
      </w:r>
      <w:r w:rsidR="00A02D8C">
        <w:t>4</w:t>
      </w:r>
      <w:r w:rsidR="00A02D8C">
        <w:noBreakHyphen/>
        <w:t>9</w:t>
      </w:r>
      <w:r w:rsidRPr="00883125">
        <w:fldChar w:fldCharType="end"/>
      </w:r>
      <w:r w:rsidRPr="00883125">
        <w:t xml:space="preserve"> below. We have carefully considered these views.</w:t>
      </w:r>
    </w:p>
    <w:p w:rsidR="001D37D5" w:rsidRPr="00883125" w:rsidRDefault="001D37D5" w:rsidP="001D37D5"/>
    <w:p w:rsidR="001D37D5" w:rsidRPr="00883125" w:rsidRDefault="001D37D5" w:rsidP="001D37D5">
      <w:pPr>
        <w:sectPr w:rsidR="001D37D5" w:rsidRPr="00883125" w:rsidSect="005E1FC3">
          <w:pgSz w:w="11906" w:h="16838"/>
          <w:pgMar w:top="1440" w:right="1440" w:bottom="1440" w:left="1440" w:header="708" w:footer="708" w:gutter="0"/>
          <w:pgNumType w:chapStyle="1"/>
          <w:cols w:space="708"/>
          <w:docGrid w:linePitch="360"/>
        </w:sectPr>
      </w:pPr>
    </w:p>
    <w:p w:rsidR="001D37D5" w:rsidRPr="00883125" w:rsidRDefault="001D37D5" w:rsidP="001D37D5"/>
    <w:p w:rsidR="001D37D5" w:rsidRPr="00883125" w:rsidRDefault="001D37D5" w:rsidP="001D37D5">
      <w:pPr>
        <w:pStyle w:val="Caption"/>
      </w:pPr>
      <w:bookmarkStart w:id="178" w:name="_Ref400609646"/>
      <w:bookmarkStart w:id="179" w:name="_Ref401260171"/>
      <w:r w:rsidRPr="00883125">
        <w:t xml:space="preserve">Table </w:t>
      </w:r>
      <w:r w:rsidRPr="001D37D5">
        <w:fldChar w:fldCharType="begin"/>
      </w:r>
      <w:r>
        <w:instrText xml:space="preserve"> STYLEREF 1 \s </w:instrText>
      </w:r>
      <w:r w:rsidRPr="001D37D5">
        <w:fldChar w:fldCharType="separate"/>
      </w:r>
      <w:r w:rsidR="00A02D8C">
        <w:rPr>
          <w:noProof/>
        </w:rPr>
        <w:t>4</w:t>
      </w:r>
      <w:r w:rsidRPr="001D37D5">
        <w:fldChar w:fldCharType="end"/>
      </w:r>
      <w:r>
        <w:noBreakHyphen/>
      </w:r>
      <w:r w:rsidRPr="001D37D5">
        <w:fldChar w:fldCharType="begin"/>
      </w:r>
      <w:r>
        <w:instrText xml:space="preserve"> SEQ Table \* ARABIC \s 1 </w:instrText>
      </w:r>
      <w:r w:rsidRPr="001D37D5">
        <w:fldChar w:fldCharType="separate"/>
      </w:r>
      <w:r w:rsidR="00A02D8C">
        <w:rPr>
          <w:noProof/>
        </w:rPr>
        <w:t>9</w:t>
      </w:r>
      <w:r w:rsidRPr="001D37D5">
        <w:fldChar w:fldCharType="end"/>
      </w:r>
      <w:bookmarkEnd w:id="178"/>
      <w:r w:rsidRPr="00883125">
        <w:tab/>
        <w:t>Australian Competition Tribunal's observations on imputation credits</w:t>
      </w:r>
      <w:bookmarkEnd w:id="179"/>
      <w:r w:rsidRPr="00883125">
        <w:t xml:space="preserve"> in Energex matter</w:t>
      </w:r>
    </w:p>
    <w:tbl>
      <w:tblPr>
        <w:tblStyle w:val="AERtable-text0"/>
        <w:tblW w:w="5000" w:type="pct"/>
        <w:tblLook w:val="04A0" w:firstRow="1" w:lastRow="0" w:firstColumn="1" w:lastColumn="0" w:noHBand="0" w:noVBand="1"/>
      </w:tblPr>
      <w:tblGrid>
        <w:gridCol w:w="2222"/>
        <w:gridCol w:w="6438"/>
        <w:gridCol w:w="5514"/>
      </w:tblGrid>
      <w:tr w:rsidR="001D37D5" w:rsidTr="00247000">
        <w:trPr>
          <w:cnfStyle w:val="100000000000" w:firstRow="1" w:lastRow="0" w:firstColumn="0" w:lastColumn="0" w:oddVBand="0" w:evenVBand="0" w:oddHBand="0" w:evenHBand="0" w:firstRowFirstColumn="0" w:firstRowLastColumn="0" w:lastRowFirstColumn="0" w:lastRowLastColumn="0"/>
          <w:tblHeader/>
        </w:trPr>
        <w:tc>
          <w:tcPr>
            <w:tcW w:w="784" w:type="pct"/>
          </w:tcPr>
          <w:p w:rsidR="001D37D5" w:rsidRPr="001D37D5" w:rsidRDefault="001D37D5" w:rsidP="001D37D5">
            <w:r w:rsidRPr="00883125">
              <w:t>Issue</w:t>
            </w:r>
          </w:p>
        </w:tc>
        <w:tc>
          <w:tcPr>
            <w:tcW w:w="2271" w:type="pct"/>
          </w:tcPr>
          <w:p w:rsidR="001D37D5" w:rsidRPr="001D37D5" w:rsidRDefault="001D37D5" w:rsidP="001D37D5">
            <w:r w:rsidRPr="00883125">
              <w:t>Tribunal comments</w:t>
            </w:r>
          </w:p>
        </w:tc>
        <w:tc>
          <w:tcPr>
            <w:tcW w:w="1945" w:type="pct"/>
          </w:tcPr>
          <w:p w:rsidR="001D37D5" w:rsidRPr="001D37D5" w:rsidRDefault="001D37D5" w:rsidP="001D37D5">
            <w:r w:rsidRPr="00883125">
              <w:t>AER comments</w:t>
            </w:r>
          </w:p>
        </w:tc>
      </w:tr>
      <w:tr w:rsidR="001D37D5" w:rsidTr="005E1FC3">
        <w:tc>
          <w:tcPr>
            <w:tcW w:w="784" w:type="pct"/>
          </w:tcPr>
          <w:p w:rsidR="001D37D5" w:rsidRPr="001D37D5" w:rsidRDefault="001D37D5" w:rsidP="001D37D5">
            <w:r w:rsidRPr="00883125">
              <w:t>The conceptual framework for gamma</w:t>
            </w:r>
          </w:p>
        </w:tc>
        <w:tc>
          <w:tcPr>
            <w:tcW w:w="2271" w:type="pct"/>
          </w:tcPr>
          <w:p w:rsidR="001D37D5" w:rsidRPr="001D37D5" w:rsidRDefault="001D37D5" w:rsidP="001D37D5">
            <w:r w:rsidRPr="00883125">
              <w:t xml:space="preserve">"The Tribunal has found some deficiencies in its understanding of the foundations of the task facing it, and the AER, in determining the appropriate value of gamma. These issues have not been explored so far because they have not arisen between the parties, who appear to be in agreement about how the Rules should be interpreted regarding the treatment of corporate income tax. They may be matters that the Tribunal will take up in its further decision in these matters; or they may best be left until the next WACC review. Indeed, they may go to the basis for the Rules themselves. </w:t>
            </w:r>
          </w:p>
          <w:p w:rsidR="001D37D5" w:rsidRPr="001D37D5" w:rsidRDefault="001D37D5" w:rsidP="001D37D5">
            <w:r w:rsidRPr="00883125">
              <w:t>The Tribunal would be assisted in its consideration of the issues before it if the AER were to provide relevant extrinsic material explaining:</w:t>
            </w:r>
          </w:p>
          <w:p w:rsidR="001D37D5" w:rsidRPr="001D37D5" w:rsidRDefault="001D37D5" w:rsidP="001D37D5">
            <w:r w:rsidRPr="00883125">
              <w:t>(a) the rationale for including the gamma component in the formula for calculating the estimated cost of corporate income tax; and</w:t>
            </w:r>
          </w:p>
          <w:p w:rsidR="001D37D5" w:rsidRPr="001D37D5" w:rsidRDefault="001D37D5" w:rsidP="001D37D5">
            <w:r w:rsidRPr="00883125">
              <w:t>(b) how it relates to the rest of the building blocks, especially the rate of return (cl 6.4.3(a) and cl 6.5.2(b) of the Rules)."</w:t>
            </w:r>
            <w:r w:rsidRPr="001D37D5">
              <w:rPr>
                <w:rStyle w:val="FootnoteReference"/>
              </w:rPr>
              <w:footnoteReference w:id="261"/>
            </w:r>
          </w:p>
        </w:tc>
        <w:tc>
          <w:tcPr>
            <w:tcW w:w="1945" w:type="pct"/>
          </w:tcPr>
          <w:p w:rsidR="001D37D5" w:rsidRPr="001D37D5" w:rsidRDefault="001D37D5" w:rsidP="001D37D5">
            <w:r w:rsidRPr="00883125">
              <w:t>In developing the Guideline, we re-evaluated the conceptual framework for the value of imputation credits. In making this final decision, we have built on this re-evaluation</w:t>
            </w:r>
            <w:r w:rsidRPr="001D37D5">
              <w:t xml:space="preserve">. We discuss the role of the value of imputation credits and the underlying conceptual framework in sections </w:t>
            </w:r>
            <w:r w:rsidRPr="001D37D5">
              <w:fldChar w:fldCharType="begin"/>
            </w:r>
            <w:r w:rsidRPr="001D37D5">
              <w:instrText xml:space="preserve"> REF _Ref415144114 \r \h  \* MERGEFORMAT </w:instrText>
            </w:r>
            <w:r w:rsidRPr="001D37D5">
              <w:fldChar w:fldCharType="separate"/>
            </w:r>
            <w:r w:rsidR="00A02D8C">
              <w:t>A.5</w:t>
            </w:r>
            <w:r w:rsidRPr="001D37D5">
              <w:fldChar w:fldCharType="end"/>
            </w:r>
            <w:r w:rsidRPr="001D37D5">
              <w:t xml:space="preserve"> and </w:t>
            </w:r>
            <w:r w:rsidRPr="001D37D5">
              <w:fldChar w:fldCharType="begin"/>
            </w:r>
            <w:r w:rsidRPr="001D37D5">
              <w:instrText xml:space="preserve"> REF _Ref400965182 \r \h  \* MERGEFORMAT </w:instrText>
            </w:r>
            <w:r w:rsidRPr="001D37D5">
              <w:fldChar w:fldCharType="separate"/>
            </w:r>
            <w:r w:rsidR="00A02D8C">
              <w:t>A.6</w:t>
            </w:r>
            <w:r w:rsidRPr="001D37D5">
              <w:fldChar w:fldCharType="end"/>
            </w:r>
            <w:r w:rsidRPr="001D37D5">
              <w:t>.</w:t>
            </w:r>
          </w:p>
          <w:p w:rsidR="001D37D5" w:rsidRPr="001D37D5" w:rsidRDefault="001D37D5" w:rsidP="001D37D5">
            <w:r>
              <w:t xml:space="preserve">Also see our response above in section </w:t>
            </w:r>
            <w:r w:rsidRPr="001D37D5">
              <w:fldChar w:fldCharType="begin"/>
            </w:r>
            <w:r w:rsidRPr="001D37D5">
              <w:instrText xml:space="preserve"> REF _Ref451813952 \r \h </w:instrText>
            </w:r>
            <w:r w:rsidRPr="001D37D5">
              <w:fldChar w:fldCharType="separate"/>
            </w:r>
            <w:r w:rsidR="00A02D8C">
              <w:t>A.3.1</w:t>
            </w:r>
            <w:r w:rsidRPr="001D37D5">
              <w:fldChar w:fldCharType="end"/>
            </w:r>
            <w:r w:rsidRPr="001D37D5">
              <w:t xml:space="preserve"> under ' The conceptual framework for gamma'.</w:t>
            </w:r>
          </w:p>
        </w:tc>
      </w:tr>
      <w:tr w:rsidR="001D37D5" w:rsidTr="005E1FC3">
        <w:trPr>
          <w:cnfStyle w:val="000000010000" w:firstRow="0" w:lastRow="0" w:firstColumn="0" w:lastColumn="0" w:oddVBand="0" w:evenVBand="0" w:oddHBand="0" w:evenHBand="1" w:firstRowFirstColumn="0" w:firstRowLastColumn="0" w:lastRowFirstColumn="0" w:lastRowLastColumn="0"/>
        </w:trPr>
        <w:tc>
          <w:tcPr>
            <w:tcW w:w="784" w:type="pct"/>
          </w:tcPr>
          <w:p w:rsidR="001D37D5" w:rsidRPr="001D37D5" w:rsidRDefault="001D37D5" w:rsidP="001D37D5">
            <w:r w:rsidRPr="00883125">
              <w:t>The distribution rate (payout ratio)</w:t>
            </w:r>
          </w:p>
        </w:tc>
        <w:tc>
          <w:tcPr>
            <w:tcW w:w="2271" w:type="pct"/>
          </w:tcPr>
          <w:p w:rsidR="001D37D5" w:rsidRPr="001D37D5" w:rsidRDefault="001D37D5" w:rsidP="001D37D5">
            <w:r w:rsidRPr="00883125">
              <w:t>"…there is [was] no empirical evidence currently available supporting a distribution ratio higher than 0.70."</w:t>
            </w:r>
            <w:r w:rsidRPr="001D37D5">
              <w:rPr>
                <w:rStyle w:val="FootnoteReference"/>
              </w:rPr>
              <w:footnoteReference w:id="262"/>
            </w:r>
          </w:p>
        </w:tc>
        <w:tc>
          <w:tcPr>
            <w:tcW w:w="1945" w:type="pct"/>
          </w:tcPr>
          <w:p w:rsidR="001D37D5" w:rsidRPr="001D37D5" w:rsidRDefault="001D37D5" w:rsidP="001D37D5">
            <w:r w:rsidRPr="00883125">
              <w:t xml:space="preserve">As discussed in </w:t>
            </w:r>
            <w:r w:rsidRPr="001D37D5">
              <w:t xml:space="preserve">section </w:t>
            </w:r>
            <w:r w:rsidRPr="001D37D5">
              <w:fldChar w:fldCharType="begin"/>
            </w:r>
            <w:r w:rsidRPr="001D37D5">
              <w:instrText xml:space="preserve"> REF _Ref401133206 \r \h  \* MERGEFORMAT </w:instrText>
            </w:r>
            <w:r w:rsidRPr="001D37D5">
              <w:fldChar w:fldCharType="separate"/>
            </w:r>
            <w:r w:rsidR="00A02D8C">
              <w:t>A.10</w:t>
            </w:r>
            <w:r w:rsidRPr="001D37D5">
              <w:fldChar w:fldCharType="end"/>
            </w:r>
            <w:r w:rsidRPr="001D37D5">
              <w:t xml:space="preserve"> of this appendix, we consider that a distribution rate of 0.7 across all equity  and a distribution rate of 0.77 for listed equity is appropriate for a benchmark efficient entity. Lally also finds a distribution rate of 0.83 for listed equity estimated from financial reports of the largest 20 listed companies.</w:t>
            </w:r>
          </w:p>
          <w:p w:rsidR="001D37D5" w:rsidRPr="001D37D5" w:rsidRDefault="001D37D5" w:rsidP="001D37D5">
            <w:r>
              <w:t xml:space="preserve">Also see </w:t>
            </w:r>
            <w:r w:rsidRPr="001D37D5">
              <w:t xml:space="preserve">our response above in section </w:t>
            </w:r>
            <w:r w:rsidRPr="001D37D5">
              <w:fldChar w:fldCharType="begin"/>
            </w:r>
            <w:r w:rsidRPr="001D37D5">
              <w:instrText xml:space="preserve"> REF _Ref451813952 \r \h </w:instrText>
            </w:r>
            <w:r w:rsidRPr="001D37D5">
              <w:fldChar w:fldCharType="separate"/>
            </w:r>
            <w:r w:rsidR="00A02D8C">
              <w:t>A.3.1</w:t>
            </w:r>
            <w:r w:rsidRPr="001D37D5">
              <w:fldChar w:fldCharType="end"/>
            </w:r>
            <w:r w:rsidRPr="001D37D5">
              <w:t xml:space="preserve"> under 'The distribution rate (payout ratio)'. </w:t>
            </w:r>
          </w:p>
        </w:tc>
      </w:tr>
      <w:tr w:rsidR="001D37D5" w:rsidRPr="00B45BDD" w:rsidTr="005E1FC3">
        <w:tc>
          <w:tcPr>
            <w:tcW w:w="784" w:type="pct"/>
          </w:tcPr>
          <w:p w:rsidR="001D37D5" w:rsidRPr="001D37D5" w:rsidRDefault="001D37D5" w:rsidP="001D37D5">
            <w:r w:rsidRPr="00883125">
              <w:t>Tax statistic estimates</w:t>
            </w:r>
          </w:p>
        </w:tc>
        <w:tc>
          <w:tcPr>
            <w:tcW w:w="2271" w:type="pct"/>
          </w:tcPr>
          <w:p w:rsidR="001D37D5" w:rsidRPr="001D37D5" w:rsidRDefault="001D37D5" w:rsidP="001D37D5">
            <w:r w:rsidRPr="00883125">
              <w:t xml:space="preserve">"The AER accepted that utilisation rates derived from tax statistics provide an upper bound on possible values of theta. Setting aside the manner in which the AER derived a value from the tax statistics study, it correctly considered that information from a tax </w:t>
            </w:r>
            <w:r w:rsidRPr="00883125">
              <w:lastRenderedPageBreak/>
              <w:t>statistics study was relevant. However, its relevance could only be related to the fact that it was an upper bound. No estimate that exceeded a genuine upper bound could be correct. Thus the appropriate way to use the tax statistics figure was as a check."</w:t>
            </w:r>
            <w:r w:rsidRPr="001D37D5">
              <w:rPr>
                <w:rStyle w:val="FootnoteReference"/>
              </w:rPr>
              <w:footnoteReference w:id="263"/>
            </w:r>
          </w:p>
          <w:p w:rsidR="001D37D5" w:rsidRPr="001D37D5" w:rsidRDefault="001D37D5" w:rsidP="001D37D5">
            <w:r w:rsidRPr="00883125">
              <w:t>"SIRCA’s March 2011 report provided responses to a number of specific questions asked by the AER. Some of these responses raise serious issues regarding the use of dividend drop-off studies and the Tribunal’s earlier reasons. For example, SIRCA’s March 2011 report suggests that:</w:t>
            </w:r>
          </w:p>
          <w:p w:rsidR="001D37D5" w:rsidRPr="001D37D5" w:rsidRDefault="001D37D5" w:rsidP="001D37D5">
            <w:r w:rsidRPr="00883125">
              <w:t xml:space="preserve">- estimates from dividend drop-off studies are very imprecise and of questionable reliability; </w:t>
            </w:r>
          </w:p>
          <w:p w:rsidR="001D37D5" w:rsidRPr="001D37D5" w:rsidRDefault="001D37D5" w:rsidP="001D37D5">
            <w:r w:rsidRPr="00883125">
              <w:t xml:space="preserve">- such studies are likely to produce downwardly-biased estimates of theta; and </w:t>
            </w:r>
          </w:p>
          <w:p w:rsidR="001D37D5" w:rsidRPr="001D37D5" w:rsidRDefault="001D37D5" w:rsidP="001D37D5">
            <w:r w:rsidRPr="00883125">
              <w:t>- taxation studies do not give an upper bound to theta.</w:t>
            </w:r>
          </w:p>
          <w:p w:rsidR="001D37D5" w:rsidRPr="001D37D5" w:rsidRDefault="001D37D5" w:rsidP="001D37D5">
            <w:r w:rsidRPr="00883125">
              <w:t>By way of background, the Tribunal in earlier reasons noted that the AER accepted that tax statistics studies provide an upper bound on possible values of theta. The AER in its report, while being less unequivocal than SIRCA, adopts SIRCA’s suggestion that the results of tax statistics studies (now called the redemption rate) could be discounted for factors such as the time between the distribution and the redemption of imputation credits. These adjustments “would need to be made on an economically justifiable basis”. The AER referred to a 2004 study by Hathaway and Officer as being an example of such a use of an estimate of the utilisation rate.</w:t>
            </w:r>
          </w:p>
          <w:p w:rsidR="001D37D5" w:rsidRPr="001D37D5" w:rsidRDefault="001D37D5" w:rsidP="001D37D5">
            <w:r w:rsidRPr="00883125">
              <w:t>Beyond these observations, the AER does not seek to adduce material from SIRCA’s March 2011 report to advance its submissions. On the material before it, the Tribunal is unable to reach any conclusions about the further use of tax statistics studies in estimating the utilisation ratio, theta. No doubt the AER will in the future have opportunity, and perhaps cause, to investigate further. It has not sought to do so in these proceedings."</w:t>
            </w:r>
            <w:r w:rsidRPr="001D37D5">
              <w:rPr>
                <w:rStyle w:val="FootnoteReference"/>
              </w:rPr>
              <w:footnoteReference w:id="264"/>
            </w:r>
          </w:p>
        </w:tc>
        <w:tc>
          <w:tcPr>
            <w:tcW w:w="1945" w:type="pct"/>
          </w:tcPr>
          <w:p w:rsidR="001D37D5" w:rsidRPr="001D37D5" w:rsidRDefault="001D37D5" w:rsidP="001D37D5">
            <w:r w:rsidRPr="00883125">
              <w:lastRenderedPageBreak/>
              <w:t xml:space="preserve">Handley advised that his previous comments regarding the use of tax statistics being an 'upper bound' were misinterpreted in these proceedings. Handley confirmed that tax statistics can be used to produce a point </w:t>
            </w:r>
            <w:r w:rsidRPr="00883125">
              <w:lastRenderedPageBreak/>
              <w:t xml:space="preserve">estimate of the utilisation rate. We discussed Handley's views in section A.6.1 of </w:t>
            </w:r>
            <w:r w:rsidRPr="001D37D5">
              <w:t xml:space="preserve">our draft/preliminary decisions. We discuss the use of tax statistics more broadly in section </w:t>
            </w:r>
            <w:r w:rsidRPr="001D37D5">
              <w:fldChar w:fldCharType="begin"/>
            </w:r>
            <w:r w:rsidRPr="001D37D5">
              <w:instrText xml:space="preserve"> REF _Ref402179420 \r \h  \* MERGEFORMAT </w:instrText>
            </w:r>
            <w:r w:rsidRPr="001D37D5">
              <w:fldChar w:fldCharType="separate"/>
            </w:r>
            <w:r w:rsidR="00A02D8C">
              <w:t>A.13</w:t>
            </w:r>
            <w:r w:rsidRPr="001D37D5">
              <w:fldChar w:fldCharType="end"/>
            </w:r>
            <w:r w:rsidRPr="001D37D5">
              <w:t xml:space="preserve"> of this appendix.</w:t>
            </w:r>
          </w:p>
          <w:p w:rsidR="001D37D5" w:rsidRPr="001D37D5" w:rsidRDefault="001D37D5" w:rsidP="001D37D5">
            <w:r>
              <w:t>Also</w:t>
            </w:r>
            <w:r w:rsidRPr="001D37D5">
              <w:t xml:space="preserve"> see our response above in section </w:t>
            </w:r>
            <w:r w:rsidRPr="001D37D5">
              <w:fldChar w:fldCharType="begin"/>
            </w:r>
            <w:r w:rsidRPr="001D37D5">
              <w:instrText xml:space="preserve"> REF _Ref451813952 \r \h </w:instrText>
            </w:r>
            <w:r w:rsidRPr="001D37D5">
              <w:fldChar w:fldCharType="separate"/>
            </w:r>
            <w:r w:rsidR="00A02D8C">
              <w:t>A.3.1</w:t>
            </w:r>
            <w:r w:rsidRPr="001D37D5">
              <w:fldChar w:fldCharType="end"/>
            </w:r>
            <w:r w:rsidRPr="001D37D5">
              <w:t xml:space="preserve"> under 'Tax statistic estimates'.</w:t>
            </w:r>
          </w:p>
          <w:p w:rsidR="001D37D5" w:rsidRPr="00B27BE5" w:rsidRDefault="001D37D5" w:rsidP="001D37D5"/>
        </w:tc>
      </w:tr>
      <w:tr w:rsidR="001D37D5" w:rsidRPr="00B45BDD" w:rsidTr="005E1FC3">
        <w:trPr>
          <w:cnfStyle w:val="000000010000" w:firstRow="0" w:lastRow="0" w:firstColumn="0" w:lastColumn="0" w:oddVBand="0" w:evenVBand="0" w:oddHBand="0" w:evenHBand="1" w:firstRowFirstColumn="0" w:firstRowLastColumn="0" w:lastRowFirstColumn="0" w:lastRowLastColumn="0"/>
        </w:trPr>
        <w:tc>
          <w:tcPr>
            <w:tcW w:w="784" w:type="pct"/>
          </w:tcPr>
          <w:p w:rsidR="001D37D5" w:rsidRPr="001D37D5" w:rsidRDefault="001D37D5" w:rsidP="001D37D5">
            <w:r w:rsidRPr="00883125">
              <w:lastRenderedPageBreak/>
              <w:t>The conceptual basis for dividend drop off studies</w:t>
            </w:r>
          </w:p>
        </w:tc>
        <w:tc>
          <w:tcPr>
            <w:tcW w:w="2271" w:type="pct"/>
          </w:tcPr>
          <w:p w:rsidR="001D37D5" w:rsidRPr="001D37D5" w:rsidRDefault="001D37D5" w:rsidP="001D37D5">
            <w:r w:rsidRPr="00883125">
              <w:t xml:space="preserve">"The AER has tendered, largely without comment, material that casts some doubt on the use of dividend drop-off studies in estimating gamma for regulatory purposes. In responding to questions from the AER, SIRCA's March 2011 report raises questions about the theoretical basis for dividend drop-off studies. In doing so, it touches on </w:t>
            </w:r>
            <w:r w:rsidRPr="00883125">
              <w:lastRenderedPageBreak/>
              <w:t>issues raised in the Tribunal's earlier reasons regarding the arbitrage model underlying dividend drop-off studies.</w:t>
            </w:r>
          </w:p>
          <w:p w:rsidR="001D37D5" w:rsidRPr="001D37D5" w:rsidRDefault="001D37D5" w:rsidP="001D37D5">
            <w:r w:rsidRPr="00883125">
              <w:t>However, SIRCA's March 2011 report does not resolve these issues and the AER has provided no conclusions of its own."</w:t>
            </w:r>
            <w:r w:rsidRPr="001D37D5">
              <w:rPr>
                <w:rStyle w:val="FootnoteReference"/>
              </w:rPr>
              <w:footnoteReference w:id="265"/>
            </w:r>
          </w:p>
        </w:tc>
        <w:tc>
          <w:tcPr>
            <w:tcW w:w="1945" w:type="pct"/>
          </w:tcPr>
          <w:p w:rsidR="001D37D5" w:rsidRPr="001D37D5" w:rsidRDefault="001D37D5" w:rsidP="001D37D5">
            <w:r w:rsidRPr="00883125">
              <w:lastRenderedPageBreak/>
              <w:t xml:space="preserve">The limitations of dividend drop off studies have been widely identified since these proceedings—we provide a selection of comments from academics and regulators in section </w:t>
            </w:r>
            <w:r w:rsidRPr="001D37D5">
              <w:fldChar w:fldCharType="begin"/>
            </w:r>
            <w:r w:rsidRPr="001D37D5">
              <w:instrText xml:space="preserve"> REF _Ref451267181 \r \h  \* MERGEFORMAT </w:instrText>
            </w:r>
            <w:r w:rsidRPr="001D37D5">
              <w:fldChar w:fldCharType="separate"/>
            </w:r>
            <w:r w:rsidR="00A02D8C">
              <w:t>A.15</w:t>
            </w:r>
            <w:r w:rsidRPr="001D37D5">
              <w:fldChar w:fldCharType="end"/>
            </w:r>
            <w:r w:rsidRPr="001D37D5">
              <w:t xml:space="preserve">. Moreover, both Handley and Lally advised that other approaches to estimating the utilisation rate should </w:t>
            </w:r>
            <w:r w:rsidRPr="001D37D5">
              <w:lastRenderedPageBreak/>
              <w:t>be preferred. Handley and Lally also advised that, without adjustment, dividend drop off studies produce downwards-biased estimates of the utilisation rate.</w:t>
            </w:r>
          </w:p>
          <w:p w:rsidR="001D37D5" w:rsidRPr="001D37D5" w:rsidRDefault="001D37D5" w:rsidP="001D37D5">
            <w:r>
              <w:t>Also</w:t>
            </w:r>
            <w:r w:rsidRPr="001D37D5">
              <w:t xml:space="preserve"> see our response above in section </w:t>
            </w:r>
            <w:r w:rsidRPr="001D37D5">
              <w:fldChar w:fldCharType="begin"/>
            </w:r>
            <w:r w:rsidRPr="001D37D5">
              <w:instrText xml:space="preserve"> REF _Ref451813952 \r \h </w:instrText>
            </w:r>
            <w:r w:rsidRPr="001D37D5">
              <w:fldChar w:fldCharType="separate"/>
            </w:r>
            <w:r w:rsidR="00A02D8C">
              <w:t>A.3.1</w:t>
            </w:r>
            <w:r w:rsidRPr="001D37D5">
              <w:fldChar w:fldCharType="end"/>
            </w:r>
            <w:r w:rsidRPr="001D37D5">
              <w:t xml:space="preserve"> under 'The conceptual basis for dividend drop off studies '.</w:t>
            </w:r>
          </w:p>
        </w:tc>
      </w:tr>
      <w:tr w:rsidR="001D37D5" w:rsidTr="005E1FC3">
        <w:tc>
          <w:tcPr>
            <w:tcW w:w="784" w:type="pct"/>
          </w:tcPr>
          <w:p w:rsidR="001D37D5" w:rsidRPr="001D37D5" w:rsidRDefault="001D37D5" w:rsidP="001D37D5">
            <w:r w:rsidRPr="00883125">
              <w:lastRenderedPageBreak/>
              <w:t>The need to re-evaluate gamma</w:t>
            </w:r>
          </w:p>
        </w:tc>
        <w:tc>
          <w:tcPr>
            <w:tcW w:w="2271" w:type="pct"/>
          </w:tcPr>
          <w:p w:rsidR="001D37D5" w:rsidRPr="001D37D5" w:rsidRDefault="001D37D5" w:rsidP="001D37D5">
            <w:r w:rsidRPr="00883125">
              <w:t>"Further, the Tribunal notes that estimation of a parameter such as gamma is necessarily, and desirably, an ongoing intellectual and empirical endeavour. Its decision in these proceedings is based on the material before it.”</w:t>
            </w:r>
            <w:r w:rsidRPr="001D37D5">
              <w:rPr>
                <w:rStyle w:val="FootnoteReference"/>
              </w:rPr>
              <w:footnoteReference w:id="266"/>
            </w:r>
          </w:p>
        </w:tc>
        <w:tc>
          <w:tcPr>
            <w:tcW w:w="1945" w:type="pct"/>
          </w:tcPr>
          <w:p w:rsidR="001D37D5" w:rsidRPr="001D37D5" w:rsidRDefault="001D37D5" w:rsidP="001D37D5">
            <w:r w:rsidRPr="00883125">
              <w:t xml:space="preserve">Consistent with this comment, we have not sought to apply the Tribunal's previous considerations in this final decision. Instead, we adopt a value of imputation credits that is based on our assessment of the merits of the evidence before us, which includes a large amount of material that was not before the Tribunal in these proceedings. </w:t>
            </w:r>
          </w:p>
          <w:p w:rsidR="001D37D5" w:rsidRPr="001D37D5" w:rsidRDefault="001D37D5" w:rsidP="001D37D5">
            <w:r>
              <w:t>Also</w:t>
            </w:r>
            <w:r w:rsidRPr="001D37D5">
              <w:t xml:space="preserve"> see our response above in section </w:t>
            </w:r>
            <w:r w:rsidRPr="001D37D5">
              <w:fldChar w:fldCharType="begin"/>
            </w:r>
            <w:r w:rsidRPr="001D37D5">
              <w:instrText xml:space="preserve"> REF _Ref451813952 \r \h </w:instrText>
            </w:r>
            <w:r w:rsidRPr="001D37D5">
              <w:fldChar w:fldCharType="separate"/>
            </w:r>
            <w:r w:rsidR="00A02D8C">
              <w:t>A.3.1</w:t>
            </w:r>
            <w:r w:rsidRPr="001D37D5">
              <w:fldChar w:fldCharType="end"/>
            </w:r>
            <w:r w:rsidRPr="001D37D5">
              <w:t xml:space="preserve"> under 'The need to re-evaluate gamma '.</w:t>
            </w:r>
          </w:p>
        </w:tc>
      </w:tr>
    </w:tbl>
    <w:p w:rsidR="001D37D5" w:rsidRPr="00883125" w:rsidRDefault="001D37D5" w:rsidP="001D37D5">
      <w:pPr>
        <w:pStyle w:val="AERtablesource"/>
      </w:pPr>
      <w:r w:rsidRPr="00883125">
        <w:t xml:space="preserve">Source: </w:t>
      </w:r>
      <w:r w:rsidRPr="00883125">
        <w:tab/>
        <w:t>As specified in table.</w:t>
      </w:r>
    </w:p>
    <w:p w:rsidR="001D37D5" w:rsidRPr="00883125" w:rsidRDefault="001D37D5" w:rsidP="001D37D5">
      <w:pPr>
        <w:numPr>
          <w:ilvl w:val="0"/>
          <w:numId w:val="24"/>
        </w:numPr>
        <w:sectPr w:rsidR="001D37D5" w:rsidRPr="00883125" w:rsidSect="005E1FC3">
          <w:pgSz w:w="16838" w:h="11906" w:orient="landscape"/>
          <w:pgMar w:top="1440" w:right="1440" w:bottom="1440" w:left="1440" w:header="708" w:footer="708" w:gutter="0"/>
          <w:pgNumType w:chapStyle="1"/>
          <w:cols w:space="708"/>
          <w:docGrid w:linePitch="360"/>
        </w:sectPr>
      </w:pPr>
    </w:p>
    <w:p w:rsidR="001D37D5" w:rsidRPr="00883125" w:rsidRDefault="001D37D5" w:rsidP="001D37D5">
      <w:pPr>
        <w:numPr>
          <w:ilvl w:val="0"/>
          <w:numId w:val="24"/>
        </w:numPr>
      </w:pPr>
      <w:r w:rsidRPr="00883125">
        <w:lastRenderedPageBreak/>
        <w:t>During the Guideline process, service providers frequently proposed a value of imputation credits of 0.25 and referenced the Tribunal decision</w:t>
      </w:r>
      <w:r>
        <w:t xml:space="preserve"> for Energex</w:t>
      </w:r>
      <w:r w:rsidRPr="00883125">
        <w:t xml:space="preserve"> in support of this.</w:t>
      </w:r>
      <w:r w:rsidRPr="00883125">
        <w:rPr>
          <w:rStyle w:val="FootnoteReference"/>
        </w:rPr>
        <w:footnoteReference w:id="267"/>
      </w:r>
      <w:r w:rsidRPr="00883125">
        <w:t xml:space="preserve"> However, the last quote from the Tribunal demonstrates that it did not intend for its decision to be determinative of the appropriate estimation technique for gamma, and certainly not on a permanent basis. In the Guideline, we also made this point. Service providers with current proposals no longer refer to the Tribunal's decision as if it were precedent. Rather, they propose a value of imputation credits, and reasons for that value, which are consistent with the Tribunal decision. However, the service providers consider that the problematic estimation methodologies and the currency of the underlying data that apply to other dividend drop off studies does not apply to the SFG study.</w:t>
      </w:r>
      <w:r w:rsidRPr="00883125">
        <w:rPr>
          <w:rStyle w:val="FootnoteReference"/>
        </w:rPr>
        <w:footnoteReference w:id="268"/>
      </w:r>
      <w:r w:rsidRPr="00883125">
        <w:t xml:space="preserve"> </w:t>
      </w:r>
      <w:r>
        <w:t>We do</w:t>
      </w:r>
      <w:r w:rsidRPr="00883125">
        <w:t xml:space="preserve"> not agree for the reasons outlined in section </w:t>
      </w:r>
      <w:r>
        <w:fldChar w:fldCharType="begin"/>
      </w:r>
      <w:r>
        <w:instrText xml:space="preserve"> REF _Ref451267267 \r \h </w:instrText>
      </w:r>
      <w:r>
        <w:fldChar w:fldCharType="separate"/>
      </w:r>
      <w:r w:rsidR="00A02D8C">
        <w:t>A.15</w:t>
      </w:r>
      <w:r>
        <w:fldChar w:fldCharType="end"/>
      </w:r>
      <w:r w:rsidRPr="00883125">
        <w:t>.</w:t>
      </w:r>
    </w:p>
    <w:p w:rsidR="001D37D5" w:rsidRPr="00883125" w:rsidRDefault="001D37D5" w:rsidP="001D37D5">
      <w:pPr>
        <w:numPr>
          <w:ilvl w:val="0"/>
          <w:numId w:val="24"/>
        </w:numPr>
      </w:pPr>
      <w:r w:rsidRPr="00883125">
        <w:t>Both during the Guideline development process and this determination process, we have considered the previous Tribunal decision</w:t>
      </w:r>
      <w:r>
        <w:t xml:space="preserve"> for Energex</w:t>
      </w:r>
      <w:r w:rsidRPr="00883125">
        <w:t xml:space="preserve"> carefully in forming our view on the value of imputation credits. For the reasons expressed in this appendix and attachment 4 we have come to a different position. This is consistent with the Tribunal's expectation that the value of imputation credits is 'necessarily, and desirably, an ongoing intellectual and empirical endeavour'.</w:t>
      </w:r>
    </w:p>
    <w:p w:rsidR="001D37D5" w:rsidRPr="00883125" w:rsidRDefault="001D37D5" w:rsidP="001D37D5">
      <w:pPr>
        <w:pStyle w:val="Heading9"/>
      </w:pPr>
      <w:r w:rsidRPr="00883125">
        <w:t>DBNGP and WA Gas Networks</w:t>
      </w:r>
    </w:p>
    <w:p w:rsidR="001D37D5" w:rsidRPr="00883125" w:rsidRDefault="001D37D5" w:rsidP="001D37D5">
      <w:pPr>
        <w:numPr>
          <w:ilvl w:val="0"/>
          <w:numId w:val="24"/>
        </w:numPr>
      </w:pPr>
      <w:r w:rsidRPr="00883125">
        <w:t>In 2012, Dampier to Bunbury Natural Gas Pipeline (DBNGP) sought Tribunal review of the ERA's decision to adopt a value of imputation credits of 0.25. In upholding the ERA's value, the Tribunal again emphasised the lack of consensus on an appropriate value and the fact that determining a value for gamma is continually being refined:</w:t>
      </w:r>
      <w:r w:rsidRPr="00883125">
        <w:rPr>
          <w:rStyle w:val="FootnoteReference"/>
        </w:rPr>
        <w:footnoteReference w:id="269"/>
      </w:r>
    </w:p>
    <w:p w:rsidR="001D37D5" w:rsidRPr="00883125" w:rsidRDefault="001D37D5" w:rsidP="001D37D5">
      <w:pPr>
        <w:pStyle w:val="AERquote"/>
      </w:pPr>
      <w:r w:rsidRPr="00883125">
        <w:t xml:space="preserve">171 </w:t>
      </w:r>
      <w:r w:rsidRPr="00883125">
        <w:tab/>
        <w:t>Determining the appropriate values of F [the distribution rate] and theta has been a fiercely contested issue in Australia’s regulatory history. There is no unique pair of values of F and theta that are regarded as universally correct. Therefore there is no value of gamma that is regarded as universally correct. The academic models, empirical research methods, data and relevant time periods all need to be carefully investigated. Debate is inevitable, and ultimately, which value is most relevant for the matter at hand must be decided on a case-by-case basis.</w:t>
      </w:r>
    </w:p>
    <w:p w:rsidR="001D37D5" w:rsidRPr="00883125" w:rsidRDefault="001D37D5" w:rsidP="001D37D5">
      <w:pPr>
        <w:pStyle w:val="AERquote"/>
      </w:pPr>
      <w:r w:rsidRPr="00883125">
        <w:t>…</w:t>
      </w:r>
    </w:p>
    <w:p w:rsidR="001D37D5" w:rsidRPr="00883125" w:rsidRDefault="001D37D5" w:rsidP="001D37D5">
      <w:pPr>
        <w:pStyle w:val="AERquote"/>
      </w:pPr>
      <w:r w:rsidRPr="00883125">
        <w:lastRenderedPageBreak/>
        <w:t xml:space="preserve">210 </w:t>
      </w:r>
      <w:r w:rsidRPr="00883125">
        <w:tab/>
        <w:t>The material (and conclusions drawn from it) that were relied on by the ERA were objectively produced by respected academic researchers. Professor Gray advanced alternative interpretations. This whole area of discourse about inputs into the CAPM and the correct approach to estimating the relevant parameters of the CAPM, including gamma, is a continuing area of sophisticated debate involving competing opinions. An agreed position appears to be a distant outcome. In reaching its decision the ERA relied on expert opinions that were contrary to those of Professor Gray, who had been engaged by DBP. Such a difference of opinion is common amongst academics in this as in other similar areas. Thus, so long as the ERA acted reasonably in preferring one expert to another, it will not have committed error.</w:t>
      </w:r>
    </w:p>
    <w:p w:rsidR="001D37D5" w:rsidRPr="00883125" w:rsidRDefault="001D37D5" w:rsidP="001D37D5">
      <w:pPr>
        <w:pStyle w:val="AERquote"/>
      </w:pPr>
      <w:r w:rsidRPr="00883125">
        <w:t xml:space="preserve">211 </w:t>
      </w:r>
      <w:r w:rsidRPr="00883125">
        <w:tab/>
        <w:t>The Tribunal reiterates that there is no single agreed-upon correct value of gamma. While the value of F is relatively settled in Australia, great controversy has surrounded the relevant value of theta. Many papers on the measurement of theta, and thus gamma, were produced for the ERA’s consideration, from its own and from DBP’s experts. The gap between their estimating models, and their ensuing calculations, was wide.</w:t>
      </w:r>
    </w:p>
    <w:p w:rsidR="001D37D5" w:rsidRPr="00883125" w:rsidRDefault="001D37D5" w:rsidP="001D37D5">
      <w:pPr>
        <w:pStyle w:val="AERquote"/>
      </w:pPr>
      <w:r w:rsidRPr="00883125">
        <w:t xml:space="preserve">214 </w:t>
      </w:r>
      <w:r w:rsidRPr="00883125">
        <w:tab/>
        <w:t>The Tribunal observes that this is not to say, however, that a gamma value of 0.25 is the only possible value for this parameter. It is simply the best estimate currently available for use in this matter now before it. As with the estimation of many economic and financial parameters, finding the “right” value is a process of continual refinement as new models and paradigms emerge and as better data and estimating techniques become available.</w:t>
      </w:r>
    </w:p>
    <w:p w:rsidR="001D37D5" w:rsidRPr="00883125" w:rsidRDefault="001D37D5" w:rsidP="001D37D5">
      <w:r w:rsidRPr="00883125">
        <w:t>The Tribunal made similar comments in the earlier WA Gas Networks matter.</w:t>
      </w:r>
      <w:r w:rsidRPr="00883125">
        <w:rPr>
          <w:rStyle w:val="FootnoteReference"/>
        </w:rPr>
        <w:footnoteReference w:id="270"/>
      </w:r>
    </w:p>
    <w:p w:rsidR="001D37D5" w:rsidRPr="00883125" w:rsidRDefault="001D37D5" w:rsidP="001D37D5">
      <w:pPr>
        <w:pStyle w:val="Heading8"/>
      </w:pPr>
      <w:bookmarkStart w:id="180" w:name="_Ref415070393"/>
      <w:bookmarkStart w:id="181" w:name="_Toc436049445"/>
      <w:bookmarkStart w:id="182" w:name="_Toc451842249"/>
      <w:bookmarkStart w:id="183" w:name="_Toc451938305"/>
      <w:r w:rsidRPr="00883125">
        <w:t>Key concerns of the service providers</w:t>
      </w:r>
      <w:bookmarkEnd w:id="180"/>
      <w:bookmarkEnd w:id="181"/>
      <w:bookmarkEnd w:id="182"/>
      <w:bookmarkEnd w:id="183"/>
    </w:p>
    <w:p w:rsidR="001D37D5" w:rsidRPr="00883125" w:rsidRDefault="001D37D5" w:rsidP="001D37D5">
      <w:r w:rsidRPr="00883125">
        <w:t>In their revised proposals, Ausgrid, Endeavour Energy, Essential Energy, ActewAGL, TransGrid, Directlink, and Jemena Gas Networks directly raised eight key concerns with our draft decisions released in 2014, which they characterised as errors.</w:t>
      </w:r>
      <w:r w:rsidRPr="00883125">
        <w:rPr>
          <w:rStyle w:val="FootnoteReference"/>
        </w:rPr>
        <w:footnoteReference w:id="271"/>
      </w:r>
      <w:r w:rsidRPr="00883125">
        <w:t xml:space="preserve"> A number of these concerns were also implicitly or explicitly raised in the revised or initial proposals</w:t>
      </w:r>
      <w:r>
        <w:t xml:space="preserve"> of the service providers currently under assessment, and/or</w:t>
      </w:r>
      <w:r w:rsidRPr="00883125">
        <w:t xml:space="preserve"> and </w:t>
      </w:r>
      <w:r>
        <w:t xml:space="preserve">their </w:t>
      </w:r>
      <w:r w:rsidRPr="00883125">
        <w:t xml:space="preserve">supporting expert's reports. Below we set out each of these and identify where we have responded to each of these eight key concerns in this </w:t>
      </w:r>
      <w:r>
        <w:t>final</w:t>
      </w:r>
      <w:r w:rsidRPr="00883125">
        <w:t xml:space="preserve"> decision.</w:t>
      </w:r>
    </w:p>
    <w:p w:rsidR="001D37D5" w:rsidRPr="001D37D5" w:rsidRDefault="001D37D5" w:rsidP="001D37D5">
      <w:pPr>
        <w:pStyle w:val="AERbulletlistfirststyle"/>
      </w:pPr>
      <w:r w:rsidRPr="00883125">
        <w:rPr>
          <w:rStyle w:val="AERtextitalic"/>
        </w:rPr>
        <w:t>Our definition of the utilisation rate is conceptually incorrect and inconsistent with the requirements of the NER/NGR</w:t>
      </w:r>
      <w:r w:rsidRPr="001D37D5">
        <w:t xml:space="preserve">—our understanding of the utilisation rate (and the value of imputation credits more broadly) is discussed in sections </w:t>
      </w:r>
      <w:r w:rsidRPr="001D37D5">
        <w:fldChar w:fldCharType="begin"/>
      </w:r>
      <w:r w:rsidRPr="001D37D5">
        <w:instrText xml:space="preserve"> REF _Ref416802459 \r \h </w:instrText>
      </w:r>
      <w:r w:rsidRPr="001D37D5">
        <w:fldChar w:fldCharType="separate"/>
      </w:r>
      <w:r w:rsidR="00A02D8C">
        <w:t>4.3.1</w:t>
      </w:r>
      <w:r w:rsidRPr="001D37D5">
        <w:fldChar w:fldCharType="end"/>
      </w:r>
      <w:r w:rsidRPr="001D37D5">
        <w:t xml:space="preserve">, </w:t>
      </w:r>
      <w:r w:rsidRPr="001D37D5">
        <w:fldChar w:fldCharType="begin"/>
      </w:r>
      <w:r w:rsidRPr="001D37D5">
        <w:instrText xml:space="preserve"> REF _Ref415048973 \r \h </w:instrText>
      </w:r>
      <w:r w:rsidRPr="001D37D5">
        <w:fldChar w:fldCharType="separate"/>
      </w:r>
      <w:r w:rsidR="00A02D8C">
        <w:t>4.3.6</w:t>
      </w:r>
      <w:r w:rsidRPr="001D37D5">
        <w:fldChar w:fldCharType="end"/>
      </w:r>
      <w:r w:rsidRPr="001D37D5">
        <w:t>,</w:t>
      </w:r>
      <w:r w:rsidRPr="001D37D5">
        <w:fldChar w:fldCharType="begin"/>
      </w:r>
      <w:r w:rsidRPr="001D37D5">
        <w:instrText xml:space="preserve"> REF _Ref415144114 \r \h </w:instrText>
      </w:r>
      <w:r w:rsidRPr="001D37D5">
        <w:fldChar w:fldCharType="separate"/>
      </w:r>
      <w:r w:rsidR="00A02D8C">
        <w:t>A.5</w:t>
      </w:r>
      <w:r w:rsidRPr="001D37D5">
        <w:fldChar w:fldCharType="end"/>
      </w:r>
      <w:r w:rsidRPr="001D37D5">
        <w:t xml:space="preserve">, </w:t>
      </w:r>
      <w:r w:rsidRPr="001D37D5">
        <w:fldChar w:fldCharType="begin"/>
      </w:r>
      <w:r w:rsidRPr="001D37D5">
        <w:instrText xml:space="preserve"> REF _Ref400965182 \r \h </w:instrText>
      </w:r>
      <w:r w:rsidRPr="001D37D5">
        <w:fldChar w:fldCharType="separate"/>
      </w:r>
      <w:r w:rsidR="00A02D8C">
        <w:t>A.6</w:t>
      </w:r>
      <w:r w:rsidRPr="001D37D5">
        <w:fldChar w:fldCharType="end"/>
      </w:r>
      <w:r w:rsidRPr="001D37D5">
        <w:t xml:space="preserve">, and </w:t>
      </w:r>
      <w:r w:rsidRPr="001D37D5">
        <w:lastRenderedPageBreak/>
        <w:fldChar w:fldCharType="begin"/>
      </w:r>
      <w:r w:rsidRPr="001D37D5">
        <w:instrText xml:space="preserve"> REF _Ref414282622 \r \h </w:instrText>
      </w:r>
      <w:r w:rsidRPr="001D37D5">
        <w:fldChar w:fldCharType="separate"/>
      </w:r>
      <w:r w:rsidR="00A02D8C">
        <w:t>A.7</w:t>
      </w:r>
      <w:r w:rsidRPr="001D37D5">
        <w:fldChar w:fldCharType="end"/>
      </w:r>
      <w:r w:rsidRPr="001D37D5">
        <w:t>. As shown there, our understanding is consistent with the theoretical framework that underpins the NER/NGR and is supported by expert advice from Handley and Lally.</w:t>
      </w:r>
    </w:p>
    <w:p w:rsidR="001D37D5" w:rsidRPr="001D37D5" w:rsidRDefault="001D37D5" w:rsidP="001D37D5">
      <w:pPr>
        <w:pStyle w:val="AERbulletlistfirststyle"/>
      </w:pPr>
      <w:r w:rsidRPr="00883125">
        <w:t xml:space="preserve">We incorrectly use equity ownership rates as direct evidence of the value of distributed imputation credits—given our understanding of the utilisation rate, we set out in section </w:t>
      </w:r>
      <w:r w:rsidRPr="001D37D5">
        <w:fldChar w:fldCharType="begin"/>
      </w:r>
      <w:r w:rsidRPr="001D37D5">
        <w:instrText xml:space="preserve"> REF _Ref415049811 \r \h </w:instrText>
      </w:r>
      <w:r w:rsidRPr="001D37D5">
        <w:fldChar w:fldCharType="separate"/>
      </w:r>
      <w:r w:rsidR="00A02D8C">
        <w:t>A.12</w:t>
      </w:r>
      <w:r w:rsidRPr="001D37D5">
        <w:fldChar w:fldCharType="end"/>
      </w:r>
      <w:r w:rsidRPr="001D37D5">
        <w:t xml:space="preserve"> why the equity ownership approach provides a reasonable estimate.</w:t>
      </w:r>
    </w:p>
    <w:p w:rsidR="001D37D5" w:rsidRPr="001D37D5" w:rsidRDefault="001D37D5" w:rsidP="001D37D5">
      <w:pPr>
        <w:pStyle w:val="AERbulletlistfirststyle"/>
      </w:pPr>
      <w:r w:rsidRPr="00883125">
        <w:t xml:space="preserve">The ranges we used for the equity ownership rate were not supported by the evidence in the draft decisions—as discussed in section </w:t>
      </w:r>
      <w:r w:rsidRPr="001D37D5">
        <w:fldChar w:fldCharType="begin"/>
      </w:r>
      <w:r w:rsidRPr="001D37D5">
        <w:instrText xml:space="preserve"> REF _Ref415049811 \r \h </w:instrText>
      </w:r>
      <w:r w:rsidRPr="001D37D5">
        <w:fldChar w:fldCharType="separate"/>
      </w:r>
      <w:r w:rsidR="00A02D8C">
        <w:t>A.12</w:t>
      </w:r>
      <w:r w:rsidRPr="001D37D5">
        <w:fldChar w:fldCharType="end"/>
      </w:r>
      <w:r w:rsidRPr="001D37D5">
        <w:t>, the service providers who raised this did not recognise that our ranges were based on the evidence from two alternative applications of the equity ownership approach. In this final decision, our ranges are primarily based on the application that was deemed more relevant by Handley, although we also have regard to the range for all equity implied by Lally's recommended estimate for the distribution rate and particularly his preferred point estimate for gamma of at least 0.5.</w:t>
      </w:r>
    </w:p>
    <w:p w:rsidR="001D37D5" w:rsidRPr="001D37D5" w:rsidRDefault="001D37D5" w:rsidP="001D37D5">
      <w:pPr>
        <w:pStyle w:val="AERbulletlistfirststyle"/>
      </w:pPr>
      <w:r w:rsidRPr="00883125">
        <w:t xml:space="preserve">We incorrectly use tax statistics as direct evidence of the value of distributed imputation credits—given our understanding of the utilisation rate, we set out in section </w:t>
      </w:r>
      <w:r w:rsidRPr="001D37D5">
        <w:fldChar w:fldCharType="begin"/>
      </w:r>
      <w:r w:rsidRPr="001D37D5">
        <w:instrText xml:space="preserve"> REF _Ref402179420 \r \h </w:instrText>
      </w:r>
      <w:r w:rsidRPr="001D37D5">
        <w:fldChar w:fldCharType="separate"/>
      </w:r>
      <w:r w:rsidR="00A02D8C">
        <w:t>A.13</w:t>
      </w:r>
      <w:r w:rsidRPr="001D37D5">
        <w:fldChar w:fldCharType="end"/>
      </w:r>
      <w:r w:rsidRPr="001D37D5">
        <w:t xml:space="preserve"> why tax statistics provide a valid, albeit uncertain, estimate.</w:t>
      </w:r>
    </w:p>
    <w:p w:rsidR="001D37D5" w:rsidRPr="001D37D5" w:rsidRDefault="001D37D5" w:rsidP="001D37D5">
      <w:pPr>
        <w:pStyle w:val="AERbulletlistfirststyle"/>
      </w:pPr>
      <w:r w:rsidRPr="00883125">
        <w:t xml:space="preserve">We incorrectly conclude that implied market value studies reflect factors that are not relevant to estimating the utilisation rate—given our understanding of the utilisation rate, we set out in sections </w:t>
      </w:r>
      <w:r w:rsidRPr="001D37D5">
        <w:fldChar w:fldCharType="begin"/>
      </w:r>
      <w:r w:rsidRPr="001D37D5">
        <w:instrText xml:space="preserve"> REF _Ref415065117 \r \h </w:instrText>
      </w:r>
      <w:r w:rsidRPr="001D37D5">
        <w:fldChar w:fldCharType="separate"/>
      </w:r>
      <w:r w:rsidR="00A02D8C">
        <w:t>A.15.4</w:t>
      </w:r>
      <w:r w:rsidRPr="001D37D5">
        <w:fldChar w:fldCharType="end"/>
      </w:r>
      <w:r w:rsidRPr="001D37D5">
        <w:t xml:space="preserve"> and </w:t>
      </w:r>
      <w:r w:rsidRPr="001D37D5">
        <w:fldChar w:fldCharType="begin"/>
      </w:r>
      <w:r w:rsidRPr="001D37D5">
        <w:instrText xml:space="preserve"> REF _Ref414624721 \r \h </w:instrText>
      </w:r>
      <w:r w:rsidRPr="001D37D5">
        <w:fldChar w:fldCharType="separate"/>
      </w:r>
      <w:r w:rsidR="00A02D8C">
        <w:t>A.15.5</w:t>
      </w:r>
      <w:r w:rsidRPr="001D37D5">
        <w:fldChar w:fldCharType="end"/>
      </w:r>
      <w:r w:rsidRPr="001D37D5">
        <w:t xml:space="preserve"> why the results of implied market value studies can reflect factors that are not relevant to the utilisation rate.</w:t>
      </w:r>
    </w:p>
    <w:p w:rsidR="001D37D5" w:rsidRPr="001D37D5" w:rsidRDefault="001D37D5" w:rsidP="001D37D5">
      <w:pPr>
        <w:pStyle w:val="AERbulletlistfirststyle"/>
      </w:pPr>
      <w:r w:rsidRPr="00883125">
        <w:t>We erred by considering implied market value studies in a general manner rather than considering the merits of SFG's dividend drop off study—in section</w:t>
      </w:r>
      <w:r w:rsidRPr="001D37D5">
        <w:t xml:space="preserve">s </w:t>
      </w:r>
      <w:r w:rsidRPr="001D37D5">
        <w:fldChar w:fldCharType="begin"/>
      </w:r>
      <w:r w:rsidRPr="001D37D5">
        <w:instrText xml:space="preserve"> REF _Ref450761230 \r \h </w:instrText>
      </w:r>
      <w:r w:rsidRPr="001D37D5">
        <w:fldChar w:fldCharType="separate"/>
      </w:r>
      <w:r w:rsidR="00A02D8C">
        <w:t>4.4.1</w:t>
      </w:r>
      <w:r w:rsidRPr="001D37D5">
        <w:fldChar w:fldCharType="end"/>
      </w:r>
      <w:r w:rsidRPr="001D37D5">
        <w:t xml:space="preserve"> and </w:t>
      </w:r>
      <w:r w:rsidRPr="001D37D5">
        <w:fldChar w:fldCharType="begin"/>
      </w:r>
      <w:r w:rsidRPr="001D37D5">
        <w:instrText xml:space="preserve"> REF _Ref451267696 \r \h </w:instrText>
      </w:r>
      <w:r w:rsidRPr="001D37D5">
        <w:fldChar w:fldCharType="separate"/>
      </w:r>
      <w:r w:rsidR="00A02D8C">
        <w:t>A.15</w:t>
      </w:r>
      <w:r w:rsidRPr="001D37D5">
        <w:fldChar w:fldCharType="end"/>
      </w:r>
      <w:r w:rsidRPr="001D37D5">
        <w:t xml:space="preserve"> we set out a list of limitations that can apply to implied market value studies, and in section </w:t>
      </w:r>
      <w:r w:rsidRPr="001D37D5">
        <w:fldChar w:fldCharType="begin"/>
      </w:r>
      <w:r w:rsidRPr="001D37D5">
        <w:instrText xml:space="preserve"> REF _Ref414624721 \r \h </w:instrText>
      </w:r>
      <w:r w:rsidRPr="001D37D5">
        <w:fldChar w:fldCharType="separate"/>
      </w:r>
      <w:r w:rsidR="00A02D8C">
        <w:t>A.15.5</w:t>
      </w:r>
      <w:r w:rsidRPr="001D37D5">
        <w:fldChar w:fldCharType="end"/>
      </w:r>
      <w:r w:rsidRPr="001D37D5">
        <w:t xml:space="preserve"> we conclude that that there is reasonable evidence to suggest that several of these limitations apply to SFG's dividend drop off study. In sections </w:t>
      </w:r>
      <w:r w:rsidRPr="001D37D5">
        <w:fldChar w:fldCharType="begin"/>
      </w:r>
      <w:r w:rsidRPr="001D37D5">
        <w:instrText xml:space="preserve"> REF _Ref450761230 \r \h </w:instrText>
      </w:r>
      <w:r w:rsidRPr="001D37D5">
        <w:fldChar w:fldCharType="separate"/>
      </w:r>
      <w:r w:rsidR="00A02D8C">
        <w:t>4.4.1</w:t>
      </w:r>
      <w:r w:rsidRPr="001D37D5">
        <w:fldChar w:fldCharType="end"/>
      </w:r>
      <w:r w:rsidRPr="001D37D5">
        <w:t xml:space="preserve">and </w:t>
      </w:r>
      <w:r w:rsidRPr="001D37D5">
        <w:fldChar w:fldCharType="begin"/>
      </w:r>
      <w:r w:rsidRPr="001D37D5">
        <w:instrText xml:space="preserve"> REF _Ref451267729 \r \h </w:instrText>
      </w:r>
      <w:r w:rsidRPr="001D37D5">
        <w:fldChar w:fldCharType="separate"/>
      </w:r>
      <w:r w:rsidR="00A02D8C">
        <w:t>A.15</w:t>
      </w:r>
      <w:r w:rsidRPr="001D37D5">
        <w:fldChar w:fldCharType="end"/>
      </w:r>
      <w:r w:rsidRPr="001D37D5">
        <w:t xml:space="preserve"> we also refer to the issues raised by Lally in relation to SFG's dividend drop off study, and McKenzie and Partington's view that there is no obvious manner in which to weigh the results from various implied market value studies based on their characteristics. In section </w:t>
      </w:r>
      <w:r w:rsidRPr="001D37D5">
        <w:fldChar w:fldCharType="begin"/>
      </w:r>
      <w:r w:rsidRPr="001D37D5">
        <w:instrText xml:space="preserve"> REF _Ref451267750 \r \h </w:instrText>
      </w:r>
      <w:r w:rsidRPr="001D37D5">
        <w:fldChar w:fldCharType="separate"/>
      </w:r>
      <w:r w:rsidR="00A02D8C">
        <w:t>A.15</w:t>
      </w:r>
      <w:r w:rsidRPr="001D37D5">
        <w:fldChar w:fldCharType="end"/>
      </w:r>
      <w:r w:rsidRPr="001D37D5">
        <w:t xml:space="preserve"> we set out statements from experts and other regulators on the limitations of dividend drop off studies. All but one of these statements occurred after the development of SFG's dividend drop off study.</w:t>
      </w:r>
    </w:p>
    <w:p w:rsidR="001D37D5" w:rsidRPr="001D37D5" w:rsidRDefault="001D37D5" w:rsidP="001D37D5">
      <w:pPr>
        <w:pStyle w:val="AERbulletlistfirststyle"/>
      </w:pPr>
      <w:r w:rsidRPr="00883125">
        <w:t xml:space="preserve">It was neither necessary nor appropriate for us to identify a distribution rate for only listed equity—in sections </w:t>
      </w:r>
      <w:r w:rsidRPr="001D37D5">
        <w:fldChar w:fldCharType="begin"/>
      </w:r>
      <w:r w:rsidRPr="001D37D5">
        <w:instrText xml:space="preserve"> REF _Ref451790065 \r \h </w:instrText>
      </w:r>
      <w:r w:rsidRPr="001D37D5">
        <w:fldChar w:fldCharType="separate"/>
      </w:r>
      <w:r w:rsidR="00A02D8C">
        <w:t>A.9</w:t>
      </w:r>
      <w:r w:rsidRPr="001D37D5">
        <w:fldChar w:fldCharType="end"/>
      </w:r>
      <w:r w:rsidRPr="001D37D5">
        <w:t xml:space="preserve"> and </w:t>
      </w:r>
      <w:r w:rsidRPr="001D37D5">
        <w:fldChar w:fldCharType="begin"/>
      </w:r>
      <w:r w:rsidRPr="001D37D5">
        <w:instrText xml:space="preserve"> REF _Ref414289334 \r \h </w:instrText>
      </w:r>
      <w:r w:rsidRPr="001D37D5">
        <w:fldChar w:fldCharType="separate"/>
      </w:r>
      <w:r w:rsidR="00A02D8C">
        <w:t>A.10.1</w:t>
      </w:r>
      <w:r w:rsidRPr="001D37D5">
        <w:fldChar w:fldCharType="end"/>
      </w:r>
      <w:r w:rsidRPr="001D37D5">
        <w:t xml:space="preserve"> this is further discussed. </w:t>
      </w:r>
    </w:p>
    <w:p w:rsidR="001D37D5" w:rsidRPr="001D37D5" w:rsidRDefault="001D37D5" w:rsidP="001D37D5">
      <w:pPr>
        <w:pStyle w:val="AERbulletlistfirststyle"/>
      </w:pPr>
      <w:r w:rsidRPr="00883125">
        <w:t xml:space="preserve">Our ultimate conclusion as to the value of imputation credits was inconsistent with the evidence presented in </w:t>
      </w:r>
      <w:r w:rsidRPr="001D37D5">
        <w:t xml:space="preserve">our recent decisions—as set out in section </w:t>
      </w:r>
      <w:r w:rsidRPr="001D37D5">
        <w:fldChar w:fldCharType="begin"/>
      </w:r>
      <w:r w:rsidRPr="001D37D5">
        <w:instrText xml:space="preserve"> REF _Ref451815218 \r \h </w:instrText>
      </w:r>
      <w:r w:rsidRPr="001D37D5">
        <w:fldChar w:fldCharType="separate"/>
      </w:r>
      <w:r w:rsidR="00A02D8C">
        <w:t>4.4</w:t>
      </w:r>
      <w:r w:rsidRPr="001D37D5">
        <w:fldChar w:fldCharType="end"/>
      </w:r>
      <w:r w:rsidRPr="001D37D5">
        <w:t>, the evidence presented in this final decision suggests that a reasonable estimate for the value of imputation credits is within the range 0.3 to 0.5. Our estimate of 0.4 is within this range.</w:t>
      </w:r>
    </w:p>
    <w:p w:rsidR="001D37D5" w:rsidRPr="00883125" w:rsidRDefault="001D37D5" w:rsidP="001D37D5">
      <w:pPr>
        <w:rPr>
          <w:rStyle w:val="AERbody"/>
        </w:rPr>
      </w:pPr>
      <w:r w:rsidRPr="00883125">
        <w:rPr>
          <w:rStyle w:val="AERbody"/>
        </w:rPr>
        <w:lastRenderedPageBreak/>
        <w:t>In the revised regulatory proposals of SA Power Networks, Ergon</w:t>
      </w:r>
      <w:r>
        <w:rPr>
          <w:rStyle w:val="AERbody"/>
        </w:rPr>
        <w:t xml:space="preserve"> Energy</w:t>
      </w:r>
      <w:r w:rsidRPr="00883125">
        <w:rPr>
          <w:rStyle w:val="AERbody"/>
        </w:rPr>
        <w:t xml:space="preserve">, and </w:t>
      </w:r>
      <w:r>
        <w:rPr>
          <w:rStyle w:val="AERbody"/>
        </w:rPr>
        <w:t>Energex submitted in July 2015</w:t>
      </w:r>
      <w:r w:rsidRPr="00883125">
        <w:rPr>
          <w:rStyle w:val="AERbody"/>
        </w:rPr>
        <w:t>, two issues were raised as the key issues in dispute.</w:t>
      </w:r>
      <w:r w:rsidRPr="00883125">
        <w:rPr>
          <w:rStyle w:val="FootnoteReference"/>
        </w:rPr>
        <w:footnoteReference w:id="272"/>
      </w:r>
      <w:r w:rsidRPr="00883125">
        <w:rPr>
          <w:rStyle w:val="AERbody"/>
        </w:rPr>
        <w:t xml:space="preserve"> These issues were also raised in Gray's June 2015 report (for Frontier) relied on by the majority of service providers </w:t>
      </w:r>
      <w:r>
        <w:rPr>
          <w:rStyle w:val="AERbody"/>
        </w:rPr>
        <w:t>currently under assessment. These issues are</w:t>
      </w:r>
      <w:r w:rsidRPr="00883125">
        <w:rPr>
          <w:rStyle w:val="AERbody"/>
        </w:rPr>
        <w:t>:</w:t>
      </w:r>
    </w:p>
    <w:p w:rsidR="001D37D5" w:rsidRPr="001D37D5" w:rsidRDefault="001D37D5" w:rsidP="001D37D5">
      <w:pPr>
        <w:pStyle w:val="AERbulletlistfirststyle"/>
      </w:pPr>
      <w:r w:rsidRPr="005764F6">
        <w:t>The first key point of difference is conceptually whether theta should be interpreted as the value of distributed credits, or the redemption proportion. The service providers consider that if their value interpretation is adopted then you must use estimates that measure the value of distributed credits (such as dividend drop-off studies).</w:t>
      </w:r>
      <w:r w:rsidRPr="00424DF1">
        <w:rPr>
          <w:rStyle w:val="FootnoteReference"/>
        </w:rPr>
        <w:footnoteReference w:id="273"/>
      </w:r>
      <w:r w:rsidRPr="001D37D5">
        <w:t xml:space="preserve"> In sections </w:t>
      </w:r>
      <w:r w:rsidRPr="001D37D5">
        <w:fldChar w:fldCharType="begin"/>
      </w:r>
      <w:r w:rsidRPr="001D37D5">
        <w:instrText xml:space="preserve"> REF _Ref415144114 \r \h  \* MERGEFORMAT </w:instrText>
      </w:r>
      <w:r w:rsidRPr="001D37D5">
        <w:fldChar w:fldCharType="separate"/>
      </w:r>
      <w:r w:rsidR="00A02D8C">
        <w:t>A.5</w:t>
      </w:r>
      <w:r w:rsidRPr="001D37D5">
        <w:fldChar w:fldCharType="end"/>
      </w:r>
      <w:r w:rsidRPr="001D37D5">
        <w:t xml:space="preserve"> and </w:t>
      </w:r>
      <w:r w:rsidRPr="001D37D5">
        <w:fldChar w:fldCharType="begin"/>
      </w:r>
      <w:r w:rsidRPr="001D37D5">
        <w:instrText xml:space="preserve"> REF _Ref401748758 \r \h  \* MERGEFORMAT </w:instrText>
      </w:r>
      <w:r w:rsidRPr="001D37D5">
        <w:fldChar w:fldCharType="separate"/>
      </w:r>
      <w:r w:rsidR="00A02D8C">
        <w:t>A.8.1</w:t>
      </w:r>
      <w:r w:rsidRPr="001D37D5">
        <w:fldChar w:fldCharType="end"/>
      </w:r>
      <w:r w:rsidRPr="001D37D5">
        <w:t xml:space="preserve"> we explain why we consider the proportion of imputation credits distributed to shareholders eligible to utilise them is an appropriate measure of the value of imputation credits before personal taxes and transaction costs.</w:t>
      </w:r>
      <w:r w:rsidRPr="001D37D5" w:rsidDel="00E07815">
        <w:t xml:space="preserve"> </w:t>
      </w:r>
    </w:p>
    <w:p w:rsidR="001D37D5" w:rsidRPr="001D37D5" w:rsidRDefault="001D37D5" w:rsidP="001D37D5">
      <w:pPr>
        <w:pStyle w:val="AERbulletlistfirststyle"/>
      </w:pPr>
      <w:r w:rsidRPr="005764F6">
        <w:t>The second key point of difference concerns the set of comparator businesses that should be used when estimating a benchmark distribution rate.</w:t>
      </w:r>
      <w:r w:rsidRPr="001D37D5">
        <w:rPr>
          <w:rStyle w:val="FootnoteReference"/>
        </w:rPr>
        <w:footnoteReference w:id="274"/>
      </w:r>
      <w:r w:rsidRPr="001D37D5">
        <w:t xml:space="preserve"> The service providers consider: firstly, we are incorrect to consider the same set of firms need to be used to estimate the distribution rate and to estimate the value of imputation credits; and secondly, we are incorrect to use a distribution rate from all listed equity of around 0.8</w:t>
      </w:r>
      <w:r w:rsidRPr="001D37D5">
        <w:rPr>
          <w:rStyle w:val="FootnoteReference"/>
        </w:rPr>
        <w:footnoteReference w:id="275"/>
      </w:r>
      <w:r w:rsidRPr="001D37D5">
        <w:t xml:space="preserve"> given our benchmark efficient network operator is a pure play wholly domestic business that is not necessarily stock market listed. We respond to these views in sections </w:t>
      </w:r>
      <w:r w:rsidRPr="001D37D5">
        <w:fldChar w:fldCharType="begin"/>
      </w:r>
      <w:r w:rsidRPr="001D37D5">
        <w:instrText xml:space="preserve"> REF _Ref451790065 \r \h  \* MERGEFORMAT </w:instrText>
      </w:r>
      <w:r w:rsidRPr="001D37D5">
        <w:fldChar w:fldCharType="separate"/>
      </w:r>
      <w:r w:rsidR="00A02D8C">
        <w:t>A.9</w:t>
      </w:r>
      <w:r w:rsidRPr="001D37D5">
        <w:fldChar w:fldCharType="end"/>
      </w:r>
      <w:r w:rsidRPr="001D37D5">
        <w:t xml:space="preserve"> and </w:t>
      </w:r>
      <w:r w:rsidRPr="001D37D5">
        <w:fldChar w:fldCharType="begin"/>
      </w:r>
      <w:r w:rsidRPr="001D37D5">
        <w:instrText xml:space="preserve"> REF _Ref401133206 \r \h  \* MERGEFORMAT </w:instrText>
      </w:r>
      <w:r w:rsidRPr="001D37D5">
        <w:fldChar w:fldCharType="separate"/>
      </w:r>
      <w:r w:rsidR="00A02D8C">
        <w:t>A.10</w:t>
      </w:r>
      <w:r w:rsidRPr="001D37D5">
        <w:fldChar w:fldCharType="end"/>
      </w:r>
      <w:r w:rsidRPr="001D37D5">
        <w:t>.</w:t>
      </w:r>
    </w:p>
    <w:p w:rsidR="001D37D5" w:rsidRPr="00883125" w:rsidRDefault="001D37D5" w:rsidP="001D37D5">
      <w:pPr>
        <w:rPr>
          <w:rStyle w:val="AERbody"/>
        </w:rPr>
      </w:pPr>
      <w:r w:rsidRPr="00883125">
        <w:rPr>
          <w:rStyle w:val="AERbody"/>
        </w:rPr>
        <w:t xml:space="preserve">We note that both of these points of difference were considered in our decisions released in April and June 2015 and also considered by Handley who supported our approach. </w:t>
      </w:r>
      <w:r>
        <w:rPr>
          <w:rStyle w:val="AERbody"/>
        </w:rPr>
        <w:t>We also note Lally's latest advice recommends a distribution rate for listed equity estimated from the financial reports of the top 20 listed firms. It also implies matching distribution and utilisation rates based on the dataset used is likely to result in an underestimate of gamma (given his recommended values for the distribution rate and utilisation rate).</w:t>
      </w:r>
      <w:r>
        <w:rPr>
          <w:rStyle w:val="FootnoteReference"/>
        </w:rPr>
        <w:footnoteReference w:id="276"/>
      </w:r>
      <w:r>
        <w:rPr>
          <w:rStyle w:val="AERbody"/>
        </w:rPr>
        <w:t xml:space="preserve"> </w:t>
      </w:r>
    </w:p>
    <w:p w:rsidR="001D37D5" w:rsidRPr="00883125" w:rsidRDefault="001D37D5" w:rsidP="001D37D5">
      <w:pPr>
        <w:rPr>
          <w:rStyle w:val="AERbody"/>
        </w:rPr>
      </w:pPr>
      <w:r>
        <w:rPr>
          <w:rStyle w:val="AERbody"/>
        </w:rPr>
        <w:t>I</w:t>
      </w:r>
      <w:r w:rsidRPr="00883125">
        <w:rPr>
          <w:rStyle w:val="AERbody"/>
        </w:rPr>
        <w:t>n the revised proposals of the service providers</w:t>
      </w:r>
      <w:r>
        <w:rPr>
          <w:rStyle w:val="AERbody"/>
        </w:rPr>
        <w:t xml:space="preserve"> currently under assessment (</w:t>
      </w:r>
      <w:r w:rsidRPr="00883125">
        <w:rPr>
          <w:rStyle w:val="AERbody"/>
        </w:rPr>
        <w:t>or the</w:t>
      </w:r>
      <w:r>
        <w:rPr>
          <w:rStyle w:val="AERbody"/>
        </w:rPr>
        <w:t>ir</w:t>
      </w:r>
      <w:r w:rsidRPr="00883125">
        <w:rPr>
          <w:rStyle w:val="AERbody"/>
        </w:rPr>
        <w:t xml:space="preserve"> new expert reports by Gray (for Frontier)</w:t>
      </w:r>
      <w:r>
        <w:rPr>
          <w:rStyle w:val="AERbody"/>
        </w:rPr>
        <w:t>)</w:t>
      </w:r>
      <w:r w:rsidRPr="00883125">
        <w:rPr>
          <w:rStyle w:val="AERbody"/>
        </w:rPr>
        <w:t>, a number of key 'second order' differences of view have been identified:</w:t>
      </w:r>
    </w:p>
    <w:p w:rsidR="001D37D5" w:rsidRPr="001D37D5" w:rsidRDefault="001D37D5" w:rsidP="001D37D5">
      <w:pPr>
        <w:pStyle w:val="AERbulletlistfirststyle"/>
      </w:pPr>
      <w:r w:rsidRPr="005764F6">
        <w:lastRenderedPageBreak/>
        <w:t>A redemption rate study can only provide an upper bound for estimating theta.</w:t>
      </w:r>
      <w:r w:rsidRPr="001D37D5">
        <w:rPr>
          <w:rStyle w:val="FootnoteReference"/>
        </w:rPr>
        <w:footnoteReference w:id="277"/>
      </w:r>
      <w:r w:rsidRPr="001D37D5">
        <w:t xml:space="preserve"> In section </w:t>
      </w:r>
      <w:r w:rsidRPr="001D37D5">
        <w:fldChar w:fldCharType="begin"/>
      </w:r>
      <w:r w:rsidRPr="001D37D5">
        <w:instrText xml:space="preserve"> REF _Ref414099389 \r \h  \* MERGEFORMAT </w:instrText>
      </w:r>
      <w:r w:rsidRPr="001D37D5">
        <w:fldChar w:fldCharType="separate"/>
      </w:r>
      <w:r w:rsidR="00A02D8C">
        <w:t>A.8.3</w:t>
      </w:r>
      <w:r w:rsidRPr="001D37D5">
        <w:fldChar w:fldCharType="end"/>
      </w:r>
      <w:r w:rsidRPr="001D37D5">
        <w:t xml:space="preserve"> we consider this further. </w:t>
      </w:r>
    </w:p>
    <w:p w:rsidR="001D37D5" w:rsidRPr="001D37D5" w:rsidRDefault="001D37D5" w:rsidP="001D37D5">
      <w:pPr>
        <w:pStyle w:val="AERbulletlistfirststyle"/>
      </w:pPr>
      <w:r w:rsidRPr="005764F6">
        <w:t>The criticisms of Gray and Hall's dividend drop-off work is not reasonable.</w:t>
      </w:r>
      <w:r w:rsidRPr="001D37D5">
        <w:rPr>
          <w:rStyle w:val="FootnoteReference"/>
        </w:rPr>
        <w:footnoteReference w:id="278"/>
      </w:r>
      <w:r w:rsidRPr="001D37D5">
        <w:t xml:space="preserve"> We discuss the limitations of dividend drop off studies and which of these apply to the SFG dividend drop off study in section </w:t>
      </w:r>
      <w:r w:rsidRPr="001D37D5">
        <w:fldChar w:fldCharType="begin"/>
      </w:r>
      <w:r w:rsidRPr="001D37D5">
        <w:instrText xml:space="preserve"> REF _Ref414624721 \r \h  \* MERGEFORMAT </w:instrText>
      </w:r>
      <w:r w:rsidRPr="001D37D5">
        <w:fldChar w:fldCharType="separate"/>
      </w:r>
      <w:r w:rsidR="00A02D8C">
        <w:t>A.15.5</w:t>
      </w:r>
      <w:r w:rsidRPr="001D37D5">
        <w:fldChar w:fldCharType="end"/>
      </w:r>
      <w:r w:rsidRPr="001D37D5">
        <w:t>.</w:t>
      </w:r>
    </w:p>
    <w:p w:rsidR="001D37D5" w:rsidRPr="00883125" w:rsidRDefault="001D37D5" w:rsidP="001D37D5">
      <w:pPr>
        <w:rPr>
          <w:rStyle w:val="AERbody"/>
        </w:rPr>
      </w:pPr>
      <w:r w:rsidRPr="00883125">
        <w:rPr>
          <w:rStyle w:val="AERbody"/>
        </w:rPr>
        <w:t xml:space="preserve">We note the primary and second order differences of view identified above do not appear to be new issues and largely overlap with the </w:t>
      </w:r>
      <w:r>
        <w:rPr>
          <w:rStyle w:val="AERbody"/>
        </w:rPr>
        <w:t>eight</w:t>
      </w:r>
      <w:r w:rsidRPr="00883125">
        <w:rPr>
          <w:rStyle w:val="AERbody"/>
        </w:rPr>
        <w:t xml:space="preserve"> key concerns </w:t>
      </w:r>
      <w:r>
        <w:rPr>
          <w:rStyle w:val="AERbody"/>
        </w:rPr>
        <w:t>that</w:t>
      </w:r>
      <w:r w:rsidRPr="00883125">
        <w:rPr>
          <w:rStyle w:val="AERbody"/>
        </w:rPr>
        <w:t xml:space="preserve"> service providers </w:t>
      </w:r>
      <w:r>
        <w:rPr>
          <w:rStyle w:val="AERbody"/>
        </w:rPr>
        <w:t xml:space="preserve">have </w:t>
      </w:r>
      <w:r w:rsidRPr="00883125">
        <w:rPr>
          <w:rStyle w:val="AERbody"/>
        </w:rPr>
        <w:t>raised previously. Having considered the revised proposals, the new experts' reports</w:t>
      </w:r>
      <w:r>
        <w:rPr>
          <w:rStyle w:val="AERbody"/>
        </w:rPr>
        <w:t xml:space="preserve"> since our 2015 JGN decision and late submissions (discussed in section </w:t>
      </w:r>
      <w:r>
        <w:rPr>
          <w:rStyle w:val="AERbody"/>
        </w:rPr>
        <w:fldChar w:fldCharType="begin"/>
      </w:r>
      <w:r>
        <w:rPr>
          <w:rStyle w:val="AERbody"/>
        </w:rPr>
        <w:instrText xml:space="preserve"> REF _Ref451816453 \r \h </w:instrText>
      </w:r>
      <w:r>
        <w:rPr>
          <w:rStyle w:val="AERbody"/>
        </w:rPr>
      </w:r>
      <w:r>
        <w:rPr>
          <w:rStyle w:val="AERbody"/>
        </w:rPr>
        <w:fldChar w:fldCharType="separate"/>
      </w:r>
      <w:r w:rsidR="00A02D8C">
        <w:rPr>
          <w:rStyle w:val="AERbody"/>
        </w:rPr>
        <w:t>4.1</w:t>
      </w:r>
      <w:r>
        <w:rPr>
          <w:rStyle w:val="AERbody"/>
        </w:rPr>
        <w:fldChar w:fldCharType="end"/>
      </w:r>
      <w:r>
        <w:rPr>
          <w:rStyle w:val="AERbody"/>
        </w:rPr>
        <w:t xml:space="preserve"> and </w:t>
      </w:r>
      <w:r>
        <w:rPr>
          <w:rStyle w:val="AERbody"/>
        </w:rPr>
        <w:fldChar w:fldCharType="begin"/>
      </w:r>
      <w:r>
        <w:rPr>
          <w:rStyle w:val="AERbody"/>
        </w:rPr>
        <w:instrText xml:space="preserve"> REF _Ref451816460 \r \h </w:instrText>
      </w:r>
      <w:r>
        <w:rPr>
          <w:rStyle w:val="AERbody"/>
        </w:rPr>
      </w:r>
      <w:r>
        <w:rPr>
          <w:rStyle w:val="AERbody"/>
        </w:rPr>
        <w:fldChar w:fldCharType="separate"/>
      </w:r>
      <w:r w:rsidR="00A02D8C">
        <w:rPr>
          <w:rStyle w:val="AERbody"/>
        </w:rPr>
        <w:t>4.4.2</w:t>
      </w:r>
      <w:r>
        <w:rPr>
          <w:rStyle w:val="AERbody"/>
        </w:rPr>
        <w:fldChar w:fldCharType="end"/>
      </w:r>
      <w:r>
        <w:rPr>
          <w:rStyle w:val="AERbody"/>
        </w:rPr>
        <w:t>)</w:t>
      </w:r>
      <w:r w:rsidRPr="00883125">
        <w:rPr>
          <w:rStyle w:val="AERbody"/>
        </w:rPr>
        <w:t>, we remain of the view that a gamma value of 0.4 is appropriate.</w:t>
      </w:r>
    </w:p>
    <w:p w:rsidR="001D37D5" w:rsidRPr="00883125" w:rsidRDefault="001D37D5" w:rsidP="001D37D5">
      <w:r w:rsidRPr="00883125">
        <w:t xml:space="preserve">In </w:t>
      </w:r>
      <w:r>
        <w:t>their</w:t>
      </w:r>
      <w:r w:rsidRPr="00883125">
        <w:t xml:space="preserve"> revised proposals, </w:t>
      </w:r>
      <w:r>
        <w:t>these service providers have</w:t>
      </w:r>
      <w:r w:rsidRPr="00883125">
        <w:t xml:space="preserve"> broadly not submitted anything new. Besides a new report by Frontier Economics, which presented no substantive new arguments, the service providers have submitted </w:t>
      </w:r>
      <w:r>
        <w:t xml:space="preserve">essentially </w:t>
      </w:r>
      <w:r w:rsidRPr="00883125">
        <w:t xml:space="preserve">the same arguments that were considered in </w:t>
      </w:r>
      <w:r>
        <w:t>our</w:t>
      </w:r>
      <w:r w:rsidRPr="00883125">
        <w:t xml:space="preserve"> decisions released in October and November 2015. Overall the service providers propose a </w:t>
      </w:r>
      <w:r>
        <w:t>gamma</w:t>
      </w:r>
      <w:r w:rsidRPr="00883125">
        <w:t xml:space="preserve"> estimate of 0.25 which is based on a 0.35 utilisation </w:t>
      </w:r>
      <w:r>
        <w:t>rate</w:t>
      </w:r>
      <w:r w:rsidRPr="00883125">
        <w:t xml:space="preserve"> from the SFG dividend drop off study and an all equity distribution rate of 0.7.</w:t>
      </w:r>
      <w:r w:rsidRPr="00883125">
        <w:rPr>
          <w:rStyle w:val="FootnoteReference"/>
        </w:rPr>
        <w:footnoteReference w:id="279"/>
      </w:r>
      <w:r w:rsidRPr="00883125">
        <w:t xml:space="preserve"> </w:t>
      </w:r>
    </w:p>
    <w:p w:rsidR="001D37D5" w:rsidRPr="00883125" w:rsidRDefault="001D37D5" w:rsidP="001D37D5">
      <w:r w:rsidRPr="00883125">
        <w:t>As a high level summary of the revised proposal</w:t>
      </w:r>
      <w:r>
        <w:t>s</w:t>
      </w:r>
      <w:r w:rsidRPr="00883125">
        <w:t xml:space="preserve">, </w:t>
      </w:r>
      <w:r>
        <w:t>service providers</w:t>
      </w:r>
      <w:r w:rsidRPr="00883125">
        <w:t xml:space="preserve"> submitted:</w:t>
      </w:r>
    </w:p>
    <w:p w:rsidR="001D37D5" w:rsidRPr="001D37D5" w:rsidRDefault="001D37D5" w:rsidP="001D37D5">
      <w:pPr>
        <w:pStyle w:val="AERbulletlistfirststyle"/>
        <w:rPr>
          <w:rStyle w:val="AERtexthighlight"/>
        </w:rPr>
      </w:pPr>
      <w:r w:rsidRPr="0096666B">
        <w:t>our</w:t>
      </w:r>
      <w:r w:rsidRPr="001D37D5">
        <w:t xml:space="preserve"> approach to estimating gamma is premised on an incorrect interpretation of the NGR</w:t>
      </w:r>
      <w:r w:rsidRPr="001D37D5">
        <w:rPr>
          <w:rStyle w:val="FootnoteReference"/>
        </w:rPr>
        <w:footnoteReference w:id="280"/>
      </w:r>
    </w:p>
    <w:p w:rsidR="001D37D5" w:rsidRPr="001D37D5" w:rsidRDefault="001D37D5" w:rsidP="001D37D5">
      <w:pPr>
        <w:pStyle w:val="AERbulletlistfirststyle"/>
        <w:rPr>
          <w:rStyle w:val="AERtexthighlight"/>
        </w:rPr>
      </w:pPr>
      <w:r w:rsidRPr="0096666B">
        <w:lastRenderedPageBreak/>
        <w:t>b</w:t>
      </w:r>
      <w:r w:rsidRPr="001D37D5">
        <w:t>oth the equity ownership value and taxation statistics can be no more than an upper bound for the utilisation rate</w:t>
      </w:r>
      <w:r w:rsidRPr="001D37D5">
        <w:rPr>
          <w:rStyle w:val="FootnoteReference"/>
        </w:rPr>
        <w:footnoteReference w:id="281"/>
      </w:r>
    </w:p>
    <w:p w:rsidR="001D37D5" w:rsidRPr="001D37D5" w:rsidRDefault="001D37D5" w:rsidP="001D37D5">
      <w:pPr>
        <w:pStyle w:val="AERbulletlistfirststyle"/>
        <w:rPr>
          <w:rStyle w:val="AERtexthighlight"/>
        </w:rPr>
      </w:pPr>
      <w:r w:rsidRPr="0096666B">
        <w:t>market value studies are direct evidence of the value of imputation credits to investors</w:t>
      </w:r>
      <w:r w:rsidRPr="001D37D5">
        <w:t>—we have erred in concluding that market value studies reflect factors such as differential personal taxes and risk which are not relevant to the task of measuring the utilisation rate</w:t>
      </w:r>
      <w:r w:rsidRPr="001D37D5">
        <w:rPr>
          <w:rStyle w:val="FootnoteReference"/>
        </w:rPr>
        <w:footnoteReference w:id="282"/>
      </w:r>
    </w:p>
    <w:p w:rsidR="001D37D5" w:rsidRPr="001D37D5" w:rsidRDefault="001D37D5" w:rsidP="001D37D5">
      <w:pPr>
        <w:pStyle w:val="AERbulletlistfirststyle"/>
        <w:rPr>
          <w:rStyle w:val="AERtexthighlight"/>
        </w:rPr>
      </w:pPr>
      <w:r>
        <w:t>we</w:t>
      </w:r>
      <w:r w:rsidRPr="001D37D5">
        <w:t xml:space="preserve"> incorrectly assume that estimates of the utilisation rate from listed equity (all equity) can only be combined with estimates distribution rate from listed equity (all equity)</w:t>
      </w:r>
      <w:r w:rsidRPr="001D37D5">
        <w:rPr>
          <w:rStyle w:val="FootnoteReference"/>
        </w:rPr>
        <w:footnoteReference w:id="283"/>
      </w:r>
      <w:r w:rsidRPr="001D37D5">
        <w:rPr>
          <w:rStyle w:val="AERtexthighlight"/>
        </w:rPr>
        <w:t xml:space="preserve"> </w:t>
      </w:r>
    </w:p>
    <w:p w:rsidR="001D37D5" w:rsidRPr="001D37D5" w:rsidRDefault="001D37D5" w:rsidP="001D37D5">
      <w:pPr>
        <w:pStyle w:val="AERbulletlistfirststyle"/>
        <w:rPr>
          <w:rStyle w:val="AERbody"/>
        </w:rPr>
      </w:pPr>
      <w:r w:rsidRPr="0096666B">
        <w:t>u</w:t>
      </w:r>
      <w:r w:rsidRPr="001D37D5">
        <w:t>nder our interpretation of the NGR, our gamma estimate cannot be supported as the pre-personal cost estimate of the utilisation rate is approximately 0.3.</w:t>
      </w:r>
      <w:r w:rsidRPr="001D37D5">
        <w:rPr>
          <w:rStyle w:val="FootnoteReference"/>
        </w:rPr>
        <w:footnoteReference w:id="284"/>
      </w:r>
    </w:p>
    <w:p w:rsidR="001D37D5" w:rsidRPr="00883125" w:rsidRDefault="001D37D5" w:rsidP="001D37D5">
      <w:pPr>
        <w:pStyle w:val="Heading8"/>
      </w:pPr>
      <w:bookmarkStart w:id="184" w:name="_Ref415144114"/>
      <w:bookmarkStart w:id="185" w:name="_Toc436049446"/>
      <w:bookmarkStart w:id="186" w:name="_Toc451842251"/>
      <w:bookmarkStart w:id="187" w:name="_Toc451938306"/>
      <w:r w:rsidRPr="00883125">
        <w:t>The role of the value of imputation credits in the regulatory framework</w:t>
      </w:r>
      <w:bookmarkEnd w:id="184"/>
      <w:bookmarkEnd w:id="185"/>
      <w:bookmarkEnd w:id="186"/>
      <w:bookmarkEnd w:id="187"/>
    </w:p>
    <w:p w:rsidR="001D37D5" w:rsidRPr="00883125" w:rsidRDefault="001D37D5" w:rsidP="001D37D5">
      <w:pPr>
        <w:numPr>
          <w:ilvl w:val="0"/>
          <w:numId w:val="24"/>
        </w:numPr>
      </w:pPr>
      <w:r w:rsidRPr="00883125">
        <w:t>To explain the role of the value of imputation credits in the NER/NGR, we must consider:</w:t>
      </w:r>
    </w:p>
    <w:p w:rsidR="001D37D5" w:rsidRPr="00883125" w:rsidRDefault="001D37D5" w:rsidP="001D37D5">
      <w:pPr>
        <w:pStyle w:val="AERbulletlistfirststyle"/>
      </w:pPr>
      <w:r w:rsidRPr="00883125">
        <w:t>the 'building block' revenue framework in the NER/NGR, and</w:t>
      </w:r>
    </w:p>
    <w:p w:rsidR="001D37D5" w:rsidRPr="00883125" w:rsidRDefault="001D37D5" w:rsidP="001D37D5">
      <w:pPr>
        <w:pStyle w:val="AERbulletlistfirststyle"/>
      </w:pPr>
      <w:r w:rsidRPr="00883125">
        <w:t>the construction of the tax building block.</w:t>
      </w:r>
    </w:p>
    <w:p w:rsidR="001D37D5" w:rsidRPr="00883125" w:rsidRDefault="001D37D5" w:rsidP="001D37D5">
      <w:pPr>
        <w:pStyle w:val="Heading9"/>
      </w:pPr>
      <w:r w:rsidRPr="00883125">
        <w:t>The building block framework</w:t>
      </w:r>
    </w:p>
    <w:p w:rsidR="001D37D5" w:rsidRPr="00883125" w:rsidRDefault="001D37D5" w:rsidP="001D37D5">
      <w:pPr>
        <w:numPr>
          <w:ilvl w:val="0"/>
          <w:numId w:val="24"/>
        </w:numPr>
      </w:pPr>
      <w:r w:rsidRPr="00883125">
        <w:t>Under the NER/NGR, we employ a building block framework to estimate revenue for service providers. The building block framework sets out how to estimate the various components (that is, 'building blocks') that make up a total revenue allowance.</w:t>
      </w:r>
      <w:r w:rsidRPr="00883125">
        <w:rPr>
          <w:rStyle w:val="FootnoteReference"/>
        </w:rPr>
        <w:footnoteReference w:id="285"/>
      </w:r>
      <w:r w:rsidRPr="00883125">
        <w:t xml:space="preserve"> The function of this </w:t>
      </w:r>
      <w:r w:rsidRPr="00883125">
        <w:lastRenderedPageBreak/>
        <w:t>building block revenue estimate is to determine the revenue that a service provider requires to:</w:t>
      </w:r>
    </w:p>
    <w:p w:rsidR="001D37D5" w:rsidRPr="00883125" w:rsidRDefault="001D37D5" w:rsidP="001D37D5">
      <w:pPr>
        <w:pStyle w:val="AERbulletlistfirststyle"/>
      </w:pPr>
      <w:r w:rsidRPr="00883125">
        <w:t>fund its operating expenses.</w:t>
      </w:r>
    </w:p>
    <w:p w:rsidR="001D37D5" w:rsidRPr="00883125" w:rsidRDefault="001D37D5" w:rsidP="001D37D5">
      <w:pPr>
        <w:pStyle w:val="AERbulletlistfirststyle"/>
      </w:pPr>
      <w:r w:rsidRPr="00883125">
        <w:t>achieve adequate returns to raise debt and equity in order to finance its capital investments. This is made up of a rate of return on capital to compensate investors for the risks of investment. It also includes a return of capital (depreciation), which gradually returns the initial principal of the investment, and subsequent investments, back to investors.</w:t>
      </w:r>
    </w:p>
    <w:p w:rsidR="001D37D5" w:rsidRPr="00883125" w:rsidRDefault="001D37D5" w:rsidP="001D37D5">
      <w:pPr>
        <w:pStyle w:val="AERbulletlistfirststyle"/>
      </w:pPr>
      <w:r w:rsidRPr="00883125">
        <w:t>pay its tax liability.</w:t>
      </w:r>
    </w:p>
    <w:p w:rsidR="001D37D5" w:rsidRPr="00883125" w:rsidRDefault="001D37D5" w:rsidP="001D37D5">
      <w:pPr>
        <w:pStyle w:val="AERbulletlistfirststyle"/>
      </w:pPr>
      <w:r w:rsidRPr="00883125">
        <w:t>reflect any revenue increments or decrements from incentive mechanisms in the design of the regulatory regime.</w:t>
      </w:r>
    </w:p>
    <w:p w:rsidR="001D37D5" w:rsidRPr="00883125" w:rsidRDefault="001D37D5" w:rsidP="001D37D5">
      <w:pPr>
        <w:numPr>
          <w:ilvl w:val="0"/>
          <w:numId w:val="24"/>
        </w:numPr>
      </w:pPr>
      <w:r w:rsidRPr="00883125">
        <w:t>Importantly, the building block framework is intended to compensate the service provider (and its investors) only for costs incurred by the service provider and not by its investors; that is, the framework is on a before-personal-tax and before-personal-costs basis. Handley described this consideration as follows:</w:t>
      </w:r>
      <w:r w:rsidRPr="00883125">
        <w:rPr>
          <w:rStyle w:val="FootnoteReference"/>
        </w:rPr>
        <w:footnoteReference w:id="286"/>
      </w:r>
    </w:p>
    <w:p w:rsidR="001D37D5" w:rsidRPr="00883125" w:rsidRDefault="001D37D5" w:rsidP="001D37D5">
      <w:pPr>
        <w:pStyle w:val="AERquote"/>
      </w:pPr>
      <w:r w:rsidRPr="00883125">
        <w:t>The post-tax basis of the regulatory framework can be more fully described as an after-company-before-personal-tax framework. In other words, cash flows and returns are to be measured after company taxes but before personal taxes. By definition, this means that allowed revenues should include compensation for corporate taxes incurred by the regulated firm but not for personal taxes incurred by the firm’s shareholders. Similarly, allowed revenues should include compensation for prudent, efficient costs incurred by the regulated firm but not for costs (including personal transactions costs) incurred at the shareholder level. Note, this does not mean that personal taxes and costs are being ignored or assumed not to exist – rather there is no need to explicitly include them in the modelling framework.</w:t>
      </w:r>
    </w:p>
    <w:p w:rsidR="001D37D5" w:rsidRPr="00883125" w:rsidRDefault="001D37D5" w:rsidP="001D37D5">
      <w:pPr>
        <w:pStyle w:val="AERquote"/>
      </w:pPr>
      <w:r w:rsidRPr="00883125">
        <w:t>…</w:t>
      </w:r>
    </w:p>
    <w:p w:rsidR="001D37D5" w:rsidRPr="00883125" w:rsidRDefault="001D37D5" w:rsidP="001D37D5">
      <w:pPr>
        <w:pStyle w:val="AERquote"/>
      </w:pPr>
      <w:r w:rsidRPr="00883125">
        <w:t>The regulatory WACC framework is an after-company-before-personal-tax framework which requires explicit modelling of cash flows and returns after allowing for company tax but avoids most of the complications associated with having to model personal taxes - one complication which remains of course, is gamma. If one wanted to explicitly model personal taxes then an after-company-after-personal-tax WACC framework could be used instead.</w:t>
      </w:r>
    </w:p>
    <w:p w:rsidR="001D37D5" w:rsidRPr="00883125" w:rsidRDefault="001D37D5" w:rsidP="001D37D5">
      <w:r w:rsidRPr="00883125">
        <w:t xml:space="preserve">In particular, Handley advised that the Officer framework provides the basis for the building block framework in the NER/NGR, and that the before-personal-tax and before-personal-costs interpretation is consistent with Officer. Handley's advice on these matters is discussed in more detail in sections </w:t>
      </w:r>
      <w:r w:rsidRPr="00883125">
        <w:fldChar w:fldCharType="begin"/>
      </w:r>
      <w:r w:rsidRPr="00883125">
        <w:instrText xml:space="preserve"> REF _Ref400965182 \r \h </w:instrText>
      </w:r>
      <w:r w:rsidRPr="00883125">
        <w:fldChar w:fldCharType="separate"/>
      </w:r>
      <w:r w:rsidR="00A02D8C">
        <w:t>A.6</w:t>
      </w:r>
      <w:r w:rsidRPr="00883125">
        <w:fldChar w:fldCharType="end"/>
      </w:r>
      <w:r w:rsidRPr="00883125">
        <w:t xml:space="preserve">, </w:t>
      </w:r>
      <w:r w:rsidRPr="00883125">
        <w:fldChar w:fldCharType="begin"/>
      </w:r>
      <w:r w:rsidRPr="00883125">
        <w:instrText xml:space="preserve"> REF _Ref414028398 \r \h </w:instrText>
      </w:r>
      <w:r w:rsidRPr="00883125">
        <w:fldChar w:fldCharType="separate"/>
      </w:r>
      <w:r w:rsidR="00A02D8C">
        <w:t>A.7.3</w:t>
      </w:r>
      <w:r w:rsidRPr="00883125">
        <w:fldChar w:fldCharType="end"/>
      </w:r>
      <w:r w:rsidRPr="00883125">
        <w:t xml:space="preserve"> and </w:t>
      </w:r>
      <w:r w:rsidRPr="00883125">
        <w:fldChar w:fldCharType="begin"/>
      </w:r>
      <w:r w:rsidRPr="00883125">
        <w:instrText xml:space="preserve"> REF _Ref401748758 \r \h </w:instrText>
      </w:r>
      <w:r w:rsidRPr="00883125">
        <w:fldChar w:fldCharType="separate"/>
      </w:r>
      <w:r w:rsidR="00A02D8C">
        <w:t>A.8.1</w:t>
      </w:r>
      <w:r w:rsidRPr="00883125">
        <w:fldChar w:fldCharType="end"/>
      </w:r>
      <w:r w:rsidRPr="00883125">
        <w:t>.</w:t>
      </w:r>
    </w:p>
    <w:p w:rsidR="001D37D5" w:rsidRPr="00883125" w:rsidRDefault="001D37D5" w:rsidP="001D37D5">
      <w:pPr>
        <w:rPr>
          <w:rStyle w:val="AERbody"/>
        </w:rPr>
      </w:pPr>
      <w:r w:rsidRPr="00883125">
        <w:rPr>
          <w:rStyle w:val="AERbody"/>
        </w:rPr>
        <w:lastRenderedPageBreak/>
        <w:t>In response to a number of service providers</w:t>
      </w:r>
      <w:r>
        <w:rPr>
          <w:rStyle w:val="AERbody"/>
        </w:rPr>
        <w:t>' view</w:t>
      </w:r>
      <w:r w:rsidRPr="00883125">
        <w:rPr>
          <w:rStyle w:val="AERbody"/>
        </w:rPr>
        <w:t xml:space="preserve"> that </w:t>
      </w:r>
      <w:r>
        <w:rPr>
          <w:rStyle w:val="AERbody"/>
        </w:rPr>
        <w:t>we</w:t>
      </w:r>
      <w:r w:rsidRPr="00883125">
        <w:rPr>
          <w:rStyle w:val="AERbody"/>
        </w:rPr>
        <w:t xml:space="preserve"> prefers </w:t>
      </w:r>
      <w:r>
        <w:rPr>
          <w:rStyle w:val="AERbody"/>
        </w:rPr>
        <w:t>our</w:t>
      </w:r>
      <w:r w:rsidRPr="00883125">
        <w:rPr>
          <w:rStyle w:val="AERbody"/>
        </w:rPr>
        <w:t xml:space="preserve"> conceptual valuation relative to a market mechanism derived value, and </w:t>
      </w:r>
      <w:r>
        <w:rPr>
          <w:rStyle w:val="AERbody"/>
        </w:rPr>
        <w:t xml:space="preserve">their </w:t>
      </w:r>
      <w:r w:rsidRPr="00883125">
        <w:rPr>
          <w:rStyle w:val="AERbody"/>
        </w:rPr>
        <w:t xml:space="preserve">concerns around </w:t>
      </w:r>
      <w:r>
        <w:rPr>
          <w:rStyle w:val="AERbody"/>
        </w:rPr>
        <w:t>our</w:t>
      </w:r>
      <w:r w:rsidRPr="00883125">
        <w:rPr>
          <w:rStyle w:val="AERbody"/>
        </w:rPr>
        <w:t xml:space="preserve"> definition of gamma, we note:</w:t>
      </w:r>
    </w:p>
    <w:p w:rsidR="001D37D5" w:rsidRPr="001D37D5" w:rsidRDefault="001D37D5" w:rsidP="001D37D5">
      <w:pPr>
        <w:pStyle w:val="AERbulletlistfirststyle"/>
      </w:pPr>
      <w:r w:rsidRPr="005764F6">
        <w:t>There is no market for imputation credits and therefore there is no directly observable market price</w:t>
      </w:r>
      <w:r w:rsidRPr="001D37D5">
        <w:t>.</w:t>
      </w:r>
      <w:r w:rsidRPr="001D37D5">
        <w:rPr>
          <w:rStyle w:val="FootnoteReference"/>
        </w:rPr>
        <w:footnoteReference w:id="287"/>
      </w:r>
      <w:r w:rsidRPr="001D37D5">
        <w:t xml:space="preserve"> This is also discussed below in section </w:t>
      </w:r>
      <w:r w:rsidRPr="001D37D5">
        <w:fldChar w:fldCharType="begin"/>
      </w:r>
      <w:r w:rsidRPr="001D37D5">
        <w:instrText xml:space="preserve"> REF _Ref435171205 \r \h  \* MERGEFORMAT </w:instrText>
      </w:r>
      <w:r w:rsidRPr="001D37D5">
        <w:fldChar w:fldCharType="separate"/>
      </w:r>
      <w:r w:rsidR="00A02D8C">
        <w:t>A.15.3</w:t>
      </w:r>
      <w:r w:rsidRPr="001D37D5">
        <w:fldChar w:fldCharType="end"/>
      </w:r>
      <w:r w:rsidRPr="001D37D5">
        <w:t>.</w:t>
      </w:r>
    </w:p>
    <w:p w:rsidR="001D37D5" w:rsidRPr="005764F6" w:rsidRDefault="001D37D5" w:rsidP="001D37D5">
      <w:pPr>
        <w:pStyle w:val="AERbulletlistfirststyle"/>
      </w:pPr>
      <w:r w:rsidRPr="005764F6">
        <w:t>The value of imputation credits as estimated through a dividend drop off study:</w:t>
      </w:r>
    </w:p>
    <w:p w:rsidR="001D37D5" w:rsidRPr="005764F6" w:rsidRDefault="001D37D5" w:rsidP="001D37D5">
      <w:pPr>
        <w:pStyle w:val="AERbulletlistsecondstyle"/>
      </w:pPr>
      <w:r w:rsidRPr="005764F6">
        <w:t>is not a post company tax value before personal taxes and personal transaction costs (particularly demonstrated where the study estimates a value for cash dividends materially below their face value as the SFG study does).</w:t>
      </w:r>
    </w:p>
    <w:p w:rsidR="001D37D5" w:rsidRPr="005764F6" w:rsidRDefault="001D37D5" w:rsidP="001D37D5">
      <w:pPr>
        <w:pStyle w:val="AERbulletlistsecondstyle"/>
      </w:pPr>
      <w:r w:rsidRPr="005764F6">
        <w:t>is not necessarily consistent with the estimate of the return on equity and return on debt which are estimated required returns before personal taxes and personal transaction costs (particularly demonstrated where the study estimates a value for cash dividends materially below their face value as the SFG study does)</w:t>
      </w:r>
    </w:p>
    <w:p w:rsidR="001D37D5" w:rsidRPr="005764F6" w:rsidRDefault="001D37D5" w:rsidP="001D37D5">
      <w:pPr>
        <w:pStyle w:val="AERbulletlistsecondstyle"/>
      </w:pPr>
      <w:r w:rsidRPr="005764F6">
        <w:t>is not clearly measuring a value to long term investors supplying capital to the benchmark efficient entity (even where adjusted for adjusted for differential tax impacts)</w:t>
      </w:r>
    </w:p>
    <w:p w:rsidR="001D37D5" w:rsidRPr="005764F6" w:rsidRDefault="001D37D5" w:rsidP="001D37D5">
      <w:pPr>
        <w:pStyle w:val="AERbulletlistsecondstyle"/>
      </w:pPr>
      <w:r w:rsidRPr="005764F6">
        <w:t xml:space="preserve">is subject to significant uncertainty. </w:t>
      </w:r>
    </w:p>
    <w:p w:rsidR="001D37D5" w:rsidRPr="001D37D5" w:rsidRDefault="001D37D5" w:rsidP="001D37D5">
      <w:pPr>
        <w:pStyle w:val="AERbulletlistfirststyle"/>
        <w:rPr>
          <w:rStyle w:val="AERbody"/>
        </w:rPr>
      </w:pPr>
      <w:r w:rsidRPr="00883125">
        <w:rPr>
          <w:rStyle w:val="AERbody"/>
        </w:rPr>
        <w:t xml:space="preserve">A number of limitations of these studies are discussed further in sections </w:t>
      </w:r>
      <w:r w:rsidRPr="001D37D5">
        <w:rPr>
          <w:rStyle w:val="AERbody"/>
        </w:rPr>
        <w:fldChar w:fldCharType="begin"/>
      </w:r>
      <w:r w:rsidRPr="001D37D5">
        <w:rPr>
          <w:rStyle w:val="AERbody"/>
        </w:rPr>
        <w:instrText xml:space="preserve"> REF _Ref415065117 \r \h </w:instrText>
      </w:r>
      <w:r w:rsidRPr="001D37D5">
        <w:rPr>
          <w:rStyle w:val="AERbody"/>
        </w:rPr>
      </w:r>
      <w:r w:rsidRPr="001D37D5">
        <w:rPr>
          <w:rStyle w:val="AERbody"/>
        </w:rPr>
        <w:fldChar w:fldCharType="separate"/>
      </w:r>
      <w:r w:rsidR="00A02D8C">
        <w:rPr>
          <w:rStyle w:val="AERbody"/>
        </w:rPr>
        <w:t>A.15.4</w:t>
      </w:r>
      <w:r w:rsidRPr="001D37D5">
        <w:rPr>
          <w:rStyle w:val="AERbody"/>
        </w:rPr>
        <w:fldChar w:fldCharType="end"/>
      </w:r>
      <w:r w:rsidRPr="001D37D5">
        <w:rPr>
          <w:rStyle w:val="AERbody"/>
        </w:rPr>
        <w:t xml:space="preserve"> and </w:t>
      </w:r>
      <w:r w:rsidRPr="001D37D5">
        <w:rPr>
          <w:rStyle w:val="AERbody"/>
        </w:rPr>
        <w:fldChar w:fldCharType="begin"/>
      </w:r>
      <w:r w:rsidRPr="001D37D5">
        <w:rPr>
          <w:rStyle w:val="AERbody"/>
        </w:rPr>
        <w:instrText xml:space="preserve"> REF _Ref414624721 \r \h </w:instrText>
      </w:r>
      <w:r w:rsidRPr="001D37D5">
        <w:rPr>
          <w:rStyle w:val="AERbody"/>
        </w:rPr>
      </w:r>
      <w:r w:rsidRPr="001D37D5">
        <w:rPr>
          <w:rStyle w:val="AERbody"/>
        </w:rPr>
        <w:fldChar w:fldCharType="separate"/>
      </w:r>
      <w:r w:rsidR="00A02D8C">
        <w:rPr>
          <w:rStyle w:val="AERbody"/>
        </w:rPr>
        <w:t>A.15.5</w:t>
      </w:r>
      <w:r w:rsidRPr="001D37D5">
        <w:rPr>
          <w:rStyle w:val="AERbody"/>
        </w:rPr>
        <w:fldChar w:fldCharType="end"/>
      </w:r>
      <w:r w:rsidRPr="001D37D5">
        <w:rPr>
          <w:rStyle w:val="AERbody"/>
        </w:rPr>
        <w:t>.</w:t>
      </w:r>
    </w:p>
    <w:p w:rsidR="001D37D5" w:rsidRPr="001D37D5" w:rsidRDefault="001D37D5" w:rsidP="001D37D5">
      <w:pPr>
        <w:pStyle w:val="AERbulletlistfirststyle"/>
        <w:rPr>
          <w:rStyle w:val="AERtexthighlight"/>
        </w:rPr>
      </w:pPr>
      <w:r>
        <w:t>Our</w:t>
      </w:r>
      <w:r w:rsidRPr="001D37D5">
        <w:t xml:space="preserve"> definition of the utilisation value is consistent with Officer Framework underpinning the rules that uses a post-tax Vanilla WACC, is consistent with the way we estimate the required return on equity, and is supported by Handley. Lally also considers our approach to imputation credits is consistent with the post-tax framework in the NER/NGR.</w:t>
      </w:r>
      <w:r w:rsidRPr="001D37D5">
        <w:rPr>
          <w:rStyle w:val="FootnoteReference"/>
        </w:rPr>
        <w:footnoteReference w:id="288"/>
      </w:r>
      <w:r w:rsidRPr="001D37D5">
        <w:rPr>
          <w:rStyle w:val="AERtexthighlight"/>
        </w:rPr>
        <w:t xml:space="preserve"> </w:t>
      </w:r>
    </w:p>
    <w:p w:rsidR="001D37D5" w:rsidRPr="001D37D5" w:rsidRDefault="001D37D5" w:rsidP="001D37D5">
      <w:pPr>
        <w:pStyle w:val="AERbulletlistfirststyle"/>
        <w:rPr>
          <w:rStyle w:val="AERtexthighlight"/>
        </w:rPr>
      </w:pPr>
      <w:r w:rsidRPr="00857C5F">
        <w:t>The explicit recognition that this is a pre personal taxes and pre personal transaction costs value is simply explicit recognition of something implicit in the Officer Vanilla WACC framework. This framework determines the required return to the company (i.e. before personal taxes and personal transaction costs are incurred) consistent with the definition of the after-tax net cash flows set out in Officer.</w:t>
      </w:r>
      <w:r w:rsidRPr="001D37D5">
        <w:rPr>
          <w:rStyle w:val="FootnoteReference"/>
        </w:rPr>
        <w:footnoteReference w:id="289"/>
      </w:r>
    </w:p>
    <w:p w:rsidR="001D37D5" w:rsidRPr="001D37D5" w:rsidRDefault="001D37D5" w:rsidP="001D37D5">
      <w:pPr>
        <w:pStyle w:val="AERbulletlistfirststyle"/>
        <w:rPr>
          <w:rStyle w:val="AERtexthighlight"/>
        </w:rPr>
      </w:pPr>
      <w:r w:rsidRPr="00857C5F">
        <w:t>Our</w:t>
      </w:r>
      <w:r w:rsidRPr="001D37D5">
        <w:t xml:space="preserve"> definition is consistent with the 'value' concept in the rules given the rules are requiring the AER to estimate a post-tax nominal Vanilla WACC consistent with Officer formula (12) in his 1994 paper, which as stated by Officer is one particular definition of "a company's after-tax cost of capital (WACC)" and "is determined by the definition used of after-tax operating income or really after-tax net cash flows".</w:t>
      </w:r>
      <w:r w:rsidRPr="001D37D5">
        <w:rPr>
          <w:rStyle w:val="FootnoteReference"/>
        </w:rPr>
        <w:footnoteReference w:id="290"/>
      </w:r>
      <w:r w:rsidRPr="001D37D5">
        <w:t xml:space="preserve"> As these after-tax net </w:t>
      </w:r>
      <w:r w:rsidRPr="001D37D5">
        <w:lastRenderedPageBreak/>
        <w:t>cash flows are at the company level they are before personal taxes and personal transaction costs. This is supported by the advice of Handley and Lally.</w:t>
      </w:r>
      <w:r w:rsidRPr="001D37D5">
        <w:rPr>
          <w:rStyle w:val="FootnoteReference"/>
        </w:rPr>
        <w:footnoteReference w:id="291"/>
      </w:r>
    </w:p>
    <w:p w:rsidR="001D37D5" w:rsidRPr="00883125" w:rsidRDefault="001D37D5" w:rsidP="001D37D5">
      <w:pPr>
        <w:pStyle w:val="Heading9"/>
      </w:pPr>
      <w:bookmarkStart w:id="188" w:name="_Ref400962032"/>
      <w:r w:rsidRPr="00883125">
        <w:t>The tax building block</w:t>
      </w:r>
      <w:bookmarkEnd w:id="188"/>
    </w:p>
    <w:p w:rsidR="001D37D5" w:rsidRPr="00883125" w:rsidRDefault="001D37D5" w:rsidP="001D37D5">
      <w:pPr>
        <w:numPr>
          <w:ilvl w:val="0"/>
          <w:numId w:val="24"/>
        </w:numPr>
      </w:pPr>
      <w:r w:rsidRPr="00883125">
        <w:t>One expense that a service provider faces is taxation. An allowance for taxation can be estimated as a separate building block allowance, or through the rate of return. Either way, the service provider and its investors are compensated for its tax liability. The difference is only how this return is presented. The NER/NGR specify that we must estimate a nominal vanilla rate of return.</w:t>
      </w:r>
      <w:r w:rsidRPr="00883125">
        <w:rPr>
          <w:rStyle w:val="FootnoteReference"/>
        </w:rPr>
        <w:footnoteReference w:id="292"/>
      </w:r>
      <w:r w:rsidRPr="00883125">
        <w:t xml:space="preserve"> A nominal vanilla rate of return combines a post-tax return on equity with a pre-tax return on debt. More specifically, as described by Handley above, the return on equity is a post-company-tax-pre-personal-tax return on equity.</w:t>
      </w:r>
    </w:p>
    <w:p w:rsidR="001D37D5" w:rsidRPr="00883125" w:rsidRDefault="001D37D5" w:rsidP="001D37D5">
      <w:pPr>
        <w:numPr>
          <w:ilvl w:val="0"/>
          <w:numId w:val="24"/>
        </w:numPr>
      </w:pPr>
      <w:r w:rsidRPr="00883125">
        <w:t xml:space="preserve">Amongst other things, this means the return on capital does not include an allowance for the cost of taxation. As a result, the building block framework includes an estimate of the cost of corporate income tax as a separate revenue item. </w:t>
      </w:r>
    </w:p>
    <w:p w:rsidR="001D37D5" w:rsidRPr="00883125" w:rsidRDefault="001D37D5" w:rsidP="001D37D5">
      <w:pPr>
        <w:numPr>
          <w:ilvl w:val="0"/>
          <w:numId w:val="24"/>
        </w:numPr>
      </w:pPr>
      <w:r w:rsidRPr="00883125">
        <w:t>The cost of corporate income tax building block takes the following form:</w:t>
      </w:r>
    </w:p>
    <w:p w:rsidR="001D37D5" w:rsidRPr="00883125" w:rsidRDefault="00F470C7" w:rsidP="001D37D5">
      <w:pPr>
        <w:numPr>
          <w:ilvl w:val="0"/>
          <w:numId w:val="24"/>
        </w:numPr>
      </w:pPr>
      <m:oMath>
        <m:sSub>
          <m:sSubPr>
            <m:ctrlPr>
              <w:rPr>
                <w:rFonts w:ascii="Cambria Math" w:hAnsi="Cambria Math"/>
              </w:rPr>
            </m:ctrlPr>
          </m:sSubPr>
          <m:e>
            <m:r>
              <w:rPr>
                <w:rFonts w:ascii="Cambria Math" w:hAnsi="Cambria Math"/>
              </w:rPr>
              <m:t>ETC</m:t>
            </m:r>
          </m:e>
          <m:sub>
            <m:r>
              <w:rPr>
                <w:rFonts w:ascii="Cambria Math" w:hAnsi="Cambria Math"/>
              </w:rPr>
              <m:t>t</m:t>
            </m:r>
          </m:sub>
        </m:sSub>
        <m:r>
          <w:rPr>
            <w:rFonts w:ascii="Cambria Math" w:hAnsi="Cambria Math"/>
          </w:rPr>
          <m:t>=</m:t>
        </m:r>
        <m:d>
          <m:dPr>
            <m:ctrlPr>
              <w:rPr>
                <w:rFonts w:ascii="Cambria Math" w:hAnsi="Cambria Math"/>
              </w:rPr>
            </m:ctrlPr>
          </m:dPr>
          <m:e>
            <m:sSub>
              <m:sSubPr>
                <m:ctrlPr>
                  <w:rPr>
                    <w:rFonts w:ascii="Cambria Math" w:hAnsi="Cambria Math"/>
                  </w:rPr>
                </m:ctrlPr>
              </m:sSubPr>
              <m:e>
                <m:r>
                  <w:rPr>
                    <w:rFonts w:ascii="Cambria Math" w:hAnsi="Cambria Math"/>
                  </w:rPr>
                  <m:t>ETI</m:t>
                </m:r>
              </m:e>
              <m:sub>
                <m:r>
                  <w:rPr>
                    <w:rFonts w:ascii="Cambria Math" w:hAnsi="Cambria Math"/>
                  </w:rPr>
                  <m:t>t</m:t>
                </m:r>
              </m:sub>
            </m:sSub>
            <m:r>
              <w:rPr>
                <w:rFonts w:ascii="Cambria Math" w:hAnsi="Cambria Math"/>
              </w:rPr>
              <m:t>×</m:t>
            </m:r>
            <m:sSub>
              <m:sSubPr>
                <m:ctrlPr>
                  <w:rPr>
                    <w:rFonts w:ascii="Cambria Math" w:hAnsi="Cambria Math"/>
                  </w:rPr>
                </m:ctrlPr>
              </m:sSubPr>
              <m:e>
                <m:r>
                  <w:rPr>
                    <w:rFonts w:ascii="Cambria Math" w:hAnsi="Cambria Math"/>
                  </w:rPr>
                  <m:t>r</m:t>
                </m:r>
              </m:e>
              <m:sub>
                <m:r>
                  <w:rPr>
                    <w:rFonts w:ascii="Cambria Math" w:hAnsi="Cambria Math"/>
                  </w:rPr>
                  <m:t>t</m:t>
                </m:r>
              </m:sub>
            </m:sSub>
          </m:e>
        </m:d>
        <m:d>
          <m:dPr>
            <m:ctrlPr>
              <w:rPr>
                <w:rFonts w:ascii="Cambria Math" w:hAnsi="Cambria Math"/>
              </w:rPr>
            </m:ctrlPr>
          </m:dPr>
          <m:e>
            <m:r>
              <w:rPr>
                <w:rFonts w:ascii="Cambria Math" w:hAnsi="Cambria Math"/>
              </w:rPr>
              <m:t>1-γ</m:t>
            </m:r>
          </m:e>
        </m:d>
      </m:oMath>
    </w:p>
    <w:p w:rsidR="001D37D5" w:rsidRPr="00883125" w:rsidRDefault="001D37D5" w:rsidP="001D37D5">
      <w:pPr>
        <w:numPr>
          <w:ilvl w:val="0"/>
          <w:numId w:val="24"/>
        </w:numPr>
      </w:pPr>
      <w:r w:rsidRPr="00883125">
        <w:t>where:</w:t>
      </w:r>
    </w:p>
    <w:p w:rsidR="001D37D5" w:rsidRPr="001D37D5" w:rsidRDefault="00F470C7" w:rsidP="001D37D5">
      <w:pPr>
        <w:pStyle w:val="AERbulletlistfirststyle"/>
      </w:pPr>
      <m:oMath>
        <m:d>
          <m:dPr>
            <m:ctrlPr>
              <w:rPr>
                <w:rFonts w:ascii="Cambria Math" w:hAnsi="Cambria Math"/>
              </w:rPr>
            </m:ctrlPr>
          </m:dPr>
          <m:e>
            <m:sSub>
              <m:sSubPr>
                <m:ctrlPr>
                  <w:rPr>
                    <w:rFonts w:ascii="Cambria Math" w:hAnsi="Cambria Math"/>
                  </w:rPr>
                </m:ctrlPr>
              </m:sSubPr>
              <m:e>
                <m:r>
                  <w:rPr>
                    <w:rFonts w:ascii="Cambria Math" w:hAnsi="Cambria Math"/>
                  </w:rPr>
                  <m:t>ETI</m:t>
                </m:r>
              </m:e>
              <m:sub>
                <m:r>
                  <w:rPr>
                    <w:rFonts w:ascii="Cambria Math" w:hAnsi="Cambria Math"/>
                  </w:rPr>
                  <m:t>t</m:t>
                </m:r>
              </m:sub>
            </m:sSub>
            <m:r>
              <w:rPr>
                <w:rFonts w:ascii="Cambria Math" w:hAnsi="Cambria Math"/>
              </w:rPr>
              <m:t>×</m:t>
            </m:r>
            <m:sSub>
              <m:sSubPr>
                <m:ctrlPr>
                  <w:rPr>
                    <w:rFonts w:ascii="Cambria Math" w:hAnsi="Cambria Math"/>
                  </w:rPr>
                </m:ctrlPr>
              </m:sSubPr>
              <m:e>
                <m:r>
                  <w:rPr>
                    <w:rFonts w:ascii="Cambria Math" w:hAnsi="Cambria Math"/>
                  </w:rPr>
                  <m:t>r</m:t>
                </m:r>
              </m:e>
              <m:sub>
                <m:r>
                  <w:rPr>
                    <w:rFonts w:ascii="Cambria Math" w:hAnsi="Cambria Math"/>
                  </w:rPr>
                  <m:t>t</m:t>
                </m:r>
              </m:sub>
            </m:sSub>
          </m:e>
        </m:d>
      </m:oMath>
      <w:r w:rsidR="001D37D5" w:rsidRPr="001D37D5" w:rsidDel="00CE0EED">
        <w:t xml:space="preserve"> </w:t>
      </w:r>
      <w:r w:rsidR="001D37D5" w:rsidRPr="001D37D5">
        <w:t>is an estimate of the benchmark efficient entity's tax liability.</w:t>
      </w:r>
    </w:p>
    <w:p w:rsidR="001D37D5" w:rsidRPr="001D37D5" w:rsidRDefault="001D37D5" w:rsidP="001D37D5">
      <w:pPr>
        <w:pStyle w:val="AERbulletlistfirststyle"/>
      </w:pPr>
      <m:oMath>
        <m:r>
          <w:rPr>
            <w:rFonts w:ascii="Cambria Math" w:hAnsi="Cambria Math"/>
          </w:rPr>
          <m:t>γ</m:t>
        </m:r>
      </m:oMath>
      <w:r w:rsidRPr="001D37D5">
        <w:t xml:space="preserve"> is the value of imputation credits.</w:t>
      </w:r>
    </w:p>
    <w:p w:rsidR="001D37D5" w:rsidRPr="00883125" w:rsidRDefault="001D37D5" w:rsidP="001D37D5">
      <w:pPr>
        <w:numPr>
          <w:ilvl w:val="0"/>
          <w:numId w:val="24"/>
        </w:numPr>
      </w:pPr>
      <w:r w:rsidRPr="00883125">
        <w:t xml:space="preserve">Therefore, the effect of the value of imputation credits is to reduce a service provider's allowed revenue by </w:t>
      </w:r>
      <m:oMath>
        <m:r>
          <w:rPr>
            <w:rFonts w:ascii="Cambria Math" w:hAnsi="Cambria Math"/>
          </w:rPr>
          <m:t>γ</m:t>
        </m:r>
      </m:oMath>
      <w:r w:rsidRPr="00883125" w:rsidDel="00EC30CC">
        <w:rPr>
          <w:rFonts w:hint="eastAsia"/>
        </w:rPr>
        <w:t xml:space="preserve"> </w:t>
      </w:r>
      <w:r w:rsidRPr="00883125">
        <w:t>(gamma) dollars for each dollar of expected company tax payable by the benchmark efficient entity. Given it is the tax paid by the benchmark efficient entity that gives rise to the imputation credits, we consider that it is the (pre-personal tax) value of imputation credits to investors in the benchmark efficient entity that is relevant.</w:t>
      </w:r>
      <w:r w:rsidRPr="00883125">
        <w:rPr>
          <w:rStyle w:val="FootnoteReference"/>
        </w:rPr>
        <w:footnoteReference w:id="293"/>
      </w:r>
    </w:p>
    <w:p w:rsidR="001D37D5" w:rsidRPr="00883125" w:rsidRDefault="001D37D5" w:rsidP="001D37D5">
      <w:pPr>
        <w:pStyle w:val="Heading8"/>
      </w:pPr>
      <w:bookmarkStart w:id="189" w:name="_Ref400965182"/>
      <w:bookmarkStart w:id="190" w:name="_Toc436049447"/>
      <w:bookmarkStart w:id="191" w:name="_Ref451826492"/>
      <w:bookmarkStart w:id="192" w:name="_Toc451842252"/>
      <w:bookmarkStart w:id="193" w:name="_Toc451938307"/>
      <w:r w:rsidRPr="00883125">
        <w:t>The conceptual framework for the value of imputation credits</w:t>
      </w:r>
      <w:bookmarkEnd w:id="189"/>
      <w:bookmarkEnd w:id="190"/>
      <w:bookmarkEnd w:id="191"/>
      <w:bookmarkEnd w:id="192"/>
      <w:bookmarkEnd w:id="193"/>
    </w:p>
    <w:p w:rsidR="001D37D5" w:rsidRPr="00883125" w:rsidRDefault="001D37D5" w:rsidP="001D37D5">
      <w:pPr>
        <w:numPr>
          <w:ilvl w:val="0"/>
          <w:numId w:val="24"/>
        </w:numPr>
      </w:pPr>
      <w:r w:rsidRPr="00883125">
        <w:t xml:space="preserve">With regard to the discussion of the tax building block in section </w:t>
      </w:r>
      <w:r w:rsidRPr="00883125">
        <w:fldChar w:fldCharType="begin"/>
      </w:r>
      <w:r w:rsidRPr="00883125">
        <w:instrText xml:space="preserve"> REF _Ref400962032 \r \h </w:instrText>
      </w:r>
      <w:r w:rsidRPr="00883125">
        <w:fldChar w:fldCharType="separate"/>
      </w:r>
      <w:r w:rsidR="00A02D8C">
        <w:t>A.5.2</w:t>
      </w:r>
      <w:r w:rsidRPr="00883125">
        <w:fldChar w:fldCharType="end"/>
      </w:r>
      <w:r w:rsidRPr="00883125">
        <w:t xml:space="preserve">, we consider the 'value of imputation credits' to be the value of imputation credits to investors in the benchmark efficient entity. Moreover, as noted above, it is the pre-personal tax value of imputation credits to those investors that we seek to estimate. The issue is then how to interpret and estimate the value of imputation credits. Our approach to interpreting and </w:t>
      </w:r>
      <w:r w:rsidRPr="00883125">
        <w:lastRenderedPageBreak/>
        <w:t>estimating the value of imputation credits is guided in the first instance by the conceptual framework developed by Officer.</w:t>
      </w:r>
      <w:r w:rsidRPr="00883125">
        <w:rPr>
          <w:rStyle w:val="FootnoteReference"/>
        </w:rPr>
        <w:footnoteReference w:id="294"/>
      </w:r>
      <w:r w:rsidRPr="00883125">
        <w:t xml:space="preserve"> This is because:</w:t>
      </w:r>
    </w:p>
    <w:p w:rsidR="001D37D5" w:rsidRPr="001D37D5" w:rsidRDefault="001D37D5" w:rsidP="001D37D5">
      <w:pPr>
        <w:pStyle w:val="AERbulletlistfirststyle"/>
      </w:pPr>
      <w:r w:rsidRPr="00883125">
        <w:t>The construction of the tax building block mirrors the treatment of imputation credits in the framework developed by Officer, including through use of the parameter denoted by the Greek letter 'gamma'.</w:t>
      </w:r>
      <w:r w:rsidRPr="001D37D5">
        <w:rPr>
          <w:rStyle w:val="FootnoteReference"/>
        </w:rPr>
        <w:footnoteReference w:id="295"/>
      </w:r>
    </w:p>
    <w:p w:rsidR="001D37D5" w:rsidRPr="001D37D5" w:rsidRDefault="001D37D5" w:rsidP="001D37D5">
      <w:pPr>
        <w:pStyle w:val="AERbulletlistfirststyle"/>
      </w:pPr>
      <w:r w:rsidRPr="00883125">
        <w:t>Handley advised that Officer's definition of the nominal vanilla rate of return provides the basis for the rate of return framework in the NER/NGR.</w:t>
      </w:r>
      <w:r w:rsidRPr="001D37D5">
        <w:rPr>
          <w:rStyle w:val="FootnoteReference"/>
        </w:rPr>
        <w:footnoteReference w:id="296"/>
      </w:r>
    </w:p>
    <w:p w:rsidR="001D37D5" w:rsidRPr="001D37D5" w:rsidRDefault="001D37D5" w:rsidP="001D37D5">
      <w:pPr>
        <w:pStyle w:val="AERbulletlistfirststyle"/>
      </w:pPr>
      <w:r w:rsidRPr="00883125">
        <w:t>The NER/NGR require that we determine the rate of return on a nominal vanilla basis that is consistent with our estimate of the value of imputation credits.</w:t>
      </w:r>
      <w:r w:rsidRPr="001D37D5">
        <w:rPr>
          <w:rStyle w:val="FootnoteReference"/>
        </w:rPr>
        <w:footnoteReference w:id="297"/>
      </w:r>
    </w:p>
    <w:p w:rsidR="001D37D5" w:rsidRPr="00ED480E" w:rsidRDefault="001D37D5" w:rsidP="001D37D5">
      <w:r>
        <w:t>We do</w:t>
      </w:r>
      <w:r w:rsidRPr="00ED480E">
        <w:t xml:space="preserve"> not contend that the Officer Paper is a “statute or a code”.</w:t>
      </w:r>
      <w:r>
        <w:t xml:space="preserve"> </w:t>
      </w:r>
      <w:r w:rsidRPr="00ED480E">
        <w:t>However, as the Officer Paper underpins the inclusion of gamma in the corporate income tax formula in NER 6.5.3 and NGR 87A, it is fundamental to</w:t>
      </w:r>
      <w:r>
        <w:t xml:space="preserve"> </w:t>
      </w:r>
      <w:r w:rsidRPr="00ED480E">
        <w:t>a coherent understanding of the role of gamma in the regulatory scheme.</w:t>
      </w:r>
    </w:p>
    <w:p w:rsidR="001D37D5" w:rsidRPr="00ED480E" w:rsidRDefault="001D37D5" w:rsidP="001D37D5">
      <w:r w:rsidRPr="00ED480E">
        <w:t>The Officer Paper specifically identified gamma in its WACC formulae to be the “proportion of tax collected from the company which gives rise to the tax credit associated with a franked dividend”: It directly supports an interpretation of gamma which is focused on the utilisation or redemption of imputation credits, and an approach to theta which seeks to identify the proportion of investors that are eligible to utilise distributed imputation credits. So much is confirmed by Handley, who states:</w:t>
      </w:r>
      <w:r>
        <w:rPr>
          <w:rStyle w:val="FootnoteReference"/>
        </w:rPr>
        <w:footnoteReference w:id="298"/>
      </w:r>
    </w:p>
    <w:p w:rsidR="001D37D5" w:rsidRPr="001D37D5" w:rsidRDefault="001D37D5" w:rsidP="001D37D5">
      <w:pPr>
        <w:pStyle w:val="AERquote"/>
        <w:rPr>
          <w:rFonts w:eastAsia="Arial"/>
        </w:rPr>
      </w:pPr>
      <w:r w:rsidRPr="001D37D5">
        <w:rPr>
          <w:rFonts w:eastAsia="Arial"/>
        </w:rPr>
        <w:t>It is clear from Monkhouse (1996) that the second parameter refers to the utilisation value of a distributed imputation credit. This parameter is commonly denoted and called theta. It is also clear from the post-tax basis of the regulatory framework (and the Officer and Monkhouse WACC frameworks) that the item of interest is more precisely described as the after-company-before-personal-tax utilisation value of a distributed imputation credit.</w:t>
      </w:r>
    </w:p>
    <w:p w:rsidR="001D37D5" w:rsidRDefault="001D37D5" w:rsidP="001D37D5">
      <w:r w:rsidRPr="00ED480E">
        <w:t>The Officer Paper makes clear that gamma is:</w:t>
      </w:r>
    </w:p>
    <w:p w:rsidR="001D37D5" w:rsidRDefault="001D37D5" w:rsidP="001D37D5">
      <w:pPr>
        <w:pStyle w:val="AERnumberedlistsecondstyle"/>
      </w:pPr>
      <w:r w:rsidRPr="00705187">
        <w:t xml:space="preserve">the proportion of tax collected from the company which gives rise to the tax credit associated with a franked dividend; </w:t>
      </w:r>
      <w:r w:rsidRPr="005764F6">
        <w:rPr>
          <w:rStyle w:val="AERtextitalic"/>
        </w:rPr>
        <w:t>which is</w:t>
      </w:r>
    </w:p>
    <w:p w:rsidR="001D37D5" w:rsidRDefault="001D37D5" w:rsidP="001D37D5">
      <w:pPr>
        <w:pStyle w:val="AERnumberedlistsecondstyle"/>
      </w:pPr>
      <w:r w:rsidRPr="00705187">
        <w:t xml:space="preserve">the value of a dollar of tax credit to the shareholder; </w:t>
      </w:r>
      <w:r w:rsidRPr="005764F6">
        <w:rPr>
          <w:rStyle w:val="AERtextitalic"/>
        </w:rPr>
        <w:t>with the result that</w:t>
      </w:r>
    </w:p>
    <w:p w:rsidR="001D37D5" w:rsidRDefault="001D37D5" w:rsidP="001D37D5">
      <w:pPr>
        <w:pStyle w:val="AERnumberedlistsecondstyle"/>
      </w:pPr>
      <w:r w:rsidRPr="00705187">
        <w:lastRenderedPageBreak/>
        <w:t>if the shareholder can fully utilise the imputation tax credits then the value of gamma =1.</w:t>
      </w:r>
      <w:r>
        <w:rPr>
          <w:rStyle w:val="FootnoteReference"/>
        </w:rPr>
        <w:footnoteReference w:id="299"/>
      </w:r>
    </w:p>
    <w:p w:rsidR="001D37D5" w:rsidRPr="001D37D5" w:rsidRDefault="001D37D5" w:rsidP="001D37D5">
      <w:pPr>
        <w:pStyle w:val="AERbulletlistfirststyle"/>
      </w:pPr>
      <w:r>
        <w:t>Our</w:t>
      </w:r>
      <w:r w:rsidRPr="001D37D5">
        <w:t xml:space="preserve"> approach to gamma, as drawing upon the Officer Paper, advances the NEO and the NGO and does not detract from those objectives. The purpose of including the gamma parameter in the corporate income tax formula is to ensure that investors are appropriately compensated having regard to the combined value of dividends, capital gains and imputation credits they receive.</w:t>
      </w:r>
    </w:p>
    <w:p w:rsidR="001D37D5" w:rsidRPr="00FD036B" w:rsidRDefault="001D37D5" w:rsidP="001D37D5">
      <w:r w:rsidRPr="00FD036B">
        <w:t>The Officer Paper included the following explanation of gamma at pp 2-4 (emphasis added):</w:t>
      </w:r>
    </w:p>
    <w:p w:rsidR="001D37D5" w:rsidRPr="00FD036B" w:rsidRDefault="001D37D5" w:rsidP="001D37D5">
      <w:pPr>
        <w:pStyle w:val="AERquote"/>
      </w:pPr>
      <w:r w:rsidRPr="001D37D5">
        <w:rPr>
          <w:rFonts w:eastAsia="Arial"/>
        </w:rPr>
        <w:t>Under an imputation system, credit is given to shareholders for the company tax implicitly levied on their dividend receipts, i.e. dividends paid after company tax has been levied which implies that the dividends have been taxed at the company level. Under a full imputation tax system, tax that is implicitly being levied on the dividends can be credited against any further tax liabilities of the shareholder (the recipient of the dividend).</w:t>
      </w:r>
    </w:p>
    <w:p w:rsidR="001D37D5" w:rsidRPr="001D37D5" w:rsidRDefault="001D37D5" w:rsidP="001D37D5">
      <w:pPr>
        <w:pStyle w:val="AERquote"/>
        <w:rPr>
          <w:rFonts w:eastAsia="Arial"/>
        </w:rPr>
      </w:pPr>
      <w:r w:rsidRPr="001D37D5">
        <w:rPr>
          <w:rFonts w:eastAsia="Arial"/>
        </w:rPr>
        <w:t>The proportion of company tax that can be fully rebated against personal tax liabilities is best viewed as personal income tax collected at the company level. In effect, the tax collected at the company level is a mixture of personal tax and company tax, the company tax being that proportion of the tax collected which is not credited (rebated) against personal tax. If all the collection of tax from a company is rebateable (in the Australian terminology if all the franking credits can be used against personal tax liabilities), then for that company’s shareholders company tax is effectively eliminated.  The tax the company pays is simply the shareholders’ personal income tax being collected at the company level.</w:t>
      </w:r>
    </w:p>
    <w:p w:rsidR="001D37D5" w:rsidRPr="001D37D5" w:rsidRDefault="001D37D5" w:rsidP="001D37D5">
      <w:pPr>
        <w:pStyle w:val="AERquote"/>
        <w:rPr>
          <w:rFonts w:eastAsia="Arial"/>
        </w:rPr>
      </w:pPr>
      <w:r w:rsidRPr="001D37D5">
        <w:rPr>
          <w:rFonts w:eastAsia="Arial"/>
        </w:rPr>
        <w:t xml:space="preserve">The amount of tax collected from the company by the government is found by applying the effective tax rate (T) to the operating income less interest, </w:t>
      </w:r>
      <w:r w:rsidR="009C18DC" w:rsidRPr="001D37D5">
        <w:rPr>
          <w:rFonts w:eastAsia="Arial"/>
        </w:rPr>
        <w:t>i.e.</w:t>
      </w:r>
      <w:r w:rsidRPr="001D37D5">
        <w:rPr>
          <w:rFonts w:eastAsia="Arial"/>
        </w:rPr>
        <w:t xml:space="preserve"> X</w:t>
      </w:r>
      <w:r w:rsidRPr="001D37D5">
        <w:rPr>
          <w:rStyle w:val="AERsubscript"/>
          <w:rFonts w:eastAsia="Arial"/>
        </w:rPr>
        <w:t>O</w:t>
      </w:r>
      <w:r w:rsidRPr="001D37D5">
        <w:rPr>
          <w:rFonts w:eastAsia="Arial"/>
        </w:rPr>
        <w:t xml:space="preserve"> – X</w:t>
      </w:r>
      <w:r w:rsidRPr="001D37D5">
        <w:rPr>
          <w:rStyle w:val="AERsubscript"/>
          <w:rFonts w:eastAsia="Arial"/>
        </w:rPr>
        <w:t>D</w:t>
      </w:r>
      <w:r w:rsidRPr="001D37D5">
        <w:rPr>
          <w:rFonts w:eastAsia="Arial"/>
        </w:rPr>
        <w:t>.</w:t>
      </w:r>
    </w:p>
    <w:p w:rsidR="001D37D5" w:rsidRPr="00FD036B" w:rsidRDefault="001D37D5" w:rsidP="001D37D5">
      <w:pPr>
        <w:pStyle w:val="AERquote"/>
      </w:pPr>
      <w:r w:rsidRPr="001D37D5">
        <w:rPr>
          <w:rFonts w:eastAsia="Arial"/>
        </w:rPr>
        <w:t xml:space="preserve">This amount, </w:t>
      </w:r>
      <w:r w:rsidR="009C18DC" w:rsidRPr="001D37D5">
        <w:rPr>
          <w:rFonts w:eastAsia="Arial"/>
        </w:rPr>
        <w:t>i.e.</w:t>
      </w:r>
      <w:r w:rsidRPr="001D37D5">
        <w:rPr>
          <w:rFonts w:eastAsia="Arial"/>
        </w:rPr>
        <w:t xml:space="preserve"> T(X</w:t>
      </w:r>
      <w:r w:rsidRPr="001D37D5">
        <w:rPr>
          <w:rStyle w:val="AERsubscript"/>
          <w:rFonts w:eastAsia="Arial"/>
        </w:rPr>
        <w:t>O</w:t>
      </w:r>
      <w:r w:rsidRPr="001D37D5">
        <w:rPr>
          <w:rFonts w:eastAsia="Arial"/>
        </w:rPr>
        <w:t xml:space="preserve"> – X</w:t>
      </w:r>
      <w:r w:rsidRPr="001D37D5">
        <w:rPr>
          <w:rStyle w:val="AERsubscript"/>
          <w:rFonts w:eastAsia="Arial"/>
        </w:rPr>
        <w:t>D</w:t>
      </w:r>
      <w:r w:rsidRPr="001D37D5">
        <w:rPr>
          <w:rFonts w:eastAsia="Arial"/>
        </w:rPr>
        <w:t>) represents the amount of tax collected from the company but not all of this is company tax. A proportion (γ) of the tax collected from the company will be rebated against personal tax and, therefore, is not really company tax but rather is a collection of personal tax at the company level. Therefore, if we wish to define the effective company tax collection, we need to reduce T by the proportion γ.</w:t>
      </w:r>
    </w:p>
    <w:p w:rsidR="001D37D5" w:rsidRPr="001D37D5" w:rsidRDefault="001D37D5" w:rsidP="001D37D5">
      <w:pPr>
        <w:pStyle w:val="AERquote"/>
        <w:rPr>
          <w:rFonts w:eastAsia="Arial"/>
        </w:rPr>
      </w:pPr>
      <w:r w:rsidRPr="001D37D5">
        <w:rPr>
          <w:rFonts w:eastAsia="Arial"/>
        </w:rPr>
        <w:t>In these circumstances, the effective level of company tax paid is defined by:</w:t>
      </w:r>
    </w:p>
    <w:p w:rsidR="001D37D5" w:rsidRPr="001D37D5" w:rsidRDefault="001D37D5" w:rsidP="001D37D5">
      <w:pPr>
        <w:pStyle w:val="AERquote"/>
        <w:rPr>
          <w:rFonts w:eastAsia="Arial"/>
        </w:rPr>
      </w:pPr>
      <w:r w:rsidRPr="001D37D5">
        <w:rPr>
          <w:rFonts w:eastAsia="Arial"/>
        </w:rPr>
        <w:t>XG = T(X</w:t>
      </w:r>
      <w:r w:rsidRPr="001D37D5">
        <w:rPr>
          <w:rStyle w:val="AERsubscript"/>
          <w:rFonts w:eastAsia="Arial"/>
        </w:rPr>
        <w:t>O</w:t>
      </w:r>
      <w:r w:rsidRPr="001D37D5">
        <w:rPr>
          <w:rFonts w:eastAsia="Arial"/>
        </w:rPr>
        <w:t xml:space="preserve"> – X</w:t>
      </w:r>
      <w:r w:rsidRPr="001D37D5">
        <w:rPr>
          <w:rStyle w:val="AERsubscript"/>
          <w:rFonts w:eastAsia="Arial"/>
        </w:rPr>
        <w:t>D</w:t>
      </w:r>
      <w:r w:rsidRPr="001D37D5">
        <w:rPr>
          <w:rFonts w:eastAsia="Arial"/>
        </w:rPr>
        <w:t>) - γ . T(X</w:t>
      </w:r>
      <w:r w:rsidRPr="001D37D5">
        <w:rPr>
          <w:rStyle w:val="AERsubscript"/>
          <w:rFonts w:eastAsia="Arial"/>
        </w:rPr>
        <w:t>O</w:t>
      </w:r>
      <w:r w:rsidRPr="001D37D5">
        <w:rPr>
          <w:rFonts w:eastAsia="Arial"/>
        </w:rPr>
        <w:t xml:space="preserve"> – X</w:t>
      </w:r>
      <w:r w:rsidRPr="001D37D5">
        <w:rPr>
          <w:rStyle w:val="AERsubscript"/>
          <w:rFonts w:eastAsia="Arial"/>
        </w:rPr>
        <w:t>D</w:t>
      </w:r>
      <w:r w:rsidRPr="001D37D5">
        <w:rPr>
          <w:rFonts w:eastAsia="Arial"/>
        </w:rPr>
        <w:t>)</w:t>
      </w:r>
    </w:p>
    <w:p w:rsidR="001D37D5" w:rsidRPr="001D37D5" w:rsidRDefault="001D37D5" w:rsidP="001D37D5">
      <w:pPr>
        <w:pStyle w:val="AERquote"/>
        <w:rPr>
          <w:rFonts w:eastAsia="Arial"/>
        </w:rPr>
      </w:pPr>
      <w:r w:rsidRPr="001D37D5">
        <w:rPr>
          <w:rFonts w:eastAsia="Arial"/>
        </w:rPr>
        <w:t>= T (X</w:t>
      </w:r>
      <w:r w:rsidRPr="001D37D5">
        <w:rPr>
          <w:rStyle w:val="AERsubscript"/>
          <w:rFonts w:eastAsia="Arial"/>
        </w:rPr>
        <w:t>O</w:t>
      </w:r>
      <w:r w:rsidRPr="001D37D5">
        <w:rPr>
          <w:rFonts w:eastAsia="Arial"/>
        </w:rPr>
        <w:t xml:space="preserve"> – X</w:t>
      </w:r>
      <w:r w:rsidRPr="001D37D5">
        <w:rPr>
          <w:rStyle w:val="AERsubscript"/>
          <w:rFonts w:eastAsia="Arial"/>
        </w:rPr>
        <w:t>D</w:t>
      </w:r>
      <w:r w:rsidRPr="001D37D5">
        <w:rPr>
          <w:rFonts w:eastAsia="Arial"/>
        </w:rPr>
        <w:t>) (1-γ)</w:t>
      </w:r>
      <w:r w:rsidRPr="001D37D5">
        <w:rPr>
          <w:rFonts w:eastAsia="Arial"/>
        </w:rPr>
        <w:tab/>
        <w:t>(2)</w:t>
      </w:r>
    </w:p>
    <w:p w:rsidR="001D37D5" w:rsidRPr="001D37D5" w:rsidRDefault="001D37D5" w:rsidP="001D37D5">
      <w:pPr>
        <w:pStyle w:val="AERquote"/>
        <w:rPr>
          <w:rFonts w:eastAsia="Arial"/>
        </w:rPr>
      </w:pPr>
      <w:r w:rsidRPr="001D37D5">
        <w:rPr>
          <w:rFonts w:eastAsia="Arial"/>
        </w:rPr>
        <w:t>where</w:t>
      </w:r>
    </w:p>
    <w:p w:rsidR="001D37D5" w:rsidRPr="001D37D5" w:rsidRDefault="001D37D5" w:rsidP="001D37D5">
      <w:pPr>
        <w:pStyle w:val="AERquote"/>
        <w:rPr>
          <w:rFonts w:eastAsia="Arial"/>
        </w:rPr>
      </w:pPr>
      <w:r w:rsidRPr="001D37D5">
        <w:rPr>
          <w:rFonts w:eastAsia="Arial"/>
        </w:rPr>
        <w:t xml:space="preserve">T is the tax rate effective for the definition of assessable income as defined in (2), it is the effective rate which is levied at the company level and it is a mixture of company </w:t>
      </w:r>
      <w:r w:rsidRPr="001D37D5">
        <w:rPr>
          <w:rFonts w:eastAsia="Arial"/>
        </w:rPr>
        <w:lastRenderedPageBreak/>
        <w:t>tax T(1-γ) and personal tax, T. γ, i.e. T= T( 1-γ) + Tγ. Thus γ is the proportion of tax collected from the company which gives rise to the tax credit associated with a franked dividend. This franking</w:t>
      </w:r>
      <w:r>
        <w:t xml:space="preserve"> </w:t>
      </w:r>
      <w:r w:rsidRPr="001D37D5">
        <w:rPr>
          <w:rFonts w:eastAsia="Arial"/>
        </w:rPr>
        <w:t>credit can be utilized as tax credit against the personal tax liabilities of the shareholder. γ can be interpreted as the value of a dollar of tax credit to the shareholder.</w:t>
      </w:r>
    </w:p>
    <w:p w:rsidR="001D37D5" w:rsidRPr="00FD036B" w:rsidRDefault="001D37D5" w:rsidP="001D37D5">
      <w:pPr>
        <w:pStyle w:val="ListParagraph"/>
        <w:numPr>
          <w:ilvl w:val="0"/>
          <w:numId w:val="24"/>
        </w:numPr>
      </w:pPr>
      <w:r w:rsidRPr="00FD036B">
        <w:t>The Officer Paper set out the following example of its interpretation of gamma:</w:t>
      </w:r>
      <w:r>
        <w:rPr>
          <w:rStyle w:val="FootnoteReference"/>
        </w:rPr>
        <w:footnoteReference w:id="300"/>
      </w:r>
    </w:p>
    <w:p w:rsidR="001D37D5" w:rsidRPr="001D37D5" w:rsidRDefault="001D37D5" w:rsidP="001D37D5">
      <w:pPr>
        <w:pStyle w:val="AERquote"/>
        <w:rPr>
          <w:rFonts w:eastAsia="Arial"/>
        </w:rPr>
      </w:pPr>
      <w:r w:rsidRPr="001D37D5">
        <w:rPr>
          <w:rFonts w:eastAsia="Arial"/>
        </w:rPr>
        <w:t>For example, if the shareholder can fully utilize the imputation tax credits then (“value”) γ = 1, e.g. a superfund or an Australian resident personal taxpayer. On the other hand a tax exempt or an offshore taxpayer who cannot utilize or otherwise access the value in the tax credit will set γ = 0.</w:t>
      </w:r>
    </w:p>
    <w:p w:rsidR="001D37D5" w:rsidRDefault="001D37D5" w:rsidP="001D37D5">
      <w:pPr>
        <w:pStyle w:val="ListParagraph"/>
        <w:numPr>
          <w:ilvl w:val="0"/>
          <w:numId w:val="24"/>
        </w:numPr>
      </w:pPr>
      <w:r w:rsidRPr="005764F6">
        <w:rPr>
          <w:rStyle w:val="AERbody"/>
        </w:rPr>
        <w:t>While the above passages of the Officer Paper describe gamma using slightly different permutations of language, it is clear that, at its core, gamma is conceptualised by Officer as being concerned with investors’ utilisation of tax credits.</w:t>
      </w:r>
    </w:p>
    <w:p w:rsidR="001D37D5" w:rsidRPr="00883125" w:rsidRDefault="001D37D5" w:rsidP="001D37D5">
      <w:pPr>
        <w:numPr>
          <w:ilvl w:val="0"/>
          <w:numId w:val="24"/>
        </w:numPr>
      </w:pPr>
      <w:r w:rsidRPr="00883125">
        <w:t>Officer describes gamma in different ways, and this is a potential source of ambiguity regarding what the parameter represents and therefore how one might estimate it in practice. Whilst Handley acknowledged that Officer describes gamma in seemingly different ways, he advised that, when examined closely, there is no ambiguity in the meaning of Officer. Handley advised:</w:t>
      </w:r>
      <w:r w:rsidRPr="00883125">
        <w:rPr>
          <w:rStyle w:val="FootnoteReference"/>
        </w:rPr>
        <w:footnoteReference w:id="301"/>
      </w:r>
    </w:p>
    <w:p w:rsidR="001D37D5" w:rsidRPr="00883125" w:rsidRDefault="001D37D5" w:rsidP="001D37D5">
      <w:pPr>
        <w:pStyle w:val="AERquote"/>
      </w:pPr>
      <w:r w:rsidRPr="00883125">
        <w:t>Similarly, Officer has described gamma in seemingly different ways. For example he refers to:</w:t>
      </w:r>
    </w:p>
    <w:p w:rsidR="001D37D5" w:rsidRPr="00883125" w:rsidRDefault="001D37D5" w:rsidP="001D37D5">
      <w:pPr>
        <w:pStyle w:val="AERquote"/>
        <w:rPr>
          <w:rStyle w:val="AERtextitalic"/>
        </w:rPr>
      </w:pPr>
      <w:r w:rsidRPr="00883125">
        <w:rPr>
          <w:rStyle w:val="AERtextitalic"/>
        </w:rPr>
        <w:t>“A proportion (</w:t>
      </w:r>
      <w:r w:rsidRPr="00883125">
        <w:rPr>
          <w:rStyle w:val="AERtextitalic"/>
          <w:rFonts w:hint="eastAsia"/>
        </w:rPr>
        <w:t>γ</w:t>
      </w:r>
      <w:r w:rsidRPr="00883125">
        <w:rPr>
          <w:rStyle w:val="AERtextitalic"/>
        </w:rPr>
        <w:t>) of the tax collected from the company will be rebated against personal tax.”</w:t>
      </w:r>
    </w:p>
    <w:p w:rsidR="001D37D5" w:rsidRPr="00883125" w:rsidRDefault="001D37D5" w:rsidP="001D37D5">
      <w:pPr>
        <w:pStyle w:val="AERquote"/>
      </w:pPr>
      <w:r w:rsidRPr="00883125">
        <w:t>and shortly thereafter:</w:t>
      </w:r>
    </w:p>
    <w:p w:rsidR="001D37D5" w:rsidRPr="00883125" w:rsidRDefault="001D37D5" w:rsidP="001D37D5">
      <w:pPr>
        <w:pStyle w:val="AERquote"/>
        <w:rPr>
          <w:rStyle w:val="AERtextitalic"/>
        </w:rPr>
      </w:pPr>
      <w:r w:rsidRPr="00883125">
        <w:rPr>
          <w:rStyle w:val="AERtextitalic"/>
          <w:rFonts w:hint="eastAsia"/>
        </w:rPr>
        <w:t>“γ</w:t>
      </w:r>
      <w:r w:rsidRPr="00883125">
        <w:rPr>
          <w:rStyle w:val="AERtextitalic"/>
        </w:rPr>
        <w:t xml:space="preserve"> can be interpreted as the value of a dollar of tax credit to the shareholder.” </w:t>
      </w:r>
    </w:p>
    <w:p w:rsidR="001D37D5" w:rsidRPr="00883125" w:rsidRDefault="001D37D5" w:rsidP="001D37D5">
      <w:pPr>
        <w:pStyle w:val="AERquote"/>
      </w:pPr>
      <w:r w:rsidRPr="00883125">
        <w:t>But again, there is no ambiguity. These terms can and have been used interchangeably because the underlying source of value of an imputation credit to shareholders is the consequent reduction in personal taxes in recognition of taxes that were previously paid at the corporate level. In other words, within the Officer framework, it is clear that gamma represents the utilisation or redemption value of imputation credits and this value corresponds to the proportion of company tax which is in effect a prepayment of personal tax by the company on behalf of its shareholders. It is this identification of the personal tax component of the company tax paid which is the central idea of the paper.</w:t>
      </w:r>
    </w:p>
    <w:p w:rsidR="001D37D5" w:rsidRPr="00883125" w:rsidRDefault="001D37D5" w:rsidP="001D37D5">
      <w:pPr>
        <w:numPr>
          <w:ilvl w:val="0"/>
          <w:numId w:val="24"/>
        </w:numPr>
      </w:pPr>
      <w:r w:rsidRPr="00883125">
        <w:t xml:space="preserve">In other words, gamma in the Officer framework represents the proportion of company tax that is returned to investors through the utilisation of imputation credits and this is the value </w:t>
      </w:r>
      <w:r w:rsidRPr="00883125">
        <w:lastRenderedPageBreak/>
        <w:t>of imputation credits to investors. This is the interpretation of the value of imputation credits we adopted in the Guideline and continue to adopt in this decision. This interpretation is consistent with the Officer framework and is supported by advice from Handley.</w:t>
      </w:r>
    </w:p>
    <w:p w:rsidR="001D37D5" w:rsidRPr="005764F6" w:rsidRDefault="001D37D5" w:rsidP="001D37D5">
      <w:pPr>
        <w:numPr>
          <w:ilvl w:val="0"/>
          <w:numId w:val="24"/>
        </w:numPr>
        <w:rPr>
          <w:rStyle w:val="AERbody"/>
        </w:rPr>
      </w:pPr>
      <w:r w:rsidRPr="005764F6">
        <w:rPr>
          <w:rStyle w:val="AERbody"/>
        </w:rPr>
        <w:t xml:space="preserve">In </w:t>
      </w:r>
      <w:r>
        <w:rPr>
          <w:rStyle w:val="AERbody"/>
        </w:rPr>
        <w:t>late</w:t>
      </w:r>
      <w:r w:rsidRPr="005764F6">
        <w:rPr>
          <w:rStyle w:val="AERbody"/>
        </w:rPr>
        <w:t xml:space="preserve"> submissions, United Energy, </w:t>
      </w:r>
      <w:r>
        <w:rPr>
          <w:rStyle w:val="AERbody"/>
        </w:rPr>
        <w:t xml:space="preserve">ActewAGL, </w:t>
      </w:r>
      <w:r w:rsidRPr="005764F6">
        <w:rPr>
          <w:rStyle w:val="AERbody"/>
        </w:rPr>
        <w:t xml:space="preserve">CitiPower and Powercor submitted that the Tribunal considered </w:t>
      </w:r>
      <w:r>
        <w:rPr>
          <w:rStyle w:val="AERbody"/>
        </w:rPr>
        <w:t>we</w:t>
      </w:r>
      <w:r w:rsidRPr="005764F6">
        <w:rPr>
          <w:rStyle w:val="AERbody"/>
        </w:rPr>
        <w:t xml:space="preserve"> had erred in adopting a conceptual approach to gamma that redefines it as the value of imputation credits that are available for redemption.</w:t>
      </w:r>
      <w:r w:rsidRPr="00857C5F">
        <w:rPr>
          <w:rStyle w:val="FootnoteReference"/>
        </w:rPr>
        <w:footnoteReference w:id="302"/>
      </w:r>
      <w:r w:rsidRPr="005764F6">
        <w:rPr>
          <w:rStyle w:val="AERbody"/>
        </w:rPr>
        <w:t xml:space="preserve"> The Tribunal found this due to </w:t>
      </w:r>
      <w:r>
        <w:rPr>
          <w:rStyle w:val="AERbody"/>
        </w:rPr>
        <w:t>us</w:t>
      </w:r>
      <w:r w:rsidRPr="005764F6">
        <w:rPr>
          <w:rStyle w:val="AERbody"/>
        </w:rPr>
        <w:t xml:space="preserve"> placing most reliance on the equity ownership approach and effectively defining the utilisation value as the proportion of distributed imputation credits that are available for redemption.</w:t>
      </w:r>
      <w:r w:rsidRPr="00857C5F">
        <w:rPr>
          <w:rStyle w:val="FootnoteReference"/>
        </w:rPr>
        <w:footnoteReference w:id="303"/>
      </w:r>
      <w:r w:rsidRPr="005764F6">
        <w:rPr>
          <w:rStyle w:val="AERbody"/>
        </w:rPr>
        <w:t xml:space="preserve"> The Tribunal considered that such an approach:</w:t>
      </w:r>
      <w:r w:rsidRPr="00857C5F">
        <w:rPr>
          <w:rStyle w:val="FootnoteReference"/>
        </w:rPr>
        <w:footnoteReference w:id="304"/>
      </w:r>
    </w:p>
    <w:p w:rsidR="001D37D5" w:rsidRPr="005764F6" w:rsidRDefault="001D37D5" w:rsidP="001D37D5">
      <w:pPr>
        <w:pStyle w:val="AERquote"/>
      </w:pPr>
      <w:r w:rsidRPr="005764F6">
        <w:t xml:space="preserve">Is inconsistent with the concept of gamma in the Officer Framework for the WACC which underlies the rules and the objective of ensuring a market rate of return on equity by making an adjustment to the revenue allowance for taxation to take </w:t>
      </w:r>
      <w:r w:rsidRPr="00B31DF2">
        <w:t>account</w:t>
      </w:r>
      <w:r w:rsidRPr="005764F6">
        <w:t xml:space="preserve"> for imputation credits. </w:t>
      </w:r>
    </w:p>
    <w:p w:rsidR="001D37D5" w:rsidRPr="005764F6" w:rsidRDefault="001D37D5" w:rsidP="001D37D5">
      <w:r>
        <w:t>We</w:t>
      </w:r>
      <w:r w:rsidRPr="005764F6">
        <w:t xml:space="preserve"> consider </w:t>
      </w:r>
      <w:r>
        <w:t>our</w:t>
      </w:r>
      <w:r w:rsidRPr="005764F6">
        <w:t xml:space="preserve"> a</w:t>
      </w:r>
      <w:r>
        <w:t>pproach is consistent with the O</w:t>
      </w:r>
      <w:r w:rsidRPr="005764F6">
        <w:t xml:space="preserve">fficer framework and our estimation of the required return on equity. </w:t>
      </w:r>
      <w:r>
        <w:t>We</w:t>
      </w:r>
      <w:r w:rsidRPr="005764F6">
        <w:t xml:space="preserve"> consider what matters from a value to investor's perspective is the face value of imputation credits expected to be utilised as this reflects both the cost of these imputation credits to the regulated businesses and the benefit that investors receive from these credits when utilised to reduce their tax payable</w:t>
      </w:r>
      <w:r>
        <w:t xml:space="preserve"> (or to receive a refund from the government)</w:t>
      </w:r>
      <w:r w:rsidRPr="005764F6">
        <w:t>. The post company (pre-personal) tax value of an imputation credit when utilised is approximately</w:t>
      </w:r>
      <w:r w:rsidRPr="00857C5F">
        <w:rPr>
          <w:rStyle w:val="FootnoteReference"/>
        </w:rPr>
        <w:footnoteReference w:id="305"/>
      </w:r>
      <w:r w:rsidRPr="005764F6">
        <w:t xml:space="preserve"> its face value. This is further discussed in section </w:t>
      </w:r>
      <w:r w:rsidRPr="005764F6">
        <w:fldChar w:fldCharType="begin"/>
      </w:r>
      <w:r w:rsidRPr="005764F6">
        <w:instrText xml:space="preserve"> REF _Ref435171205 \r \h  \* MERGEFORMAT </w:instrText>
      </w:r>
      <w:r w:rsidRPr="005764F6">
        <w:fldChar w:fldCharType="separate"/>
      </w:r>
      <w:r w:rsidR="00A02D8C">
        <w:t>A.15.3</w:t>
      </w:r>
      <w:r w:rsidRPr="005764F6">
        <w:fldChar w:fldCharType="end"/>
      </w:r>
      <w:r w:rsidRPr="005764F6">
        <w:t>.</w:t>
      </w:r>
    </w:p>
    <w:p w:rsidR="001D37D5" w:rsidRPr="00883125" w:rsidRDefault="001D37D5" w:rsidP="001D37D5">
      <w:pPr>
        <w:numPr>
          <w:ilvl w:val="0"/>
          <w:numId w:val="24"/>
        </w:numPr>
      </w:pPr>
      <w:r w:rsidRPr="00883125">
        <w:t>The Officer framework assumes all free cash flows (including imputation credits) are fully paid out each period. That is, the Officer framework is a 'perpetuity' framework. However, in reality not all imputation credits are necessarily paid out each period, nor are all other free cash flows necessarily paid out.</w:t>
      </w:r>
      <w:r w:rsidRPr="00883125">
        <w:rPr>
          <w:rStyle w:val="FootnoteReference"/>
        </w:rPr>
        <w:footnoteReference w:id="306"/>
      </w:r>
      <w:r w:rsidRPr="00883125">
        <w:t xml:space="preserve"> For example, it is typical for a company to retain some earnings from a previous year to fund part of its future investment, rather than pay out all earnings as dividends and fully raise the funding of future investment from external sources. Work by Monkhouse (and others) extends the Officer framework by allowing for less than a </w:t>
      </w:r>
      <w:r w:rsidRPr="00883125">
        <w:lastRenderedPageBreak/>
        <w:t>full payout of cash flows and imputation credits each period. Handley advised that Monkhouse effectively shows that:</w:t>
      </w:r>
      <w:r w:rsidRPr="00883125">
        <w:rPr>
          <w:rStyle w:val="FootnoteReference"/>
        </w:rPr>
        <w:footnoteReference w:id="307"/>
      </w:r>
    </w:p>
    <w:p w:rsidR="001D37D5" w:rsidRPr="00883125" w:rsidRDefault="001D37D5" w:rsidP="001D37D5">
      <w:pPr>
        <w:numPr>
          <w:ilvl w:val="0"/>
          <w:numId w:val="24"/>
        </w:numPr>
      </w:pPr>
      <m:oMath>
        <m:r>
          <w:rPr>
            <w:rFonts w:ascii="Cambria Math" w:hAnsi="Cambria Math"/>
          </w:rPr>
          <m:t>γ=Fθ+</m:t>
        </m:r>
        <m:d>
          <m:dPr>
            <m:ctrlPr>
              <w:rPr>
                <w:rFonts w:ascii="Cambria Math" w:hAnsi="Cambria Math"/>
              </w:rPr>
            </m:ctrlPr>
          </m:dPr>
          <m:e>
            <m:r>
              <w:rPr>
                <w:rFonts w:ascii="Cambria Math" w:hAnsi="Cambria Math"/>
              </w:rPr>
              <m:t>1-F</m:t>
            </m:r>
          </m:e>
        </m:d>
        <m:r>
          <w:rPr>
            <w:rFonts w:ascii="Cambria Math" w:hAnsi="Cambria Math"/>
          </w:rPr>
          <m:t>ψ</m:t>
        </m:r>
      </m:oMath>
    </w:p>
    <w:p w:rsidR="001D37D5" w:rsidRPr="00883125" w:rsidRDefault="001D37D5" w:rsidP="001D37D5">
      <w:pPr>
        <w:numPr>
          <w:ilvl w:val="0"/>
          <w:numId w:val="24"/>
        </w:numPr>
      </w:pPr>
      <w:r w:rsidRPr="00883125">
        <w:t>where:</w:t>
      </w:r>
    </w:p>
    <w:p w:rsidR="001D37D5" w:rsidRPr="001D37D5" w:rsidRDefault="001D37D5" w:rsidP="001D37D5">
      <w:pPr>
        <w:pStyle w:val="AERbulletlistfirststyle"/>
      </w:pPr>
      <m:oMath>
        <m:r>
          <w:rPr>
            <w:rFonts w:ascii="Cambria Math" w:hAnsi="Cambria Math"/>
          </w:rPr>
          <m:t>F</m:t>
        </m:r>
      </m:oMath>
      <w:r w:rsidRPr="001D37D5">
        <w:t xml:space="preserve"> is the proportion of imputation credits generated that are distributed in a period (the 'distribution rate').</w:t>
      </w:r>
    </w:p>
    <w:p w:rsidR="001D37D5" w:rsidRPr="001D37D5" w:rsidRDefault="001D37D5" w:rsidP="001D37D5">
      <w:pPr>
        <w:pStyle w:val="AERbulletlistfirststyle"/>
      </w:pPr>
      <m:oMath>
        <m:r>
          <w:rPr>
            <w:rFonts w:ascii="Cambria Math" w:hAnsi="Cambria Math"/>
          </w:rPr>
          <m:t>θ</m:t>
        </m:r>
      </m:oMath>
      <w:r w:rsidRPr="001D37D5">
        <w:t xml:space="preserve"> (theta) is the utilisation value to investors in the market per dollar of imputation credits distributed (the 'utilisation rate').</w:t>
      </w:r>
    </w:p>
    <w:p w:rsidR="001D37D5" w:rsidRPr="001D37D5" w:rsidRDefault="001D37D5" w:rsidP="001D37D5">
      <w:pPr>
        <w:pStyle w:val="AERbulletlistfirststyle"/>
      </w:pPr>
      <m:oMath>
        <m:r>
          <w:rPr>
            <w:rFonts w:ascii="Cambria Math" w:hAnsi="Cambria Math"/>
          </w:rPr>
          <m:t>ψ</m:t>
        </m:r>
      </m:oMath>
      <w:r w:rsidRPr="001D37D5" w:rsidDel="008647A1">
        <w:t xml:space="preserve"> </w:t>
      </w:r>
      <w:r w:rsidRPr="001D37D5">
        <w:t>(psi) is the utilisation value of a retained credit to investors in the market.</w:t>
      </w:r>
    </w:p>
    <w:p w:rsidR="001D37D5" w:rsidRPr="00883125" w:rsidRDefault="001D37D5" w:rsidP="001D37D5">
      <w:pPr>
        <w:numPr>
          <w:ilvl w:val="0"/>
          <w:numId w:val="24"/>
        </w:numPr>
      </w:pPr>
      <w:r w:rsidRPr="00883125">
        <w:t>Handley also advised that in frameworks such as Monkhouse's the utilisation rate in equilibrium is equal to the weighted average, by wealth and risk aversion, of the individual utilisation rates of investors in the market:</w:t>
      </w:r>
      <w:r w:rsidRPr="00883125">
        <w:rPr>
          <w:rStyle w:val="FootnoteReference"/>
        </w:rPr>
        <w:footnoteReference w:id="308"/>
      </w:r>
    </w:p>
    <w:p w:rsidR="001D37D5" w:rsidRPr="00883125" w:rsidRDefault="001D37D5" w:rsidP="001D37D5">
      <w:pPr>
        <w:pStyle w:val="AERquote"/>
      </w:pPr>
      <w:r w:rsidRPr="00883125">
        <w:t>This interpretation of theta as a complex weighted average of investor utilisation rates is consistent with that appearing in Monkhouse (1993) and Lally and van Zijl (2003)…</w:t>
      </w:r>
    </w:p>
    <w:p w:rsidR="001D37D5" w:rsidRPr="00883125" w:rsidRDefault="001D37D5" w:rsidP="001D37D5">
      <w:pPr>
        <w:numPr>
          <w:ilvl w:val="0"/>
          <w:numId w:val="24"/>
        </w:numPr>
      </w:pPr>
      <w:r w:rsidRPr="00883125">
        <w:t>This is also supported by Lally's remarks on the work of Lally and van Zijl:</w:t>
      </w:r>
      <w:r w:rsidRPr="00883125">
        <w:rPr>
          <w:rStyle w:val="FootnoteReference"/>
        </w:rPr>
        <w:footnoteReference w:id="309"/>
      </w:r>
    </w:p>
    <w:p w:rsidR="001D37D5" w:rsidRPr="00883125" w:rsidRDefault="001D37D5" w:rsidP="001D37D5">
      <w:pPr>
        <w:pStyle w:val="AERquote"/>
      </w:pPr>
      <w:r w:rsidRPr="00883125">
        <w:t>Although Officer (1994) provides no clarification on this matter, because his derivation of the model is intuitive rather than formal, Lally and van Zijl (2003, section 3) provide a formal derivation of a generalisation of Officer’s model (with the Officer model being a special case), in which variation of utilisation rates across investors is recognised.  In this derivation, they show that [the utilisation rate] is a complex weighted average over all investors holding risky assets, where the weights involve each investor’s investment in risky assets and their risk aversion.</w:t>
      </w:r>
    </w:p>
    <w:p w:rsidR="001D37D5" w:rsidRPr="00883125" w:rsidRDefault="001D37D5" w:rsidP="001D37D5">
      <w:pPr>
        <w:numPr>
          <w:ilvl w:val="0"/>
          <w:numId w:val="24"/>
        </w:numPr>
      </w:pPr>
      <w:r w:rsidRPr="00883125">
        <w:t xml:space="preserve">Consistent with the advice we received from Lally, in the Guideline we recognised that the utilisation rate is equal to the weighted average, by wealth and risk aversion, of the individual utilisation rates of investors in the market. In the Guideline, we also defined the utilisation rate as the extent to which investors can use the imputation credits they receive to reduce their tax (or receive a refund). In this decision, consistent with Handley's advice, we consider the utilisation rate is the utilisation value to investors in the market per dollar of imputation credits distributed. However, we consider that our views in the Guideline and in this decision are broadly equivalent; that is, our definition of the utilisation rate in this </w:t>
      </w:r>
      <w:r>
        <w:t>final</w:t>
      </w:r>
      <w:r w:rsidRPr="00883125">
        <w:t xml:space="preserve"> decision still reflects the extent to which investors in the market can use the imputation credits they receive. This is because, as discussed above and in sections </w:t>
      </w:r>
      <w:r w:rsidRPr="00883125">
        <w:fldChar w:fldCharType="begin"/>
      </w:r>
      <w:r w:rsidRPr="00883125">
        <w:instrText xml:space="preserve"> REF _Ref415144114 \r \h </w:instrText>
      </w:r>
      <w:r w:rsidRPr="00883125">
        <w:fldChar w:fldCharType="separate"/>
      </w:r>
      <w:r w:rsidR="00A02D8C">
        <w:t>A.5</w:t>
      </w:r>
      <w:r w:rsidRPr="00883125">
        <w:fldChar w:fldCharType="end"/>
      </w:r>
      <w:r w:rsidRPr="00883125">
        <w:t xml:space="preserve">, </w:t>
      </w:r>
      <w:r w:rsidRPr="00883125">
        <w:fldChar w:fldCharType="begin"/>
      </w:r>
      <w:r w:rsidRPr="00883125">
        <w:instrText xml:space="preserve"> REF _Ref414282622 \r \h </w:instrText>
      </w:r>
      <w:r w:rsidRPr="00883125">
        <w:fldChar w:fldCharType="separate"/>
      </w:r>
      <w:r w:rsidR="00A02D8C">
        <w:t>A.7</w:t>
      </w:r>
      <w:r w:rsidRPr="00883125">
        <w:fldChar w:fldCharType="end"/>
      </w:r>
      <w:r w:rsidRPr="00883125">
        <w:t xml:space="preserve"> and </w:t>
      </w:r>
      <w:r w:rsidRPr="00883125">
        <w:fldChar w:fldCharType="begin"/>
      </w:r>
      <w:r w:rsidRPr="00883125">
        <w:instrText xml:space="preserve"> REF _Ref401748758 \r \h </w:instrText>
      </w:r>
      <w:r w:rsidRPr="00883125">
        <w:fldChar w:fldCharType="separate"/>
      </w:r>
      <w:r w:rsidR="00A02D8C">
        <w:t>A.8.1</w:t>
      </w:r>
      <w:r w:rsidRPr="00883125">
        <w:fldChar w:fldCharType="end"/>
      </w:r>
      <w:r w:rsidRPr="00883125">
        <w:t xml:space="preserve">, to be consistent with the Officer framework (and therefore the building block framework in the </w:t>
      </w:r>
      <w:r w:rsidRPr="00883125">
        <w:lastRenderedPageBreak/>
        <w:t>NER/NGR) the utilisation rate should reflect the before-personal-tax and before-personal-costs value of imputation credits to investors. On a before-personal-tax and before-personal-costs basis, an investor that is eligible to fully utilise imputation credits should value each dollar of imputation credits received at one dollar (that is, have a utilisation rate of 1). Therefore, the utilisation value to investors in the market will reflect the weighted average, by wealth and risk aversion, of the utilisation rates of investors—some of whom will have a utilisation rate of 1 and others who will have a utilisation rate of 0.</w:t>
      </w:r>
      <w:r w:rsidRPr="00883125">
        <w:rPr>
          <w:rStyle w:val="FootnoteReference"/>
        </w:rPr>
        <w:footnoteReference w:id="310"/>
      </w:r>
      <w:r w:rsidRPr="00883125">
        <w:t xml:space="preserve"> We discuss Handley's advice on this matter further in section </w:t>
      </w:r>
      <w:r w:rsidRPr="00883125">
        <w:fldChar w:fldCharType="begin"/>
      </w:r>
      <w:r w:rsidRPr="00883125">
        <w:instrText xml:space="preserve"> REF _Ref401748758 \r \h </w:instrText>
      </w:r>
      <w:r w:rsidRPr="00883125">
        <w:fldChar w:fldCharType="separate"/>
      </w:r>
      <w:r w:rsidR="00A02D8C">
        <w:t>A.8.1</w:t>
      </w:r>
      <w:r w:rsidRPr="00883125">
        <w:fldChar w:fldCharType="end"/>
      </w:r>
      <w:r w:rsidRPr="00883125">
        <w:t>.</w:t>
      </w:r>
    </w:p>
    <w:p w:rsidR="001D37D5" w:rsidRPr="00883125" w:rsidRDefault="001D37D5" w:rsidP="001D37D5">
      <w:pPr>
        <w:numPr>
          <w:ilvl w:val="0"/>
          <w:numId w:val="24"/>
        </w:numPr>
      </w:pPr>
      <w:r w:rsidRPr="00883125">
        <w:t xml:space="preserve">Returning to the expression for </w:t>
      </w:r>
      <m:oMath>
        <m:r>
          <w:rPr>
            <w:rFonts w:ascii="Cambria Math" w:hAnsi="Cambria Math"/>
          </w:rPr>
          <m:t>γ</m:t>
        </m:r>
      </m:oMath>
      <w:r w:rsidRPr="00883125">
        <w:t xml:space="preserve"> above, we have not explicitly included the value of retained credits, </w:t>
      </w:r>
      <m:oMath>
        <m:r>
          <w:rPr>
            <w:rFonts w:ascii="Cambria Math" w:hAnsi="Cambria Math"/>
          </w:rPr>
          <m:t>ψ</m:t>
        </m:r>
      </m:oMath>
      <w:r w:rsidRPr="00883125">
        <w:t>, when determining the value of imputation credits. This is mainly because we recognise that investors can only use imputation credits to reduce tax or receive a refund once the credits have been distributed. There is also the practical problem of how to quantify the value of retained credits. Handley acknowledged the potential for retained credits to have value, but also the difficulty in quantifying it:</w:t>
      </w:r>
      <w:r w:rsidRPr="00883125">
        <w:rPr>
          <w:rStyle w:val="FootnoteReference"/>
        </w:rPr>
        <w:footnoteReference w:id="311"/>
      </w:r>
    </w:p>
    <w:p w:rsidR="001D37D5" w:rsidRPr="00883125" w:rsidRDefault="001D37D5" w:rsidP="001D37D5">
      <w:pPr>
        <w:pStyle w:val="AERquote"/>
      </w:pPr>
      <w:r w:rsidRPr="00883125">
        <w:t>Retained imputation credits can be worth no less than zero but may be worth more than zero. Estimates of gamma using the traditional approach will therefore be downward biased to the extent that retained imputation credits have value. Although it is not possible to reasonably estimate the magnitude of the bias, its direction is clear.</w:t>
      </w:r>
    </w:p>
    <w:p w:rsidR="001D37D5" w:rsidRPr="00B27BE5" w:rsidRDefault="001D37D5" w:rsidP="001D37D5">
      <w:r>
        <w:t>We agree with Handley and consider</w:t>
      </w:r>
      <w:r w:rsidRPr="00B27BE5">
        <w:t xml:space="preserve"> assuming retained imputation credits have no value is a conservative assumption. We consider retained imputation credits have a positive value but it is difficult to quantify this value. There are many ways retained imputation credits could potentially benefit investors. For example, retained imputation credits may allow firms to conduct off market buy backs of their own stocks at a discount to prevailing market values. Off market buybacks can be structured in such a way that the purchase price is derived from both fully franked dividends and capital. Investors are prepared to sell back their shares at a discount as they derive value from imputation credits distributed and the capital gains loss that outweighs the capital loss they incur from selling at a discount.</w:t>
      </w:r>
      <w:r w:rsidRPr="00B27BE5">
        <w:rPr>
          <w:rStyle w:val="FootnoteReference"/>
        </w:rPr>
        <w:footnoteReference w:id="312"/>
      </w:r>
      <w:r w:rsidRPr="00B27BE5">
        <w:t xml:space="preserve"> Shareholders that do not participate in off market buybacks benefit from capital appreciation of their shares as the firm's capital is brought back at a discount to the prevailing market prices. An example of a recently completed off market buy back completed a discount that likely was used to stream imputation credits to those who could utilise them most highly was by Caltex Australia.</w:t>
      </w:r>
      <w:r w:rsidRPr="00B27BE5">
        <w:rPr>
          <w:rStyle w:val="FootnoteReference"/>
        </w:rPr>
        <w:footnoteReference w:id="313"/>
      </w:r>
      <w:r w:rsidRPr="00B27BE5">
        <w:t xml:space="preserve"> </w:t>
      </w:r>
    </w:p>
    <w:p w:rsidR="001D37D5" w:rsidRPr="00B27BE5" w:rsidRDefault="001D37D5" w:rsidP="001D37D5">
      <w:r w:rsidRPr="00B27BE5">
        <w:t xml:space="preserve">However, </w:t>
      </w:r>
      <w:r>
        <w:t>we</w:t>
      </w:r>
      <w:r w:rsidRPr="00B27BE5">
        <w:t xml:space="preserve"> consider assuming retained imputation credits have no value might be a reasonable assumption to the extent that imputation distributions rates are expected to remain constant overtime. To the extent firms maintain in perpetuity a distribution rate less that a 100 per cent, the proportion of imputation credits that are not distributed are worthless. As we assume the historical cumulative payout ratios (for listed and all equity) are </w:t>
      </w:r>
      <w:r w:rsidRPr="00B27BE5">
        <w:lastRenderedPageBreak/>
        <w:t>reasonable estimates of the future expected payout ratios, we consider our approach is appropriate</w:t>
      </w:r>
      <w:r>
        <w:t>.</w:t>
      </w:r>
    </w:p>
    <w:p w:rsidR="001D37D5" w:rsidRPr="00883125" w:rsidRDefault="001D37D5" w:rsidP="001D37D5">
      <w:pPr>
        <w:pStyle w:val="Heading8"/>
      </w:pPr>
      <w:bookmarkStart w:id="194" w:name="_Ref414282622"/>
      <w:bookmarkStart w:id="195" w:name="_Toc436049448"/>
      <w:bookmarkStart w:id="196" w:name="_Ref451789926"/>
      <w:bookmarkStart w:id="197" w:name="_Toc451842253"/>
      <w:bookmarkStart w:id="198" w:name="_Ref451849752"/>
      <w:bookmarkStart w:id="199" w:name="_Toc451938308"/>
      <w:r w:rsidRPr="00883125">
        <w:t>Gray's comments on the conceptual framework</w:t>
      </w:r>
      <w:bookmarkEnd w:id="194"/>
      <w:r w:rsidRPr="00883125">
        <w:t>.</w:t>
      </w:r>
      <w:r w:rsidRPr="00883125">
        <w:rPr>
          <w:rStyle w:val="FootnoteReference"/>
        </w:rPr>
        <w:footnoteReference w:id="314"/>
      </w:r>
      <w:bookmarkEnd w:id="195"/>
      <w:bookmarkEnd w:id="196"/>
      <w:bookmarkEnd w:id="197"/>
      <w:bookmarkEnd w:id="198"/>
      <w:bookmarkEnd w:id="199"/>
    </w:p>
    <w:p w:rsidR="001D37D5" w:rsidRPr="00883125" w:rsidRDefault="001D37D5" w:rsidP="001D37D5">
      <w:pPr>
        <w:numPr>
          <w:ilvl w:val="0"/>
          <w:numId w:val="24"/>
        </w:numPr>
      </w:pPr>
      <w:r w:rsidRPr="00883125">
        <w:t>In the previous section, we set out our position on the appropriate conceptual framework for the estimation of the value of imputation credits. In this section, we respond to Gray's view. Gray's view on the conceptual framework was largely adopted by the service providers in their proposals.</w:t>
      </w:r>
    </w:p>
    <w:p w:rsidR="001D37D5" w:rsidRPr="00883125" w:rsidRDefault="001D37D5" w:rsidP="001D37D5">
      <w:pPr>
        <w:numPr>
          <w:ilvl w:val="0"/>
          <w:numId w:val="24"/>
        </w:numPr>
      </w:pPr>
      <w:r w:rsidRPr="00883125">
        <w:t>Gray's May 2014 report (for SFG) for the service providers submitted that:</w:t>
      </w:r>
    </w:p>
    <w:p w:rsidR="001D37D5" w:rsidRPr="00883125" w:rsidRDefault="001D37D5" w:rsidP="001D37D5">
      <w:pPr>
        <w:pStyle w:val="AERbulletlistfirststyle"/>
      </w:pPr>
      <w:r w:rsidRPr="00883125">
        <w:t xml:space="preserve">The advice and evidence cited in the Guideline does not support the interpretation of the utilisation rate in the Guideline. </w:t>
      </w:r>
    </w:p>
    <w:p w:rsidR="001D37D5" w:rsidRPr="00883125" w:rsidRDefault="001D37D5" w:rsidP="001D37D5">
      <w:pPr>
        <w:pStyle w:val="AERbulletlistfirststyle"/>
      </w:pPr>
      <w:r w:rsidRPr="00883125">
        <w:t>Officer shows that the value of imputation credits (gamma) represents the extent to which imputation credits are capitalised into the stock price.</w:t>
      </w:r>
    </w:p>
    <w:p w:rsidR="001D37D5" w:rsidRPr="00883125" w:rsidRDefault="001D37D5" w:rsidP="001D37D5">
      <w:pPr>
        <w:pStyle w:val="AERbulletlistfirststyle"/>
      </w:pPr>
      <w:r w:rsidRPr="00883125">
        <w:t>The utilisation rate in the framework provided by Monkhouse (and Lally and van Zijl) should not be used to estimate the value of imputation credits.</w:t>
      </w:r>
    </w:p>
    <w:p w:rsidR="001D37D5" w:rsidRPr="00883125" w:rsidRDefault="001D37D5" w:rsidP="001D37D5">
      <w:pPr>
        <w:numPr>
          <w:ilvl w:val="0"/>
          <w:numId w:val="24"/>
        </w:numPr>
      </w:pPr>
      <w:r w:rsidRPr="00883125">
        <w:t xml:space="preserve">The submissions from Gray, including comments in his February 2015 report (for SFG) and his June 2015 </w:t>
      </w:r>
      <w:r>
        <w:t xml:space="preserve">and January 2016 </w:t>
      </w:r>
      <w:r w:rsidRPr="00883125">
        <w:t xml:space="preserve">report (for Frontier), do not change our view on the conceptual framework for the estimation of the value of imputation credits. We do not consider his work supports the position that </w:t>
      </w:r>
      <w:r>
        <w:t>our</w:t>
      </w:r>
      <w:r w:rsidRPr="00883125">
        <w:t xml:space="preserve"> conceptual framework is not an appropriate basis on which to estimate the value of imputation credits.</w:t>
      </w:r>
      <w:r w:rsidRPr="00883125">
        <w:rPr>
          <w:rStyle w:val="FootnoteReference"/>
        </w:rPr>
        <w:footnoteReference w:id="315"/>
      </w:r>
      <w:r w:rsidRPr="00883125">
        <w:t xml:space="preserve"> We set out our reasoning below.</w:t>
      </w:r>
    </w:p>
    <w:p w:rsidR="001D37D5" w:rsidRPr="00883125" w:rsidRDefault="001D37D5" w:rsidP="001D37D5">
      <w:pPr>
        <w:pStyle w:val="Heading9"/>
      </w:pPr>
      <w:bookmarkStart w:id="200" w:name="_Ref402179374"/>
      <w:r w:rsidRPr="00883125">
        <w:t>Gray's comments on the AER's position</w:t>
      </w:r>
    </w:p>
    <w:p w:rsidR="001D37D5" w:rsidRPr="00883125" w:rsidRDefault="001D37D5" w:rsidP="001D37D5">
      <w:r w:rsidRPr="00883125">
        <w:t>Gray (for SFG) submitted that '…the AER's position is that theta (and consequently gamma) no longer represents the value (as in "worth" or "market value to investors")…'.</w:t>
      </w:r>
      <w:r w:rsidRPr="00883125">
        <w:rPr>
          <w:rStyle w:val="FootnoteReference"/>
        </w:rPr>
        <w:footnoteReference w:id="316"/>
      </w:r>
      <w:r w:rsidRPr="00883125">
        <w:t xml:space="preserve"> This is incorrect. Our definition of the utilisation rate in this final decision and our prior decisions released in 2014 and 2015 (our prior decisions) is the utilisation value to investors in the market per dollar of imputation credits distributed. Thus, we do consider that the utilisation rate represents the value to investors in the market. However, the key difference between our position and Gray's is we consider that, to be consistent with the underlying conceptual framework provided by Officer, we need to estimate the before-personal-tax and before-personal-cost value. This is discussed further in section </w:t>
      </w:r>
      <w:r w:rsidRPr="00883125">
        <w:fldChar w:fldCharType="begin"/>
      </w:r>
      <w:r w:rsidRPr="00883125">
        <w:instrText xml:space="preserve"> REF _Ref414028398 \r \h </w:instrText>
      </w:r>
      <w:r>
        <w:instrText xml:space="preserve"> \* MERGEFORMAT </w:instrText>
      </w:r>
      <w:r w:rsidRPr="00883125">
        <w:fldChar w:fldCharType="separate"/>
      </w:r>
      <w:r w:rsidR="00A02D8C">
        <w:t>A.7.3</w:t>
      </w:r>
      <w:r w:rsidRPr="00883125">
        <w:fldChar w:fldCharType="end"/>
      </w:r>
      <w:r w:rsidRPr="00883125">
        <w:t>.</w:t>
      </w:r>
    </w:p>
    <w:p w:rsidR="001D37D5" w:rsidRPr="00883125" w:rsidRDefault="001D37D5" w:rsidP="001D37D5">
      <w:r w:rsidRPr="00883125">
        <w:t>In its recent decision</w:t>
      </w:r>
      <w:r>
        <w:t>s</w:t>
      </w:r>
      <w:r w:rsidRPr="00883125">
        <w:t xml:space="preserve"> referenced in </w:t>
      </w:r>
      <w:r>
        <w:t xml:space="preserve">late </w:t>
      </w:r>
      <w:r w:rsidRPr="00883125">
        <w:t xml:space="preserve">submissions by United Energy, </w:t>
      </w:r>
      <w:r>
        <w:t xml:space="preserve">ActewAGL </w:t>
      </w:r>
      <w:r w:rsidRPr="00883125">
        <w:t xml:space="preserve">CitiPower and Powercor, the Tribunal considered that the AER's reasoning ignored the fact </w:t>
      </w:r>
      <w:r w:rsidRPr="00883125">
        <w:lastRenderedPageBreak/>
        <w:t>that other parameters in the allowed rate return calculation are market values that already incorporate the effects of the difference in investors' tax position and transaction costs.</w:t>
      </w:r>
      <w:r w:rsidRPr="00883125">
        <w:rPr>
          <w:rStyle w:val="FootnoteReference"/>
        </w:rPr>
        <w:footnoteReference w:id="317"/>
      </w:r>
    </w:p>
    <w:p w:rsidR="001D37D5" w:rsidRPr="00883125" w:rsidRDefault="001D37D5" w:rsidP="001D37D5">
      <w:r w:rsidRPr="00883125">
        <w:t xml:space="preserve">In response to this, </w:t>
      </w:r>
      <w:r>
        <w:t>we</w:t>
      </w:r>
      <w:r w:rsidRPr="00883125">
        <w:t xml:space="preserve"> remain of the view that market studies </w:t>
      </w:r>
      <w:r>
        <w:t xml:space="preserve">that </w:t>
      </w:r>
      <w:r w:rsidRPr="00883125">
        <w:t>estimate</w:t>
      </w:r>
      <w:r>
        <w:t xml:space="preserve"> the </w:t>
      </w:r>
      <w:r w:rsidRPr="00883125">
        <w:t xml:space="preserve">value of imputation credits </w:t>
      </w:r>
      <w:r>
        <w:t>are</w:t>
      </w:r>
      <w:r w:rsidRPr="00883125">
        <w:t xml:space="preserve"> influenced by differential personal taxation of </w:t>
      </w:r>
      <w:r>
        <w:t>ordinary</w:t>
      </w:r>
      <w:r w:rsidRPr="00883125">
        <w:t xml:space="preserve"> income </w:t>
      </w:r>
      <w:r>
        <w:t xml:space="preserve">(which includes both cash dividends and the face value of imputation credits to eligible domestic investors) </w:t>
      </w:r>
      <w:r w:rsidRPr="00883125">
        <w:t xml:space="preserve">relative to capital gains. These differential taxation rates heavily influence these "market values" and therefore these market value estimates neither reflect a pre-personal nor post-personal tax value of imputation credits. None of our allowed rate of return parameter estimates </w:t>
      </w:r>
      <w:r>
        <w:t xml:space="preserve">require </w:t>
      </w:r>
      <w:r w:rsidRPr="00883125">
        <w:t xml:space="preserve">an explicit adjustment to make them consistent with the Officer Framework underpinning the rules. That is, they are already appropriate post tax estimates. This is discussed further below in section </w:t>
      </w:r>
      <w:r>
        <w:fldChar w:fldCharType="begin"/>
      </w:r>
      <w:r>
        <w:instrText xml:space="preserve"> REF _Ref450298425 \r \h </w:instrText>
      </w:r>
      <w:r>
        <w:fldChar w:fldCharType="separate"/>
      </w:r>
      <w:r w:rsidR="00A02D8C">
        <w:t>A.8.2</w:t>
      </w:r>
      <w:r>
        <w:fldChar w:fldCharType="end"/>
      </w:r>
      <w:r>
        <w:t>.</w:t>
      </w:r>
    </w:p>
    <w:p w:rsidR="001D37D5" w:rsidRPr="00883125" w:rsidRDefault="001D37D5" w:rsidP="001D37D5">
      <w:r w:rsidRPr="00883125">
        <w:t>Gray also submitted that '[t]he AER then estimates the redemption rate, which it interprets as being consistent with the specific reference to "value" in the Rules in that it is "the number that is adopted" for imputation credits'.</w:t>
      </w:r>
      <w:r w:rsidRPr="00883125">
        <w:rPr>
          <w:rStyle w:val="FootnoteReference"/>
        </w:rPr>
        <w:footnoteReference w:id="318"/>
      </w:r>
      <w:r w:rsidRPr="00883125">
        <w:t xml:space="preserve"> This is also incorrect. In this final decision and our prior decisions we estimate the utilisation rate. Further, nowhere in this final decision or in our prior decisions do we seek to support any aspect of our position with 'specific reference to "value" in the Rules in that it is "the number that is adopted" for imputation credits'.</w:t>
      </w:r>
    </w:p>
    <w:p w:rsidR="001D37D5" w:rsidRPr="00883125" w:rsidRDefault="001D37D5" w:rsidP="001D37D5">
      <w:r w:rsidRPr="00883125">
        <w:t>We also disagree with Gray's view that:</w:t>
      </w:r>
      <w:r w:rsidRPr="00883125">
        <w:rPr>
          <w:rStyle w:val="FootnoteReference"/>
        </w:rPr>
        <w:footnoteReference w:id="319"/>
      </w:r>
    </w:p>
    <w:p w:rsidR="001D37D5" w:rsidRPr="00883125" w:rsidRDefault="001D37D5" w:rsidP="001D37D5">
      <w:pPr>
        <w:pStyle w:val="AERquote"/>
      </w:pPr>
      <w:r w:rsidRPr="00883125">
        <w:t>The AER is not saying that it has identified a number of approaches for estimating the value (as in "worth to investors in the market") of imputation credits. Rather, the AER considers:</w:t>
      </w:r>
    </w:p>
    <w:p w:rsidR="001D37D5" w:rsidRPr="00883125" w:rsidRDefault="001D37D5" w:rsidP="001D37D5">
      <w:pPr>
        <w:pStyle w:val="AERquote"/>
      </w:pPr>
      <w:r w:rsidRPr="00883125">
        <w:t>a) Some approaches for estimating the value (as in "worth to investors in the market") of imputation credits – the market value studies; and</w:t>
      </w:r>
    </w:p>
    <w:p w:rsidR="001D37D5" w:rsidRPr="00883125" w:rsidRDefault="001D37D5" w:rsidP="001D37D5">
      <w:pPr>
        <w:pStyle w:val="AERquote"/>
      </w:pPr>
      <w:r w:rsidRPr="00883125">
        <w:t>b) Some approaches for estimating the redemption rate – the equity ownership and ATO tax statistic approaches.</w:t>
      </w:r>
    </w:p>
    <w:p w:rsidR="001D37D5" w:rsidRPr="00883125" w:rsidRDefault="001D37D5" w:rsidP="001D37D5">
      <w:r w:rsidRPr="00883125">
        <w:t xml:space="preserve">By contrast, the approaches on which we rely in this decision to estimate the utilisation rate are all relevant for the reasons discussed in section </w:t>
      </w:r>
      <w:r>
        <w:fldChar w:fldCharType="begin"/>
      </w:r>
      <w:r>
        <w:instrText xml:space="preserve"> REF _Ref451271627 \r \h </w:instrText>
      </w:r>
      <w:r>
        <w:fldChar w:fldCharType="separate"/>
      </w:r>
      <w:r w:rsidR="00A02D8C">
        <w:t>4.4</w:t>
      </w:r>
      <w:r>
        <w:fldChar w:fldCharType="end"/>
      </w:r>
      <w:r w:rsidRPr="00883125">
        <w:t xml:space="preserve"> of attachment 4.</w:t>
      </w:r>
    </w:p>
    <w:p w:rsidR="001D37D5" w:rsidRPr="00883125" w:rsidRDefault="001D37D5" w:rsidP="001D37D5">
      <w:pPr>
        <w:pStyle w:val="Heading9"/>
      </w:pPr>
      <w:r w:rsidRPr="00883125">
        <w:t>Gray's comments on certain evidence and advice cited in the Guideline</w:t>
      </w:r>
      <w:bookmarkEnd w:id="200"/>
    </w:p>
    <w:p w:rsidR="001D37D5" w:rsidRPr="00883125" w:rsidRDefault="001D37D5" w:rsidP="001D37D5">
      <w:pPr>
        <w:numPr>
          <w:ilvl w:val="0"/>
          <w:numId w:val="24"/>
        </w:numPr>
      </w:pPr>
      <w:r w:rsidRPr="00883125">
        <w:t>In his May 2014 report, Gray (for SFG) set out why it considered that certain evidence cited in the Guideline did not support the position in the Guideline.</w:t>
      </w:r>
      <w:r w:rsidRPr="00883125">
        <w:rPr>
          <w:rStyle w:val="FootnoteReference"/>
        </w:rPr>
        <w:footnoteReference w:id="320"/>
      </w:r>
      <w:r w:rsidRPr="00883125">
        <w:t xml:space="preserve"> This evidence included:</w:t>
      </w:r>
    </w:p>
    <w:p w:rsidR="001D37D5" w:rsidRPr="00883125" w:rsidRDefault="001D37D5" w:rsidP="001D37D5">
      <w:pPr>
        <w:pStyle w:val="AERbulletlistfirststyle"/>
      </w:pPr>
      <w:r w:rsidRPr="00883125">
        <w:lastRenderedPageBreak/>
        <w:t>The AEMC's 2012 rule change</w:t>
      </w:r>
    </w:p>
    <w:p w:rsidR="001D37D5" w:rsidRPr="00883125" w:rsidRDefault="001D37D5" w:rsidP="001D37D5">
      <w:pPr>
        <w:pStyle w:val="AERbulletlistfirststyle"/>
      </w:pPr>
      <w:r w:rsidRPr="00883125">
        <w:t>McKenzie and Partington (2013)</w:t>
      </w:r>
    </w:p>
    <w:p w:rsidR="001D37D5" w:rsidRPr="00883125" w:rsidRDefault="001D37D5" w:rsidP="001D37D5">
      <w:pPr>
        <w:pStyle w:val="AERbulletlistfirststyle"/>
      </w:pPr>
      <w:r w:rsidRPr="00883125">
        <w:t>Handley (2008), and</w:t>
      </w:r>
    </w:p>
    <w:p w:rsidR="001D37D5" w:rsidRPr="00883125" w:rsidRDefault="001D37D5" w:rsidP="001D37D5">
      <w:pPr>
        <w:pStyle w:val="AERbulletlistfirststyle"/>
      </w:pPr>
      <w:r w:rsidRPr="00883125">
        <w:t>Hathaway and Officer (2004).</w:t>
      </w:r>
    </w:p>
    <w:p w:rsidR="001D37D5" w:rsidRPr="00883125" w:rsidRDefault="001D37D5" w:rsidP="001D37D5">
      <w:pPr>
        <w:numPr>
          <w:ilvl w:val="0"/>
          <w:numId w:val="24"/>
        </w:numPr>
      </w:pPr>
      <w:r w:rsidRPr="00883125">
        <w:t>In our decisions released in 2014, we set out why we disagreed with Gray's view on each piece of evidence.</w:t>
      </w:r>
      <w:r w:rsidRPr="00883125">
        <w:rPr>
          <w:rStyle w:val="FootnoteReference"/>
        </w:rPr>
        <w:footnoteReference w:id="321"/>
      </w:r>
      <w:r w:rsidRPr="00883125">
        <w:t xml:space="preserve"> In his February 2015 report (for SFG), Gray set out why his view on this evidence has not changed.</w:t>
      </w:r>
      <w:r w:rsidRPr="00883125">
        <w:rPr>
          <w:rStyle w:val="FootnoteReference"/>
        </w:rPr>
        <w:footnoteReference w:id="322"/>
      </w:r>
      <w:r w:rsidRPr="00883125">
        <w:t xml:space="preserve"> Gray's February 2015 report (for SFG) and</w:t>
      </w:r>
      <w:r>
        <w:t xml:space="preserve"> </w:t>
      </w:r>
      <w:r w:rsidRPr="00883125">
        <w:t xml:space="preserve">June 2015 </w:t>
      </w:r>
      <w:r>
        <w:t xml:space="preserve">and January 2016 </w:t>
      </w:r>
      <w:r w:rsidRPr="00883125">
        <w:t>report (for Frontier) does not change our view as set out in our earlier decisions. It seems that the disagreement between us and Gray regarding this evidence is unlikely to be resolved.</w:t>
      </w:r>
    </w:p>
    <w:p w:rsidR="001D37D5" w:rsidRPr="00883125" w:rsidRDefault="001D37D5" w:rsidP="001D37D5">
      <w:pPr>
        <w:pStyle w:val="Heading9"/>
      </w:pPr>
      <w:bookmarkStart w:id="201" w:name="_Ref414028398"/>
      <w:r w:rsidRPr="00883125">
        <w:t>Gray's comments on Officer (1994)</w:t>
      </w:r>
      <w:bookmarkEnd w:id="201"/>
      <w:r w:rsidRPr="00883125">
        <w:t xml:space="preserve"> </w:t>
      </w:r>
    </w:p>
    <w:p w:rsidR="001D37D5" w:rsidRPr="00883125" w:rsidRDefault="001D37D5" w:rsidP="001D37D5">
      <w:r w:rsidRPr="00883125">
        <w:t>Gray set out his views on Officer's 1994 paper in his May 2014 and February 2015 reports for SFG, and in his June 2015</w:t>
      </w:r>
      <w:r>
        <w:t xml:space="preserve"> and January 2016</w:t>
      </w:r>
      <w:r w:rsidRPr="00883125">
        <w:t xml:space="preserve"> report for Frontier. These views do not change our own view, consistent with the advice of Handley, that the value of imputation credits should be estimated on a before-personal-tax and before-personal-costs basis. We respond to Gray's comments on Officer below.</w:t>
      </w:r>
    </w:p>
    <w:p w:rsidR="001D37D5" w:rsidRPr="00883125" w:rsidRDefault="001D37D5" w:rsidP="001D37D5">
      <w:pPr>
        <w:pStyle w:val="HeadingBoldBlue"/>
      </w:pPr>
      <w:r w:rsidRPr="00883125">
        <w:t>The text in Officer (1994)</w:t>
      </w:r>
    </w:p>
    <w:p w:rsidR="001D37D5" w:rsidRPr="00883125" w:rsidRDefault="001D37D5" w:rsidP="001D37D5">
      <w:r w:rsidRPr="00883125">
        <w:t>Gray (for SFG) submitted that Officer's paper suggests that there are two possible interpretations of gamma:</w:t>
      </w:r>
      <w:r w:rsidRPr="00883125">
        <w:rPr>
          <w:rStyle w:val="FootnoteReference"/>
        </w:rPr>
        <w:footnoteReference w:id="323"/>
      </w:r>
    </w:p>
    <w:p w:rsidR="001D37D5" w:rsidRPr="00883125" w:rsidRDefault="001D37D5" w:rsidP="001D37D5">
      <w:pPr>
        <w:pStyle w:val="AERquote"/>
      </w:pPr>
      <w:r w:rsidRPr="00883125">
        <w:t xml:space="preserve">(a) Officer means gamma to have a </w:t>
      </w:r>
      <w:r w:rsidRPr="00883125">
        <w:rPr>
          <w:rStyle w:val="AERtextitalic"/>
        </w:rPr>
        <w:t>value</w:t>
      </w:r>
      <w:r w:rsidRPr="00883125">
        <w:t xml:space="preserve"> interpretation and that words suggesting a </w:t>
      </w:r>
      <w:r w:rsidRPr="00883125">
        <w:rPr>
          <w:rStyle w:val="AERtextitalic"/>
        </w:rPr>
        <w:t>utilisation</w:t>
      </w:r>
      <w:r w:rsidRPr="00883125">
        <w:t xml:space="preserve"> interpretation were poorly drafted (i.e., the reference to utilisation should be read as simply identifying the source of value); or</w:t>
      </w:r>
    </w:p>
    <w:p w:rsidR="001D37D5" w:rsidRPr="00883125" w:rsidRDefault="001D37D5" w:rsidP="001D37D5">
      <w:pPr>
        <w:pStyle w:val="AERquote"/>
      </w:pPr>
      <w:r w:rsidRPr="00883125">
        <w:t xml:space="preserve">(b) Officer means gamma to have a </w:t>
      </w:r>
      <w:r w:rsidRPr="00883125">
        <w:rPr>
          <w:rStyle w:val="AERtextitalic"/>
        </w:rPr>
        <w:t>utilisation</w:t>
      </w:r>
      <w:r w:rsidRPr="00883125">
        <w:t xml:space="preserve"> interpretation and that words suggesting a </w:t>
      </w:r>
      <w:r w:rsidRPr="00883125">
        <w:rPr>
          <w:rStyle w:val="AERtextitalic"/>
        </w:rPr>
        <w:t>value</w:t>
      </w:r>
      <w:r w:rsidRPr="00883125">
        <w:t xml:space="preserve"> interpretation were poorly drafted (i.e., the reference to value should be read as "the number used for" rather than "worth.</w:t>
      </w:r>
    </w:p>
    <w:p w:rsidR="001D37D5" w:rsidRPr="00883125" w:rsidRDefault="001D37D5" w:rsidP="001D37D5">
      <w:pPr>
        <w:pStyle w:val="AERquote"/>
      </w:pPr>
      <w:r w:rsidRPr="00883125">
        <w:t>I concluded that the value interpretation was plausible and the utilisation/redemption interpretation was not, and set out my reasons for doing so. Nothing in the AER's recent draft decisions lead me to change my conclusion on this point.</w:t>
      </w:r>
    </w:p>
    <w:p w:rsidR="001D37D5" w:rsidRPr="00883125" w:rsidRDefault="001D37D5" w:rsidP="001D37D5">
      <w:r w:rsidRPr="00883125">
        <w:t xml:space="preserve">We do not agree with Gray's opinion. As explained by Handley in his September 2014 report, interpretation of gamma on a before-personal-tax and before-personal-costs basis </w:t>
      </w:r>
      <w:r w:rsidRPr="00883125">
        <w:lastRenderedPageBreak/>
        <w:t>reconciles this apparent inconsistency in Officer;</w:t>
      </w:r>
      <w:r w:rsidRPr="00883125">
        <w:rPr>
          <w:rStyle w:val="FootnoteReference"/>
        </w:rPr>
        <w:footnoteReference w:id="324"/>
      </w:r>
      <w:r w:rsidRPr="00883125">
        <w:t xml:space="preserve"> that is, on this basis the 'value' and 'utilisation' interpretations are consistent. Handley reiterates this in his April 2015 report:</w:t>
      </w:r>
      <w:r w:rsidRPr="00883125">
        <w:rPr>
          <w:rStyle w:val="FootnoteReference"/>
        </w:rPr>
        <w:footnoteReference w:id="325"/>
      </w:r>
    </w:p>
    <w:p w:rsidR="001D37D5" w:rsidRPr="00883125" w:rsidRDefault="001D37D5" w:rsidP="001D37D5">
      <w:pPr>
        <w:pStyle w:val="AERquote"/>
      </w:pPr>
      <w:r w:rsidRPr="00883125">
        <w:t>This is precisely the reason why Officer refers to gamma as the value of franking credits in some parts of the paper, and as the proportion of tax collected from the company which will be rebated against personal tax, in other parts of the paper. These two descriptions are equivalent when one interprets value to mean the value of imputation credits before personal tax and before personal costs.</w:t>
      </w:r>
    </w:p>
    <w:p w:rsidR="001D37D5" w:rsidRPr="00883125" w:rsidRDefault="001D37D5" w:rsidP="001D37D5">
      <w:r w:rsidRPr="00883125">
        <w:t>There would appear to be further support for Handley's view in the first line of footnote 5 of Officer's paper, which seemingly equates the ideas of 'utilisation' and 'value':</w:t>
      </w:r>
      <w:r w:rsidRPr="00883125">
        <w:rPr>
          <w:rStyle w:val="FootnoteReference"/>
        </w:rPr>
        <w:footnoteReference w:id="326"/>
      </w:r>
    </w:p>
    <w:p w:rsidR="001D37D5" w:rsidRPr="00883125" w:rsidRDefault="001D37D5" w:rsidP="001D37D5">
      <w:pPr>
        <w:pStyle w:val="AERquote"/>
      </w:pPr>
      <w:r w:rsidRPr="00883125">
        <w:t xml:space="preserve">For example, if the shareholder can fully utilize the imputation tax credits then ("value") </w:t>
      </w:r>
      <m:oMath>
        <m:r>
          <w:rPr>
            <w:rFonts w:ascii="Cambria Math" w:hAnsi="Cambria Math"/>
          </w:rPr>
          <m:t>γ</m:t>
        </m:r>
      </m:oMath>
      <w:r w:rsidRPr="00883125">
        <w:t xml:space="preserve"> = 1, e.g. a superfund or an Australian resident taxpayer.</w:t>
      </w:r>
    </w:p>
    <w:p w:rsidR="001D37D5" w:rsidRPr="00883125" w:rsidRDefault="001D37D5" w:rsidP="001D37D5">
      <w:r w:rsidRPr="00883125">
        <w:t>Handley also noted:</w:t>
      </w:r>
      <w:r w:rsidRPr="00883125">
        <w:rPr>
          <w:rStyle w:val="FootnoteReference"/>
        </w:rPr>
        <w:footnoteReference w:id="327"/>
      </w:r>
    </w:p>
    <w:p w:rsidR="001D37D5" w:rsidRPr="00883125" w:rsidRDefault="001D37D5" w:rsidP="001D37D5">
      <w:pPr>
        <w:pStyle w:val="AERquote"/>
      </w:pPr>
      <w:r w:rsidRPr="00883125">
        <w:t>It is clear that the Officer WACC valuation framework is a before-personal-tax framework. It is also a before-personal-cost framework in the limited sense that, there is no explicit adjustment (deduction) made to the cash flows or the discount rate for either personal taxes or personal costs.</w:t>
      </w:r>
    </w:p>
    <w:p w:rsidR="001D37D5" w:rsidRPr="00883125" w:rsidRDefault="001D37D5" w:rsidP="001D37D5">
      <w:r w:rsidRPr="00883125">
        <w:t xml:space="preserve">On the other hand, if gamma was intended to reflect investors' personal taxes and costs, then the proportion of company tax returned to investors would never be equivalent to the value to investors per dollar of imputation credits. This is because, on an after-personal-tax and after-personal-costs basis where such taxes and costs were non-negligible, investors would likely value credits at less than their face value. Therefore, there would be no justification for defining gamma, as Officer does, in terms of the proportion of company tax returned to investors. As shown in the earlier quote, Gray attributes such a definition to 'poor drafting'. However, this is unconvincing to us. </w:t>
      </w:r>
    </w:p>
    <w:p w:rsidR="001D37D5" w:rsidRPr="00883125" w:rsidRDefault="001D37D5" w:rsidP="001D37D5">
      <w:r w:rsidRPr="00883125">
        <w:t>Further, if the intended interpretation of gamma is on an after-personal-tax and after-personal-costs basis, then it would seem to make little sense to contemplate, as Officer does in footnote 5 of his paper, an investor having an individual utilisation rate of 1.</w:t>
      </w:r>
      <w:r w:rsidRPr="00883125">
        <w:rPr>
          <w:rStyle w:val="FootnoteReference"/>
        </w:rPr>
        <w:footnoteReference w:id="328"/>
      </w:r>
      <w:r w:rsidRPr="00883125">
        <w:t xml:space="preserve"> Again, this is because, on an after-personal-tax and after-personal-costs basis where such taxes and costs were non-negligible, investors would likely value credits at less than their face value. Conversely, Gray has previously argued that it is difficult to understand why Officer would contemplate in the same footnote the estimation of gamma via dividend drop off studies if the correct interpretation of gamma was as the proportion of company tax returned to </w:t>
      </w:r>
      <w:r w:rsidRPr="00883125">
        <w:lastRenderedPageBreak/>
        <w:t>investors.</w:t>
      </w:r>
      <w:r w:rsidRPr="00883125">
        <w:rPr>
          <w:rStyle w:val="FootnoteReference"/>
        </w:rPr>
        <w:footnoteReference w:id="329"/>
      </w:r>
      <w:r w:rsidRPr="00883125">
        <w:t xml:space="preserve"> However, as we have maintained throughout the Guideline and current determination process, implied market value studies remain a relevant estimation method for gamma. This is because any value attributed to credits which can be inferred from market prices is ultimately derived from the utilisation of those credits.</w:t>
      </w:r>
    </w:p>
    <w:p w:rsidR="001D37D5" w:rsidRPr="00883125" w:rsidRDefault="001D37D5" w:rsidP="001D37D5">
      <w:r w:rsidRPr="00883125">
        <w:t>Finally, our view is supported by Officer's treatment of gamma in the numerical example in the appendix to his paper. Officer describes this numerical example as ‘…designed to help the reader through some of the obstacles to going from theory to practice’:</w:t>
      </w:r>
      <w:r w:rsidRPr="00883125">
        <w:rPr>
          <w:rStyle w:val="FootnoteReference"/>
        </w:rPr>
        <w:footnoteReference w:id="330"/>
      </w:r>
    </w:p>
    <w:p w:rsidR="001D37D5" w:rsidRPr="00883125" w:rsidRDefault="001D37D5" w:rsidP="001D37D5">
      <w:pPr>
        <w:pStyle w:val="AERquote"/>
      </w:pPr>
      <w:r w:rsidRPr="00883125">
        <w:t xml:space="preserve">Assume that 50 percent of the tax collected at the company level represents personal tax, i.e. 50 percent of tax credits can be utilized against personal tax liabilities so that </w:t>
      </w:r>
      <m:oMath>
        <m:r>
          <w:rPr>
            <w:rFonts w:ascii="Cambria Math" w:hAnsi="Cambria Math"/>
          </w:rPr>
          <m:t>γ</m:t>
        </m:r>
      </m:oMath>
      <w:r w:rsidRPr="00883125">
        <w:t xml:space="preserve"> = 0.5.</w:t>
      </w:r>
    </w:p>
    <w:p w:rsidR="001D37D5" w:rsidRPr="00883125" w:rsidRDefault="001D37D5" w:rsidP="001D37D5">
      <w:pPr>
        <w:pStyle w:val="HeadingBoldBlue"/>
      </w:pPr>
      <w:r w:rsidRPr="00883125">
        <w:t>The formulas in Officer (1994)</w:t>
      </w:r>
    </w:p>
    <w:p w:rsidR="001D37D5" w:rsidRPr="00883125" w:rsidRDefault="001D37D5" w:rsidP="001D37D5">
      <w:r w:rsidRPr="00883125">
        <w:t>Gray (for SFG) submitted that the formulas in Officer (1994) support his interpretation of the value of imputation credits:</w:t>
      </w:r>
      <w:r w:rsidRPr="00883125">
        <w:rPr>
          <w:rStyle w:val="FootnoteReference"/>
        </w:rPr>
        <w:footnoteReference w:id="331"/>
      </w:r>
    </w:p>
    <w:p w:rsidR="001D37D5" w:rsidRPr="00883125" w:rsidRDefault="001D37D5" w:rsidP="001D37D5">
      <w:pPr>
        <w:pStyle w:val="AERquote"/>
      </w:pPr>
      <w:r w:rsidRPr="00883125">
        <w:t>…gamma represents the extent to which imputation credits are capitalised into the market value of equity. I note that this is precisely what is estimated by dividend drop-off analysis and other market value studies. The formula shows that one takes the present face value of imputation credits (</w:t>
      </w:r>
      <m:oMath>
        <m:f>
          <m:fPr>
            <m:type m:val="lin"/>
            <m:ctrlPr>
              <w:rPr>
                <w:rFonts w:ascii="Cambria Math" w:hAnsi="Cambria Math"/>
              </w:rPr>
            </m:ctrlPr>
          </m:fPr>
          <m:num>
            <m:r>
              <w:rPr>
                <w:rFonts w:ascii="Cambria Math" w:hAnsi="Cambria Math"/>
              </w:rPr>
              <m:t>IC</m:t>
            </m:r>
          </m:num>
          <m:den>
            <m:sSub>
              <m:sSubPr>
                <m:ctrlPr>
                  <w:rPr>
                    <w:rFonts w:ascii="Cambria Math" w:hAnsi="Cambria Math"/>
                  </w:rPr>
                </m:ctrlPr>
              </m:sSubPr>
              <m:e>
                <m:r>
                  <w:rPr>
                    <w:rFonts w:ascii="Cambria Math" w:hAnsi="Cambria Math"/>
                  </w:rPr>
                  <m:t>r</m:t>
                </m:r>
              </m:e>
              <m:sub>
                <m:r>
                  <w:rPr>
                    <w:rFonts w:ascii="Cambria Math" w:hAnsi="Cambria Math"/>
                  </w:rPr>
                  <m:t>e</m:t>
                </m:r>
              </m:sub>
            </m:sSub>
          </m:den>
        </m:f>
      </m:oMath>
      <w:r w:rsidRPr="00883125">
        <w:t>) and then multiplies by gamma and the result makes up part of the market value of equity.</w:t>
      </w:r>
    </w:p>
    <w:p w:rsidR="001D37D5" w:rsidRPr="00883125" w:rsidRDefault="001D37D5" w:rsidP="001D37D5">
      <w:pPr>
        <w:pStyle w:val="AERquote"/>
      </w:pPr>
      <w:r w:rsidRPr="00883125">
        <w:t>Another way to see this is to rearrange the formula to isolate gamma as follows:</w:t>
      </w:r>
    </w:p>
    <w:p w:rsidR="001D37D5" w:rsidRPr="00883125" w:rsidRDefault="00F470C7" w:rsidP="001D37D5">
      <w:pPr>
        <w:pStyle w:val="AERquote"/>
      </w:pPr>
      <m:oMathPara>
        <m:oMath>
          <m:sSub>
            <m:sSubPr>
              <m:ctrlPr>
                <w:rPr>
                  <w:rFonts w:ascii="Cambria Math" w:hAnsi="Cambria Math"/>
                </w:rPr>
              </m:ctrlPr>
            </m:sSubPr>
            <m:e>
              <m:r>
                <w:rPr>
                  <w:rFonts w:ascii="Cambria Math" w:hAnsi="Cambria Math"/>
                </w:rPr>
                <m:t>E</m:t>
              </m:r>
            </m:e>
            <m:sub>
              <m:r>
                <w:rPr>
                  <w:rFonts w:ascii="Cambria Math" w:hAnsi="Cambria Math"/>
                </w:rPr>
                <m:t>with</m:t>
              </m:r>
              <m:r>
                <m:rPr>
                  <m:sty m:val="p"/>
                </m:rPr>
                <w:rPr>
                  <w:rFonts w:ascii="Cambria Math" w:hAnsi="Cambria Math"/>
                </w:rPr>
                <m:t>-</m:t>
              </m:r>
              <m:r>
                <w:rPr>
                  <w:rFonts w:ascii="Cambria Math" w:hAnsi="Cambria Math"/>
                </w:rPr>
                <m:t>IC</m:t>
              </m:r>
            </m:sub>
          </m:sSub>
          <m:r>
            <m:rPr>
              <m:sty m:val="p"/>
            </m:rPr>
            <w:rPr>
              <w:rFonts w:ascii="Cambria Math" w:hAnsi="Cambria Math"/>
            </w:rPr>
            <m:t>=</m:t>
          </m:r>
          <m:sSub>
            <m:sSubPr>
              <m:ctrlPr>
                <w:rPr>
                  <w:rFonts w:ascii="Cambria Math" w:hAnsi="Cambria Math"/>
                </w:rPr>
              </m:ctrlPr>
            </m:sSubPr>
            <m:e>
              <m:r>
                <w:rPr>
                  <w:rFonts w:ascii="Cambria Math" w:hAnsi="Cambria Math"/>
                </w:rPr>
                <m:t>E</m:t>
              </m:r>
            </m:e>
            <m:sub>
              <m:r>
                <w:rPr>
                  <w:rFonts w:ascii="Cambria Math" w:hAnsi="Cambria Math"/>
                </w:rPr>
                <m:t>ex</m:t>
              </m:r>
              <m:r>
                <m:rPr>
                  <m:sty m:val="p"/>
                </m:rPr>
                <w:rPr>
                  <w:rFonts w:ascii="Cambria Math" w:hAnsi="Cambria Math"/>
                </w:rPr>
                <m:t>-</m:t>
              </m:r>
              <m:r>
                <w:rPr>
                  <w:rFonts w:ascii="Cambria Math" w:hAnsi="Cambria Math"/>
                </w:rPr>
                <m:t>IC</m:t>
              </m:r>
            </m:sub>
          </m:sSub>
          <m:r>
            <m:rPr>
              <m:sty m:val="p"/>
            </m:rPr>
            <w:rPr>
              <w:rFonts w:ascii="Cambria Math" w:hAnsi="Cambria Math"/>
            </w:rPr>
            <m:t>+</m:t>
          </m:r>
          <m:r>
            <w:rPr>
              <w:rFonts w:ascii="Cambria Math" w:hAnsi="Cambria Math"/>
            </w:rPr>
            <m:t>γ</m:t>
          </m:r>
          <m:f>
            <m:fPr>
              <m:ctrlPr>
                <w:rPr>
                  <w:rFonts w:ascii="Cambria Math" w:hAnsi="Cambria Math"/>
                </w:rPr>
              </m:ctrlPr>
            </m:fPr>
            <m:num>
              <m:r>
                <w:rPr>
                  <w:rFonts w:ascii="Cambria Math" w:hAnsi="Cambria Math"/>
                </w:rPr>
                <m:t>IC</m:t>
              </m:r>
            </m:num>
            <m:den>
              <m:sSub>
                <m:sSubPr>
                  <m:ctrlPr>
                    <w:rPr>
                      <w:rFonts w:ascii="Cambria Math" w:hAnsi="Cambria Math"/>
                    </w:rPr>
                  </m:ctrlPr>
                </m:sSubPr>
                <m:e>
                  <m:r>
                    <w:rPr>
                      <w:rFonts w:ascii="Cambria Math" w:hAnsi="Cambria Math"/>
                    </w:rPr>
                    <m:t>r</m:t>
                  </m:r>
                </m:e>
                <m:sub>
                  <m:r>
                    <w:rPr>
                      <w:rFonts w:ascii="Cambria Math" w:hAnsi="Cambria Math"/>
                    </w:rPr>
                    <m:t>e</m:t>
                  </m:r>
                </m:sub>
              </m:sSub>
            </m:den>
          </m:f>
        </m:oMath>
      </m:oMathPara>
    </w:p>
    <w:p w:rsidR="001D37D5" w:rsidRPr="00883125" w:rsidRDefault="001D37D5" w:rsidP="001D37D5">
      <w:pPr>
        <w:pStyle w:val="AERquote"/>
      </w:pPr>
      <w:r w:rsidRPr="00883125">
        <w:t xml:space="preserve">where </w:t>
      </w:r>
      <m:oMath>
        <m:sSub>
          <m:sSubPr>
            <m:ctrlPr>
              <w:rPr>
                <w:rFonts w:ascii="Cambria Math" w:hAnsi="Cambria Math"/>
              </w:rPr>
            </m:ctrlPr>
          </m:sSubPr>
          <m:e>
            <m:r>
              <w:rPr>
                <w:rFonts w:ascii="Cambria Math" w:hAnsi="Cambria Math"/>
              </w:rPr>
              <m:t>E</m:t>
            </m:r>
          </m:e>
          <m:sub>
            <m:r>
              <w:rPr>
                <w:rFonts w:ascii="Cambria Math" w:hAnsi="Cambria Math"/>
              </w:rPr>
              <m:t>with</m:t>
            </m:r>
            <m:r>
              <m:rPr>
                <m:sty m:val="p"/>
              </m:rPr>
              <w:rPr>
                <w:rFonts w:ascii="Cambria Math" w:hAnsi="Cambria Math"/>
              </w:rPr>
              <m:t>-</m:t>
            </m:r>
            <m:r>
              <w:rPr>
                <w:rFonts w:ascii="Cambria Math" w:hAnsi="Cambria Math"/>
              </w:rPr>
              <m:t>IC</m:t>
            </m:r>
          </m:sub>
        </m:sSub>
      </m:oMath>
      <w:r w:rsidRPr="00883125">
        <w:t xml:space="preserve"> represents the market value of equity including imputation credits, </w:t>
      </w:r>
      <m:oMath>
        <m:sSub>
          <m:sSubPr>
            <m:ctrlPr>
              <w:rPr>
                <w:rFonts w:ascii="Cambria Math" w:hAnsi="Cambria Math"/>
              </w:rPr>
            </m:ctrlPr>
          </m:sSubPr>
          <m:e>
            <m:r>
              <w:rPr>
                <w:rFonts w:ascii="Cambria Math" w:hAnsi="Cambria Math"/>
              </w:rPr>
              <m:t>E</m:t>
            </m:r>
          </m:e>
          <m:sub>
            <m:r>
              <w:rPr>
                <w:rFonts w:ascii="Cambria Math" w:hAnsi="Cambria Math"/>
              </w:rPr>
              <m:t>ex</m:t>
            </m:r>
            <m:r>
              <m:rPr>
                <m:sty m:val="p"/>
              </m:rPr>
              <w:rPr>
                <w:rFonts w:ascii="Cambria Math" w:hAnsi="Cambria Math"/>
              </w:rPr>
              <m:t>-</m:t>
            </m:r>
            <m:r>
              <w:rPr>
                <w:rFonts w:ascii="Cambria Math" w:hAnsi="Cambria Math"/>
              </w:rPr>
              <m:t>IC</m:t>
            </m:r>
          </m:sub>
        </m:sSub>
      </m:oMath>
      <w:r w:rsidRPr="00883125">
        <w:t xml:space="preserve"> represents the market value of equity excluding imputation credits and </w:t>
      </w:r>
      <m:oMath>
        <m:f>
          <m:fPr>
            <m:type m:val="lin"/>
            <m:ctrlPr>
              <w:rPr>
                <w:rFonts w:ascii="Cambria Math" w:hAnsi="Cambria Math"/>
              </w:rPr>
            </m:ctrlPr>
          </m:fPr>
          <m:num>
            <m:r>
              <w:rPr>
                <w:rFonts w:ascii="Cambria Math" w:hAnsi="Cambria Math"/>
              </w:rPr>
              <m:t>IC</m:t>
            </m:r>
          </m:num>
          <m:den>
            <m:sSub>
              <m:sSubPr>
                <m:ctrlPr>
                  <w:rPr>
                    <w:rFonts w:ascii="Cambria Math" w:hAnsi="Cambria Math"/>
                  </w:rPr>
                </m:ctrlPr>
              </m:sSubPr>
              <m:e>
                <m:r>
                  <w:rPr>
                    <w:rFonts w:ascii="Cambria Math" w:hAnsi="Cambria Math"/>
                  </w:rPr>
                  <m:t>r</m:t>
                </m:r>
              </m:e>
              <m:sub>
                <m:r>
                  <w:rPr>
                    <w:rFonts w:ascii="Cambria Math" w:hAnsi="Cambria Math"/>
                  </w:rPr>
                  <m:t>e</m:t>
                </m:r>
              </m:sub>
            </m:sSub>
          </m:den>
        </m:f>
      </m:oMath>
      <w:r w:rsidRPr="00883125">
        <w:t xml:space="preserve"> represents the present face value of imputation credits. It is clear in this formula that gamma does not represent the proportion of imputation credits that might be redeemed, but the extent to which imputation credits increase the market value of equity.</w:t>
      </w:r>
    </w:p>
    <w:p w:rsidR="001D37D5" w:rsidRPr="00883125" w:rsidRDefault="001D37D5" w:rsidP="001D37D5">
      <w:r w:rsidRPr="00883125">
        <w:t>Handley reviewed Gray's submission and considered:</w:t>
      </w:r>
      <w:r w:rsidRPr="00883125">
        <w:rPr>
          <w:rStyle w:val="FootnoteReference"/>
        </w:rPr>
        <w:footnoteReference w:id="332"/>
      </w:r>
    </w:p>
    <w:p w:rsidR="001D37D5" w:rsidRPr="00883125" w:rsidRDefault="001D37D5" w:rsidP="001D37D5">
      <w:pPr>
        <w:pStyle w:val="AERquote"/>
      </w:pPr>
      <w:r w:rsidRPr="00883125">
        <w:t xml:space="preserve">SFG (2015 para. 124-135) also suggests that the mathematical formulae in Officer (1994) support a value interpretation of gamma but not a redemption value interpretation since: </w:t>
      </w:r>
      <w:r w:rsidRPr="00883125">
        <w:rPr>
          <w:rStyle w:val="AERtextitalic"/>
        </w:rPr>
        <w:t>“It is clear in this formula [para.127] that gamma represents … the extent to which imputation credits increase the market value of equity”</w:t>
      </w:r>
      <w:r w:rsidRPr="00883125">
        <w:t xml:space="preserve">. There is no dispute that the (market) value of credits are capitalised into stock prices – this is </w:t>
      </w:r>
      <w:r w:rsidRPr="00883125">
        <w:lastRenderedPageBreak/>
        <w:t>clear from equation (2) [in Handley's report]. However, SFG fails to see that within Officer’s framework it is the before personal tax and before personal costs value of a credit – the redemption value – which is the item being capitalised.</w:t>
      </w:r>
    </w:p>
    <w:p w:rsidR="001D37D5" w:rsidRPr="00883125" w:rsidRDefault="001D37D5" w:rsidP="001D37D5">
      <w:r w:rsidRPr="00883125">
        <w:t>Thus, Handley appeared to agree with Gray that the formulas in Officer indicated that the value of imputation credits is capitalised into stock prices. However, Handley considers (for the reasons set out in the previous sub-section) that it is the before-personal-tax and before-personal-costs value which is capitalised into the stock price in Officer's framework. As also set out in the previous sub-section, we agree with Handley's interpretation of the Officer framework.</w:t>
      </w:r>
    </w:p>
    <w:p w:rsidR="001D37D5" w:rsidRPr="00883125" w:rsidRDefault="001D37D5" w:rsidP="001D37D5">
      <w:pPr>
        <w:pStyle w:val="HeadingBoldBlue"/>
      </w:pPr>
      <w:r w:rsidRPr="00883125">
        <w:t>Interpretation of gamma in textbooks</w:t>
      </w:r>
    </w:p>
    <w:p w:rsidR="001D37D5" w:rsidRPr="00883125" w:rsidRDefault="001D37D5" w:rsidP="001D37D5">
      <w:r w:rsidRPr="00883125">
        <w:t>In his June 2015 report (for Frontier), Gray stated:</w:t>
      </w:r>
      <w:r w:rsidRPr="00883125">
        <w:rPr>
          <w:rStyle w:val="FootnoteReference"/>
        </w:rPr>
        <w:footnoteReference w:id="333"/>
      </w:r>
    </w:p>
    <w:p w:rsidR="001D37D5" w:rsidRPr="00883125" w:rsidRDefault="001D37D5" w:rsidP="001D37D5">
      <w:pPr>
        <w:pStyle w:val="AERquote"/>
      </w:pPr>
      <w:r w:rsidRPr="00883125">
        <w:t>I am unaware of any published work that interprets gamma in terms of the redemption rate.</w:t>
      </w:r>
    </w:p>
    <w:p w:rsidR="001D37D5" w:rsidRPr="00883125" w:rsidRDefault="001D37D5" w:rsidP="001D37D5">
      <w:r w:rsidRPr="00883125">
        <w:t>However, there are several textbooks that describe gamma in a manner consistent with our understanding. For example, Peirson et al (2009):</w:t>
      </w:r>
      <w:r w:rsidRPr="00883125">
        <w:rPr>
          <w:rStyle w:val="FootnoteReference"/>
        </w:rPr>
        <w:footnoteReference w:id="334"/>
      </w:r>
    </w:p>
    <w:p w:rsidR="001D37D5" w:rsidRPr="00883125" w:rsidRDefault="001D37D5" w:rsidP="001D37D5">
      <w:pPr>
        <w:pStyle w:val="AERquote"/>
      </w:pPr>
      <w:r w:rsidRPr="00883125">
        <w:t xml:space="preserve">Officer (1994) discussed several alternative ways of defining net cash flows and the cost of capital under imputation. One way to define the after-tax cash flows is that they are equal to the before-tax cash flows multiplied by </w:t>
      </w:r>
      <m:oMath>
        <m:d>
          <m:dPr>
            <m:ctrlPr>
              <w:rPr>
                <w:rFonts w:ascii="Cambria Math" w:hAnsi="Cambria Math"/>
              </w:rPr>
            </m:ctrlPr>
          </m:dPr>
          <m:e>
            <m:r>
              <w:rPr>
                <w:rFonts w:ascii="Cambria Math" w:hAnsi="Cambria Math"/>
              </w:rPr>
              <m:t>1-</m:t>
            </m:r>
            <m:sSub>
              <m:sSubPr>
                <m:ctrlPr>
                  <w:rPr>
                    <w:rFonts w:ascii="Cambria Math" w:hAnsi="Cambria Math"/>
                  </w:rPr>
                </m:ctrlPr>
              </m:sSubPr>
              <m:e>
                <m:r>
                  <w:rPr>
                    <w:rFonts w:ascii="Cambria Math" w:hAnsi="Cambria Math"/>
                  </w:rPr>
                  <m:t>t</m:t>
                </m:r>
              </m:e>
              <m:sub>
                <m:r>
                  <w:rPr>
                    <w:rFonts w:ascii="Cambria Math" w:hAnsi="Cambria Math"/>
                  </w:rPr>
                  <m:t>e</m:t>
                </m:r>
              </m:sub>
            </m:sSub>
          </m:e>
        </m:d>
      </m:oMath>
      <w:r w:rsidRPr="00883125">
        <w:t xml:space="preserve">, where </w:t>
      </w:r>
      <m:oMath>
        <m:sSub>
          <m:sSubPr>
            <m:ctrlPr>
              <w:rPr>
                <w:rFonts w:ascii="Cambria Math" w:hAnsi="Cambria Math"/>
              </w:rPr>
            </m:ctrlPr>
          </m:sSubPr>
          <m:e>
            <m:r>
              <w:rPr>
                <w:rFonts w:ascii="Cambria Math" w:hAnsi="Cambria Math"/>
              </w:rPr>
              <m:t>t</m:t>
            </m:r>
          </m:e>
          <m:sub>
            <m:r>
              <w:rPr>
                <w:rFonts w:ascii="Cambria Math" w:hAnsi="Cambria Math"/>
              </w:rPr>
              <m:t>e</m:t>
            </m:r>
          </m:sub>
        </m:sSub>
      </m:oMath>
      <w:r w:rsidRPr="00883125">
        <w:t xml:space="preserve"> is the </w:t>
      </w:r>
      <w:r w:rsidRPr="00883125">
        <w:rPr>
          <w:rStyle w:val="AERtextitalic"/>
        </w:rPr>
        <w:t>effective</w:t>
      </w:r>
      <w:r w:rsidRPr="00883125">
        <w:t xml:space="preserve"> company income tax rate. The effective company tax rate is </w:t>
      </w:r>
      <m:oMath>
        <m:sSub>
          <m:sSubPr>
            <m:ctrlPr>
              <w:rPr>
                <w:rFonts w:ascii="Cambria Math" w:hAnsi="Cambria Math"/>
              </w:rPr>
            </m:ctrlPr>
          </m:sSubPr>
          <m:e>
            <m:r>
              <w:rPr>
                <w:rFonts w:ascii="Cambria Math" w:hAnsi="Cambria Math"/>
              </w:rPr>
              <m:t>t</m:t>
            </m:r>
          </m:e>
          <m:sub>
            <m:r>
              <w:rPr>
                <w:rFonts w:ascii="Cambria Math" w:hAnsi="Cambria Math"/>
              </w:rPr>
              <m:t>e</m:t>
            </m:r>
          </m:sub>
        </m:sSub>
        <m:r>
          <w:rPr>
            <w:rFonts w:ascii="Cambria Math" w:hAnsi="Cambria Math"/>
          </w:rPr>
          <m:t>=</m:t>
        </m:r>
        <m:sSub>
          <m:sSubPr>
            <m:ctrlPr>
              <w:rPr>
                <w:rFonts w:ascii="Cambria Math" w:hAnsi="Cambria Math"/>
              </w:rPr>
            </m:ctrlPr>
          </m:sSubPr>
          <m:e>
            <m:r>
              <w:rPr>
                <w:rFonts w:ascii="Cambria Math" w:hAnsi="Cambria Math"/>
              </w:rPr>
              <m:t>t</m:t>
            </m:r>
          </m:e>
          <m:sub>
            <m:r>
              <w:rPr>
                <w:rFonts w:ascii="Cambria Math" w:hAnsi="Cambria Math"/>
              </w:rPr>
              <m:t>c</m:t>
            </m:r>
          </m:sub>
        </m:sSub>
        <m:d>
          <m:dPr>
            <m:ctrlPr>
              <w:rPr>
                <w:rFonts w:ascii="Cambria Math" w:hAnsi="Cambria Math"/>
              </w:rPr>
            </m:ctrlPr>
          </m:dPr>
          <m:e>
            <m:r>
              <w:rPr>
                <w:rFonts w:ascii="Cambria Math" w:hAnsi="Cambria Math"/>
              </w:rPr>
              <m:t>1-γ</m:t>
            </m:r>
          </m:e>
        </m:d>
      </m:oMath>
      <w:r w:rsidRPr="00883125">
        <w:t xml:space="preserve">, where </w:t>
      </w:r>
      <m:oMath>
        <m:sSub>
          <m:sSubPr>
            <m:ctrlPr>
              <w:rPr>
                <w:rFonts w:ascii="Cambria Math" w:hAnsi="Cambria Math"/>
              </w:rPr>
            </m:ctrlPr>
          </m:sSubPr>
          <m:e>
            <m:r>
              <w:rPr>
                <w:rFonts w:ascii="Cambria Math" w:hAnsi="Cambria Math"/>
              </w:rPr>
              <m:t>t</m:t>
            </m:r>
          </m:e>
          <m:sub>
            <m:r>
              <w:rPr>
                <w:rFonts w:ascii="Cambria Math" w:hAnsi="Cambria Math"/>
              </w:rPr>
              <m:t>c</m:t>
            </m:r>
          </m:sub>
        </m:sSub>
      </m:oMath>
      <w:r w:rsidRPr="00883125">
        <w:t xml:space="preserve"> is the statutory company tax rate and </w:t>
      </w:r>
      <m:oMath>
        <m:r>
          <w:rPr>
            <w:rFonts w:ascii="Cambria Math" w:hAnsi="Cambria Math"/>
          </w:rPr>
          <m:t>γ</m:t>
        </m:r>
      </m:oMath>
      <w:r w:rsidRPr="00883125">
        <w:t xml:space="preserve"> represents the proportion of the tax collected from a company that is paid out to shareholders and recovered through tax credits associated with franked dividends.</w:t>
      </w:r>
    </w:p>
    <w:p w:rsidR="001D37D5" w:rsidRPr="00883125" w:rsidRDefault="001D37D5" w:rsidP="001D37D5">
      <w:pPr>
        <w:pStyle w:val="AERquote"/>
      </w:pPr>
      <w:r w:rsidRPr="00883125">
        <w:t>…</w:t>
      </w:r>
    </w:p>
    <w:p w:rsidR="001D37D5" w:rsidRPr="00883125" w:rsidRDefault="001D37D5" w:rsidP="001D37D5">
      <w:pPr>
        <w:pStyle w:val="AERquote"/>
      </w:pPr>
      <w:r w:rsidRPr="00883125">
        <w:t xml:space="preserve">For example, if…the company income tax rate is 30 cents in the dollar, and 60 per cent of the tax collected from the company is claimed as a credit by shareholders, then the effective company tax rate is </w:t>
      </w:r>
      <m:oMath>
        <m:r>
          <w:rPr>
            <w:rFonts w:ascii="Cambria Math" w:hAnsi="Cambria Math"/>
          </w:rPr>
          <m:t>0.30</m:t>
        </m:r>
        <m:d>
          <m:dPr>
            <m:ctrlPr>
              <w:rPr>
                <w:rFonts w:ascii="Cambria Math" w:hAnsi="Cambria Math"/>
              </w:rPr>
            </m:ctrlPr>
          </m:dPr>
          <m:e>
            <m:r>
              <w:rPr>
                <w:rFonts w:ascii="Cambria Math" w:hAnsi="Cambria Math"/>
              </w:rPr>
              <m:t>1-0.6</m:t>
            </m:r>
          </m:e>
        </m:d>
        <m:r>
          <w:rPr>
            <w:rFonts w:ascii="Cambria Math" w:hAnsi="Cambria Math"/>
          </w:rPr>
          <m:t>=0.12</m:t>
        </m:r>
      </m:oMath>
      <w:r>
        <w:t>.</w:t>
      </w:r>
      <w:r w:rsidRPr="00883125">
        <w:t>.</w:t>
      </w:r>
    </w:p>
    <w:p w:rsidR="001D37D5" w:rsidRPr="00883125" w:rsidRDefault="001D37D5" w:rsidP="001D37D5">
      <w:r w:rsidRPr="00883125">
        <w:t>Berk et al (2014):</w:t>
      </w:r>
      <w:r w:rsidRPr="00883125">
        <w:rPr>
          <w:rStyle w:val="FootnoteReference"/>
        </w:rPr>
        <w:footnoteReference w:id="335"/>
      </w:r>
    </w:p>
    <w:p w:rsidR="001D37D5" w:rsidRPr="00883125" w:rsidRDefault="001D37D5" w:rsidP="001D37D5">
      <w:pPr>
        <w:pStyle w:val="AERquote"/>
      </w:pPr>
      <w:r w:rsidRPr="00883125">
        <w:t>In a 1994 study, Officer shows that for valuation purposes the cost of equity under an imputation system should be adjusted by a factor equal to:</w:t>
      </w:r>
    </w:p>
    <w:p w:rsidR="001D37D5" w:rsidRPr="00883125" w:rsidRDefault="00F470C7" w:rsidP="001D37D5">
      <w:pPr>
        <w:pStyle w:val="AERquote"/>
      </w:pPr>
      <m:oMathPara>
        <m:oMath>
          <m:f>
            <m:fPr>
              <m:ctrlPr>
                <w:rPr>
                  <w:rFonts w:ascii="Cambria Math" w:hAnsi="Cambria Math"/>
                </w:rPr>
              </m:ctrlPr>
            </m:fPr>
            <m:num>
              <m:r>
                <w:rPr>
                  <w:rFonts w:ascii="Cambria Math" w:hAnsi="Cambria Math"/>
                </w:rPr>
                <m:t>1-T</m:t>
              </m:r>
            </m:num>
            <m:den>
              <m:r>
                <w:rPr>
                  <w:rFonts w:ascii="Cambria Math" w:hAnsi="Cambria Math"/>
                </w:rPr>
                <m:t>1-T</m:t>
              </m:r>
              <m:d>
                <m:dPr>
                  <m:ctrlPr>
                    <w:rPr>
                      <w:rFonts w:ascii="Cambria Math" w:hAnsi="Cambria Math"/>
                    </w:rPr>
                  </m:ctrlPr>
                </m:dPr>
                <m:e>
                  <m:r>
                    <w:rPr>
                      <w:rFonts w:ascii="Cambria Math" w:hAnsi="Cambria Math"/>
                    </w:rPr>
                    <m:t>1-γ</m:t>
                  </m:r>
                </m:e>
              </m:d>
            </m:den>
          </m:f>
        </m:oMath>
      </m:oMathPara>
    </w:p>
    <w:p w:rsidR="001D37D5" w:rsidRPr="00883125" w:rsidRDefault="001D37D5" w:rsidP="001D37D5">
      <w:pPr>
        <w:pStyle w:val="AERquote"/>
      </w:pPr>
      <w:r w:rsidRPr="00883125">
        <w:lastRenderedPageBreak/>
        <w:t xml:space="preserve">where </w:t>
      </w:r>
      <m:oMath>
        <m:r>
          <w:rPr>
            <w:rFonts w:ascii="Cambria Math" w:hAnsi="Cambria Math"/>
          </w:rPr>
          <m:t>T</m:t>
        </m:r>
      </m:oMath>
      <w:r w:rsidRPr="00883125">
        <w:t xml:space="preserve"> represents the effective corporate tax rate and </w:t>
      </w:r>
      <m:oMath>
        <m:d>
          <m:dPr>
            <m:ctrlPr>
              <w:rPr>
                <w:rFonts w:ascii="Cambria Math" w:hAnsi="Cambria Math"/>
              </w:rPr>
            </m:ctrlPr>
          </m:dPr>
          <m:e>
            <m:r>
              <w:rPr>
                <w:rFonts w:ascii="Cambria Math" w:hAnsi="Cambria Math"/>
              </w:rPr>
              <m:t>γ</m:t>
            </m:r>
          </m:e>
        </m:d>
      </m:oMath>
      <w:r w:rsidRPr="00883125">
        <w:t xml:space="preserve"> represents the proportion of tax collected from the firm that will be rebated against personal tax in the hands of shareholders.</w:t>
      </w:r>
    </w:p>
    <w:p w:rsidR="001D37D5" w:rsidRPr="00883125" w:rsidRDefault="001D37D5" w:rsidP="001D37D5">
      <w:r w:rsidRPr="00883125">
        <w:t>Gitman et al (2011):</w:t>
      </w:r>
      <w:r w:rsidRPr="00883125">
        <w:rPr>
          <w:rStyle w:val="FootnoteReference"/>
        </w:rPr>
        <w:footnoteReference w:id="336"/>
      </w:r>
    </w:p>
    <w:p w:rsidR="001D37D5" w:rsidRPr="00883125" w:rsidRDefault="001D37D5" w:rsidP="001D37D5">
      <w:pPr>
        <w:pStyle w:val="AERquote"/>
      </w:pPr>
      <w:r w:rsidRPr="00883125">
        <w:t xml:space="preserve">If we let </w:t>
      </w:r>
      <m:oMath>
        <m:r>
          <w:rPr>
            <w:rFonts w:ascii="Cambria Math" w:hAnsi="Cambria Math"/>
          </w:rPr>
          <m:t>γ</m:t>
        </m:r>
      </m:oMath>
      <w:r w:rsidRPr="00883125">
        <w:t xml:space="preserve"> be the proportion of company income tax that can be used by shareholders to offset their personal income tax liabilities…</w:t>
      </w:r>
    </w:p>
    <w:p w:rsidR="001D37D5" w:rsidRPr="00883125" w:rsidRDefault="001D37D5" w:rsidP="001D37D5">
      <w:pPr>
        <w:pStyle w:val="AERquote"/>
      </w:pPr>
      <w:r w:rsidRPr="00883125">
        <w:t>…</w:t>
      </w:r>
    </w:p>
    <w:p w:rsidR="001D37D5" w:rsidRPr="00883125" w:rsidRDefault="001D37D5" w:rsidP="001D37D5">
      <w:pPr>
        <w:pStyle w:val="AERquote"/>
      </w:pPr>
      <w:r w:rsidRPr="00883125">
        <w:t xml:space="preserve">With dividend imputation, the calculation of the weighted average cost of capital depends heavily on the estimate of </w:t>
      </w:r>
      <m:oMath>
        <m:r>
          <w:rPr>
            <w:rFonts w:ascii="Cambria Math" w:hAnsi="Cambria Math"/>
          </w:rPr>
          <m:t>γ</m:t>
        </m:r>
      </m:oMath>
      <w:r w:rsidRPr="00883125">
        <w:t xml:space="preserve">. For a good estimate of </w:t>
      </w:r>
      <m:oMath>
        <m:r>
          <w:rPr>
            <w:rFonts w:ascii="Cambria Math" w:hAnsi="Cambria Math"/>
          </w:rPr>
          <m:t>γ</m:t>
        </m:r>
      </m:oMath>
      <w:r w:rsidRPr="00883125">
        <w:t xml:space="preserve"> we would need to know the proportion of company income that has borne Australian income tax, and the proportion of the company's shareholders who were Australian residents who could benefit from dividend imputation.</w:t>
      </w:r>
    </w:p>
    <w:p w:rsidR="001D37D5" w:rsidRPr="00883125" w:rsidRDefault="001D37D5" w:rsidP="001D37D5">
      <w:r w:rsidRPr="00883125">
        <w:t>Gray quoted approvingly from a textbook co-authored by Partington in 2000, but none of the statements quoted contradict our understanding of gamma. For instance, Gray quoted:</w:t>
      </w:r>
      <w:r w:rsidRPr="00883125">
        <w:rPr>
          <w:rStyle w:val="FootnoteReference"/>
        </w:rPr>
        <w:footnoteReference w:id="337"/>
      </w:r>
    </w:p>
    <w:p w:rsidR="001D37D5" w:rsidRPr="00883125" w:rsidRDefault="001D37D5" w:rsidP="001D37D5">
      <w:pPr>
        <w:pStyle w:val="AERquote"/>
      </w:pPr>
      <m:oMath>
        <m:r>
          <w:rPr>
            <w:rFonts w:ascii="Cambria Math" w:hAnsi="Cambria Math"/>
          </w:rPr>
          <m:t>γ</m:t>
        </m:r>
      </m:oMath>
      <w:r w:rsidRPr="00883125">
        <w:t xml:space="preserve"> = the market value of franking credits as a percentage of face value.</w:t>
      </w:r>
    </w:p>
    <w:p w:rsidR="001D37D5" w:rsidRPr="00883125" w:rsidRDefault="001D37D5" w:rsidP="001D37D5">
      <w:r w:rsidRPr="00883125">
        <w:t>However, there is no dispute here. As Handley explained:</w:t>
      </w:r>
      <w:r w:rsidRPr="00883125">
        <w:rPr>
          <w:rStyle w:val="FootnoteReference"/>
        </w:rPr>
        <w:footnoteReference w:id="338"/>
      </w:r>
    </w:p>
    <w:p w:rsidR="001D37D5" w:rsidRPr="00883125" w:rsidRDefault="001D37D5" w:rsidP="001D37D5">
      <w:pPr>
        <w:pStyle w:val="AERquote"/>
      </w:pPr>
      <w:r w:rsidRPr="00883125">
        <w:t>Implicit in Officer's WACC framework (and the standard classical tax WACC framework) is the notion of market value and so the relevant measure of utilisation value is that value as determined by the market – in other words it is not the utilisation value of a credit to any single investor or the utilisation value to any single class of investors that we want but rather the utilisation value to the market as a whole. In contrast, much of the current debate appears to incorrectly suggest that market value and utilisation value are alternative concepts for this purpose.</w:t>
      </w:r>
    </w:p>
    <w:p w:rsidR="001D37D5" w:rsidRPr="00883125" w:rsidRDefault="001D37D5" w:rsidP="001D37D5">
      <w:r w:rsidRPr="00883125">
        <w:t>Moreover, there are other references to gamma in Partington's textbook that accord more closely with the characterisation in Officer's paper:</w:t>
      </w:r>
    </w:p>
    <w:p w:rsidR="001D37D5" w:rsidRPr="00883125" w:rsidRDefault="001D37D5" w:rsidP="001D37D5">
      <w:pPr>
        <w:pStyle w:val="AERquote"/>
      </w:pPr>
      <m:oMath>
        <m:r>
          <w:rPr>
            <w:rFonts w:ascii="Cambria Math" w:hAnsi="Cambria Math"/>
          </w:rPr>
          <m:t>γ</m:t>
        </m:r>
      </m:oMath>
      <w:r w:rsidRPr="00883125">
        <w:t xml:space="preserve"> = the proportion of corporate tax recovered by investors through imputation tax credits.</w:t>
      </w:r>
      <w:r w:rsidRPr="00883125">
        <w:rPr>
          <w:rStyle w:val="FootnoteReference"/>
        </w:rPr>
        <w:footnoteReference w:id="339"/>
      </w:r>
    </w:p>
    <w:p w:rsidR="001D37D5" w:rsidRPr="00883125" w:rsidRDefault="001D37D5" w:rsidP="001D37D5">
      <w:pPr>
        <w:pStyle w:val="AERquote"/>
      </w:pPr>
    </w:p>
    <w:p w:rsidR="001D37D5" w:rsidRPr="00883125" w:rsidRDefault="001D37D5" w:rsidP="001D37D5">
      <w:pPr>
        <w:pStyle w:val="AERquote"/>
      </w:pPr>
      <w:r w:rsidRPr="00883125">
        <w:t xml:space="preserve">We assume a 100 per cent dividend payout and full use of imputation credits </w:t>
      </w:r>
      <m:oMath>
        <m:d>
          <m:dPr>
            <m:ctrlPr>
              <w:rPr>
                <w:rFonts w:ascii="Cambria Math" w:hAnsi="Cambria Math"/>
              </w:rPr>
            </m:ctrlPr>
          </m:dPr>
          <m:e>
            <m:r>
              <w:rPr>
                <w:rFonts w:ascii="Cambria Math" w:hAnsi="Cambria Math"/>
              </w:rPr>
              <m:t>γ=1</m:t>
            </m:r>
          </m:e>
        </m:d>
      </m:oMath>
      <w:r w:rsidRPr="00883125">
        <w:t xml:space="preserve">…However, 100 per cent payout and full use of imputation credits are unrealistic assumptions. It is more realistic to assume that about 50 to 60 per cent of profits are </w:t>
      </w:r>
      <w:r w:rsidRPr="00883125">
        <w:lastRenderedPageBreak/>
        <w:t>paid out as dividends. Of the imputation credits attached to those dividends only about 50 to 60 per cent will be claimed by investors to offset their tax liabilities.</w:t>
      </w:r>
      <w:r w:rsidRPr="00883125">
        <w:rPr>
          <w:rStyle w:val="FootnoteReference"/>
        </w:rPr>
        <w:footnoteReference w:id="340"/>
      </w:r>
    </w:p>
    <w:p w:rsidR="001D37D5" w:rsidRPr="00883125" w:rsidRDefault="001D37D5" w:rsidP="001D37D5">
      <w:r w:rsidRPr="00883125">
        <w:t>Gray also quoted:</w:t>
      </w:r>
      <w:r w:rsidRPr="00883125">
        <w:rPr>
          <w:rStyle w:val="FootnoteReference"/>
        </w:rPr>
        <w:footnoteReference w:id="341"/>
      </w:r>
    </w:p>
    <w:p w:rsidR="001D37D5" w:rsidRPr="00883125" w:rsidRDefault="001D37D5" w:rsidP="001D37D5">
      <w:pPr>
        <w:pStyle w:val="AERquote"/>
      </w:pPr>
      <w:r w:rsidRPr="00883125">
        <w:t>The results have been mixed, but they suggest that the market value of franking credits is positive, but significantly less than the credit’s face value.</w:t>
      </w:r>
    </w:p>
    <w:p w:rsidR="001D37D5" w:rsidRPr="00883125" w:rsidRDefault="001D37D5" w:rsidP="001D37D5">
      <w:pPr>
        <w:pStyle w:val="AERquote"/>
      </w:pPr>
      <w:r w:rsidRPr="00883125">
        <w:t>…</w:t>
      </w:r>
    </w:p>
    <w:p w:rsidR="001D37D5" w:rsidRPr="00883125" w:rsidRDefault="001D37D5" w:rsidP="001D37D5">
      <w:pPr>
        <w:pStyle w:val="AERquote"/>
      </w:pPr>
      <w:r w:rsidRPr="00883125">
        <w:t>…the market value of the franking credit is likely to differ from its face value. We do not know exactly what the market value is, but the evidence suggests that franking credits are valued at a significant discount to their face value.</w:t>
      </w:r>
    </w:p>
    <w:p w:rsidR="001D37D5" w:rsidRPr="00883125" w:rsidRDefault="001D37D5" w:rsidP="001D37D5">
      <w:r w:rsidRPr="00883125">
        <w:t>Again, there is no dispute. The estimates of the utilisation rate on which we rely are all significantly less than one, and our estimate of gamma is significantly less than one.</w:t>
      </w:r>
    </w:p>
    <w:p w:rsidR="001D37D5" w:rsidRPr="00883125" w:rsidRDefault="001D37D5" w:rsidP="001D37D5">
      <w:r w:rsidRPr="00883125">
        <w:t>Finally, Gray quoted an explanation, with which he agreed, as to why imputation may have had an immaterial effect on the corporate cost of equity capital:</w:t>
      </w:r>
      <w:r w:rsidRPr="00883125">
        <w:rPr>
          <w:rStyle w:val="FootnoteReference"/>
        </w:rPr>
        <w:footnoteReference w:id="342"/>
      </w:r>
    </w:p>
    <w:p w:rsidR="001D37D5" w:rsidRPr="00883125" w:rsidRDefault="001D37D5" w:rsidP="001D37D5">
      <w:pPr>
        <w:pStyle w:val="AERquote"/>
      </w:pPr>
      <w:r w:rsidRPr="00883125">
        <w:t>The impact of imputation may not have been that big. There are several reasons for this. As suggested by Bob Officer, in a small open economy like Australia, equilibrium rates of return are likely to be determined by capital flows from international investors. If so, domestic tax changes are likely to have a reduced effect, or no effect at all, on equilibrium rates of return.</w:t>
      </w:r>
    </w:p>
    <w:p w:rsidR="001D37D5" w:rsidRPr="00883125" w:rsidRDefault="001D37D5" w:rsidP="001D37D5">
      <w:r w:rsidRPr="00883125">
        <w:t>The implications of this quote for understanding or determining gamma are unclear to us. For instance:</w:t>
      </w:r>
    </w:p>
    <w:p w:rsidR="001D37D5" w:rsidRPr="001D37D5" w:rsidRDefault="001D37D5" w:rsidP="001D37D5">
      <w:pPr>
        <w:pStyle w:val="AERbulletlistfirststyle"/>
      </w:pPr>
      <w:r w:rsidRPr="00883125">
        <w:t xml:space="preserve">Gray appeared elsewhere to be of the view that imputation </w:t>
      </w:r>
      <w:r w:rsidRPr="001D37D5">
        <w:rPr>
          <w:rStyle w:val="AERtextitalic"/>
        </w:rPr>
        <w:t>is</w:t>
      </w:r>
      <w:r w:rsidRPr="001D37D5">
        <w:t xml:space="preserve"> having a material effect on the cost of capital. This is because he submitted that, in his view, the best estimate of the extent to which imputation credits are capitalised into stock prices per dollar of credit distributed is 0.35, and this is not immaterial.</w:t>
      </w:r>
      <w:r w:rsidRPr="001D37D5">
        <w:rPr>
          <w:rStyle w:val="FootnoteReference"/>
        </w:rPr>
        <w:footnoteReference w:id="343"/>
      </w:r>
    </w:p>
    <w:p w:rsidR="001D37D5" w:rsidRPr="001D37D5" w:rsidRDefault="001D37D5" w:rsidP="001D37D5">
      <w:pPr>
        <w:pStyle w:val="AERbulletlistfirststyle"/>
      </w:pPr>
      <w:r w:rsidRPr="00883125">
        <w:t>The view in a recent paper co-authored by Partington did not appear to align with that in the quote:</w:t>
      </w:r>
      <w:r w:rsidRPr="001D37D5">
        <w:rPr>
          <w:rStyle w:val="FootnoteReference"/>
        </w:rPr>
        <w:footnoteReference w:id="344"/>
      </w:r>
    </w:p>
    <w:p w:rsidR="001D37D5" w:rsidRPr="00883125" w:rsidRDefault="001D37D5" w:rsidP="001D37D5">
      <w:pPr>
        <w:pStyle w:val="AERquote"/>
      </w:pPr>
      <w:r w:rsidRPr="00883125">
        <w:t>Indeed, whether prices are set by a marginal investor, or by aggregation across investors, is an open question… It is our contention, therefore, that a policy decision should not be based on the assertion that the marginal investor setting prices in the Australian market is an overseas investor. To do so would base policy on an insecure foundation, and risks serious error.</w:t>
      </w:r>
    </w:p>
    <w:p w:rsidR="001D37D5" w:rsidRPr="00883125" w:rsidRDefault="001D37D5" w:rsidP="00247000">
      <w:pPr>
        <w:pStyle w:val="HeadingBoldBlue"/>
        <w:keepNext/>
      </w:pPr>
      <w:r w:rsidRPr="00883125">
        <w:lastRenderedPageBreak/>
        <w:t>Recent academic work</w:t>
      </w:r>
    </w:p>
    <w:p w:rsidR="001D37D5" w:rsidRPr="00883125" w:rsidRDefault="001D37D5" w:rsidP="00247000">
      <w:pPr>
        <w:keepNext/>
      </w:pPr>
      <w:r w:rsidRPr="00883125">
        <w:t>The recent paper co-authored by Partington has been raised in direct support of the position that the equity ownership approach is not an appropriate way to estimate the value of distributed imputation credits.</w:t>
      </w:r>
      <w:r w:rsidRPr="00883125">
        <w:rPr>
          <w:rStyle w:val="FootnoteReference"/>
        </w:rPr>
        <w:footnoteReference w:id="345"/>
      </w:r>
      <w:r w:rsidRPr="00883125">
        <w:t xml:space="preserve"> This paper largely draws on the existing literature and available evidence with the intention of contributing to the policy debate around the efficacy of dividend imputation.</w:t>
      </w:r>
      <w:r w:rsidRPr="00883125">
        <w:rPr>
          <w:rStyle w:val="FootnoteReference"/>
        </w:rPr>
        <w:footnoteReference w:id="346"/>
      </w:r>
      <w:r w:rsidRPr="00883125">
        <w:t xml:space="preserve"> While the paper does consider relevant matters, we consider that the paper raises a number of issues without making strong recommendations. Consistent with the above quote it notes:</w:t>
      </w:r>
      <w:r w:rsidRPr="00883125">
        <w:rPr>
          <w:rStyle w:val="FootnoteReference"/>
        </w:rPr>
        <w:footnoteReference w:id="347"/>
      </w:r>
    </w:p>
    <w:p w:rsidR="001D37D5" w:rsidRPr="00883125" w:rsidRDefault="001D37D5" w:rsidP="001D37D5">
      <w:pPr>
        <w:pStyle w:val="AERquote"/>
      </w:pPr>
      <w:r w:rsidRPr="00883125">
        <w:t>Whether the marginal investor or aggregation approach better describes how imputation credits become priced in equilibrium is a point of debate. The marginal investor approach might be seen as more in keeping with the ‘Economics 101’ notions of price determination, and more consistent with general equilibrium analysis under which investor demand for (and supply of) imputation credits is jointly determined with the market clearing price. As a consequence, the marginal investor approach may assist in analysing the potential effect of changes in the demand curve. By contrast, aggregating observed demands assumes that investors have found their equilibrium position given market prices [footnote 6: Monkhouse (1993) explicitly states this assumption]. It thus does not directly address how the market equilibrium emerges in the first place. Nevertheless, the aggregation approach may still provide a useful description of an existing equilibrium. In any event, the key point is that there is no clear consensus on the appropriate approach, adding another layer of uncertainty to the issue of whether imputation credits are priced.</w:t>
      </w:r>
    </w:p>
    <w:p w:rsidR="001D37D5" w:rsidRPr="00883125" w:rsidRDefault="001D37D5" w:rsidP="001D37D5">
      <w:r w:rsidRPr="00883125">
        <w:t>As such, while the paper raises a number of points highlighted by Gray (for Frontier), we do not consider the paper provides evidence that the equity ownership approach that uses the aggregation approach to estimate the value of theta is not reasonable. Frontier has taken a number of statements from the paper that should not be read in isolation of the remainder of the paper. For example, in response to Gray's point at paragraph 189 where he states "Ainsworth, Partington and Warren (2015) note that the evidence generally suggests that the two companies do sell for the same price",</w:t>
      </w:r>
      <w:r w:rsidRPr="00883125">
        <w:rPr>
          <w:rStyle w:val="FootnoteReference"/>
        </w:rPr>
        <w:footnoteReference w:id="348"/>
      </w:r>
      <w:r w:rsidRPr="00883125">
        <w:t xml:space="preserve"> the paper makes clear this evidence needs to be treated with caution stating:</w:t>
      </w:r>
      <w:r w:rsidRPr="00883125">
        <w:rPr>
          <w:rStyle w:val="FootnoteReference"/>
        </w:rPr>
        <w:footnoteReference w:id="349"/>
      </w:r>
    </w:p>
    <w:p w:rsidR="001D37D5" w:rsidRPr="00883125" w:rsidRDefault="001D37D5" w:rsidP="001D37D5">
      <w:pPr>
        <w:pStyle w:val="AERquote"/>
      </w:pPr>
      <w:r w:rsidRPr="00883125">
        <w:t xml:space="preserve">In contrast, examination of returns and price levels reveals little evidence that imputation credits are priced. Lajbcygier and Wheatley (2012) find that the presence of imputation credits is not associated with lower realised returns. Further, they find a positive relation between realised returns and imputation credits, which is significant under some specifications. This implies an (implausible) negative value on imputation </w:t>
      </w:r>
      <w:r w:rsidRPr="00883125">
        <w:lastRenderedPageBreak/>
        <w:t>credits. While the sign on the coefficient probably flags issues with the empirical method (see Section 4.2), it is nevertheless the case that no hint emerges that imputation credits have lowered the distribution of realised returns. Saiu, Sault and Warren (2015) find that imputation might be reflected in share prices under discounted cash flow models, at perhaps about $0.30 in the dollar. However, the imputation variable adds little explanatory power. Meanwhile, the results under the earnings yield model and portfolio sorts suggest that imputation credits are not priced, and in fact may be associated with higher earnings yields as well as lower prices relative to other valuation measures.10 The fact that the earnings yield results have the wrong sign suggests that caution needs to be applied in interpreting these findings (similar to Lajbcygier and Wheatley, 2012).</w:t>
      </w:r>
    </w:p>
    <w:p w:rsidR="001D37D5" w:rsidRPr="00883125" w:rsidRDefault="001D37D5" w:rsidP="001D37D5">
      <w:r w:rsidRPr="00883125">
        <w:t>On the same page the paper also states in relation to some empirical evidence more generally:</w:t>
      </w:r>
      <w:r w:rsidRPr="00883125">
        <w:rPr>
          <w:rStyle w:val="FootnoteReference"/>
        </w:rPr>
        <w:footnoteReference w:id="350"/>
      </w:r>
    </w:p>
    <w:p w:rsidR="001D37D5" w:rsidRPr="00883125" w:rsidRDefault="001D37D5" w:rsidP="001D37D5">
      <w:pPr>
        <w:pStyle w:val="AERquote"/>
      </w:pPr>
      <w:r w:rsidRPr="00883125">
        <w:t>A very mixed set of results emerges from this body of research. Figure 4 (over) summarises the findings from the majority of dividend drop-off and comparative pricing studies. While a wide range of estimates emerges, these studies on balance indicate that imputation credits are partially priced. The data points in Figure 4 average 0.38, which would suggest that imputation credits are priced at about $0.38 in the dollar.</w:t>
      </w:r>
    </w:p>
    <w:p w:rsidR="001D37D5" w:rsidRPr="00883125" w:rsidRDefault="001D37D5" w:rsidP="001D37D5">
      <w:pPr>
        <w:pStyle w:val="Heading9"/>
      </w:pPr>
      <w:r w:rsidRPr="00883125">
        <w:t>Gray's comments on the Monkhouse framework</w:t>
      </w:r>
    </w:p>
    <w:p w:rsidR="001D37D5" w:rsidRPr="00883125" w:rsidRDefault="001D37D5" w:rsidP="001D37D5">
      <w:pPr>
        <w:numPr>
          <w:ilvl w:val="0"/>
          <w:numId w:val="24"/>
        </w:numPr>
      </w:pPr>
      <w:r w:rsidRPr="00883125">
        <w:t xml:space="preserve">As discussed in section </w:t>
      </w:r>
      <w:r w:rsidRPr="00883125">
        <w:fldChar w:fldCharType="begin"/>
      </w:r>
      <w:r w:rsidRPr="00883125">
        <w:instrText xml:space="preserve"> REF _Ref400965182 \r \h </w:instrText>
      </w:r>
      <w:r w:rsidRPr="00883125">
        <w:fldChar w:fldCharType="separate"/>
      </w:r>
      <w:r w:rsidR="00A02D8C">
        <w:t>A.6</w:t>
      </w:r>
      <w:r w:rsidRPr="00883125">
        <w:fldChar w:fldCharType="end"/>
      </w:r>
      <w:r w:rsidRPr="00883125">
        <w:t>, we consider that:</w:t>
      </w:r>
    </w:p>
    <w:p w:rsidR="001D37D5" w:rsidRPr="00883125" w:rsidRDefault="001D37D5" w:rsidP="001D37D5">
      <w:pPr>
        <w:pStyle w:val="AERbulletlistfirststyle"/>
      </w:pPr>
      <w:r w:rsidRPr="00883125">
        <w:t>The Officer framework provides the basis for the value of imputation credits adjustment in the NER/NGR.</w:t>
      </w:r>
    </w:p>
    <w:p w:rsidR="001D37D5" w:rsidRPr="00883125" w:rsidRDefault="001D37D5" w:rsidP="001D37D5">
      <w:pPr>
        <w:pStyle w:val="AERbulletlistfirststyle"/>
      </w:pPr>
      <w:r w:rsidRPr="00883125">
        <w:t>Monkhouse extends the Officer framework to a non-perpetuity setting, and shows that—assuming retained credits have no value—gamma from the Officer framework effectively equals the product of:</w:t>
      </w:r>
    </w:p>
    <w:p w:rsidR="001D37D5" w:rsidRPr="00883125" w:rsidRDefault="001D37D5" w:rsidP="001D37D5">
      <w:pPr>
        <w:pStyle w:val="AERbulletlistsecondstyle"/>
      </w:pPr>
      <w:r w:rsidRPr="00883125">
        <w:t>the distribution rate, and</w:t>
      </w:r>
    </w:p>
    <w:p w:rsidR="001D37D5" w:rsidRPr="00883125" w:rsidRDefault="001D37D5" w:rsidP="001D37D5">
      <w:pPr>
        <w:pStyle w:val="AERbulletlistsecondstyle"/>
      </w:pPr>
      <m:oMath>
        <m:r>
          <w:rPr>
            <w:rFonts w:ascii="Cambria Math" w:hAnsi="Cambria Math"/>
          </w:rPr>
          <m:t>θ</m:t>
        </m:r>
      </m:oMath>
      <w:r w:rsidRPr="00883125">
        <w:t xml:space="preserve"> (theta), which is the utilisation value to investors in the market per dollar of imputation credits distributed (the 'utilisation rate'), which in equilibrium is equal to the weighted average, by wealth and risk aversion, of the individual utilisation rates of investors in the market.</w:t>
      </w:r>
    </w:p>
    <w:p w:rsidR="001D37D5" w:rsidRPr="00883125" w:rsidRDefault="001D37D5" w:rsidP="001D37D5">
      <w:r w:rsidRPr="00883125">
        <w:t>In his May 2014 and February 2015 reports, Gray (for SFG) provided a discussion of the class of CAPM employed by Monkhouse (and related literature).</w:t>
      </w:r>
      <w:r w:rsidRPr="00883125">
        <w:rPr>
          <w:rStyle w:val="FootnoteReference"/>
        </w:rPr>
        <w:footnoteReference w:id="351"/>
      </w:r>
      <w:r w:rsidRPr="00883125">
        <w:t xml:space="preserve"> Gray concluded that our recognition of foreign investors breaches the assumptions of this class of CAPM, and therefore we cannot estimate the value of imputation credits using the definition of theta in equilibrium from the Monkhouse framework. Gray's June 2015 report (for Frontier), upon </w:t>
      </w:r>
      <w:r w:rsidRPr="00883125">
        <w:lastRenderedPageBreak/>
        <w:t>which a number of service providers rely, holds the same view and notes the inconsistency between Lally and Handley's advice on this point</w:t>
      </w:r>
      <w:r w:rsidRPr="00883125">
        <w:rPr>
          <w:rStyle w:val="FootnoteReference"/>
        </w:rPr>
        <w:footnoteReference w:id="352"/>
      </w:r>
    </w:p>
    <w:p w:rsidR="001D37D5" w:rsidRPr="00883125" w:rsidRDefault="001D37D5" w:rsidP="001D37D5">
      <w:r w:rsidRPr="00883125">
        <w:t>Handley responded to Gray's view in his September 2014 and April 2015 reports and his response is equally applicable to the June 2015 report by Gray (for Frontier). He disagrees with Gray's view, and considers reasonable our use of:</w:t>
      </w:r>
      <w:r w:rsidRPr="00883125">
        <w:rPr>
          <w:rStyle w:val="FootnoteReference"/>
        </w:rPr>
        <w:footnoteReference w:id="353"/>
      </w:r>
    </w:p>
    <w:p w:rsidR="001D37D5" w:rsidRPr="00883125" w:rsidRDefault="001D37D5" w:rsidP="001D37D5">
      <w:pPr>
        <w:pStyle w:val="AERbulletlistfirststyle"/>
      </w:pPr>
      <w:r w:rsidRPr="00883125">
        <w:t>the definition of theta from the Monkhouse framework, and</w:t>
      </w:r>
    </w:p>
    <w:p w:rsidR="001D37D5" w:rsidRPr="00883125" w:rsidRDefault="001D37D5" w:rsidP="001D37D5">
      <w:pPr>
        <w:pStyle w:val="AERbulletlistfirststyle"/>
      </w:pPr>
      <w:r w:rsidRPr="00883125">
        <w:t>the equity ownership approach to estimate theta.</w:t>
      </w:r>
    </w:p>
    <w:p w:rsidR="001D37D5" w:rsidRPr="00883125" w:rsidRDefault="001D37D5" w:rsidP="001D37D5">
      <w:r w:rsidRPr="00883125">
        <w:t>In the remainder of this section we identify what we consider to be the key points of this debate, and their implications for our estimation of the value of imputation credits.</w:t>
      </w:r>
    </w:p>
    <w:p w:rsidR="001D37D5" w:rsidRPr="00883125" w:rsidRDefault="001D37D5" w:rsidP="001D37D5">
      <w:r w:rsidRPr="00883125">
        <w:t>Gray's key point appears to be that:</w:t>
      </w:r>
      <w:r w:rsidRPr="00883125">
        <w:rPr>
          <w:rStyle w:val="FootnoteReference"/>
        </w:rPr>
        <w:footnoteReference w:id="354"/>
      </w:r>
    </w:p>
    <w:p w:rsidR="001D37D5" w:rsidRPr="00883125" w:rsidRDefault="001D37D5" w:rsidP="001D37D5">
      <w:pPr>
        <w:pStyle w:val="AERquote"/>
      </w:pPr>
      <w:r w:rsidRPr="00883125">
        <w:t>[The relevant class of CAPM models] derive an equilibrium by solving a market clearing condition. This involves noting that:</w:t>
      </w:r>
    </w:p>
    <w:p w:rsidR="001D37D5" w:rsidRPr="00883125" w:rsidRDefault="001D37D5" w:rsidP="001D37D5">
      <w:pPr>
        <w:pStyle w:val="AERquote"/>
      </w:pPr>
      <w:r w:rsidRPr="00883125">
        <w:t xml:space="preserve">(a) All of the </w:t>
      </w:r>
      <w:r w:rsidRPr="00883125">
        <w:rPr>
          <w:rStyle w:val="AERtextitalic"/>
        </w:rPr>
        <w:t>m</w:t>
      </w:r>
      <w:r w:rsidRPr="00883125">
        <w:t xml:space="preserve"> investors must invest all of their wealth across the </w:t>
      </w:r>
      <w:r w:rsidRPr="00883125">
        <w:rPr>
          <w:rStyle w:val="AERtextitalic"/>
        </w:rPr>
        <w:t>n</w:t>
      </w:r>
      <w:r w:rsidRPr="00883125">
        <w:t xml:space="preserve"> assets and nothing else; and</w:t>
      </w:r>
    </w:p>
    <w:p w:rsidR="001D37D5" w:rsidRPr="00883125" w:rsidRDefault="001D37D5" w:rsidP="001D37D5">
      <w:pPr>
        <w:pStyle w:val="AERquote"/>
      </w:pPr>
      <w:r w:rsidRPr="00883125">
        <w:t xml:space="preserve">(b) All of the </w:t>
      </w:r>
      <w:r w:rsidRPr="00883125">
        <w:rPr>
          <w:rStyle w:val="AERtextitalic"/>
        </w:rPr>
        <w:t>n</w:t>
      </w:r>
      <w:r w:rsidRPr="00883125">
        <w:t xml:space="preserve"> assets must be owned entirely by the </w:t>
      </w:r>
      <w:r w:rsidRPr="00883125">
        <w:rPr>
          <w:rStyle w:val="AERtextitalic"/>
        </w:rPr>
        <w:t>m</w:t>
      </w:r>
      <w:r w:rsidRPr="00883125">
        <w:t xml:space="preserve"> investors and no one else. </w:t>
      </w:r>
    </w:p>
    <w:p w:rsidR="001D37D5" w:rsidRPr="00883125" w:rsidRDefault="001D37D5" w:rsidP="001D37D5">
      <w:r w:rsidRPr="00883125">
        <w:t>This suggests that the only legitimate application of the CAPM is one which recognises all investors and assets in the world (that is, an international CAPM). However, CAPMs have been employed in contexts other than the international one. Handley suggested that the key consideration is whether assets and investors that are outside the model are relevant to the determination of the prices of assets inside the model:</w:t>
      </w:r>
      <w:r w:rsidRPr="00883125">
        <w:rPr>
          <w:rStyle w:val="FootnoteReference"/>
        </w:rPr>
        <w:footnoteReference w:id="355"/>
      </w:r>
    </w:p>
    <w:p w:rsidR="001D37D5" w:rsidRPr="00883125" w:rsidRDefault="001D37D5" w:rsidP="001D37D5">
      <w:pPr>
        <w:pStyle w:val="AERquote"/>
      </w:pPr>
      <w:r w:rsidRPr="00883125">
        <w:t xml:space="preserve">[SFG’s claim that a representative investor equilibrium does not apply in the AER’s framework] – which appears to be SFG’s major criticism of this approach – is not correct since it is based on SFG’s incorrect assertion that the market clearing condition invoked in the CAPM class of equilibrium asset pricing models is based on an assumption that the </w:t>
      </w:r>
      <w:r w:rsidRPr="00883125">
        <w:rPr>
          <w:rStyle w:val="AERtextitalic"/>
        </w:rPr>
        <w:t>m</w:t>
      </w:r>
      <w:r w:rsidRPr="00883125">
        <w:t xml:space="preserve"> investors in the model invest all their wealth across the </w:t>
      </w:r>
      <w:r w:rsidRPr="00883125">
        <w:rPr>
          <w:rStyle w:val="AERtextitalic"/>
        </w:rPr>
        <w:t>n</w:t>
      </w:r>
      <w:r w:rsidRPr="00883125">
        <w:t xml:space="preserve"> assets in the model and nothing else.</w:t>
      </w:r>
    </w:p>
    <w:p w:rsidR="001D37D5" w:rsidRPr="00883125" w:rsidRDefault="001D37D5" w:rsidP="001D37D5">
      <w:pPr>
        <w:pStyle w:val="AERquote"/>
      </w:pPr>
      <w:r w:rsidRPr="00883125">
        <w:t>But the CAPM makes no such assumption – it is SFG who does.</w:t>
      </w:r>
    </w:p>
    <w:p w:rsidR="001D37D5" w:rsidRPr="00883125" w:rsidRDefault="001D37D5" w:rsidP="001D37D5">
      <w:pPr>
        <w:pStyle w:val="AERquote"/>
      </w:pPr>
      <w:r w:rsidRPr="00883125">
        <w:t>An implication of SFG’s assertion is that one could validly use a “domestic” version of the CAPM say to price U.S. stocks only if you assume that investors in the U.S. stock market hold no other assets except U.S. stocks. Such an assumption would be clearly implausible.</w:t>
      </w:r>
    </w:p>
    <w:p w:rsidR="001D37D5" w:rsidRPr="00883125" w:rsidRDefault="001D37D5" w:rsidP="001D37D5">
      <w:pPr>
        <w:pStyle w:val="AERquote"/>
      </w:pPr>
      <w:r w:rsidRPr="00883125">
        <w:lastRenderedPageBreak/>
        <w:t>An alternative and less extreme assumption which is implicit in the use of a “domestic” version of the CAPM is that any assets outside the model and any investors outside the model are not relevant for determining the prices of the assets inside the model. This is equivalent to saying that the system is “closed” by definition – everything that matters is inside the model and anything outside the model does not matter – which means a standard market clearing condition can indeed be invoked and a valid equilibrium can be found. There is nothing in the Copeland and Rosenberg statements quoted in SFG (2015) which is inconsistent with this approach.</w:t>
      </w:r>
    </w:p>
    <w:p w:rsidR="001D37D5" w:rsidRPr="00883125" w:rsidRDefault="001D37D5" w:rsidP="001D37D5">
      <w:r w:rsidRPr="00883125">
        <w:t>Therefore, it would seem that the criticisms of our use of the definition of theta from the Monkhouse framework, and our responses to those criticisms, might be summarised as follows:</w:t>
      </w:r>
    </w:p>
    <w:p w:rsidR="001D37D5" w:rsidRPr="00883125" w:rsidRDefault="001D37D5" w:rsidP="001D37D5">
      <w:pPr>
        <w:pStyle w:val="AERbulletlistfirststyle"/>
      </w:pPr>
      <w:r w:rsidRPr="00883125">
        <w:t>By not using all assets and investors in the world, we are breaching a fundamental condition required by CAPMs to derive an equilibrium value. However, CAPMs have been used in contexts other than the international one, and therefore we are not convinced that this criticism presents grounds to disregard these models.</w:t>
      </w:r>
    </w:p>
    <w:p w:rsidR="001D37D5" w:rsidRPr="001D37D5" w:rsidRDefault="001D37D5" w:rsidP="001D37D5">
      <w:pPr>
        <w:pStyle w:val="AERbulletlistfirststyle"/>
        <w:rPr>
          <w:rStyle w:val="AERtexthighlight"/>
        </w:rPr>
      </w:pPr>
      <w:r w:rsidRPr="00883125">
        <w:t>The following implicit assumption in our approach is unreasonable: that the foreign asset holdings of (both Australian and foreign) investors in Australian assets are not relevant to those investors' valuation of Australian assets. Gray's view is that the assumption is unreasonable.</w:t>
      </w:r>
      <w:r w:rsidRPr="001D37D5">
        <w:rPr>
          <w:rStyle w:val="FootnoteReference"/>
        </w:rPr>
        <w:footnoteReference w:id="356"/>
      </w:r>
      <w:r w:rsidRPr="001D37D5">
        <w:t xml:space="preserve"> Handley's view is, if the assumption is considered unreasonable, 'then one should bring the outside assets and outside investors into the model, for example, by using an international CAPM'.</w:t>
      </w:r>
      <w:r w:rsidRPr="001D37D5">
        <w:rPr>
          <w:rStyle w:val="FootnoteReference"/>
        </w:rPr>
        <w:footnoteReference w:id="357"/>
      </w:r>
      <w:r w:rsidRPr="001D37D5">
        <w:t xml:space="preserve"> However, neither Gray nor Handley suggested that we employ an international CAPM. Moreover, Handley clearly set out his view that our use of the definition of theta from the Monkhouse framework is reasonable.</w:t>
      </w:r>
      <w:r w:rsidRPr="001D37D5">
        <w:rPr>
          <w:rStyle w:val="FootnoteReference"/>
        </w:rPr>
        <w:footnoteReference w:id="358"/>
      </w:r>
      <w:r w:rsidRPr="001D37D5">
        <w:t xml:space="preserve"> </w:t>
      </w:r>
    </w:p>
    <w:p w:rsidR="001D37D5" w:rsidRPr="00883125" w:rsidRDefault="001D37D5" w:rsidP="001D37D5">
      <w:r w:rsidRPr="00883125">
        <w:t xml:space="preserve">In conclusion, we are not convinced that we should disregard the definition of theta from the Monkhouse framework when estimating the value of imputation credits. </w:t>
      </w:r>
    </w:p>
    <w:p w:rsidR="001D37D5" w:rsidRPr="00883125" w:rsidRDefault="001D37D5" w:rsidP="001D37D5">
      <w:pPr>
        <w:pStyle w:val="Heading8"/>
      </w:pPr>
      <w:bookmarkStart w:id="202" w:name="_Ref414623120"/>
      <w:bookmarkStart w:id="203" w:name="_Toc436049449"/>
      <w:bookmarkStart w:id="204" w:name="_Toc451842254"/>
      <w:bookmarkStart w:id="205" w:name="_Toc451938309"/>
      <w:r w:rsidRPr="00883125">
        <w:t>Further issues relating to the utilisation rate</w:t>
      </w:r>
      <w:bookmarkEnd w:id="202"/>
      <w:bookmarkEnd w:id="203"/>
      <w:bookmarkEnd w:id="204"/>
      <w:bookmarkEnd w:id="205"/>
    </w:p>
    <w:p w:rsidR="001D37D5" w:rsidRPr="00883125" w:rsidRDefault="001D37D5" w:rsidP="001D37D5">
      <w:pPr>
        <w:numPr>
          <w:ilvl w:val="0"/>
          <w:numId w:val="24"/>
        </w:numPr>
      </w:pPr>
      <w:r w:rsidRPr="00883125">
        <w:t xml:space="preserve">As discussed in section </w:t>
      </w:r>
      <w:r w:rsidRPr="00883125">
        <w:fldChar w:fldCharType="begin"/>
      </w:r>
      <w:r w:rsidRPr="00883125">
        <w:instrText xml:space="preserve"> REF _Ref400965182 \r \h </w:instrText>
      </w:r>
      <w:r w:rsidRPr="00883125">
        <w:fldChar w:fldCharType="separate"/>
      </w:r>
      <w:r w:rsidR="00A02D8C">
        <w:t>A.6</w:t>
      </w:r>
      <w:r w:rsidRPr="00883125">
        <w:fldChar w:fldCharType="end"/>
      </w:r>
      <w:r w:rsidRPr="00883125">
        <w:t xml:space="preserve">, we define the utilisation rate as the utilisation value to investors in the market per dollar of imputation credits distributed. As also discussed in section </w:t>
      </w:r>
      <w:r w:rsidRPr="00883125">
        <w:fldChar w:fldCharType="begin"/>
      </w:r>
      <w:r w:rsidRPr="00883125">
        <w:instrText xml:space="preserve"> REF _Ref400965182 \r \h </w:instrText>
      </w:r>
      <w:r w:rsidRPr="00883125">
        <w:fldChar w:fldCharType="separate"/>
      </w:r>
      <w:r w:rsidR="00A02D8C">
        <w:t>A.6</w:t>
      </w:r>
      <w:r w:rsidRPr="00883125">
        <w:fldChar w:fldCharType="end"/>
      </w:r>
      <w:r w:rsidRPr="00883125">
        <w:t xml:space="preserve">, the utilisation rate is equal to the weighted average, by wealth and risk aversion, of the utilisation rates of individual investors. For an ‘eligible’ investor, each dollar of imputation credit received can be fully returned to the investor in the form of a reduction in tax payable or a refund. Therefore, we consider that eligible investors have a utilisation rate of 1 (on a before-personal-tax and before-personal-costs basis). Conversely, ‘ineligible’ investors cannot utilise imputation credits and have a utilisation rate of 0. It follows that the utilisation </w:t>
      </w:r>
      <w:r w:rsidRPr="00883125">
        <w:lastRenderedPageBreak/>
        <w:t>rate reflects the extent to which investors can utilise the imputation credits they receive to reduce their tax or get a refund.</w:t>
      </w:r>
    </w:p>
    <w:p w:rsidR="001D37D5" w:rsidRDefault="001D37D5" w:rsidP="001D37D5">
      <w:pPr>
        <w:numPr>
          <w:ilvl w:val="0"/>
          <w:numId w:val="24"/>
        </w:numPr>
      </w:pPr>
      <w:r>
        <w:t>This is supported by Lally who considers that within the Officer Framework model, the utilisation rate is a weighted average over the utilisation rate for imputation credits by individual investors and these utilisation rates are 1 if investors can use the credits and zero otherwise.</w:t>
      </w:r>
      <w:r>
        <w:rPr>
          <w:rStyle w:val="FootnoteReference"/>
        </w:rPr>
        <w:footnoteReference w:id="359"/>
      </w:r>
    </w:p>
    <w:p w:rsidR="001D37D5" w:rsidRPr="00883125" w:rsidRDefault="001D37D5" w:rsidP="001D37D5">
      <w:pPr>
        <w:numPr>
          <w:ilvl w:val="0"/>
          <w:numId w:val="24"/>
        </w:numPr>
      </w:pPr>
      <w:r w:rsidRPr="00883125">
        <w:t>In this section we provide further support for our position on the utilisation rate. In particular, we:</w:t>
      </w:r>
    </w:p>
    <w:p w:rsidR="001D37D5" w:rsidRPr="00883125" w:rsidRDefault="001D37D5" w:rsidP="001D37D5">
      <w:pPr>
        <w:pStyle w:val="AERbulletlistfirststyle"/>
      </w:pPr>
      <w:r w:rsidRPr="00883125">
        <w:t xml:space="preserve">explain how our position is consistent with the basis of the building block framework </w:t>
      </w:r>
    </w:p>
    <w:p w:rsidR="001D37D5" w:rsidRPr="00883125" w:rsidRDefault="001D37D5" w:rsidP="001D37D5">
      <w:pPr>
        <w:pStyle w:val="AERbulletlistfirststyle"/>
      </w:pPr>
      <w:r w:rsidRPr="00883125">
        <w:t>contrast our position with that of the service providers, including with reference to factors they considered should be reflected in the utilisation rate, and</w:t>
      </w:r>
    </w:p>
    <w:p w:rsidR="001D37D5" w:rsidRPr="00883125" w:rsidRDefault="001D37D5" w:rsidP="001D37D5">
      <w:pPr>
        <w:pStyle w:val="AERbulletlistfirststyle"/>
      </w:pPr>
      <w:r w:rsidRPr="00883125">
        <w:t>respond to NERA's view.</w:t>
      </w:r>
    </w:p>
    <w:p w:rsidR="001D37D5" w:rsidRPr="00883125" w:rsidRDefault="001D37D5" w:rsidP="001D37D5">
      <w:pPr>
        <w:pStyle w:val="Heading9"/>
      </w:pPr>
      <w:bookmarkStart w:id="206" w:name="_Ref401748758"/>
      <w:r w:rsidRPr="00883125">
        <w:t>Consistency with the building block framework</w:t>
      </w:r>
      <w:bookmarkEnd w:id="206"/>
    </w:p>
    <w:p w:rsidR="001D37D5" w:rsidRPr="00883125" w:rsidRDefault="001D37D5" w:rsidP="001D37D5">
      <w:pPr>
        <w:numPr>
          <w:ilvl w:val="0"/>
          <w:numId w:val="24"/>
        </w:numPr>
      </w:pPr>
      <w:r w:rsidRPr="00883125">
        <w:t>To be consistent with the building block framework, the utilisation rate should reflect the before-personal-tax and before-personal-costs value of imputation credits to investors. In a before-personal-tax and before-personal-costs framework, an investor that is eligible to fully utilise imputation credits should value each dollar of imputation credits received at one dollar (that is, have a utilisation rate of 1).</w:t>
      </w:r>
    </w:p>
    <w:p w:rsidR="001D37D5" w:rsidRPr="00883125" w:rsidRDefault="001D37D5" w:rsidP="001D37D5">
      <w:pPr>
        <w:numPr>
          <w:ilvl w:val="0"/>
          <w:numId w:val="24"/>
        </w:numPr>
      </w:pPr>
      <w:r w:rsidRPr="00883125">
        <w:t>This consideration is supported by Handley's advice on the basis of the regulatory (building block) framework:</w:t>
      </w:r>
      <w:r w:rsidRPr="00883125">
        <w:rPr>
          <w:rStyle w:val="FootnoteReference"/>
        </w:rPr>
        <w:footnoteReference w:id="360"/>
      </w:r>
      <w:r w:rsidRPr="00883125">
        <w:t xml:space="preserve"> </w:t>
      </w:r>
    </w:p>
    <w:p w:rsidR="001D37D5" w:rsidRPr="00883125" w:rsidRDefault="001D37D5" w:rsidP="001D37D5">
      <w:pPr>
        <w:pStyle w:val="AERquote"/>
      </w:pPr>
      <w:r w:rsidRPr="00883125">
        <w:t>The post-tax basis of the regulatory framework can be more fully described as an after-company-before-personal-tax framework. In other words, cash flows and returns are to be measured after company taxes but before personal taxes. By definition, this means that allowed revenues should include compensation for corporate taxes incurred by the regulated firm but not for personal taxes incurred by the firm’s shareholders. Similarly, allowed revenues should include compensation for prudent, efficient costs incurred by the regulated firm but not for costs (including personal transactions costs) incurred at the shareholder level. Note, this does not mean that personal taxes and costs are being ignored or assumed not to exist – rather there is no need to explicitly include them in the modelling framework.</w:t>
      </w:r>
    </w:p>
    <w:p w:rsidR="001D37D5" w:rsidRPr="00883125" w:rsidRDefault="001D37D5" w:rsidP="001D37D5">
      <w:pPr>
        <w:numPr>
          <w:ilvl w:val="0"/>
          <w:numId w:val="24"/>
        </w:numPr>
      </w:pPr>
      <w:r w:rsidRPr="00883125">
        <w:t>Handley also referred specifically to the basis on which the utilisation rate should be estimated:</w:t>
      </w:r>
      <w:r w:rsidRPr="00883125">
        <w:rPr>
          <w:rStyle w:val="FootnoteReference"/>
        </w:rPr>
        <w:footnoteReference w:id="361"/>
      </w:r>
    </w:p>
    <w:p w:rsidR="001D37D5" w:rsidRPr="00883125" w:rsidRDefault="001D37D5" w:rsidP="001D37D5">
      <w:pPr>
        <w:pStyle w:val="AERquote"/>
      </w:pPr>
      <w:r w:rsidRPr="00883125">
        <w:lastRenderedPageBreak/>
        <w:t>Since the objective is to estimate the after-company-before-personal-tax value of a distributed imputation credit and also to avoid compensating the regulated firm for transactions costs incurred at the shareholder level then the particular estimation methodology should allow for these factors – in other words, ideally we want the value of credits before administrative costs, personal taxes and diversification costs.</w:t>
      </w:r>
    </w:p>
    <w:p w:rsidR="001D37D5" w:rsidRPr="00883125" w:rsidRDefault="001D37D5" w:rsidP="001D37D5">
      <w:r w:rsidRPr="00883125">
        <w:t>The service providers consider our interpretation of the utilisation rate conceptually incorrect and inconsistent with the requirements of the NER/NGR.</w:t>
      </w:r>
      <w:r w:rsidRPr="00883125">
        <w:rPr>
          <w:rStyle w:val="FootnoteReference"/>
        </w:rPr>
        <w:footnoteReference w:id="362"/>
      </w:r>
      <w:r w:rsidRPr="00883125">
        <w:t xml:space="preserve"> They submit</w:t>
      </w:r>
      <w:r>
        <w:t>ted that we are</w:t>
      </w:r>
      <w:r w:rsidRPr="00883125">
        <w:t xml:space="preserve"> required to estimate the value of imputation credits, not the expected utilisation value of distributed credits, or a measure of investor's eligibility to utilise those credits.</w:t>
      </w:r>
      <w:r w:rsidRPr="00883125">
        <w:rPr>
          <w:rStyle w:val="FootnoteReference"/>
        </w:rPr>
        <w:footnoteReference w:id="363"/>
      </w:r>
      <w:r w:rsidRPr="00883125">
        <w:t xml:space="preserve"> Specifically, a number of service providers submitted:</w:t>
      </w:r>
      <w:r w:rsidRPr="00883125">
        <w:rPr>
          <w:rStyle w:val="FootnoteReference"/>
        </w:rPr>
        <w:footnoteReference w:id="364"/>
      </w:r>
    </w:p>
    <w:p w:rsidR="001D37D5" w:rsidRPr="00883125" w:rsidRDefault="001D37D5" w:rsidP="001D37D5">
      <w:pPr>
        <w:pStyle w:val="AERquote"/>
      </w:pPr>
      <w:r w:rsidRPr="00883125">
        <w:t>It is certainly true that theta must reflect the value of imputation credits to investors. However it is unusual for theta to be defined in a way that excludes the effect of certain factors that may impact on value (and which will be reflected in market value measures), such as personal costs.</w:t>
      </w:r>
    </w:p>
    <w:p w:rsidR="001D37D5" w:rsidRPr="00883125" w:rsidRDefault="001D37D5" w:rsidP="001D37D5">
      <w:r w:rsidRPr="00883125">
        <w:t>We disagree. We consider that our approach is consistent with the NER/NGR. We have previously noted in the Guideline and in our prior decisions, and maintain in this final decision, that the Officer framework provides the basis for the rate of return framework in the NER/NGR.</w:t>
      </w:r>
      <w:r w:rsidRPr="00883125">
        <w:rPr>
          <w:rStyle w:val="FootnoteReference"/>
        </w:rPr>
        <w:footnoteReference w:id="365"/>
      </w:r>
      <w:r w:rsidRPr="00883125">
        <w:t xml:space="preserve"> This point has not been contested by the service providers or their consultants. If the Officer framework provides the basis for the rate of return framework in the NER/NGR, then it is reasonable—if not necessary—to estimate gamma in a manner consistent with Officer. Therefore, we have considered whether Officer's framework is intended to reflect factors such as personal taxes and personal costs when determining the rate of return. </w:t>
      </w:r>
      <w:r>
        <w:t xml:space="preserve">We consider that it is not, and that </w:t>
      </w:r>
      <w:r w:rsidRPr="00883125">
        <w:t>Handley's</w:t>
      </w:r>
      <w:r>
        <w:t xml:space="preserve"> and Lally's</w:t>
      </w:r>
      <w:r w:rsidRPr="00883125">
        <w:t xml:space="preserve"> advice </w:t>
      </w:r>
      <w:r>
        <w:t xml:space="preserve">supports our </w:t>
      </w:r>
      <w:r>
        <w:lastRenderedPageBreak/>
        <w:t>approach</w:t>
      </w:r>
      <w:r w:rsidRPr="00883125">
        <w:t xml:space="preserve">. Gray (for both SFG and Frontier) disagrees, but as discussed in section </w:t>
      </w:r>
      <w:r w:rsidRPr="00883125">
        <w:fldChar w:fldCharType="begin"/>
      </w:r>
      <w:r w:rsidRPr="00883125">
        <w:instrText xml:space="preserve"> REF _Ref414028398 \r \h </w:instrText>
      </w:r>
      <w:r w:rsidRPr="00883125">
        <w:fldChar w:fldCharType="separate"/>
      </w:r>
      <w:r w:rsidR="00A02D8C">
        <w:t>A.7.3</w:t>
      </w:r>
      <w:r w:rsidRPr="00883125">
        <w:fldChar w:fldCharType="end"/>
      </w:r>
      <w:r w:rsidRPr="00883125">
        <w:t>, Gray's interpretation is unconvincing to us.</w:t>
      </w:r>
    </w:p>
    <w:p w:rsidR="001D37D5" w:rsidRPr="00883125" w:rsidRDefault="001D37D5" w:rsidP="001D37D5">
      <w:r w:rsidRPr="00883125">
        <w:t>Put another way, our approach to estimating the value of imputation credits recognises that this parameter does not exist in isolation. That is, the NER/NGR employ the building block framework to determine a revenue allowance that contributes to the achievement of the NEO/NGO. The building block framework employs the Officer framework to determine a rate of return that contributes to meeting the NEO/NGO, and gamma forms part of the Officer framework. We consider that proper regard to the NER/NGR's use of the Officer framework best promotes the objectives and requirements of the NER/NGR.</w:t>
      </w:r>
    </w:p>
    <w:p w:rsidR="001D37D5" w:rsidRPr="00883125" w:rsidRDefault="001D37D5" w:rsidP="001D37D5">
      <w:pPr>
        <w:rPr>
          <w:rStyle w:val="AERbody"/>
        </w:rPr>
      </w:pPr>
      <w:r w:rsidRPr="00883125">
        <w:rPr>
          <w:rStyle w:val="AERbody"/>
        </w:rPr>
        <w:t>Handley supports our approach and has explicitly stated that the AER's definition of theta does correspond to a "market value" on a before personal taxes and before personal costs basis:</w:t>
      </w:r>
      <w:r w:rsidRPr="00883125">
        <w:rPr>
          <w:rStyle w:val="FootnoteReference"/>
        </w:rPr>
        <w:footnoteReference w:id="366"/>
      </w:r>
    </w:p>
    <w:p w:rsidR="001D37D5" w:rsidRPr="001D37D5" w:rsidRDefault="001D37D5" w:rsidP="001D37D5">
      <w:pPr>
        <w:pStyle w:val="AERquote"/>
        <w:rPr>
          <w:rFonts w:eastAsiaTheme="minorHAnsi"/>
        </w:rPr>
      </w:pPr>
      <w:r w:rsidRPr="005764F6">
        <w:t>When used in everyday language, the meaning of the term “value” is generally well understood. However, in a cost of capital context, the term value is potentially ambiguous. Value can be used to refer to a value before taxes or a value after taxes. It can refer to a value before costs or a value after costs. The term “rate of return” (or discount rate) is similarly potentially ambiguous. A return can be measured or defined before taxes or after taxes. A return can also be measured or defined before costs or after costs.</w:t>
      </w:r>
    </w:p>
    <w:p w:rsidR="001D37D5" w:rsidRPr="005764F6" w:rsidRDefault="001D37D5" w:rsidP="001D37D5">
      <w:pPr>
        <w:pStyle w:val="AERquote"/>
      </w:pPr>
      <w:r w:rsidRPr="005764F6">
        <w:t>This is why it is very important to be absolutely precise about how the key inputs of a WACC analysis – cash flow and discount rate – are defined and to ensure that they are defined on the same basis.</w:t>
      </w:r>
    </w:p>
    <w:p w:rsidR="001D37D5" w:rsidRPr="005764F6" w:rsidRDefault="001D37D5" w:rsidP="001D37D5">
      <w:pPr>
        <w:pStyle w:val="AERquote"/>
      </w:pPr>
      <w:r w:rsidRPr="005764F6">
        <w:t>The AER definition of theta does indeed correspond to a market value (as in “worth to investors”) interpretation of theta if value is taken here to mean the value of imputation credits before personal taxes and before personal costs. This interpretation is neither novel nor new. It comes directly from the seminal 1994 paper by Officer.</w:t>
      </w:r>
    </w:p>
    <w:p w:rsidR="001D37D5" w:rsidRPr="00883125" w:rsidRDefault="001D37D5" w:rsidP="001D37D5">
      <w:pPr>
        <w:rPr>
          <w:rStyle w:val="AERbody"/>
        </w:rPr>
      </w:pPr>
      <w:r w:rsidRPr="00883125">
        <w:rPr>
          <w:rStyle w:val="AERbody"/>
        </w:rPr>
        <w:t>Finally, given the discussion above that indicates why we consider our definition of theta is an estimate of the value of imputation credits to investors in the market before personal taxes and personal transactions costs, we consider there is little in the service providers position that imputation credits should either be interpreted as the value of distributed credits, or the proportion of distributed credits likely to be redeemed by investors. Handley also states with respect to the alleged difference between the value of imputation credits and the redemption value:</w:t>
      </w:r>
      <w:r w:rsidRPr="00883125">
        <w:rPr>
          <w:rStyle w:val="FootnoteReference"/>
        </w:rPr>
        <w:footnoteReference w:id="367"/>
      </w:r>
    </w:p>
    <w:p w:rsidR="001D37D5" w:rsidRPr="001D37D5" w:rsidRDefault="001D37D5" w:rsidP="001D37D5">
      <w:pPr>
        <w:pStyle w:val="AERquote"/>
        <w:rPr>
          <w:rFonts w:eastAsiaTheme="minorHAnsi"/>
        </w:rPr>
      </w:pPr>
      <w:r w:rsidRPr="005764F6">
        <w:t xml:space="preserve">There is no either-or decision to be made here. The value of distributed credits and the proportion of credits redeemed are the same thing when one uses the proper definition of “value” in relation to theta (and gamma). Specifically, theta is the value of </w:t>
      </w:r>
      <w:r w:rsidRPr="005764F6">
        <w:lastRenderedPageBreak/>
        <w:t xml:space="preserve">a dollar of distributed credits before personal taxes and before personal costs. In this case, the value of the credits and the proportion of the credits redeemed are one and the same thing. This is why Officer (1994) uses both descriptions interchangeably when referring to gamma in his seminal paper. </w:t>
      </w:r>
    </w:p>
    <w:p w:rsidR="001D37D5" w:rsidRPr="00883125" w:rsidRDefault="001D37D5" w:rsidP="001D37D5">
      <w:pPr>
        <w:rPr>
          <w:rStyle w:val="AERbody"/>
        </w:rPr>
      </w:pPr>
      <w:r w:rsidRPr="00883125">
        <w:rPr>
          <w:rStyle w:val="AERbody"/>
        </w:rPr>
        <w:t>Handley also states:</w:t>
      </w:r>
      <w:r w:rsidRPr="00883125">
        <w:rPr>
          <w:rStyle w:val="FootnoteReference"/>
        </w:rPr>
        <w:footnoteReference w:id="368"/>
      </w:r>
    </w:p>
    <w:p w:rsidR="001D37D5" w:rsidRPr="005764F6" w:rsidRDefault="001D37D5" w:rsidP="001D37D5">
      <w:pPr>
        <w:pStyle w:val="AERquote"/>
      </w:pPr>
      <w:r w:rsidRPr="005764F6">
        <w:t>SFG (2015 para. 124-135) also suggests that the mathematical formulae in Officer (1994) support a value interpretation of gamma but not a redemption value interpretation since: “It is clear in this formula [para.127] that gamma represents … the extent to which imputation credits increase the market value of equity”. There is no dispute that the (market) value of credits are capitalised into stock prices – this is clear from equation (2) above. However, SFG fails to see that within Officer’s framework it is the before personal tax and before personal costs value of a credit – the redemption value – which is the item being capitalised.</w:t>
      </w:r>
    </w:p>
    <w:p w:rsidR="001D37D5" w:rsidRPr="00883125" w:rsidRDefault="001D37D5" w:rsidP="001D37D5">
      <w:pPr>
        <w:pStyle w:val="Heading9"/>
      </w:pPr>
      <w:bookmarkStart w:id="207" w:name="_Ref450298425"/>
      <w:bookmarkStart w:id="208" w:name="_Ref450300692"/>
      <w:bookmarkStart w:id="209" w:name="_Ref450840388"/>
      <w:r w:rsidRPr="00883125">
        <w:t>Consistency with other allowed rate of return parameters</w:t>
      </w:r>
      <w:bookmarkEnd w:id="207"/>
      <w:bookmarkEnd w:id="208"/>
      <w:bookmarkEnd w:id="209"/>
    </w:p>
    <w:p w:rsidR="001D37D5" w:rsidRPr="00883125" w:rsidRDefault="001D37D5" w:rsidP="001D37D5">
      <w:r w:rsidRPr="00883125">
        <w:t xml:space="preserve">We consider we are estimating the value of imputation credits consistently with the other allowed rate of return parameters on a post company tax basis before personal taxes and personal costs. </w:t>
      </w:r>
    </w:p>
    <w:p w:rsidR="001D37D5" w:rsidRPr="005764F6" w:rsidRDefault="001D37D5" w:rsidP="001D37D5">
      <w:r w:rsidRPr="005764F6">
        <w:t>For instance, when estimating the MRP</w:t>
      </w:r>
      <w:r>
        <w:t>,</w:t>
      </w:r>
      <w:r w:rsidRPr="005764F6">
        <w:t xml:space="preserve"> the dividend yield component is determined by the face value of dividends where one dollar of dividends paid by the company is valued at one dollar to the investor. We do not account for the personal costs and personal taxes associated with cash dividends when estimating the MRP using observed historical market returns. By contrast, dividend drop-off studies estimate the value one dollar of distributed cash dividends at less than one dollar (in the range of eighty one cents to ninety three cents in the case of SFG's study).</w:t>
      </w:r>
      <w:r w:rsidRPr="007B2969">
        <w:rPr>
          <w:rStyle w:val="FootnoteReference"/>
        </w:rPr>
        <w:footnoteReference w:id="369"/>
      </w:r>
      <w:r w:rsidRPr="005764F6">
        <w:t xml:space="preserve"> This highlights that dividend drop off studies are not estimating a post-tax return (which is the full face value of one dollar per one dollar of dividends distributed). Therefore, given imputation credits are also post tax income (like dividends), estimates of the value of imputation credits from these studies will require an adjustment to convert them to a post-tax return. Absent such an adjustment they are not appropriate to use as estimates of the post-tax value of distributed imputation credits for use in the Officer Framework underpinning the rules.</w:t>
      </w:r>
    </w:p>
    <w:p w:rsidR="001D37D5" w:rsidRPr="005764F6" w:rsidRDefault="001D37D5" w:rsidP="001D37D5">
      <w:r w:rsidRPr="005764F6">
        <w:t xml:space="preserve">When estimating the MRP we do not use a ninety cent value per one dollar face value of dividends. Doing so would significantly reduce the MRP estimate and would be inappropriate. The incorrect post tax valuation of cash dividends from dividend drop off studies is most likely driven by differential personal tax of dividend income and capital gains. As noted above, the correct post tax (pre-personal tax and personal costs) value of dividends is clearly one dollar per dollar of dividends distributed and not ninety cents or less as implied by the SFG study. The undervaluation relative to the full face value is likely primarily driven by investors valuing capital gains more highly than dividend income as </w:t>
      </w:r>
      <w:r w:rsidRPr="005764F6">
        <w:lastRenderedPageBreak/>
        <w:t>capital gains are generally taxed at a concessional personal tax rate.</w:t>
      </w:r>
      <w:r w:rsidRPr="00A51232">
        <w:rPr>
          <w:rStyle w:val="FootnoteReference"/>
        </w:rPr>
        <w:footnoteReference w:id="370"/>
      </w:r>
      <w:r w:rsidRPr="005764F6">
        <w:t xml:space="preserve"> We consider that the incorrect post tax valuation of cash dividends in SFG's dividend drop of study will also be reflected it the estimates of the value of imputation credits. This is because imputation credits are also taxed as ordinary income like cash dividends. Therefore, the uncorrected estimate of the value of imputation credits from a dividend drop off study is not an appropriate post tax value to use in our post (corporate) tax regulatory framework which is based on the Officer Framework.</w:t>
      </w:r>
      <w:r w:rsidRPr="00A51232">
        <w:rPr>
          <w:rStyle w:val="FootnoteReference"/>
        </w:rPr>
        <w:footnoteReference w:id="371"/>
      </w:r>
      <w:r w:rsidRPr="005764F6">
        <w:t xml:space="preserve"> It neither reflects the post-tax cost faced by the regulated businesses, nor the post-tax value received by investors. This is further discussed in section </w:t>
      </w:r>
      <w:r w:rsidRPr="005764F6">
        <w:fldChar w:fldCharType="begin"/>
      </w:r>
      <w:r w:rsidRPr="005764F6">
        <w:instrText xml:space="preserve"> REF _Ref435171205 \r \h  \* MERGEFORMAT </w:instrText>
      </w:r>
      <w:r w:rsidRPr="005764F6">
        <w:fldChar w:fldCharType="separate"/>
      </w:r>
      <w:r w:rsidR="00A02D8C">
        <w:t>A.15.3</w:t>
      </w:r>
      <w:r w:rsidRPr="005764F6">
        <w:fldChar w:fldCharType="end"/>
      </w:r>
      <w:r w:rsidRPr="005764F6">
        <w:t xml:space="preserve">, where it is shown that the pre-personal tax value of an imputation credit is equal to the face value of the imputation credit. </w:t>
      </w:r>
    </w:p>
    <w:p w:rsidR="001D37D5" w:rsidRPr="00883125" w:rsidRDefault="001D37D5" w:rsidP="001D37D5">
      <w:r w:rsidRPr="00883125">
        <w:t xml:space="preserve">Under the Officer 1994 framework </w:t>
      </w:r>
      <w:r>
        <w:t>we are</w:t>
      </w:r>
      <w:r w:rsidRPr="00883125">
        <w:t xml:space="preserve"> effectively assessing the regulated business at the company level (post company tax and pre personal tax and pre personal costs) and a dollar of dividends costs the regulated business one dollar and benefits the shareholder by one dollar. The same argument holds true for imputation credits</w:t>
      </w:r>
      <w:r>
        <w:t xml:space="preserve"> distributed to eligible domestic investors</w:t>
      </w:r>
      <w:r w:rsidRPr="00883125">
        <w:t xml:space="preserve">. The issues with dividend drop off studies are further discussed in section </w:t>
      </w:r>
      <w:r w:rsidRPr="00883125">
        <w:fldChar w:fldCharType="begin"/>
      </w:r>
      <w:r w:rsidRPr="00883125">
        <w:instrText xml:space="preserve"> REF _Ref435171205 \r \h </w:instrText>
      </w:r>
      <w:r w:rsidRPr="00883125">
        <w:fldChar w:fldCharType="separate"/>
      </w:r>
      <w:r w:rsidR="00A02D8C">
        <w:t>A.15.3</w:t>
      </w:r>
      <w:r w:rsidRPr="00883125">
        <w:fldChar w:fldCharType="end"/>
      </w:r>
      <w:r w:rsidRPr="00883125">
        <w:t>.</w:t>
      </w:r>
    </w:p>
    <w:p w:rsidR="001D37D5" w:rsidRPr="005764F6" w:rsidRDefault="001D37D5" w:rsidP="001D37D5">
      <w:r w:rsidRPr="005764F6">
        <w:t xml:space="preserve">The Tribunal decision considered </w:t>
      </w:r>
      <w:r>
        <w:t>our</w:t>
      </w:r>
      <w:r w:rsidRPr="005764F6">
        <w:t xml:space="preserve"> reasoning ignores the fact that other parameters in the WACC calculation are market values that already incorporate the effects of the difference in investors' tax positon and transaction costs.</w:t>
      </w:r>
      <w:r w:rsidRPr="00B31DF2">
        <w:rPr>
          <w:rStyle w:val="FootnoteReference"/>
        </w:rPr>
        <w:footnoteReference w:id="372"/>
      </w:r>
      <w:r w:rsidRPr="005764F6">
        <w:t xml:space="preserve"> In response we note that we consider our estimates across the rate of return inputs and gamma inputs are consistent and we have not ignored how the rate of return parameters are estimated. For example, as outlined above, when estimating the value of the MRP using historical returns, the value of cash dividends are not assessed on market values which are influenced by pre-personal costs and pre-personal tax factors. For instance:</w:t>
      </w:r>
    </w:p>
    <w:p w:rsidR="001D37D5" w:rsidRPr="005764F6" w:rsidRDefault="001D37D5" w:rsidP="001D37D5">
      <w:pPr>
        <w:pStyle w:val="AERbulletlistfirststyle"/>
      </w:pPr>
      <w:r w:rsidRPr="005764F6">
        <w:t xml:space="preserve">Unlike the cash dividend and the imputation estimates from market based studies, the return measured from market price of debt securities (both corporate bonds and commonwealth government security) is a genuine post company tax (pre-personal tax and personal costs) return. As noted above, the estimates of the value of cash dividends and imputation credits from market based studies are neither pre nor post-personal tax estimates. They are an estimate of the ordinary income value measured relative to capital gains income (that are generally taxed at a lower rate and are therefore more valuable). All other input parameters used in the estimate of the cost of debt and risk free rate, the coupons and principal amount, are valued at 'face value' in order to determine the yield to maturity. That is, our modelling assumes the investors receive the face value of the cash flows on these securities, a post-tax value consistent with the Officer Framework before personal taxes and personal transaction costs are incurred.  </w:t>
      </w:r>
    </w:p>
    <w:p w:rsidR="001D37D5" w:rsidRPr="005764F6" w:rsidRDefault="001D37D5" w:rsidP="001D37D5">
      <w:pPr>
        <w:pStyle w:val="AERbulletlistfirststyle"/>
      </w:pPr>
      <w:r w:rsidRPr="005764F6">
        <w:lastRenderedPageBreak/>
        <w:t xml:space="preserve">Historical capital gains used in estimating the market risk premium are directly observable post (company) tax returns to investors in the market before personal taxes and personal transaction costs are incurred. </w:t>
      </w:r>
    </w:p>
    <w:p w:rsidR="001D37D5" w:rsidRPr="005764F6" w:rsidRDefault="001D37D5" w:rsidP="001D37D5">
      <w:r w:rsidRPr="005764F6">
        <w:t>In the allowed rate of return framework</w:t>
      </w:r>
      <w:r>
        <w:t>,</w:t>
      </w:r>
      <w:r w:rsidRPr="005764F6">
        <w:t xml:space="preserve"> </w:t>
      </w:r>
      <w:r>
        <w:t xml:space="preserve">we use </w:t>
      </w:r>
      <w:r w:rsidRPr="005764F6">
        <w:t xml:space="preserve">both market values and face values. In </w:t>
      </w:r>
      <w:r>
        <w:fldChar w:fldCharType="begin"/>
      </w:r>
      <w:r>
        <w:instrText xml:space="preserve"> REF  _Ref450297354 \* Lower \h  \* MERGEFORMAT </w:instrText>
      </w:r>
      <w:r>
        <w:fldChar w:fldCharType="separate"/>
      </w:r>
      <w:r w:rsidR="00A02D8C" w:rsidRPr="00883125">
        <w:t xml:space="preserve">table </w:t>
      </w:r>
      <w:r w:rsidR="00A02D8C">
        <w:t>4</w:t>
      </w:r>
      <w:r w:rsidR="00A02D8C" w:rsidRPr="00B27BE5">
        <w:noBreakHyphen/>
      </w:r>
      <w:r w:rsidR="00A02D8C">
        <w:t>10</w:t>
      </w:r>
      <w:r>
        <w:fldChar w:fldCharType="end"/>
      </w:r>
      <w:r w:rsidRPr="005764F6">
        <w:t xml:space="preserve"> below, we highlight all the parameters that are used in order to calculate the return on equity using the CAPM.</w:t>
      </w:r>
    </w:p>
    <w:p w:rsidR="001D37D5" w:rsidRPr="00B27BE5" w:rsidRDefault="001D37D5" w:rsidP="001D37D5">
      <w:pPr>
        <w:pStyle w:val="Caption"/>
      </w:pPr>
      <w:bookmarkStart w:id="210" w:name="_Ref450297354"/>
      <w:bookmarkStart w:id="211" w:name="_Ref450322149"/>
      <w:r w:rsidRPr="00883125">
        <w:t xml:space="preserve">Table </w:t>
      </w:r>
      <w:r w:rsidRPr="001D37D5">
        <w:fldChar w:fldCharType="begin"/>
      </w:r>
      <w:r>
        <w:instrText xml:space="preserve"> STYLEREF 1 \s </w:instrText>
      </w:r>
      <w:r w:rsidRPr="001D37D5">
        <w:fldChar w:fldCharType="separate"/>
      </w:r>
      <w:r w:rsidR="00A02D8C">
        <w:rPr>
          <w:noProof/>
        </w:rPr>
        <w:t>4</w:t>
      </w:r>
      <w:r w:rsidRPr="001D37D5">
        <w:fldChar w:fldCharType="end"/>
      </w:r>
      <w:r w:rsidRPr="00B27BE5">
        <w:noBreakHyphen/>
      </w:r>
      <w:r w:rsidRPr="001D37D5">
        <w:fldChar w:fldCharType="begin"/>
      </w:r>
      <w:r>
        <w:instrText xml:space="preserve"> SEQ Table \* ARABIC \s 1 </w:instrText>
      </w:r>
      <w:r w:rsidRPr="001D37D5">
        <w:fldChar w:fldCharType="separate"/>
      </w:r>
      <w:r w:rsidR="00A02D8C">
        <w:rPr>
          <w:noProof/>
        </w:rPr>
        <w:t>10</w:t>
      </w:r>
      <w:r w:rsidRPr="001D37D5">
        <w:fldChar w:fldCharType="end"/>
      </w:r>
      <w:bookmarkEnd w:id="210"/>
      <w:r w:rsidRPr="00B27BE5">
        <w:tab/>
        <w:t>Parameters used to determine the return on equity</w:t>
      </w:r>
      <w:bookmarkEnd w:id="211"/>
    </w:p>
    <w:tbl>
      <w:tblPr>
        <w:tblStyle w:val="AERtable-numbers"/>
        <w:tblW w:w="0" w:type="auto"/>
        <w:tblLook w:val="04A0" w:firstRow="1" w:lastRow="0" w:firstColumn="1" w:lastColumn="0" w:noHBand="0" w:noVBand="1"/>
      </w:tblPr>
      <w:tblGrid>
        <w:gridCol w:w="3817"/>
        <w:gridCol w:w="2712"/>
        <w:gridCol w:w="2713"/>
      </w:tblGrid>
      <w:tr w:rsidR="001D37D5" w:rsidTr="005E1FC3">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817" w:type="dxa"/>
          </w:tcPr>
          <w:p w:rsidR="001D37D5" w:rsidRPr="00883125" w:rsidRDefault="001D37D5" w:rsidP="001D37D5">
            <w:pPr>
              <w:numPr>
                <w:ilvl w:val="0"/>
                <w:numId w:val="24"/>
              </w:numPr>
            </w:pPr>
          </w:p>
        </w:tc>
        <w:tc>
          <w:tcPr>
            <w:tcW w:w="2712" w:type="dxa"/>
          </w:tcPr>
          <w:p w:rsidR="001D37D5" w:rsidRPr="00883125" w:rsidRDefault="001D37D5" w:rsidP="001D37D5">
            <w:pPr>
              <w:numPr>
                <w:ilvl w:val="0"/>
                <w:numId w:val="24"/>
              </w:numPr>
              <w:cnfStyle w:val="100000000000" w:firstRow="1" w:lastRow="0" w:firstColumn="0" w:lastColumn="0" w:oddVBand="0" w:evenVBand="0" w:oddHBand="0" w:evenHBand="0" w:firstRowFirstColumn="0" w:firstRowLastColumn="0" w:lastRowFirstColumn="0" w:lastRowLastColumn="0"/>
            </w:pPr>
            <w:r w:rsidRPr="00883125">
              <w:t>Market Value</w:t>
            </w:r>
          </w:p>
        </w:tc>
        <w:tc>
          <w:tcPr>
            <w:tcW w:w="2713" w:type="dxa"/>
          </w:tcPr>
          <w:p w:rsidR="001D37D5" w:rsidRPr="00883125" w:rsidRDefault="001D37D5" w:rsidP="001D37D5">
            <w:pPr>
              <w:numPr>
                <w:ilvl w:val="0"/>
                <w:numId w:val="24"/>
              </w:numPr>
              <w:cnfStyle w:val="100000000000" w:firstRow="1" w:lastRow="0" w:firstColumn="0" w:lastColumn="0" w:oddVBand="0" w:evenVBand="0" w:oddHBand="0" w:evenHBand="0" w:firstRowFirstColumn="0" w:firstRowLastColumn="0" w:lastRowFirstColumn="0" w:lastRowLastColumn="0"/>
            </w:pPr>
            <w:r>
              <w:t>Face Value</w:t>
            </w:r>
          </w:p>
        </w:tc>
      </w:tr>
      <w:tr w:rsidR="001D37D5" w:rsidTr="005E1FC3">
        <w:trPr>
          <w:cantSplit/>
        </w:trPr>
        <w:tc>
          <w:tcPr>
            <w:cnfStyle w:val="001000000000" w:firstRow="0" w:lastRow="0" w:firstColumn="1" w:lastColumn="0" w:oddVBand="0" w:evenVBand="0" w:oddHBand="0" w:evenHBand="0" w:firstRowFirstColumn="0" w:firstRowLastColumn="0" w:lastRowFirstColumn="0" w:lastRowLastColumn="0"/>
            <w:tcW w:w="3817" w:type="dxa"/>
          </w:tcPr>
          <w:p w:rsidR="001D37D5" w:rsidRPr="00883125" w:rsidRDefault="001D37D5" w:rsidP="001D37D5">
            <w:pPr>
              <w:numPr>
                <w:ilvl w:val="0"/>
                <w:numId w:val="24"/>
              </w:numPr>
            </w:pPr>
            <w:r w:rsidRPr="00883125">
              <w:t>Risk Free Rate</w:t>
            </w:r>
          </w:p>
        </w:tc>
        <w:tc>
          <w:tcPr>
            <w:tcW w:w="2712"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t>Price of CGS</w:t>
            </w:r>
          </w:p>
        </w:tc>
        <w:tc>
          <w:tcPr>
            <w:tcW w:w="2713"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t>Coupon, Principle</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817" w:type="dxa"/>
          </w:tcPr>
          <w:p w:rsidR="001D37D5" w:rsidRPr="00883125" w:rsidRDefault="001D37D5" w:rsidP="001D37D5">
            <w:pPr>
              <w:numPr>
                <w:ilvl w:val="0"/>
                <w:numId w:val="24"/>
              </w:numPr>
            </w:pPr>
            <w:r w:rsidRPr="00883125">
              <w:t>Market Risk Premium</w:t>
            </w:r>
          </w:p>
        </w:tc>
        <w:tc>
          <w:tcPr>
            <w:tcW w:w="2712" w:type="dxa"/>
          </w:tcPr>
          <w:p w:rsidR="001D37D5" w:rsidRPr="00883125" w:rsidRDefault="001D37D5" w:rsidP="001D37D5">
            <w:pPr>
              <w:numPr>
                <w:ilvl w:val="0"/>
                <w:numId w:val="24"/>
              </w:numPr>
              <w:cnfStyle w:val="000000010000" w:firstRow="0" w:lastRow="0" w:firstColumn="0" w:lastColumn="0" w:oddVBand="0" w:evenVBand="0" w:oddHBand="0" w:evenHBand="1" w:firstRowFirstColumn="0" w:firstRowLastColumn="0" w:lastRowFirstColumn="0" w:lastRowLastColumn="0"/>
            </w:pPr>
            <w:r w:rsidRPr="00883125">
              <w:t>Price of equity</w:t>
            </w:r>
          </w:p>
        </w:tc>
        <w:tc>
          <w:tcPr>
            <w:tcW w:w="2713" w:type="dxa"/>
          </w:tcPr>
          <w:p w:rsidR="001D37D5" w:rsidRPr="00883125" w:rsidRDefault="001D37D5" w:rsidP="001D37D5">
            <w:pPr>
              <w:numPr>
                <w:ilvl w:val="0"/>
                <w:numId w:val="24"/>
              </w:numPr>
              <w:cnfStyle w:val="000000010000" w:firstRow="0" w:lastRow="0" w:firstColumn="0" w:lastColumn="0" w:oddVBand="0" w:evenVBand="0" w:oddHBand="0" w:evenHBand="1" w:firstRowFirstColumn="0" w:firstRowLastColumn="0" w:lastRowFirstColumn="0" w:lastRowLastColumn="0"/>
            </w:pPr>
            <w:r w:rsidRPr="00883125">
              <w:t>Dividends, Imputation credits</w:t>
            </w:r>
          </w:p>
        </w:tc>
      </w:tr>
      <w:tr w:rsidR="001D37D5" w:rsidTr="005E1FC3">
        <w:trPr>
          <w:cantSplit/>
        </w:trPr>
        <w:tc>
          <w:tcPr>
            <w:cnfStyle w:val="001000000000" w:firstRow="0" w:lastRow="0" w:firstColumn="1" w:lastColumn="0" w:oddVBand="0" w:evenVBand="0" w:oddHBand="0" w:evenHBand="0" w:firstRowFirstColumn="0" w:firstRowLastColumn="0" w:lastRowFirstColumn="0" w:lastRowLastColumn="0"/>
            <w:tcW w:w="3817" w:type="dxa"/>
          </w:tcPr>
          <w:p w:rsidR="001D37D5" w:rsidRPr="00883125" w:rsidRDefault="001D37D5" w:rsidP="001D37D5">
            <w:pPr>
              <w:numPr>
                <w:ilvl w:val="0"/>
                <w:numId w:val="24"/>
              </w:numPr>
            </w:pPr>
            <w:r w:rsidRPr="00883125">
              <w:t>Beta</w:t>
            </w:r>
          </w:p>
        </w:tc>
        <w:tc>
          <w:tcPr>
            <w:tcW w:w="2712"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t>Price of equity</w:t>
            </w:r>
          </w:p>
        </w:tc>
        <w:tc>
          <w:tcPr>
            <w:tcW w:w="2713"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t>Dividends</w:t>
            </w:r>
          </w:p>
        </w:tc>
      </w:tr>
    </w:tbl>
    <w:p w:rsidR="001D37D5" w:rsidRPr="005764F6" w:rsidRDefault="001D37D5" w:rsidP="001D37D5">
      <w:r w:rsidRPr="005764F6">
        <w:t xml:space="preserve">As is evident in </w:t>
      </w:r>
      <w:r>
        <w:fldChar w:fldCharType="begin"/>
      </w:r>
      <w:r>
        <w:instrText xml:space="preserve"> REF  _Ref450297354 \* Lower \h  \* MERGEFORMAT </w:instrText>
      </w:r>
      <w:r>
        <w:fldChar w:fldCharType="separate"/>
      </w:r>
      <w:r w:rsidR="00A02D8C" w:rsidRPr="00883125">
        <w:t xml:space="preserve">table </w:t>
      </w:r>
      <w:r w:rsidR="00A02D8C">
        <w:t>4</w:t>
      </w:r>
      <w:r w:rsidR="00A02D8C" w:rsidRPr="00B27BE5">
        <w:noBreakHyphen/>
      </w:r>
      <w:r w:rsidR="00A02D8C">
        <w:t>10</w:t>
      </w:r>
      <w:r>
        <w:fldChar w:fldCharType="end"/>
      </w:r>
      <w:r w:rsidRPr="005764F6">
        <w:t xml:space="preserve">, in order to determine the return on equity </w:t>
      </w:r>
      <w:r>
        <w:t>we</w:t>
      </w:r>
      <w:r w:rsidRPr="005764F6">
        <w:t xml:space="preserve"> use a combination of market values and face values. When determining whether to use market value or face value, </w:t>
      </w:r>
      <w:r>
        <w:t>we</w:t>
      </w:r>
      <w:r w:rsidRPr="005764F6">
        <w:t xml:space="preserve"> ha</w:t>
      </w:r>
      <w:r>
        <w:t>ve</w:t>
      </w:r>
      <w:r w:rsidRPr="005764F6">
        <w:t xml:space="preserve"> to consider </w:t>
      </w:r>
      <w:r>
        <w:t xml:space="preserve">whether it is consistent with </w:t>
      </w:r>
      <w:r w:rsidRPr="005764F6">
        <w:t xml:space="preserve">the Officer framework. All input parameters in </w:t>
      </w:r>
      <w:r>
        <w:fldChar w:fldCharType="begin"/>
      </w:r>
      <w:r>
        <w:instrText xml:space="preserve"> REF  _Ref450297354 \* Lower \h  \* MERGEFORMAT </w:instrText>
      </w:r>
      <w:r>
        <w:fldChar w:fldCharType="separate"/>
      </w:r>
      <w:r w:rsidR="00A02D8C" w:rsidRPr="00883125">
        <w:t xml:space="preserve">table </w:t>
      </w:r>
      <w:r w:rsidR="00A02D8C">
        <w:t>4</w:t>
      </w:r>
      <w:r w:rsidR="00A02D8C" w:rsidRPr="00B27BE5">
        <w:noBreakHyphen/>
      </w:r>
      <w:r w:rsidR="00A02D8C">
        <w:t>10</w:t>
      </w:r>
      <w:r>
        <w:fldChar w:fldCharType="end"/>
      </w:r>
      <w:r w:rsidRPr="005764F6">
        <w:t xml:space="preserve"> are to measure cost of equity on the post-company tax but pre-personal tax and personal costs basis and reflect the cost faced by the firm. For instance, the return measured from the market price of equity is the post company tax value investors actually receive before they pay personal taxes and this market price reflects the cost of equity if a firm tried to issue new capital. Similarly, the face value of dividends and imputation credits reflects the post company tax cost to the firm and is the value before personal taxes are incurred. Hence they are post-company tax (pre-personal tax and personal costs) values.</w:t>
      </w:r>
    </w:p>
    <w:p w:rsidR="001D37D5" w:rsidRPr="005764F6" w:rsidRDefault="001D37D5" w:rsidP="001D37D5">
      <w:r w:rsidRPr="005764F6">
        <w:t>Similarly</w:t>
      </w:r>
      <w:r>
        <w:t>,</w:t>
      </w:r>
      <w:r w:rsidRPr="005764F6">
        <w:t xml:space="preserve"> </w:t>
      </w:r>
      <w:r>
        <w:t>we</w:t>
      </w:r>
      <w:r w:rsidRPr="005764F6">
        <w:t xml:space="preserve"> use a mixture of market values and face values to determine the return on debt. This is demonstrated in </w:t>
      </w:r>
      <w:r>
        <w:fldChar w:fldCharType="begin"/>
      </w:r>
      <w:r>
        <w:instrText xml:space="preserve"> REF  _Ref450297391 \* Lower \h  \* MERGEFORMAT </w:instrText>
      </w:r>
      <w:r>
        <w:fldChar w:fldCharType="separate"/>
      </w:r>
      <w:r w:rsidR="00A02D8C" w:rsidRPr="005764F6">
        <w:t xml:space="preserve">table </w:t>
      </w:r>
      <w:r w:rsidR="00A02D8C">
        <w:t>4</w:t>
      </w:r>
      <w:r w:rsidR="00A02D8C" w:rsidRPr="005764F6">
        <w:noBreakHyphen/>
      </w:r>
      <w:r w:rsidR="00A02D8C">
        <w:t>11</w:t>
      </w:r>
      <w:r>
        <w:fldChar w:fldCharType="end"/>
      </w:r>
      <w:r w:rsidRPr="005764F6">
        <w:t>.</w:t>
      </w:r>
    </w:p>
    <w:p w:rsidR="001D37D5" w:rsidRPr="005764F6" w:rsidRDefault="001D37D5" w:rsidP="001D37D5">
      <w:pPr>
        <w:pStyle w:val="Tabletitle"/>
      </w:pPr>
      <w:bookmarkStart w:id="212" w:name="_Ref450297391"/>
      <w:r w:rsidRPr="005764F6">
        <w:t xml:space="preserve">Table </w:t>
      </w:r>
      <w:r w:rsidR="00F470C7">
        <w:fldChar w:fldCharType="begin"/>
      </w:r>
      <w:r w:rsidR="00F470C7">
        <w:instrText xml:space="preserve"> STYLE</w:instrText>
      </w:r>
      <w:r w:rsidR="00F470C7">
        <w:instrText xml:space="preserve">REF 1 \s </w:instrText>
      </w:r>
      <w:r w:rsidR="00F470C7">
        <w:fldChar w:fldCharType="separate"/>
      </w:r>
      <w:r w:rsidR="00A02D8C">
        <w:rPr>
          <w:noProof/>
        </w:rPr>
        <w:t>4</w:t>
      </w:r>
      <w:r w:rsidR="00F470C7">
        <w:rPr>
          <w:noProof/>
        </w:rPr>
        <w:fldChar w:fldCharType="end"/>
      </w:r>
      <w:r w:rsidRPr="005764F6">
        <w:noBreakHyphen/>
      </w:r>
      <w:r w:rsidR="00F470C7">
        <w:fldChar w:fldCharType="begin"/>
      </w:r>
      <w:r w:rsidR="00F470C7">
        <w:instrText xml:space="preserve"> SEQ Table \* ARABIC \s 1 </w:instrText>
      </w:r>
      <w:r w:rsidR="00F470C7">
        <w:fldChar w:fldCharType="separate"/>
      </w:r>
      <w:r w:rsidR="00A02D8C">
        <w:rPr>
          <w:noProof/>
        </w:rPr>
        <w:t>11</w:t>
      </w:r>
      <w:r w:rsidR="00F470C7">
        <w:rPr>
          <w:noProof/>
        </w:rPr>
        <w:fldChar w:fldCharType="end"/>
      </w:r>
      <w:bookmarkEnd w:id="212"/>
      <w:r w:rsidRPr="005764F6">
        <w:tab/>
        <w:t>Parameters used to determine the return on debt</w:t>
      </w:r>
    </w:p>
    <w:tbl>
      <w:tblPr>
        <w:tblStyle w:val="AERtable-numbers"/>
        <w:tblW w:w="0" w:type="auto"/>
        <w:tblLook w:val="04A0" w:firstRow="1" w:lastRow="0" w:firstColumn="1" w:lastColumn="0" w:noHBand="0" w:noVBand="1"/>
      </w:tblPr>
      <w:tblGrid>
        <w:gridCol w:w="3817"/>
        <w:gridCol w:w="2712"/>
        <w:gridCol w:w="2713"/>
      </w:tblGrid>
      <w:tr w:rsidR="001D37D5" w:rsidRPr="00663AD0" w:rsidTr="005E1FC3">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817" w:type="dxa"/>
          </w:tcPr>
          <w:p w:rsidR="001D37D5" w:rsidRPr="005764F6" w:rsidRDefault="001D37D5" w:rsidP="001D37D5"/>
        </w:tc>
        <w:tc>
          <w:tcPr>
            <w:tcW w:w="2712" w:type="dxa"/>
          </w:tcPr>
          <w:p w:rsidR="001D37D5" w:rsidRPr="005764F6" w:rsidRDefault="001D37D5" w:rsidP="001D37D5">
            <w:pPr>
              <w:cnfStyle w:val="100000000000" w:firstRow="1" w:lastRow="0" w:firstColumn="0" w:lastColumn="0" w:oddVBand="0" w:evenVBand="0" w:oddHBand="0" w:evenHBand="0" w:firstRowFirstColumn="0" w:firstRowLastColumn="0" w:lastRowFirstColumn="0" w:lastRowLastColumn="0"/>
            </w:pPr>
            <w:r w:rsidRPr="005764F6">
              <w:t>Market Value</w:t>
            </w:r>
          </w:p>
        </w:tc>
        <w:tc>
          <w:tcPr>
            <w:tcW w:w="2713" w:type="dxa"/>
          </w:tcPr>
          <w:p w:rsidR="001D37D5" w:rsidRPr="001D37D5" w:rsidRDefault="001D37D5" w:rsidP="001D37D5">
            <w:pPr>
              <w:cnfStyle w:val="100000000000" w:firstRow="1" w:lastRow="0" w:firstColumn="0" w:lastColumn="0" w:oddVBand="0" w:evenVBand="0" w:oddHBand="0" w:evenHBand="0" w:firstRowFirstColumn="0" w:firstRowLastColumn="0" w:lastRowFirstColumn="0" w:lastRowLastColumn="0"/>
            </w:pPr>
            <w:r w:rsidRPr="005764F6">
              <w:t>Face Value</w:t>
            </w:r>
          </w:p>
        </w:tc>
      </w:tr>
      <w:tr w:rsidR="001D37D5" w:rsidRPr="00663AD0" w:rsidTr="005E1FC3">
        <w:trPr>
          <w:cantSplit/>
        </w:trPr>
        <w:tc>
          <w:tcPr>
            <w:cnfStyle w:val="001000000000" w:firstRow="0" w:lastRow="0" w:firstColumn="1" w:lastColumn="0" w:oddVBand="0" w:evenVBand="0" w:oddHBand="0" w:evenHBand="0" w:firstRowFirstColumn="0" w:firstRowLastColumn="0" w:lastRowFirstColumn="0" w:lastRowLastColumn="0"/>
            <w:tcW w:w="3817" w:type="dxa"/>
          </w:tcPr>
          <w:p w:rsidR="001D37D5" w:rsidRPr="005764F6" w:rsidRDefault="001D37D5" w:rsidP="001D37D5">
            <w:r w:rsidRPr="005764F6">
              <w:t>Return on debt</w:t>
            </w:r>
          </w:p>
        </w:tc>
        <w:tc>
          <w:tcPr>
            <w:tcW w:w="2712" w:type="dxa"/>
          </w:tcPr>
          <w:p w:rsidR="001D37D5" w:rsidRPr="005764F6" w:rsidRDefault="001D37D5" w:rsidP="001D37D5">
            <w:pPr>
              <w:cnfStyle w:val="000000000000" w:firstRow="0" w:lastRow="0" w:firstColumn="0" w:lastColumn="0" w:oddVBand="0" w:evenVBand="0" w:oddHBand="0" w:evenHBand="0" w:firstRowFirstColumn="0" w:firstRowLastColumn="0" w:lastRowFirstColumn="0" w:lastRowLastColumn="0"/>
            </w:pPr>
            <w:r w:rsidRPr="005764F6">
              <w:t>Price of debt</w:t>
            </w:r>
          </w:p>
        </w:tc>
        <w:tc>
          <w:tcPr>
            <w:tcW w:w="2713" w:type="dxa"/>
          </w:tcPr>
          <w:p w:rsidR="001D37D5" w:rsidRPr="005764F6" w:rsidRDefault="001D37D5" w:rsidP="001D37D5">
            <w:pPr>
              <w:cnfStyle w:val="000000000000" w:firstRow="0" w:lastRow="0" w:firstColumn="0" w:lastColumn="0" w:oddVBand="0" w:evenVBand="0" w:oddHBand="0" w:evenHBand="0" w:firstRowFirstColumn="0" w:firstRowLastColumn="0" w:lastRowFirstColumn="0" w:lastRowLastColumn="0"/>
            </w:pPr>
            <w:r w:rsidRPr="005764F6">
              <w:t>Coupon, Principle</w:t>
            </w:r>
          </w:p>
        </w:tc>
      </w:tr>
      <w:tr w:rsidR="001D37D5" w:rsidRPr="00663AD0" w:rsidTr="005E1FC3">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817" w:type="dxa"/>
          </w:tcPr>
          <w:p w:rsidR="001D37D5" w:rsidRPr="005764F6" w:rsidRDefault="001D37D5" w:rsidP="001D37D5">
            <w:r w:rsidRPr="005764F6">
              <w:t>Risk Free Rate</w:t>
            </w:r>
          </w:p>
        </w:tc>
        <w:tc>
          <w:tcPr>
            <w:tcW w:w="2712" w:type="dxa"/>
          </w:tcPr>
          <w:p w:rsidR="001D37D5" w:rsidRPr="005764F6" w:rsidRDefault="001D37D5" w:rsidP="001D37D5">
            <w:pPr>
              <w:cnfStyle w:val="000000010000" w:firstRow="0" w:lastRow="0" w:firstColumn="0" w:lastColumn="0" w:oddVBand="0" w:evenVBand="0" w:oddHBand="0" w:evenHBand="1" w:firstRowFirstColumn="0" w:firstRowLastColumn="0" w:lastRowFirstColumn="0" w:lastRowLastColumn="0"/>
            </w:pPr>
            <w:r w:rsidRPr="005764F6">
              <w:t>Price of CGS</w:t>
            </w:r>
          </w:p>
        </w:tc>
        <w:tc>
          <w:tcPr>
            <w:tcW w:w="2713" w:type="dxa"/>
          </w:tcPr>
          <w:p w:rsidR="001D37D5" w:rsidRPr="005764F6" w:rsidRDefault="001D37D5" w:rsidP="001D37D5">
            <w:pPr>
              <w:cnfStyle w:val="000000010000" w:firstRow="0" w:lastRow="0" w:firstColumn="0" w:lastColumn="0" w:oddVBand="0" w:evenVBand="0" w:oddHBand="0" w:evenHBand="1" w:firstRowFirstColumn="0" w:firstRowLastColumn="0" w:lastRowFirstColumn="0" w:lastRowLastColumn="0"/>
            </w:pPr>
            <w:r w:rsidRPr="005764F6">
              <w:t>Coupon, Principle</w:t>
            </w:r>
          </w:p>
        </w:tc>
      </w:tr>
    </w:tbl>
    <w:p w:rsidR="001D37D5" w:rsidRPr="005764F6" w:rsidRDefault="001D37D5" w:rsidP="001D37D5">
      <w:r w:rsidRPr="005764F6">
        <w:t xml:space="preserve">As is evident in </w:t>
      </w:r>
      <w:r>
        <w:fldChar w:fldCharType="begin"/>
      </w:r>
      <w:r>
        <w:instrText xml:space="preserve"> REF  _Ref450297391 \* Lower \h  \* MERGEFORMAT </w:instrText>
      </w:r>
      <w:r>
        <w:fldChar w:fldCharType="separate"/>
      </w:r>
      <w:r w:rsidR="00A02D8C" w:rsidRPr="005764F6">
        <w:t xml:space="preserve">table </w:t>
      </w:r>
      <w:r w:rsidR="00A02D8C">
        <w:t>4</w:t>
      </w:r>
      <w:r w:rsidR="00A02D8C" w:rsidRPr="005764F6">
        <w:noBreakHyphen/>
      </w:r>
      <w:r w:rsidR="00A02D8C">
        <w:t>11</w:t>
      </w:r>
      <w:r>
        <w:fldChar w:fldCharType="end"/>
      </w:r>
      <w:r w:rsidRPr="005764F6">
        <w:t>, the return on debt estimated via the yield to maturity is determined from using a combination of market values and face values. All input parameters are to measure the cost of debt on a post-company tax but pre-personal tax basis. For example, the debt holder has to pay personal tax on the face value of the coupon payments and if a bond holder sells their bond they have to pay personal on the return measured from market price of the bond. The input parameters also reflect the cost faced by the firm. The firm has to pay the face value of the coupon and principal to the bond holders. Also the market price of a bond determines how much funds a firm can raise given a certain coupon and principal payment.</w:t>
      </w:r>
    </w:p>
    <w:p w:rsidR="001D37D5" w:rsidRPr="005053A1" w:rsidRDefault="001D37D5" w:rsidP="001D37D5">
      <w:r w:rsidRPr="005053A1">
        <w:lastRenderedPageBreak/>
        <w:t xml:space="preserve">Consistent with </w:t>
      </w:r>
      <w:r>
        <w:t>our view</w:t>
      </w:r>
      <w:r w:rsidRPr="005053A1">
        <w:t>, Lally does not consider there is an inconsistency with the cost of debt and equity being market rates and the utilisation rate being determined on the face value:</w:t>
      </w:r>
      <w:r w:rsidRPr="005053A1">
        <w:rPr>
          <w:rStyle w:val="FootnoteReference"/>
        </w:rPr>
        <w:footnoteReference w:id="373"/>
      </w:r>
    </w:p>
    <w:p w:rsidR="001D37D5" w:rsidRPr="00663AD0" w:rsidRDefault="001D37D5" w:rsidP="001D37D5">
      <w:pPr>
        <w:pStyle w:val="AERquote"/>
        <w:rPr>
          <w:rStyle w:val="AERtexthighlight"/>
        </w:rPr>
      </w:pPr>
      <w:r>
        <w:t>Both the cost of equity and theta appear in equation (1), with the cost of equity being a market rate and theta not being a market value. This equation arises from the set of assumptions underlying the Officer (1994) model.</w:t>
      </w:r>
    </w:p>
    <w:p w:rsidR="001D37D5" w:rsidRPr="005764F6" w:rsidRDefault="001D37D5" w:rsidP="001D37D5">
      <w:r w:rsidRPr="005764F6">
        <w:t>All allowed rate of return parameters are estimated on a post company tax basis before personal taxes are incurred. For capital gains component of return on equity estimate, investors have to pay capital gains tax on the post company tax capital gain. For the dividend income grossed up with redeemable imputation credits and interest income of bonds, investors pay personal tax at their marginal tax rate on the post company tax income. Importantly, the allowed return we estimate is estimated from observed post company tax returns before these personal taxes are incurred. As a result, all input parameters into the allowed rate of return are genuine post company tax estimates before personal taxes are incurred.</w:t>
      </w:r>
    </w:p>
    <w:p w:rsidR="001D37D5" w:rsidRPr="005764F6" w:rsidRDefault="001D37D5" w:rsidP="001D37D5">
      <w:r w:rsidRPr="005764F6">
        <w:t>Further, all input parameters in the allowed rate of return are also estimated on a pre-personal cost basis. For example, all components of the return on equity (capital gain, dividends and imputation credits) are estimated pre-personal costs. If an investor wants to realise their capital gains by selling their stock, they have to pay transaction costs like brokerage fees and costs associated with filling in a tax return. These costs are not accounted for in our post-tax regulatory framework. Similarly, for dividends and bond returns, personal costs are incurred by investors when realising these returns and these costs are not accounted for in our regulatory framework. The allowed return we estimate is estimated from observed post company tax returns before these personal costs and taxes are incurred (</w:t>
      </w:r>
      <w:r>
        <w:t>for example.</w:t>
      </w:r>
      <w:r w:rsidRPr="005764F6">
        <w:t xml:space="preserve"> historical estimates of the MRP are before personal costs have been incurred).</w:t>
      </w:r>
    </w:p>
    <w:p w:rsidR="001D37D5" w:rsidRPr="00883125" w:rsidRDefault="001D37D5" w:rsidP="001D37D5">
      <w:pPr>
        <w:pStyle w:val="Heading9"/>
      </w:pPr>
      <w:bookmarkStart w:id="213" w:name="_Toc450119269"/>
      <w:bookmarkStart w:id="214" w:name="_Toc450119429"/>
      <w:bookmarkStart w:id="215" w:name="_Ref414099389"/>
      <w:bookmarkEnd w:id="213"/>
      <w:bookmarkEnd w:id="214"/>
      <w:r w:rsidRPr="00883125">
        <w:t>Factors affecting investors' valuation of imputation credits</w:t>
      </w:r>
      <w:bookmarkEnd w:id="215"/>
    </w:p>
    <w:p w:rsidR="001D37D5" w:rsidRPr="00883125" w:rsidRDefault="001D37D5" w:rsidP="001D37D5">
      <w:r w:rsidRPr="00883125">
        <w:t>A number of service providers submitted that estimates of the utilisation value</w:t>
      </w:r>
      <w:r w:rsidRPr="00883125" w:rsidDel="00D229D2">
        <w:t xml:space="preserve"> </w:t>
      </w:r>
      <w:r w:rsidRPr="00883125">
        <w:t>from the equity ownership approach and tax statistics do not reflect a number of factors which affect investors' valuation of imputation credits.</w:t>
      </w:r>
      <w:r w:rsidRPr="00883125">
        <w:rPr>
          <w:rStyle w:val="FootnoteReference"/>
        </w:rPr>
        <w:footnoteReference w:id="374"/>
      </w:r>
      <w:r w:rsidRPr="00883125">
        <w:t xml:space="preserve">  </w:t>
      </w:r>
      <w:r>
        <w:t>They</w:t>
      </w:r>
      <w:r w:rsidRPr="00883125">
        <w:t xml:space="preserve"> submitted the equity ownership approach is at best an upper bound as domestic investors cannot use imputation credits due to the 45 day rule and investors tha</w:t>
      </w:r>
      <w:r>
        <w:t>t</w:t>
      </w:r>
      <w:r w:rsidRPr="00883125">
        <w:t xml:space="preserve"> can use imputation credit do not value them at full face value.</w:t>
      </w:r>
      <w:r w:rsidRPr="00883125">
        <w:rPr>
          <w:rStyle w:val="FootnoteReference"/>
        </w:rPr>
        <w:footnoteReference w:id="375"/>
      </w:r>
      <w:r w:rsidRPr="00883125">
        <w:t xml:space="preserve"> </w:t>
      </w:r>
      <w:r w:rsidRPr="00883125">
        <w:lastRenderedPageBreak/>
        <w:t>Service providers submit that tax statistics provide a closer value of imputation credits in comparison to equity ownership, but it still fails to recognise that investors might value imputation credits at less than face value due to transaction costs, time value of money and portfolio effects.</w:t>
      </w:r>
      <w:r w:rsidRPr="00883125">
        <w:rPr>
          <w:rStyle w:val="FootnoteReference"/>
        </w:rPr>
        <w:footnoteReference w:id="376"/>
      </w:r>
      <w:r w:rsidRPr="00883125">
        <w:t xml:space="preserve"> Gray (for Frontier) supports this by submitting that </w:t>
      </w:r>
      <w:r>
        <w:t xml:space="preserve">the </w:t>
      </w:r>
      <w:r w:rsidRPr="00883125">
        <w:t>redemption rate should be used as an upper bound (0.45-0.46) for utilisation value and that it should not be used as a point estimate for the utilisation rate.</w:t>
      </w:r>
      <w:r w:rsidRPr="00883125">
        <w:rPr>
          <w:rStyle w:val="FootnoteReference"/>
        </w:rPr>
        <w:footnoteReference w:id="377"/>
      </w:r>
      <w:r w:rsidRPr="00883125">
        <w:t xml:space="preserve"> Gray (for Frontier) considers that the tax statistics estimate should be preferred to the equity ownership estimate.</w:t>
      </w:r>
      <w:r w:rsidRPr="00883125">
        <w:rPr>
          <w:rStyle w:val="FootnoteReference"/>
        </w:rPr>
        <w:footnoteReference w:id="378"/>
      </w:r>
    </w:p>
    <w:p w:rsidR="001D37D5" w:rsidRPr="00883125" w:rsidRDefault="001D37D5" w:rsidP="001D37D5">
      <w:r>
        <w:t>We</w:t>
      </w:r>
      <w:r w:rsidRPr="00883125">
        <w:t xml:space="preserve"> addressed each of these factors in our prior decisions, and concluded that they are either immaterial or should not be accounted for when estimating the properly defined utilisation value. Nothing in the service providers' revised</w:t>
      </w:r>
      <w:r>
        <w:t xml:space="preserve"> proposals</w:t>
      </w:r>
      <w:r w:rsidRPr="00883125">
        <w:t xml:space="preserve">, </w:t>
      </w:r>
      <w:r>
        <w:t>n</w:t>
      </w:r>
      <w:r w:rsidRPr="00883125">
        <w:t xml:space="preserve">or in the </w:t>
      </w:r>
      <w:r>
        <w:t xml:space="preserve">recent </w:t>
      </w:r>
      <w:r w:rsidRPr="00883125">
        <w:t>Tribunal decision</w:t>
      </w:r>
      <w:r>
        <w:t>s referenced in service providers' late submissions,</w:t>
      </w:r>
      <w:r w:rsidRPr="00883125">
        <w:t xml:space="preserve"> give us cause to change this conclusion. To the extent time has permitted we have expanded on the following points in other sections of this decision:</w:t>
      </w:r>
    </w:p>
    <w:p w:rsidR="001D37D5" w:rsidRPr="001D37D5" w:rsidRDefault="001D37D5" w:rsidP="001D37D5">
      <w:pPr>
        <w:pStyle w:val="AERbulletlistfirststyle"/>
      </w:pPr>
      <w:r w:rsidRPr="00883125">
        <w:t xml:space="preserve">Why estimates from tax </w:t>
      </w:r>
      <w:r w:rsidRPr="001D37D5">
        <w:t xml:space="preserve">statistics and the equity ownership approach are not upper bounds and can be used as valid point estimates for the utilisation rate (or theta). See sections </w:t>
      </w:r>
      <w:r w:rsidRPr="001D37D5">
        <w:fldChar w:fldCharType="begin"/>
      </w:r>
      <w:r w:rsidRPr="001D37D5">
        <w:instrText xml:space="preserve"> REF _Ref415049811 \r \h </w:instrText>
      </w:r>
      <w:r w:rsidRPr="001D37D5">
        <w:fldChar w:fldCharType="separate"/>
      </w:r>
      <w:r w:rsidR="00A02D8C">
        <w:t>A.12</w:t>
      </w:r>
      <w:r w:rsidRPr="001D37D5">
        <w:fldChar w:fldCharType="end"/>
      </w:r>
      <w:r w:rsidRPr="001D37D5">
        <w:t xml:space="preserve">, </w:t>
      </w:r>
      <w:r w:rsidRPr="001D37D5">
        <w:fldChar w:fldCharType="begin"/>
      </w:r>
      <w:r w:rsidRPr="001D37D5">
        <w:instrText xml:space="preserve"> REF _Ref402179420 \r \h </w:instrText>
      </w:r>
      <w:r w:rsidRPr="001D37D5">
        <w:fldChar w:fldCharType="separate"/>
      </w:r>
      <w:r w:rsidR="00A02D8C">
        <w:t>A.13</w:t>
      </w:r>
      <w:r w:rsidRPr="001D37D5">
        <w:fldChar w:fldCharType="end"/>
      </w:r>
    </w:p>
    <w:p w:rsidR="001D37D5" w:rsidRPr="001D37D5" w:rsidRDefault="001D37D5" w:rsidP="001D37D5">
      <w:pPr>
        <w:pStyle w:val="AERbulletlistfirststyle"/>
      </w:pPr>
      <w:r w:rsidRPr="00883125">
        <w:t xml:space="preserve">Why the 45 day rule </w:t>
      </w:r>
      <w:r w:rsidRPr="001D37D5">
        <w:t>and other factors preventing utilisation by eligible investors are not expected to be responsible for the difference between the estimated utilisation rate from tax statistics and the equity ownership approach. See the following sub section.</w:t>
      </w:r>
    </w:p>
    <w:p w:rsidR="001D37D5" w:rsidRPr="00883125" w:rsidRDefault="001D37D5" w:rsidP="001D37D5">
      <w:pPr>
        <w:pStyle w:val="HeadingBoldBlue"/>
        <w:numPr>
          <w:ilvl w:val="0"/>
          <w:numId w:val="24"/>
        </w:numPr>
      </w:pPr>
      <w:r w:rsidRPr="00883125">
        <w:t>The 45-day holding rule</w:t>
      </w:r>
    </w:p>
    <w:p w:rsidR="001D37D5" w:rsidRPr="00883125" w:rsidRDefault="001D37D5" w:rsidP="001D37D5">
      <w:pPr>
        <w:numPr>
          <w:ilvl w:val="0"/>
          <w:numId w:val="24"/>
        </w:numPr>
      </w:pPr>
      <w:r w:rsidRPr="00883125">
        <w:t>To be eligible to utilise imputation credits, an otherwise-eligible investor must have held the shares that distributed the credits ‘at risk’ for at least 45 days (90 days for certain preference shares).</w:t>
      </w:r>
      <w:r w:rsidRPr="00883125">
        <w:rPr>
          <w:rStyle w:val="FootnoteReference"/>
        </w:rPr>
        <w:footnoteReference w:id="379"/>
      </w:r>
      <w:r w:rsidRPr="00883125">
        <w:t xml:space="preserve"> However, this rule does not apply if the investor's total credit entitlement is below $5,000.</w:t>
      </w:r>
    </w:p>
    <w:p w:rsidR="001D37D5" w:rsidRPr="00883125" w:rsidRDefault="001D37D5" w:rsidP="00247000">
      <w:pPr>
        <w:keepNext/>
        <w:numPr>
          <w:ilvl w:val="0"/>
          <w:numId w:val="24"/>
        </w:numPr>
      </w:pPr>
      <w:r w:rsidRPr="00883125">
        <w:lastRenderedPageBreak/>
        <w:t>A number of service providers stated:</w:t>
      </w:r>
      <w:r w:rsidRPr="00883125">
        <w:rPr>
          <w:rStyle w:val="FootnoteReference"/>
        </w:rPr>
        <w:footnoteReference w:id="380"/>
      </w:r>
    </w:p>
    <w:p w:rsidR="001D37D5" w:rsidRPr="00883125" w:rsidRDefault="001D37D5" w:rsidP="00247000">
      <w:pPr>
        <w:pStyle w:val="AERquote"/>
        <w:keepNext/>
      </w:pPr>
      <w:r w:rsidRPr="00883125">
        <w:t>It has been estimated that the 45-day rule has about a 5-10% impact on the redemption rate.</w:t>
      </w:r>
    </w:p>
    <w:p w:rsidR="001D37D5" w:rsidRPr="00883125" w:rsidRDefault="001D37D5" w:rsidP="001D37D5">
      <w:pPr>
        <w:numPr>
          <w:ilvl w:val="0"/>
          <w:numId w:val="24"/>
        </w:numPr>
      </w:pPr>
      <w:r w:rsidRPr="00883125">
        <w:t>The source of this estimate is a 2010 paper by Handley. The relevant passage from this paper is:</w:t>
      </w:r>
      <w:r w:rsidRPr="00883125">
        <w:rPr>
          <w:rStyle w:val="FootnoteReference"/>
        </w:rPr>
        <w:footnoteReference w:id="381"/>
      </w:r>
    </w:p>
    <w:p w:rsidR="001D37D5" w:rsidRPr="00883125" w:rsidRDefault="001D37D5" w:rsidP="001D37D5">
      <w:pPr>
        <w:pStyle w:val="AERquote"/>
      </w:pPr>
      <w:r w:rsidRPr="00883125">
        <w:t>Post 1 July 2000, [Handley and Maheswaran in their 2008 paper] assume full utilization of credits by resident individuals since excess credits were refundable from that time. It is of course likely that the actual utilization rate would be somewhat lower due to for example, “investor irrationality” and the impact of the 45 day rule but any difference is likely to be small. (The effect of the 45 day rule is that the franking credit is denied i.e. the credit is worthless unless certain conditions are satisfied. I am not aware of any data on the extent to which credits have been denied pursuant to this rule, but one would expect that it continues to have some operation each year. As a guide, in their table 4, [Handley and Maheswaran] report that the estimated credit utilization rate for resident individuals was 94% in 1998, 89% in 1999 and 90% in 2000. Since the rule was operating at this time and assuming the less than 100% utilization is fully attributable to the impact of the 45 day rule (which would not be the case since credits were not refundable at that time), then the rule would have had about a 5-10% impact on the utilisation rate.)</w:t>
      </w:r>
    </w:p>
    <w:p w:rsidR="001D37D5" w:rsidRPr="00883125" w:rsidRDefault="001D37D5" w:rsidP="001D37D5">
      <w:pPr>
        <w:numPr>
          <w:ilvl w:val="0"/>
          <w:numId w:val="24"/>
        </w:numPr>
      </w:pPr>
      <w:r w:rsidRPr="00883125">
        <w:t>Thus, it seems the service providers' submission as to the impact of the 45-day holding rule misinterprets the source data upon which it relies, being Handley and Maheswaran's 2008 paper. It does not appear that Handley ever intended the 5 to 10 per cent figure to be considered a point estimate of the effect of the 45-day holding rule. Rather, we consider that it was presented as a ‘guide’ to the maximum theoretical effect of the rule’s operation as indicated by the analysis conducted in Handley and Maheswaran. Our interpretation of Handley’s intention is supported by the fact that in their paper Handley and Maheswaran consider the post-2000 utilisation rate to be 1. That is, we consider that if Handley and Maheswaran had available to them a reliable estimate of the effect of the 45-day holding rule, then they would have used it. As Handley stated in his 2010 paper, he 'is not aware of any data on the extent to which credits have been denied pursuant to this rule'.</w:t>
      </w:r>
      <w:r w:rsidRPr="00883125">
        <w:rPr>
          <w:rStyle w:val="FootnoteReference"/>
        </w:rPr>
        <w:footnoteReference w:id="382"/>
      </w:r>
      <w:r w:rsidRPr="00883125">
        <w:t xml:space="preserve"> Handley maintained this view in his April 2015 report.</w:t>
      </w:r>
      <w:r w:rsidRPr="00883125">
        <w:rPr>
          <w:rStyle w:val="FootnoteReference"/>
        </w:rPr>
        <w:footnoteReference w:id="383"/>
      </w:r>
    </w:p>
    <w:p w:rsidR="001D37D5" w:rsidRPr="00883125" w:rsidRDefault="001D37D5" w:rsidP="001D37D5">
      <w:pPr>
        <w:numPr>
          <w:ilvl w:val="0"/>
          <w:numId w:val="24"/>
        </w:numPr>
      </w:pPr>
      <w:r w:rsidRPr="00883125">
        <w:t xml:space="preserve">It is also appears from the above quote that Handley and Maheswaran considered that, if anything, the 5 to 10 per cent estimate would be an overestimate of the impact of the 45 day rule. This is because they attribute the full underutilisation of credits in 1998, 1999 and 2000 to the 45 day rule. However, they also note that, in reality, part of this underutilisation would </w:t>
      </w:r>
      <w:r w:rsidRPr="00883125">
        <w:lastRenderedPageBreak/>
        <w:t>reflect that credits for eligible investors that did not have a tax liability were not refundable in those years (whereas they are now refundable for cash).</w:t>
      </w:r>
    </w:p>
    <w:p w:rsidR="001D37D5" w:rsidRPr="00883125" w:rsidRDefault="001D37D5" w:rsidP="001D37D5">
      <w:pPr>
        <w:numPr>
          <w:ilvl w:val="0"/>
          <w:numId w:val="24"/>
        </w:numPr>
      </w:pPr>
      <w:r>
        <w:t xml:space="preserve">In their late submissions, </w:t>
      </w:r>
      <w:r w:rsidRPr="00883125">
        <w:t xml:space="preserve">United Energy, </w:t>
      </w:r>
      <w:r>
        <w:t xml:space="preserve">ActewAGL, </w:t>
      </w:r>
      <w:r w:rsidR="009C18DC" w:rsidRPr="00883125">
        <w:t>CitiPower</w:t>
      </w:r>
      <w:r w:rsidRPr="00883125">
        <w:t xml:space="preserve"> and Powercor</w:t>
      </w:r>
      <w:r>
        <w:t xml:space="preserve"> submitted</w:t>
      </w:r>
      <w:r w:rsidRPr="00883125">
        <w:t xml:space="preserve"> the Tribunal did not agree with ou</w:t>
      </w:r>
      <w:r>
        <w:t>r</w:t>
      </w:r>
      <w:r w:rsidRPr="00883125">
        <w:t xml:space="preserve"> position.</w:t>
      </w:r>
      <w:r w:rsidRPr="00883125">
        <w:rPr>
          <w:rStyle w:val="FootnoteReference"/>
        </w:rPr>
        <w:footnoteReference w:id="384"/>
      </w:r>
      <w:r w:rsidRPr="00883125">
        <w:t xml:space="preserve"> The Tribunal considered that the issue is not whether such a class exists (domestic investors that hold for less than 45 days), but the size of that class to which the value of imputation credits is lower as a result of domestic shareholders being unable to use them.</w:t>
      </w:r>
      <w:r w:rsidRPr="00883125">
        <w:rPr>
          <w:rStyle w:val="FootnoteReference"/>
        </w:rPr>
        <w:footnoteReference w:id="385"/>
      </w:r>
      <w:r w:rsidRPr="00883125">
        <w:t xml:space="preserve"> However, as outlined below, </w:t>
      </w:r>
      <w:r>
        <w:t>we</w:t>
      </w:r>
      <w:r w:rsidRPr="00883125">
        <w:t xml:space="preserve"> remain of the view that the 45 day rule </w:t>
      </w:r>
      <w:r>
        <w:t xml:space="preserve">and other facts preventing utilisation by eligible investors </w:t>
      </w:r>
      <w:r w:rsidRPr="00883125">
        <w:t xml:space="preserve">is likely to be having an immaterial impact on the utilisation </w:t>
      </w:r>
      <w:r>
        <w:t>value</w:t>
      </w:r>
      <w:r w:rsidRPr="00883125">
        <w:t xml:space="preserve"> by domestic investors. For clarity, the </w:t>
      </w:r>
      <w:r>
        <w:t>we do</w:t>
      </w:r>
      <w:r w:rsidRPr="00883125">
        <w:t xml:space="preserve"> not claim there are no domestic investors that hold shares for less than 45 days over the ex-dividend date. However, </w:t>
      </w:r>
      <w:r>
        <w:t>we</w:t>
      </w:r>
      <w:r w:rsidRPr="00883125">
        <w:t xml:space="preserve"> consider this class of investors (that holds share for less than 45 days over the ex-dividend date) is likely to be immaterial in size and the extent to which the value of imputation credits is lower as a result of domestic investors being unable to use them due to this is likely to be immaterial. We also note there is no compelling evidence to the contrary.</w:t>
      </w:r>
    </w:p>
    <w:p w:rsidR="001D37D5" w:rsidRPr="00883125" w:rsidRDefault="001D37D5" w:rsidP="001D37D5">
      <w:pPr>
        <w:numPr>
          <w:ilvl w:val="0"/>
          <w:numId w:val="24"/>
        </w:numPr>
      </w:pPr>
      <w:r w:rsidRPr="00883125">
        <w:t>One source of evidence on the effect of the rule is Hathaway's analysis of ATO data. This analysis indicates the reported amounts of fully franked dividends received and imputation credits utilised by taxpayers. Taxpayers are required to report in their tax returns all franked dividends received, but only those imputation credits that they are eligible to utilise (bearing in mind the 45-day holding rule and other criteria).</w:t>
      </w:r>
      <w:r w:rsidRPr="00883125">
        <w:rPr>
          <w:rStyle w:val="FootnoteReference"/>
        </w:rPr>
        <w:footnoteReference w:id="386"/>
      </w:r>
      <w:r w:rsidRPr="00883125">
        <w:t xml:space="preserve"> We know that the amount of imputation credits attached to a dollar of fully franked dividends is $0.43 ($1 x 0.3/(1–0.3)).</w:t>
      </w:r>
      <w:r w:rsidRPr="00883125">
        <w:rPr>
          <w:rStyle w:val="FootnoteReference"/>
        </w:rPr>
        <w:footnoteReference w:id="387"/>
      </w:r>
      <w:r w:rsidRPr="00883125">
        <w:t xml:space="preserve"> Accordingly, we can compare the amount of imputation credits utilised by taxpayers with the amount of imputation credits received by those taxpayers as implied by the amount of fully franked dividends received. If the 45-day holding rule is having a material effect, then we would expect to see that the amount of credits utilised is materially lower than the amount of credits implied to have been received. </w:t>
      </w:r>
      <w:r w:rsidRPr="00883125">
        <w:fldChar w:fldCharType="begin"/>
      </w:r>
      <w:r w:rsidRPr="00883125">
        <w:instrText xml:space="preserve"> REF _Ref401848641 \h </w:instrText>
      </w:r>
      <w:r w:rsidRPr="00883125">
        <w:fldChar w:fldCharType="separate"/>
      </w:r>
      <w:r w:rsidR="00A02D8C" w:rsidRPr="00883125">
        <w:t xml:space="preserve">Table </w:t>
      </w:r>
      <w:r w:rsidR="00A02D8C">
        <w:rPr>
          <w:noProof/>
        </w:rPr>
        <w:t>4</w:t>
      </w:r>
      <w:r w:rsidR="00A02D8C">
        <w:noBreakHyphen/>
      </w:r>
      <w:r w:rsidR="00A02D8C">
        <w:rPr>
          <w:noProof/>
        </w:rPr>
        <w:t>12</w:t>
      </w:r>
      <w:r w:rsidRPr="00883125">
        <w:fldChar w:fldCharType="end"/>
      </w:r>
      <w:r w:rsidRPr="00883125">
        <w:t xml:space="preserve"> shows the relevant data for the two major classes of investor eligible to utilise imputation credits: individuals and superannuation funds. It shows that the amount of credits utilised is effectively the same as the amount of credits that are implied to have been received.</w:t>
      </w:r>
      <w:r w:rsidRPr="00883125">
        <w:rPr>
          <w:rStyle w:val="FootnoteReference"/>
        </w:rPr>
        <w:footnoteReference w:id="388"/>
      </w:r>
      <w:r w:rsidRPr="00883125">
        <w:t xml:space="preserve"> This suggests that the 45-day holding rule is not having a material effect.</w:t>
      </w:r>
    </w:p>
    <w:p w:rsidR="001D37D5" w:rsidRPr="00883125" w:rsidRDefault="001D37D5" w:rsidP="001D37D5">
      <w:pPr>
        <w:pStyle w:val="Caption"/>
      </w:pPr>
      <w:bookmarkStart w:id="216" w:name="_Ref401848641"/>
      <w:r w:rsidRPr="00883125">
        <w:lastRenderedPageBreak/>
        <w:t xml:space="preserve">Table </w:t>
      </w:r>
      <w:r w:rsidRPr="001D37D5">
        <w:fldChar w:fldCharType="begin"/>
      </w:r>
      <w:r>
        <w:instrText xml:space="preserve"> STYLEREF 1 \s </w:instrText>
      </w:r>
      <w:r w:rsidRPr="001D37D5">
        <w:fldChar w:fldCharType="separate"/>
      </w:r>
      <w:r w:rsidR="00A02D8C">
        <w:rPr>
          <w:noProof/>
        </w:rPr>
        <w:t>4</w:t>
      </w:r>
      <w:r w:rsidRPr="001D37D5">
        <w:fldChar w:fldCharType="end"/>
      </w:r>
      <w:r>
        <w:noBreakHyphen/>
      </w:r>
      <w:r w:rsidRPr="001D37D5">
        <w:fldChar w:fldCharType="begin"/>
      </w:r>
      <w:r>
        <w:instrText xml:space="preserve"> SEQ Table \* ARABIC \s 1 </w:instrText>
      </w:r>
      <w:r w:rsidRPr="001D37D5">
        <w:fldChar w:fldCharType="separate"/>
      </w:r>
      <w:r w:rsidR="00A02D8C">
        <w:rPr>
          <w:noProof/>
        </w:rPr>
        <w:t>12</w:t>
      </w:r>
      <w:r w:rsidRPr="001D37D5">
        <w:fldChar w:fldCharType="end"/>
      </w:r>
      <w:bookmarkEnd w:id="216"/>
      <w:r w:rsidRPr="00883125">
        <w:tab/>
        <w:t>Imputation credits received and utilised, 2004–2011 – $ billions</w:t>
      </w:r>
    </w:p>
    <w:tbl>
      <w:tblPr>
        <w:tblStyle w:val="AERtable-numbers"/>
        <w:tblW w:w="0" w:type="auto"/>
        <w:tblLook w:val="04A0" w:firstRow="1" w:lastRow="0" w:firstColumn="1" w:lastColumn="0" w:noHBand="0" w:noVBand="1"/>
      </w:tblPr>
      <w:tblGrid>
        <w:gridCol w:w="3817"/>
        <w:gridCol w:w="2712"/>
        <w:gridCol w:w="2713"/>
      </w:tblGrid>
      <w:tr w:rsidR="001D37D5" w:rsidTr="005E1FC3">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817" w:type="dxa"/>
          </w:tcPr>
          <w:p w:rsidR="001D37D5" w:rsidRPr="00883125" w:rsidRDefault="001D37D5" w:rsidP="001D37D5">
            <w:pPr>
              <w:numPr>
                <w:ilvl w:val="0"/>
                <w:numId w:val="24"/>
              </w:numPr>
            </w:pPr>
          </w:p>
        </w:tc>
        <w:tc>
          <w:tcPr>
            <w:tcW w:w="2712" w:type="dxa"/>
          </w:tcPr>
          <w:p w:rsidR="001D37D5" w:rsidRPr="00883125" w:rsidRDefault="001D37D5" w:rsidP="001D37D5">
            <w:pPr>
              <w:numPr>
                <w:ilvl w:val="0"/>
                <w:numId w:val="24"/>
              </w:numPr>
              <w:cnfStyle w:val="100000000000" w:firstRow="1" w:lastRow="0" w:firstColumn="0" w:lastColumn="0" w:oddVBand="0" w:evenVBand="0" w:oddHBand="0" w:evenHBand="0" w:firstRowFirstColumn="0" w:firstRowLastColumn="0" w:lastRowFirstColumn="0" w:lastRowLastColumn="0"/>
            </w:pPr>
            <w:r w:rsidRPr="00883125">
              <w:t>Individuals</w:t>
            </w:r>
          </w:p>
        </w:tc>
        <w:tc>
          <w:tcPr>
            <w:tcW w:w="2713" w:type="dxa"/>
          </w:tcPr>
          <w:p w:rsidR="001D37D5" w:rsidRPr="00883125" w:rsidRDefault="001D37D5" w:rsidP="001D37D5">
            <w:pPr>
              <w:numPr>
                <w:ilvl w:val="0"/>
                <w:numId w:val="24"/>
              </w:numPr>
              <w:cnfStyle w:val="100000000000" w:firstRow="1" w:lastRow="0" w:firstColumn="0" w:lastColumn="0" w:oddVBand="0" w:evenVBand="0" w:oddHBand="0" w:evenHBand="0" w:firstRowFirstColumn="0" w:firstRowLastColumn="0" w:lastRowFirstColumn="0" w:lastRowLastColumn="0"/>
            </w:pPr>
            <w:r w:rsidRPr="00883125">
              <w:t>Superannuation funds</w:t>
            </w:r>
          </w:p>
        </w:tc>
      </w:tr>
      <w:tr w:rsidR="001D37D5" w:rsidTr="005E1FC3">
        <w:trPr>
          <w:cantSplit/>
        </w:trPr>
        <w:tc>
          <w:tcPr>
            <w:cnfStyle w:val="001000000000" w:firstRow="0" w:lastRow="0" w:firstColumn="1" w:lastColumn="0" w:oddVBand="0" w:evenVBand="0" w:oddHBand="0" w:evenHBand="0" w:firstRowFirstColumn="0" w:firstRowLastColumn="0" w:lastRowFirstColumn="0" w:lastRowLastColumn="0"/>
            <w:tcW w:w="3817" w:type="dxa"/>
          </w:tcPr>
          <w:p w:rsidR="001D37D5" w:rsidRPr="00883125" w:rsidRDefault="001D37D5" w:rsidP="001D37D5">
            <w:pPr>
              <w:numPr>
                <w:ilvl w:val="0"/>
                <w:numId w:val="24"/>
              </w:numPr>
            </w:pPr>
            <w:r w:rsidRPr="00883125">
              <w:t>Fully franked dividends received</w:t>
            </w:r>
          </w:p>
        </w:tc>
        <w:tc>
          <w:tcPr>
            <w:tcW w:w="2712"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t>188.1</w:t>
            </w:r>
          </w:p>
        </w:tc>
        <w:tc>
          <w:tcPr>
            <w:tcW w:w="2713"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t>84.8</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817" w:type="dxa"/>
          </w:tcPr>
          <w:p w:rsidR="001D37D5" w:rsidRPr="00883125" w:rsidRDefault="001D37D5" w:rsidP="001D37D5">
            <w:pPr>
              <w:numPr>
                <w:ilvl w:val="0"/>
                <w:numId w:val="24"/>
              </w:numPr>
              <w:rPr>
                <w:rStyle w:val="AERtextitalic"/>
              </w:rPr>
            </w:pPr>
            <w:r w:rsidRPr="00883125">
              <w:rPr>
                <w:rStyle w:val="AERtextitalic"/>
              </w:rPr>
              <w:t>Implied imputation credits received</w:t>
            </w:r>
          </w:p>
        </w:tc>
        <w:tc>
          <w:tcPr>
            <w:tcW w:w="2712" w:type="dxa"/>
          </w:tcPr>
          <w:p w:rsidR="001D37D5" w:rsidRPr="00883125" w:rsidRDefault="001D37D5" w:rsidP="001D37D5">
            <w:pPr>
              <w:numPr>
                <w:ilvl w:val="0"/>
                <w:numId w:val="24"/>
              </w:numPr>
              <w:cnfStyle w:val="000000010000" w:firstRow="0" w:lastRow="0" w:firstColumn="0" w:lastColumn="0" w:oddVBand="0" w:evenVBand="0" w:oddHBand="0" w:evenHBand="1" w:firstRowFirstColumn="0" w:firstRowLastColumn="0" w:lastRowFirstColumn="0" w:lastRowLastColumn="0"/>
              <w:rPr>
                <w:rStyle w:val="AERtextitalic"/>
              </w:rPr>
            </w:pPr>
            <w:r w:rsidRPr="00883125">
              <w:rPr>
                <w:rStyle w:val="AERtextitalic"/>
              </w:rPr>
              <w:t>80.6</w:t>
            </w:r>
          </w:p>
        </w:tc>
        <w:tc>
          <w:tcPr>
            <w:tcW w:w="2713" w:type="dxa"/>
          </w:tcPr>
          <w:p w:rsidR="001D37D5" w:rsidRPr="00883125" w:rsidRDefault="001D37D5" w:rsidP="001D37D5">
            <w:pPr>
              <w:numPr>
                <w:ilvl w:val="0"/>
                <w:numId w:val="24"/>
              </w:numPr>
              <w:cnfStyle w:val="000000010000" w:firstRow="0" w:lastRow="0" w:firstColumn="0" w:lastColumn="0" w:oddVBand="0" w:evenVBand="0" w:oddHBand="0" w:evenHBand="1" w:firstRowFirstColumn="0" w:firstRowLastColumn="0" w:lastRowFirstColumn="0" w:lastRowLastColumn="0"/>
              <w:rPr>
                <w:rStyle w:val="AERtextitalic"/>
              </w:rPr>
            </w:pPr>
            <w:r w:rsidRPr="00883125">
              <w:rPr>
                <w:rStyle w:val="AERtextitalic"/>
              </w:rPr>
              <w:t>36.3</w:t>
            </w:r>
          </w:p>
        </w:tc>
      </w:tr>
      <w:tr w:rsidR="001D37D5" w:rsidTr="005E1FC3">
        <w:trPr>
          <w:cantSplit/>
        </w:trPr>
        <w:tc>
          <w:tcPr>
            <w:cnfStyle w:val="001000000000" w:firstRow="0" w:lastRow="0" w:firstColumn="1" w:lastColumn="0" w:oddVBand="0" w:evenVBand="0" w:oddHBand="0" w:evenHBand="0" w:firstRowFirstColumn="0" w:firstRowLastColumn="0" w:lastRowFirstColumn="0" w:lastRowLastColumn="0"/>
            <w:tcW w:w="3817" w:type="dxa"/>
          </w:tcPr>
          <w:p w:rsidR="001D37D5" w:rsidRPr="00883125" w:rsidRDefault="001D37D5" w:rsidP="001D37D5">
            <w:pPr>
              <w:numPr>
                <w:ilvl w:val="0"/>
                <w:numId w:val="24"/>
              </w:numPr>
            </w:pPr>
            <w:r w:rsidRPr="00883125">
              <w:t>Imputation credits utilised</w:t>
            </w:r>
          </w:p>
        </w:tc>
        <w:tc>
          <w:tcPr>
            <w:tcW w:w="2712"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t>81.2</w:t>
            </w:r>
          </w:p>
        </w:tc>
        <w:tc>
          <w:tcPr>
            <w:tcW w:w="2713" w:type="dxa"/>
          </w:tcPr>
          <w:p w:rsidR="001D37D5" w:rsidRPr="00883125" w:rsidRDefault="001D37D5" w:rsidP="001D37D5">
            <w:pPr>
              <w:numPr>
                <w:ilvl w:val="0"/>
                <w:numId w:val="24"/>
              </w:numPr>
              <w:cnfStyle w:val="000000000000" w:firstRow="0" w:lastRow="0" w:firstColumn="0" w:lastColumn="0" w:oddVBand="0" w:evenVBand="0" w:oddHBand="0" w:evenHBand="0" w:firstRowFirstColumn="0" w:firstRowLastColumn="0" w:lastRowFirstColumn="0" w:lastRowLastColumn="0"/>
            </w:pPr>
            <w:r w:rsidRPr="00883125">
              <w:t>36.2</w:t>
            </w:r>
          </w:p>
        </w:tc>
      </w:tr>
    </w:tbl>
    <w:p w:rsidR="001D37D5" w:rsidRPr="00883125" w:rsidRDefault="001D37D5" w:rsidP="001D37D5">
      <w:pPr>
        <w:pStyle w:val="AERtablesource"/>
      </w:pPr>
      <w:r w:rsidRPr="00883125">
        <w:t xml:space="preserve">Source: </w:t>
      </w:r>
      <w:r w:rsidRPr="00883125">
        <w:tab/>
        <w:t xml:space="preserve">N. Hathaway, </w:t>
      </w:r>
      <w:r w:rsidRPr="00883125">
        <w:rPr>
          <w:rStyle w:val="AERtextitalic"/>
        </w:rPr>
        <w:t>Imputation credit redemption ATO data 1988–2011: Where have all the credits gone?</w:t>
      </w:r>
      <w:r w:rsidRPr="00883125">
        <w:t>, September 2013; AER analysis.</w:t>
      </w:r>
    </w:p>
    <w:p w:rsidR="001D37D5" w:rsidRPr="00883125" w:rsidRDefault="001D37D5" w:rsidP="001D37D5">
      <w:r w:rsidRPr="00883125">
        <w:t>However, service providers submit</w:t>
      </w:r>
      <w:r>
        <w:t>ted</w:t>
      </w:r>
      <w:r w:rsidRPr="00883125">
        <w:t xml:space="preserve"> the analysis that underpins this analysis is based on data that is unreliable.</w:t>
      </w:r>
      <w:r w:rsidRPr="00883125">
        <w:rPr>
          <w:rStyle w:val="FootnoteReference"/>
        </w:rPr>
        <w:footnoteReference w:id="389"/>
      </w:r>
      <w:r w:rsidRPr="00883125">
        <w:t xml:space="preserve"> </w:t>
      </w:r>
      <w:r>
        <w:t>We</w:t>
      </w:r>
      <w:r w:rsidRPr="00883125">
        <w:t xml:space="preserve"> recognise the data limitations</w:t>
      </w:r>
      <w:r>
        <w:t>,</w:t>
      </w:r>
      <w:r w:rsidRPr="00883125">
        <w:t xml:space="preserve"> but as outlined in section </w:t>
      </w:r>
      <w:r w:rsidRPr="00883125">
        <w:fldChar w:fldCharType="begin"/>
      </w:r>
      <w:r w:rsidRPr="00883125">
        <w:instrText xml:space="preserve"> REF _Ref450297745 \r \h </w:instrText>
      </w:r>
      <w:r w:rsidRPr="00883125">
        <w:fldChar w:fldCharType="separate"/>
      </w:r>
      <w:r w:rsidR="00A02D8C">
        <w:t>A.10.4</w:t>
      </w:r>
      <w:r w:rsidRPr="00883125">
        <w:fldChar w:fldCharType="end"/>
      </w:r>
      <w:r w:rsidRPr="00883125">
        <w:t xml:space="preserve">, </w:t>
      </w:r>
      <w:r>
        <w:t>we</w:t>
      </w:r>
      <w:r w:rsidRPr="00883125">
        <w:t xml:space="preserve"> note this is the best data available and there is no evidence before </w:t>
      </w:r>
      <w:r>
        <w:t>us</w:t>
      </w:r>
      <w:r w:rsidRPr="00883125">
        <w:t xml:space="preserve"> </w:t>
      </w:r>
      <w:r>
        <w:t xml:space="preserve">that </w:t>
      </w:r>
      <w:r w:rsidRPr="00883125">
        <w:t>the 45 day rule is having a material effect</w:t>
      </w:r>
      <w:r>
        <w:t>.</w:t>
      </w:r>
    </w:p>
    <w:p w:rsidR="001D37D5" w:rsidRPr="00883125" w:rsidRDefault="001D37D5" w:rsidP="001D37D5">
      <w:r w:rsidRPr="00883125">
        <w:t>Based on these considerations, the 45-day holding rule does not appear to have a material effect on the utilisation rate. The analysis above was presented in our draft decisions released in 2014, but the service providers subject of those proposals did not comment on it in their revised proposals. Instead, they submitted:</w:t>
      </w:r>
      <w:r w:rsidRPr="00883125">
        <w:rPr>
          <w:rStyle w:val="FootnoteReference"/>
        </w:rPr>
        <w:footnoteReference w:id="390"/>
      </w:r>
    </w:p>
    <w:p w:rsidR="001D37D5" w:rsidRPr="00883125" w:rsidRDefault="001D37D5" w:rsidP="001D37D5">
      <w:pPr>
        <w:pStyle w:val="AERquote"/>
      </w:pPr>
      <w:r w:rsidRPr="00883125">
        <w:t>The AER seeks to dismiss the impact of tax rules affecting eligibility of domestic investors to redeem imputation credits by saying that:</w:t>
      </w:r>
    </w:p>
    <w:p w:rsidR="001D37D5" w:rsidRPr="00883125" w:rsidRDefault="001D37D5" w:rsidP="001D37D5">
      <w:pPr>
        <w:pStyle w:val="AERquoteindent2"/>
      </w:pPr>
      <w:r w:rsidRPr="00883125">
        <w:t>“…we do not consider that there is clear evidence as to effect that these rules have or should be expected to have.”</w:t>
      </w:r>
    </w:p>
    <w:p w:rsidR="001D37D5" w:rsidRPr="00883125" w:rsidRDefault="001D37D5" w:rsidP="001D37D5">
      <w:pPr>
        <w:pStyle w:val="AERquote"/>
      </w:pPr>
      <w:r w:rsidRPr="00883125">
        <w:t>…[we do] not consider that there must be "clear evidence" as to the effect of particular tax rules in order for these to be taken into account. The fact is that these rules exist and that they will affect the eligibility of certain domestic investors to redeem imputation credits.</w:t>
      </w:r>
    </w:p>
    <w:p w:rsidR="001D37D5" w:rsidRPr="00883125" w:rsidRDefault="001D37D5" w:rsidP="001D37D5">
      <w:pPr>
        <w:pStyle w:val="AERquote"/>
      </w:pPr>
      <w:r w:rsidRPr="00883125">
        <w:t>In any event, the fact that the redemption rate indicated by tax statistics is significantly below the domestic equity ownership rate does indicate that these tax rules (and possibly other factors as discussed below) are affecting domestic investors' ability to redeem imputation credits. As the AER observes, the redemption rate indicated by tax statistics is approximately 0.43, which is well below the domestic equity ownership rate for all equity.</w:t>
      </w:r>
    </w:p>
    <w:p w:rsidR="001D37D5" w:rsidRPr="00883125" w:rsidRDefault="001D37D5" w:rsidP="001D37D5">
      <w:r w:rsidRPr="00883125">
        <w:lastRenderedPageBreak/>
        <w:t xml:space="preserve">We do not consider that this represents clear evidence as to the effect of the 45-day rule and other tax rules. Firstly, the service providers' approach does not contemplate error or inaccuracy in the tax statistics. In section </w:t>
      </w:r>
      <w:r>
        <w:fldChar w:fldCharType="begin"/>
      </w:r>
      <w:r>
        <w:instrText xml:space="preserve"> REF _Ref451286698 \r \h </w:instrText>
      </w:r>
      <w:r>
        <w:fldChar w:fldCharType="separate"/>
      </w:r>
      <w:r w:rsidR="00A02D8C">
        <w:t>4.4</w:t>
      </w:r>
      <w:r>
        <w:fldChar w:fldCharType="end"/>
      </w:r>
      <w:r w:rsidRPr="00883125">
        <w:t>, we set out data concerns that exist regarding the tax statistics. Further, the</w:t>
      </w:r>
      <w:r>
        <w:t>se</w:t>
      </w:r>
      <w:r w:rsidRPr="00883125">
        <w:t xml:space="preserve"> service providers</w:t>
      </w:r>
      <w:r>
        <w:t>,</w:t>
      </w:r>
      <w:r w:rsidRPr="00883125">
        <w:t xml:space="preserve"> in their initial proposals</w:t>
      </w:r>
      <w:r>
        <w:t>,</w:t>
      </w:r>
      <w:r w:rsidRPr="00883125">
        <w:t xml:space="preserve"> submitted that no weight be placed on estimates of the utilisation rate from tax statistics because of significant unresolved problems with the data.</w:t>
      </w:r>
      <w:r w:rsidRPr="00883125">
        <w:rPr>
          <w:rStyle w:val="FootnoteReference"/>
        </w:rPr>
        <w:footnoteReference w:id="391"/>
      </w:r>
      <w:r w:rsidRPr="00883125">
        <w:t xml:space="preserve"> While it does now appear some service providers </w:t>
      </w:r>
      <w:r>
        <w:t xml:space="preserve">we regulate </w:t>
      </w:r>
      <w:r w:rsidRPr="00883125">
        <w:t>may consider tax statistics can be used to estimate an upper bound for theta,</w:t>
      </w:r>
      <w:r w:rsidRPr="00883125">
        <w:rPr>
          <w:rStyle w:val="FootnoteReference"/>
        </w:rPr>
        <w:footnoteReference w:id="392"/>
      </w:r>
      <w:r w:rsidRPr="00883125">
        <w:t xml:space="preserve"> we do not consider the above analysis provides compelling evidence that the 45 day rule is having a material impact given residual concerns with the data.</w:t>
      </w:r>
    </w:p>
    <w:p w:rsidR="001D37D5" w:rsidRPr="00883125" w:rsidRDefault="001D37D5" w:rsidP="001D37D5">
      <w:pPr>
        <w:rPr>
          <w:rStyle w:val="AERbody"/>
        </w:rPr>
      </w:pPr>
      <w:r w:rsidRPr="00883125">
        <w:t>Secondly, the service providers' conclusion is contradicted by the analysis of tax statistics we presented in our prior decisions and which we repeat above</w:t>
      </w:r>
      <w:r w:rsidRPr="00883125">
        <w:rPr>
          <w:rStyle w:val="AERbody"/>
        </w:rPr>
        <w:t>. While we acknowledge the limitations of the tax data used for this analysis, the service providers themselves have not demonstrated the rule is having a material impact, and we do not consider the rule would be expected to have a material impact.</w:t>
      </w:r>
    </w:p>
    <w:p w:rsidR="001D37D5" w:rsidRPr="00883125" w:rsidRDefault="001D37D5" w:rsidP="001D37D5">
      <w:pPr>
        <w:rPr>
          <w:rStyle w:val="AERbody"/>
        </w:rPr>
      </w:pPr>
      <w:r w:rsidRPr="00883125">
        <w:rPr>
          <w:rStyle w:val="AERbody"/>
        </w:rPr>
        <w:t>Frontier considers the 45-day rule has some effect because other</w:t>
      </w:r>
      <w:r w:rsidRPr="00B27BE5">
        <w:rPr>
          <w:rStyle w:val="AERbody"/>
        </w:rPr>
        <w:t>wise it would be redundant to have the rule.</w:t>
      </w:r>
      <w:r w:rsidRPr="00B27BE5">
        <w:rPr>
          <w:rStyle w:val="FootnoteReference"/>
        </w:rPr>
        <w:footnoteReference w:id="393"/>
      </w:r>
      <w:r w:rsidRPr="00B27BE5">
        <w:rPr>
          <w:rStyle w:val="AERbody"/>
        </w:rPr>
        <w:t xml:space="preserve"> </w:t>
      </w:r>
      <w:r>
        <w:rPr>
          <w:rStyle w:val="AERbody"/>
        </w:rPr>
        <w:t>We do</w:t>
      </w:r>
      <w:r w:rsidRPr="00B27BE5">
        <w:rPr>
          <w:rStyle w:val="AERbody"/>
        </w:rPr>
        <w:t xml:space="preserve"> not agree. </w:t>
      </w:r>
      <w:r>
        <w:rPr>
          <w:rStyle w:val="AERbody"/>
        </w:rPr>
        <w:t>A</w:t>
      </w:r>
      <w:r w:rsidRPr="00B27BE5">
        <w:rPr>
          <w:rStyle w:val="AERbody"/>
        </w:rPr>
        <w:t xml:space="preserve"> </w:t>
      </w:r>
      <w:r>
        <w:rPr>
          <w:rStyle w:val="AERbody"/>
        </w:rPr>
        <w:t>key outcome</w:t>
      </w:r>
      <w:r w:rsidRPr="00B27BE5">
        <w:rPr>
          <w:rStyle w:val="AERbody"/>
        </w:rPr>
        <w:t xml:space="preserve"> of the requirement to hold shares at risk for 45 day in order to receive an imputation credit </w:t>
      </w:r>
      <w:r>
        <w:rPr>
          <w:rStyle w:val="AERbody"/>
        </w:rPr>
        <w:t>will be</w:t>
      </w:r>
      <w:r w:rsidRPr="00B27BE5">
        <w:rPr>
          <w:rStyle w:val="AERbody"/>
        </w:rPr>
        <w:t xml:space="preserve"> to prevent the streaming of imputation credits to investors that value them the most.</w:t>
      </w:r>
      <w:r w:rsidRPr="00B27BE5">
        <w:rPr>
          <w:rStyle w:val="FootnoteReference"/>
        </w:rPr>
        <w:footnoteReference w:id="394"/>
      </w:r>
      <w:r w:rsidRPr="00B27BE5">
        <w:rPr>
          <w:rStyle w:val="AERbody"/>
        </w:rPr>
        <w:t xml:space="preserve"> This could happen where investors that values imputation credits, for example superannuation funds, buy the share before the ex-dividend date and sell the share after the ex-dividend date and hedges their risk exposure over the investment holding period. Therefore, the 45 day rule could logically be not having a material impact on the utilisation value, while sti</w:t>
      </w:r>
      <w:r>
        <w:rPr>
          <w:rStyle w:val="AERbody"/>
        </w:rPr>
        <w:t>l</w:t>
      </w:r>
      <w:r w:rsidRPr="00B27BE5">
        <w:rPr>
          <w:rStyle w:val="AERbody"/>
        </w:rPr>
        <w:t xml:space="preserve">l working as intended and preventing investors from streaming imputation credits to </w:t>
      </w:r>
      <w:r>
        <w:rPr>
          <w:rStyle w:val="AERbody"/>
        </w:rPr>
        <w:t>investors that value them the most</w:t>
      </w:r>
      <w:r w:rsidRPr="00B27BE5">
        <w:rPr>
          <w:rStyle w:val="AERbody"/>
        </w:rPr>
        <w:t>.</w:t>
      </w:r>
    </w:p>
    <w:p w:rsidR="001D37D5" w:rsidRDefault="001D37D5" w:rsidP="001D37D5">
      <w:pPr>
        <w:rPr>
          <w:rStyle w:val="AERbody"/>
        </w:rPr>
      </w:pPr>
      <w:r w:rsidRPr="00883125">
        <w:rPr>
          <w:rStyle w:val="AERbody"/>
        </w:rPr>
        <w:t xml:space="preserve">In his June 2015 report for a number of service providers Gray assert that "[o]ne cannot assume that the effect of the 45-day rule is negligible in the </w:t>
      </w:r>
      <w:r w:rsidRPr="00B27BE5">
        <w:rPr>
          <w:rStyle w:val="AERbody"/>
        </w:rPr>
        <w:t>absence of any data about it."</w:t>
      </w:r>
      <w:r w:rsidRPr="00B27BE5">
        <w:rPr>
          <w:rStyle w:val="FootnoteReference"/>
        </w:rPr>
        <w:footnoteReference w:id="395"/>
      </w:r>
      <w:r w:rsidRPr="00B27BE5">
        <w:rPr>
          <w:rStyle w:val="AERbody"/>
        </w:rPr>
        <w:t xml:space="preserve"> The new report by Gray (for Frontier) does not change our view that the 45 day rule is unlikely to be having a material impact on the utilisation rate. It does not present any data to demonstrate that the 45 day rule is having a material effect on utilisation of imputation credits.</w:t>
      </w:r>
    </w:p>
    <w:p w:rsidR="001D37D5" w:rsidRPr="00B27BE5" w:rsidRDefault="001D37D5" w:rsidP="001D37D5">
      <w:pPr>
        <w:rPr>
          <w:rStyle w:val="AERbody"/>
        </w:rPr>
      </w:pPr>
      <w:r>
        <w:rPr>
          <w:rStyle w:val="AERbody"/>
        </w:rPr>
        <w:lastRenderedPageBreak/>
        <w:t>We consider Lally's recent report supports our positon that the 45 day rule is not having a material impact on the utilisation value. Lally notes that that the 45 day rule prevents some 'genuine' investors from obtaining the credits, and therefore drives down the redemption rate, but this downward effect is unlikely to be significant because 'genuine' investors have the option of changing the time of their transactions and would have strong incentives to do so.</w:t>
      </w:r>
      <w:r>
        <w:rPr>
          <w:rStyle w:val="FootnoteReference"/>
        </w:rPr>
        <w:footnoteReference w:id="396"/>
      </w:r>
      <w:r>
        <w:rPr>
          <w:rStyle w:val="AERbody"/>
        </w:rPr>
        <w:t xml:space="preserve"> Further, Lally considers the 45 day rule constrains tax arbitrage and therefore minimises the gap between the correctly estimated redemption rate (tax statistics), and the proportion of Australian equities held by local investors.</w:t>
      </w:r>
      <w:r>
        <w:rPr>
          <w:rStyle w:val="FootnoteReference"/>
        </w:rPr>
        <w:footnoteReference w:id="397"/>
      </w:r>
    </w:p>
    <w:p w:rsidR="001D37D5" w:rsidRPr="00883125" w:rsidRDefault="001D37D5" w:rsidP="001D37D5">
      <w:pPr>
        <w:pStyle w:val="HeadingBoldBlue"/>
        <w:numPr>
          <w:ilvl w:val="0"/>
          <w:numId w:val="24"/>
        </w:numPr>
      </w:pPr>
      <w:bookmarkStart w:id="217" w:name="_Ref400540858"/>
      <w:r w:rsidRPr="00883125">
        <w:t>Transactions costs</w:t>
      </w:r>
      <w:bookmarkEnd w:id="217"/>
    </w:p>
    <w:p w:rsidR="001D37D5" w:rsidRPr="00883125" w:rsidRDefault="001D37D5" w:rsidP="001D37D5">
      <w:pPr>
        <w:numPr>
          <w:ilvl w:val="0"/>
          <w:numId w:val="24"/>
        </w:numPr>
      </w:pPr>
      <w:r w:rsidRPr="00883125">
        <w:t>Service providers submitted that the redemption of imputation credits may involve transactions costs, such as requirements to keep records and follow administrative processes.</w:t>
      </w:r>
      <w:r w:rsidRPr="00883125">
        <w:rPr>
          <w:rStyle w:val="FootnoteReference"/>
        </w:rPr>
        <w:footnoteReference w:id="398"/>
      </w:r>
      <w:r w:rsidRPr="00883125">
        <w:t xml:space="preserve"> Service providers also submitted that these transactions costs will tend to reduce their value to investors and may dissuade some investors from redeeming (utilising) imputation credits.</w:t>
      </w:r>
      <w:r w:rsidRPr="00883125">
        <w:rPr>
          <w:rStyle w:val="FootnoteReference"/>
        </w:rPr>
        <w:footnoteReference w:id="399"/>
      </w:r>
    </w:p>
    <w:p w:rsidR="001D37D5" w:rsidRPr="00883125" w:rsidRDefault="001D37D5" w:rsidP="001D37D5">
      <w:pPr>
        <w:numPr>
          <w:ilvl w:val="0"/>
          <w:numId w:val="24"/>
        </w:numPr>
      </w:pPr>
      <w:r w:rsidRPr="00883125">
        <w:t>Firstly, we note that Handley advised that we specifically not take account of these costs:</w:t>
      </w:r>
      <w:r w:rsidRPr="00883125">
        <w:rPr>
          <w:rStyle w:val="FootnoteReference"/>
        </w:rPr>
        <w:footnoteReference w:id="400"/>
      </w:r>
    </w:p>
    <w:p w:rsidR="001D37D5" w:rsidRPr="00883125" w:rsidRDefault="001D37D5" w:rsidP="001D37D5">
      <w:pPr>
        <w:pStyle w:val="AERquote"/>
      </w:pPr>
      <w:r w:rsidRPr="00883125">
        <w:t>Since the objective is to estimate the after-company-before-personal-tax value of a distributed imputation credit and also to avoid compensating the regulated firm for transactions costs incurred at the shareholder level then the particular estimation methodology should allow for these factors – in other words, ideally we want the value of credits before administrative costs, personal taxes and diversification costs.</w:t>
      </w:r>
    </w:p>
    <w:p w:rsidR="001D37D5" w:rsidRPr="00883125" w:rsidRDefault="001D37D5" w:rsidP="001D37D5">
      <w:pPr>
        <w:numPr>
          <w:ilvl w:val="0"/>
          <w:numId w:val="24"/>
        </w:numPr>
      </w:pPr>
      <w:r w:rsidRPr="00883125">
        <w:t>Secondly, we are not convinced that transactions costs are likely to dissuade a material number of investors from redeeming imputation credits. Our considerations on this are as follows:</w:t>
      </w:r>
    </w:p>
    <w:p w:rsidR="001D37D5" w:rsidRPr="001D37D5" w:rsidRDefault="001D37D5" w:rsidP="001D37D5">
      <w:pPr>
        <w:pStyle w:val="AERbulletlistfirststyle"/>
      </w:pPr>
      <w:r w:rsidRPr="00883125">
        <w:t xml:space="preserve">When filling out a tax return, one is </w:t>
      </w:r>
      <w:r w:rsidRPr="001D37D5">
        <w:rPr>
          <w:rStyle w:val="AERtextitalic"/>
        </w:rPr>
        <w:t>required</w:t>
      </w:r>
      <w:r w:rsidRPr="001D37D5">
        <w:t xml:space="preserve"> to report the franked dividends received and the imputation credits that are eligible to be utilised.</w:t>
      </w:r>
      <w:r w:rsidRPr="001D37D5">
        <w:rPr>
          <w:rStyle w:val="FootnoteReference"/>
        </w:rPr>
        <w:footnoteReference w:id="401"/>
      </w:r>
    </w:p>
    <w:p w:rsidR="001D37D5" w:rsidRPr="001D37D5" w:rsidRDefault="001D37D5" w:rsidP="001D37D5">
      <w:pPr>
        <w:pStyle w:val="AERbulletlistfirststyle"/>
      </w:pPr>
      <w:r w:rsidRPr="00883125">
        <w:lastRenderedPageBreak/>
        <w:t>Investors are already incurring the transactions costs associated with shareholding, and most would also be already incurring the transactions costs associated with completing a tax return. This applies particularly to professional organisations, such as charities and superannuation funds, which we expect would utilise all imputation credits as a matter of proper accounting. But we consider it true also of individual investors, particularly when innovations such as 'e-tax' and automatic pre-filling of tax returns would reduce any incremental costs if they exist.</w:t>
      </w:r>
      <w:r w:rsidRPr="001D37D5">
        <w:rPr>
          <w:rStyle w:val="FootnoteReference"/>
        </w:rPr>
        <w:footnoteReference w:id="402"/>
      </w:r>
    </w:p>
    <w:p w:rsidR="001D37D5" w:rsidRPr="00883125" w:rsidRDefault="001D37D5" w:rsidP="001D37D5">
      <w:r w:rsidRPr="00883125">
        <w:t xml:space="preserve">As outlined in </w:t>
      </w:r>
      <w:r w:rsidRPr="00883125">
        <w:fldChar w:fldCharType="begin"/>
      </w:r>
      <w:r w:rsidRPr="00883125">
        <w:instrText xml:space="preserve"> REF _Ref450298425 \r \h </w:instrText>
      </w:r>
      <w:r w:rsidRPr="00883125">
        <w:fldChar w:fldCharType="separate"/>
      </w:r>
      <w:r w:rsidR="00A02D8C">
        <w:t>A.8.2</w:t>
      </w:r>
      <w:r w:rsidRPr="00883125">
        <w:fldChar w:fldCharType="end"/>
      </w:r>
      <w:r w:rsidRPr="00883125">
        <w:t>, we consider that we are estimating the value of imputation credits consistently with the other allowed rate of return parameters on a before personal taxes and personal costs basis. For all cost of equity components (capital gains and dividend income) and cost of debt components (capital gains and interest income) investors have to incur transaction costs in order to realise their returns. These transaction costs include brokerage fees and costs associated with filling in a tax return. Compensation for these costs is inconsistent with our post tax framework</w:t>
      </w:r>
      <w:r>
        <w:t>. O</w:t>
      </w:r>
      <w:r w:rsidRPr="00883125">
        <w:t xml:space="preserve">ur benchmarking of the required return on equity and the required return on debt </w:t>
      </w:r>
      <w:r>
        <w:t xml:space="preserve">is </w:t>
      </w:r>
      <w:r w:rsidRPr="00883125">
        <w:t>based on</w:t>
      </w:r>
      <w:r>
        <w:t xml:space="preserve"> a</w:t>
      </w:r>
      <w:r w:rsidRPr="00883125">
        <w:t xml:space="preserve"> post-tax returns before investor level transaction costs are incurred. We also consider any incremental costs associated with claiming imputation credits would be immaterial for the reasons outlined above.</w:t>
      </w:r>
    </w:p>
    <w:p w:rsidR="001D37D5" w:rsidRDefault="001D37D5" w:rsidP="001D37D5">
      <w:r>
        <w:t>We</w:t>
      </w:r>
      <w:r w:rsidRPr="00883125">
        <w:t xml:space="preserve"> only compensate regulated businesses for the transaction cost incurred by regulated businesses via debt and equity raising costs. However, these costs are incurred at the company level and only require compensation so that the post company tax allowed return reflects the required post company tax return in the market. </w:t>
      </w:r>
      <w:r>
        <w:t>We do</w:t>
      </w:r>
      <w:r w:rsidRPr="00883125">
        <w:t xml:space="preserve"> not compensate regulated businesses for the costs incurred by investor in regulated businesses as all the allowed rate of return parameters and gamma are estimate on post company tax (pre-personal tax and pre personal cost) basis. If </w:t>
      </w:r>
      <w:r>
        <w:t>we</w:t>
      </w:r>
      <w:r w:rsidRPr="00883125">
        <w:t xml:space="preserve"> were to compensate regulated businesses for investors' transaction costs in addition to the post tax return we set</w:t>
      </w:r>
      <w:r>
        <w:t>,</w:t>
      </w:r>
      <w:r w:rsidRPr="00883125">
        <w:t xml:space="preserve"> it would result in </w:t>
      </w:r>
      <w:r>
        <w:t xml:space="preserve">an </w:t>
      </w:r>
      <w:r w:rsidRPr="00883125">
        <w:t>over compensation of the firms and their investors relative to the efficient return</w:t>
      </w:r>
      <w:r>
        <w:t>s</w:t>
      </w:r>
      <w:r w:rsidRPr="00883125">
        <w:t xml:space="preserve"> in the market. This would not be expected to lead to efficient investment, or to be in the long term interests of consumers.</w:t>
      </w:r>
    </w:p>
    <w:p w:rsidR="001D37D5" w:rsidRPr="00883125" w:rsidRDefault="001D37D5" w:rsidP="001D37D5">
      <w:pPr>
        <w:rPr>
          <w:rStyle w:val="AERbody"/>
        </w:rPr>
      </w:pPr>
      <w:r>
        <w:t>Lally considered that transaction costs associated with investors redeeming credits cannot be dealt with by reducing theta. Instead, if considered important (which Lally considers not to be the case) these transaction costs can only be addressed through an extension of the Officer model.</w:t>
      </w:r>
      <w:r>
        <w:rPr>
          <w:rStyle w:val="FootnoteReference"/>
        </w:rPr>
        <w:footnoteReference w:id="403"/>
      </w:r>
      <w:r>
        <w:t xml:space="preserve"> Given we use a beta estimate of 0.7 for regulated utilities, Lally considers that the possible transaction costs not compensated for is not a material issue because these costs are very small.</w:t>
      </w:r>
      <w:r>
        <w:rPr>
          <w:rStyle w:val="FootnoteReference"/>
        </w:rPr>
        <w:footnoteReference w:id="404"/>
      </w:r>
      <w:r>
        <w:t xml:space="preserve"> </w:t>
      </w:r>
      <w:r w:rsidRPr="00883125">
        <w:rPr>
          <w:rStyle w:val="AERbody"/>
        </w:rPr>
        <w:t>Based on these considerations, we consider that in estimating the utilisation rate</w:t>
      </w:r>
      <w:r>
        <w:rPr>
          <w:rStyle w:val="AERbody"/>
        </w:rPr>
        <w:t>,</w:t>
      </w:r>
      <w:r w:rsidRPr="00883125">
        <w:rPr>
          <w:rStyle w:val="AERbody"/>
        </w:rPr>
        <w:t xml:space="preserve"> adjustments should not be made for transactions costs. And even if an adjustment </w:t>
      </w:r>
      <w:r>
        <w:rPr>
          <w:rStyle w:val="AERbody"/>
        </w:rPr>
        <w:t>was</w:t>
      </w:r>
      <w:r w:rsidRPr="00883125">
        <w:rPr>
          <w:rStyle w:val="AERbody"/>
        </w:rPr>
        <w:t xml:space="preserve"> to be made, it would likely have an immaterial effect on the utilisation rate. </w:t>
      </w:r>
    </w:p>
    <w:p w:rsidR="001D37D5" w:rsidRPr="001D37D5" w:rsidRDefault="001D37D5" w:rsidP="001D37D5">
      <w:pPr>
        <w:pStyle w:val="HeadingBoldBlue"/>
        <w:rPr>
          <w:rStyle w:val="AERbody"/>
        </w:rPr>
      </w:pPr>
      <w:r w:rsidRPr="001D37D5">
        <w:rPr>
          <w:rStyle w:val="AERbody"/>
        </w:rPr>
        <w:lastRenderedPageBreak/>
        <w:t>Time value of money</w:t>
      </w:r>
    </w:p>
    <w:p w:rsidR="001D37D5" w:rsidRPr="00883125" w:rsidRDefault="001D37D5" w:rsidP="001D37D5">
      <w:pPr>
        <w:numPr>
          <w:ilvl w:val="0"/>
          <w:numId w:val="24"/>
        </w:numPr>
      </w:pPr>
      <w:r w:rsidRPr="00883125">
        <w:t>Service providers submitted that the delay between the distribution of an imputation credit and the time at which it is redeemed may be expected to reduce an investor's valuation of the credit.</w:t>
      </w:r>
      <w:r w:rsidRPr="00883125">
        <w:rPr>
          <w:rStyle w:val="FootnoteReference"/>
        </w:rPr>
        <w:footnoteReference w:id="405"/>
      </w:r>
      <w:r w:rsidRPr="00883125">
        <w:t xml:space="preserve"> In response, we note that:</w:t>
      </w:r>
    </w:p>
    <w:p w:rsidR="001D37D5" w:rsidRPr="00883125" w:rsidRDefault="001D37D5" w:rsidP="001D37D5">
      <w:pPr>
        <w:pStyle w:val="AERbulletlistfirststyle"/>
      </w:pPr>
      <w:r w:rsidRPr="00883125">
        <w:t>We are unaware of any evidence that indicates the average size of this time delay across all investors.</w:t>
      </w:r>
    </w:p>
    <w:p w:rsidR="001D37D5" w:rsidRPr="001D37D5" w:rsidRDefault="001D37D5" w:rsidP="001D37D5">
      <w:pPr>
        <w:pStyle w:val="AERbulletlistfirststyle"/>
      </w:pPr>
      <w:r w:rsidRPr="00883125">
        <w:t>Even if there were a material time delay that should be accounted for when estimating the utilisation rate, we consider that the appropriate discount rate to apply to such delay would be a short-term risk free rate. This is because an imputation credit represents a promise from the Australian Government to reduce an investor's tax liability by the size of the credit or to refund the credit. Current interest rates on two year Commonwealth Government bonds suggest that the appropriate discount rate would be likely less than 2 per cent. Therefore, the magnitude of the adjustment would be quite small. Handley agreed with the immateriality of any required adjustment for time delay.</w:t>
      </w:r>
      <w:r w:rsidRPr="001D37D5">
        <w:rPr>
          <w:rStyle w:val="FootnoteReference"/>
        </w:rPr>
        <w:footnoteReference w:id="406"/>
      </w:r>
    </w:p>
    <w:p w:rsidR="001D37D5" w:rsidRPr="00883125" w:rsidRDefault="001D37D5" w:rsidP="001D37D5">
      <w:pPr>
        <w:numPr>
          <w:ilvl w:val="0"/>
          <w:numId w:val="24"/>
        </w:numPr>
      </w:pPr>
      <w:r w:rsidRPr="00883125">
        <w:t>Based on these considerations, we conclude that it is reasonable to not adjust any of our estimates of the utilisation rate for the time value of money where this effect is not already accounted for.</w:t>
      </w:r>
    </w:p>
    <w:p w:rsidR="001D37D5" w:rsidRPr="00883125" w:rsidRDefault="001D37D5" w:rsidP="001D37D5">
      <w:pPr>
        <w:pStyle w:val="HeadingBoldBlue"/>
        <w:numPr>
          <w:ilvl w:val="0"/>
          <w:numId w:val="24"/>
        </w:numPr>
      </w:pPr>
      <w:r w:rsidRPr="00883125">
        <w:t>Portfolio effects</w:t>
      </w:r>
    </w:p>
    <w:p w:rsidR="001D37D5" w:rsidRPr="00883125" w:rsidRDefault="001D37D5" w:rsidP="001D37D5">
      <w:r w:rsidRPr="00883125">
        <w:t>Service providers submit that investors may shift their portfolio away from the optimal portfolio towards a more local portfolio in order to utilise more imputation credits.</w:t>
      </w:r>
      <w:r w:rsidRPr="00883125">
        <w:rPr>
          <w:rStyle w:val="FootnoteReference"/>
        </w:rPr>
        <w:footnoteReference w:id="407"/>
      </w:r>
      <w:r w:rsidRPr="00883125">
        <w:t xml:space="preserve"> It is submitted that to the extent than an investor reduces the value of their overall portfolio simply to increase their redemption of imputation credits, this loss in value will be reflected in a lower valuation of imputation credits. Gray's report (for SFG) to the service providers on this topic referred to the 'cost of losing diversification'.</w:t>
      </w:r>
      <w:r w:rsidRPr="00883125">
        <w:rPr>
          <w:rStyle w:val="FootnoteReference"/>
        </w:rPr>
        <w:footnoteReference w:id="408"/>
      </w:r>
      <w:r w:rsidRPr="00883125">
        <w:t xml:space="preserve"> However, as discussed in section </w:t>
      </w:r>
      <w:r w:rsidRPr="00883125">
        <w:fldChar w:fldCharType="begin"/>
      </w:r>
      <w:r w:rsidRPr="00883125">
        <w:instrText xml:space="preserve"> REF _Ref401748758 \r \h </w:instrText>
      </w:r>
      <w:r w:rsidRPr="00883125">
        <w:fldChar w:fldCharType="separate"/>
      </w:r>
      <w:r w:rsidR="00A02D8C">
        <w:t>A.8.1</w:t>
      </w:r>
      <w:r w:rsidRPr="00883125">
        <w:fldChar w:fldCharType="end"/>
      </w:r>
      <w:r w:rsidRPr="00883125">
        <w:t xml:space="preserve">, Handley advised that our estimate of the utilisation rate should exclude 'diversification costs'. More specifically, we do not agree that portfolio effects would mean that a dollar of imputation credits in the hands of an eligible investor would be worth less than one dollar to that investor on a pre-personal-tax and pre-personal-costs basis. We made this point in our </w:t>
      </w:r>
      <w:r w:rsidRPr="00883125">
        <w:lastRenderedPageBreak/>
        <w:t>prior decisions and the service providers and their consultants have not commented on it. We consider that it is reasonable to not adjust any of our estimates of the utilisation rate for portfolio effects.</w:t>
      </w:r>
    </w:p>
    <w:p w:rsidR="001D37D5" w:rsidRPr="00883125" w:rsidRDefault="001D37D5" w:rsidP="001D37D5">
      <w:pPr>
        <w:pStyle w:val="HeadingBoldBlue"/>
      </w:pPr>
      <w:r w:rsidRPr="00883125">
        <w:t>The 'illustrative impact' of these factors</w:t>
      </w:r>
    </w:p>
    <w:p w:rsidR="001D37D5" w:rsidRPr="00883125" w:rsidRDefault="001D37D5" w:rsidP="001D37D5">
      <w:r w:rsidRPr="00883125">
        <w:t>Service providers submitted that, because of the factors set out above, our implied point estimates of the utilisation rate are 'well above any possible measure of the value of distributed imputation credits'.</w:t>
      </w:r>
      <w:r w:rsidRPr="00883125">
        <w:rPr>
          <w:rStyle w:val="FootnoteReference"/>
        </w:rPr>
        <w:footnoteReference w:id="409"/>
      </w:r>
      <w:r w:rsidRPr="00883125">
        <w:t xml:space="preserve"> In support of this, a number of service providers presented </w:t>
      </w:r>
      <w:r w:rsidRPr="00883125">
        <w:fldChar w:fldCharType="begin"/>
      </w:r>
      <w:r w:rsidRPr="00883125">
        <w:instrText xml:space="preserve"> REF  _Ref415078600 \* Lower \h </w:instrText>
      </w:r>
      <w:r w:rsidRPr="00883125">
        <w:fldChar w:fldCharType="separate"/>
      </w:r>
      <w:r w:rsidR="00A02D8C" w:rsidRPr="00883125">
        <w:t xml:space="preserve">figure </w:t>
      </w:r>
      <w:r w:rsidR="00A02D8C">
        <w:rPr>
          <w:noProof/>
        </w:rPr>
        <w:t>4</w:t>
      </w:r>
      <w:r w:rsidR="00A02D8C" w:rsidRPr="00883125">
        <w:t>.</w:t>
      </w:r>
      <w:r w:rsidR="00A02D8C">
        <w:rPr>
          <w:noProof/>
        </w:rPr>
        <w:t>1</w:t>
      </w:r>
      <w:r w:rsidRPr="00883125">
        <w:fldChar w:fldCharType="end"/>
      </w:r>
      <w:r w:rsidRPr="00883125">
        <w:t xml:space="preserve"> and </w:t>
      </w:r>
      <w:r w:rsidRPr="00883125">
        <w:fldChar w:fldCharType="begin"/>
      </w:r>
      <w:r w:rsidRPr="00883125">
        <w:instrText xml:space="preserve"> REF  _Ref415078618 \* Lower \h </w:instrText>
      </w:r>
      <w:r w:rsidRPr="00883125">
        <w:fldChar w:fldCharType="separate"/>
      </w:r>
      <w:r w:rsidR="00A02D8C" w:rsidRPr="00883125">
        <w:t xml:space="preserve">figure </w:t>
      </w:r>
      <w:r w:rsidR="00A02D8C">
        <w:rPr>
          <w:noProof/>
        </w:rPr>
        <w:t>4</w:t>
      </w:r>
      <w:r w:rsidR="00A02D8C" w:rsidRPr="00883125">
        <w:t>.</w:t>
      </w:r>
      <w:r w:rsidR="00A02D8C">
        <w:rPr>
          <w:noProof/>
        </w:rPr>
        <w:t>2</w:t>
      </w:r>
      <w:r w:rsidRPr="00883125">
        <w:fldChar w:fldCharType="end"/>
      </w:r>
      <w:r w:rsidRPr="00883125">
        <w:t xml:space="preserve">. </w:t>
      </w:r>
    </w:p>
    <w:p w:rsidR="001D37D5" w:rsidRPr="00883125" w:rsidRDefault="001D37D5" w:rsidP="001D37D5">
      <w:pPr>
        <w:pStyle w:val="Caption"/>
      </w:pPr>
      <w:bookmarkStart w:id="218" w:name="_Ref415078600"/>
      <w:r w:rsidRPr="00883125">
        <w:t xml:space="preserve">Figure </w:t>
      </w:r>
      <w:r w:rsidRPr="00B27BE5">
        <w:fldChar w:fldCharType="begin"/>
      </w:r>
      <w:r>
        <w:instrText xml:space="preserve"> STYLEREF 1 \s </w:instrText>
      </w:r>
      <w:r w:rsidRPr="00B27BE5">
        <w:fldChar w:fldCharType="separate"/>
      </w:r>
      <w:r w:rsidR="00A02D8C">
        <w:rPr>
          <w:noProof/>
        </w:rPr>
        <w:t>4</w:t>
      </w:r>
      <w:r w:rsidRPr="00B27BE5">
        <w:fldChar w:fldCharType="end"/>
      </w:r>
      <w:r w:rsidRPr="00883125">
        <w:t>.</w:t>
      </w:r>
      <w:r w:rsidRPr="00B27BE5">
        <w:fldChar w:fldCharType="begin"/>
      </w:r>
      <w:r>
        <w:instrText xml:space="preserve"> SEQ Figure \* ARABIC \s 1 </w:instrText>
      </w:r>
      <w:r w:rsidRPr="00B27BE5">
        <w:fldChar w:fldCharType="separate"/>
      </w:r>
      <w:r w:rsidR="00A02D8C">
        <w:rPr>
          <w:noProof/>
        </w:rPr>
        <w:t>1</w:t>
      </w:r>
      <w:r w:rsidRPr="00B27BE5">
        <w:fldChar w:fldCharType="end"/>
      </w:r>
      <w:bookmarkEnd w:id="218"/>
      <w:r w:rsidRPr="00883125">
        <w:tab/>
        <w:t>Illustrative impact on value of imputation credits – listed equity</w:t>
      </w:r>
    </w:p>
    <w:p w:rsidR="001D37D5" w:rsidRPr="00883125" w:rsidRDefault="001D37D5" w:rsidP="001D37D5">
      <w:r w:rsidRPr="001D37D5">
        <w:rPr>
          <w:noProof/>
          <w:lang w:eastAsia="en-AU"/>
        </w:rPr>
        <w:drawing>
          <wp:inline distT="0" distB="0" distL="0" distR="0" wp14:anchorId="74538894" wp14:editId="43AB972B">
            <wp:extent cx="5328000" cy="347400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328000" cy="3474000"/>
                    </a:xfrm>
                    <a:prstGeom prst="rect">
                      <a:avLst/>
                    </a:prstGeom>
                    <a:noFill/>
                    <a:ln>
                      <a:noFill/>
                    </a:ln>
                  </pic:spPr>
                </pic:pic>
              </a:graphicData>
            </a:graphic>
          </wp:inline>
        </w:drawing>
      </w:r>
    </w:p>
    <w:p w:rsidR="001D37D5" w:rsidRPr="00883125" w:rsidRDefault="001D37D5" w:rsidP="001D37D5">
      <w:pPr>
        <w:pStyle w:val="AERtablesource"/>
      </w:pPr>
      <w:r w:rsidRPr="00883125">
        <w:t>Source:</w:t>
      </w:r>
      <w:r w:rsidRPr="00883125">
        <w:tab/>
      </w:r>
      <w:r w:rsidRPr="00B9466C">
        <w:t>Ausgrid, Attachment 7.07 Ausgrid's revised proposal on gamma, January 2015, p. 16</w:t>
      </w:r>
      <w:r>
        <w:t>.</w:t>
      </w:r>
    </w:p>
    <w:p w:rsidR="001D37D5" w:rsidRPr="00883125" w:rsidRDefault="001D37D5" w:rsidP="001D37D5">
      <w:pPr>
        <w:pStyle w:val="Caption"/>
      </w:pPr>
      <w:bookmarkStart w:id="219" w:name="_Ref415078618"/>
      <w:r w:rsidRPr="00883125">
        <w:lastRenderedPageBreak/>
        <w:t xml:space="preserve">Figure </w:t>
      </w:r>
      <w:r w:rsidRPr="00B27BE5">
        <w:fldChar w:fldCharType="begin"/>
      </w:r>
      <w:r>
        <w:instrText xml:space="preserve"> STYLEREF 1 \s </w:instrText>
      </w:r>
      <w:r w:rsidRPr="00B27BE5">
        <w:fldChar w:fldCharType="separate"/>
      </w:r>
      <w:r w:rsidR="00A02D8C">
        <w:rPr>
          <w:noProof/>
        </w:rPr>
        <w:t>4</w:t>
      </w:r>
      <w:r w:rsidRPr="00B27BE5">
        <w:fldChar w:fldCharType="end"/>
      </w:r>
      <w:r w:rsidRPr="00883125">
        <w:t>.</w:t>
      </w:r>
      <w:r w:rsidRPr="00B27BE5">
        <w:fldChar w:fldCharType="begin"/>
      </w:r>
      <w:r>
        <w:instrText xml:space="preserve"> SEQ Figure \* ARABIC \s 1 </w:instrText>
      </w:r>
      <w:r w:rsidRPr="00B27BE5">
        <w:fldChar w:fldCharType="separate"/>
      </w:r>
      <w:r w:rsidR="00A02D8C">
        <w:rPr>
          <w:noProof/>
        </w:rPr>
        <w:t>2</w:t>
      </w:r>
      <w:r w:rsidRPr="00B27BE5">
        <w:fldChar w:fldCharType="end"/>
      </w:r>
      <w:bookmarkEnd w:id="219"/>
      <w:r w:rsidRPr="00883125">
        <w:tab/>
        <w:t>Illustrative impact on value of imputation credits – all equity</w:t>
      </w:r>
    </w:p>
    <w:p w:rsidR="001D37D5" w:rsidRPr="00883125" w:rsidRDefault="001D37D5" w:rsidP="001D37D5">
      <w:r w:rsidRPr="001D37D5">
        <w:rPr>
          <w:noProof/>
          <w:lang w:eastAsia="en-AU"/>
        </w:rPr>
        <w:drawing>
          <wp:inline distT="0" distB="0" distL="0" distR="0" wp14:anchorId="28D31AC6" wp14:editId="45B6E2B7">
            <wp:extent cx="5328000" cy="3470400"/>
            <wp:effectExtent l="0" t="0" r="635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328000" cy="3470400"/>
                    </a:xfrm>
                    <a:prstGeom prst="rect">
                      <a:avLst/>
                    </a:prstGeom>
                    <a:noFill/>
                    <a:ln>
                      <a:noFill/>
                    </a:ln>
                  </pic:spPr>
                </pic:pic>
              </a:graphicData>
            </a:graphic>
          </wp:inline>
        </w:drawing>
      </w:r>
    </w:p>
    <w:p w:rsidR="001D37D5" w:rsidRPr="00883125" w:rsidRDefault="001D37D5" w:rsidP="001D37D5">
      <w:pPr>
        <w:pStyle w:val="AERtablesource"/>
      </w:pPr>
      <w:r w:rsidRPr="00883125">
        <w:t>Source:</w:t>
      </w:r>
      <w:r w:rsidRPr="00883125">
        <w:tab/>
      </w:r>
      <w:r w:rsidRPr="00B9466C">
        <w:t>Ausgrid, Attachment 7.07 Ausgrid's revised proposal on gamma, January 2015, p. 1</w:t>
      </w:r>
      <w:r>
        <w:t>7</w:t>
      </w:r>
      <w:r w:rsidRPr="00B9466C">
        <w:t>.</w:t>
      </w:r>
    </w:p>
    <w:p w:rsidR="001D37D5" w:rsidRPr="00883125" w:rsidRDefault="001D37D5" w:rsidP="001D37D5">
      <w:r w:rsidRPr="00883125">
        <w:t>As already discussed, there is disagreement between the service providers and us on whether the utilisation rate (and therefore the value of imputation credits) should be estimated on a basis that is 'before' or 'after' the taxes and costs incurred by investors. The service providers consider that the value of imputation credits should be estimated 'after' these factors. Given these factors can only result in the diminution of the value of credits, it follows that the service providers' preferred estimate of the value of imputation credits will be no higher than that estimated on a before-personal-tax and before-personal-costs basis.</w:t>
      </w:r>
    </w:p>
    <w:p w:rsidR="001D37D5" w:rsidRPr="00883125" w:rsidRDefault="001D37D5" w:rsidP="001D37D5">
      <w:r w:rsidRPr="00883125">
        <w:t xml:space="preserve">This notwithstanding, we consider that there are a number of problems with </w:t>
      </w:r>
      <w:r w:rsidRPr="00883125">
        <w:fldChar w:fldCharType="begin"/>
      </w:r>
      <w:r w:rsidRPr="00883125">
        <w:instrText xml:space="preserve"> REF  _Ref415078600 \* Lower \h </w:instrText>
      </w:r>
      <w:r w:rsidRPr="00883125">
        <w:fldChar w:fldCharType="separate"/>
      </w:r>
      <w:r w:rsidR="00A02D8C" w:rsidRPr="00883125">
        <w:t xml:space="preserve">figure </w:t>
      </w:r>
      <w:r w:rsidR="00A02D8C">
        <w:rPr>
          <w:noProof/>
        </w:rPr>
        <w:t>4</w:t>
      </w:r>
      <w:r w:rsidR="00A02D8C" w:rsidRPr="00883125">
        <w:t>.</w:t>
      </w:r>
      <w:r w:rsidR="00A02D8C">
        <w:rPr>
          <w:noProof/>
        </w:rPr>
        <w:t>1</w:t>
      </w:r>
      <w:r w:rsidRPr="00883125">
        <w:fldChar w:fldCharType="end"/>
      </w:r>
      <w:r w:rsidRPr="00883125">
        <w:t xml:space="preserve"> and </w:t>
      </w:r>
      <w:r w:rsidRPr="00883125">
        <w:fldChar w:fldCharType="begin"/>
      </w:r>
      <w:r w:rsidRPr="00883125">
        <w:instrText xml:space="preserve"> REF  _Ref415078618 \* Lower \h </w:instrText>
      </w:r>
      <w:r w:rsidRPr="00883125">
        <w:fldChar w:fldCharType="separate"/>
      </w:r>
      <w:r w:rsidR="00A02D8C" w:rsidRPr="00883125">
        <w:t xml:space="preserve">figure </w:t>
      </w:r>
      <w:r w:rsidR="00A02D8C">
        <w:rPr>
          <w:noProof/>
        </w:rPr>
        <w:t>4</w:t>
      </w:r>
      <w:r w:rsidR="00A02D8C" w:rsidRPr="00883125">
        <w:t>.</w:t>
      </w:r>
      <w:r w:rsidR="00A02D8C">
        <w:rPr>
          <w:noProof/>
        </w:rPr>
        <w:t>2</w:t>
      </w:r>
      <w:r w:rsidRPr="00883125">
        <w:fldChar w:fldCharType="end"/>
      </w:r>
      <w:r w:rsidRPr="00883125">
        <w:t>. Moreover, the figures suggest that the value of distributed credits on which the service providers rely is likely understated relative to the (after-personal-tax and after-personal-costs) value to investors in all equity.</w:t>
      </w:r>
    </w:p>
    <w:p w:rsidR="001D37D5" w:rsidRPr="00883125" w:rsidRDefault="001D37D5" w:rsidP="001D37D5">
      <w:pPr>
        <w:pStyle w:val="HeadingBoldItalic"/>
      </w:pPr>
      <w:r w:rsidRPr="00883125">
        <w:t>The relevant equity ownership share</w:t>
      </w:r>
    </w:p>
    <w:p w:rsidR="001D37D5" w:rsidRPr="00883125" w:rsidRDefault="001D37D5" w:rsidP="001D37D5">
      <w:r w:rsidRPr="00883125">
        <w:t xml:space="preserve">The key difference between the figures is that in </w:t>
      </w:r>
      <w:r w:rsidRPr="00883125">
        <w:fldChar w:fldCharType="begin"/>
      </w:r>
      <w:r w:rsidRPr="00883125">
        <w:instrText xml:space="preserve"> REF  _Ref415078600 \* Lower \h </w:instrText>
      </w:r>
      <w:r w:rsidRPr="00883125">
        <w:fldChar w:fldCharType="separate"/>
      </w:r>
      <w:r w:rsidR="00A02D8C" w:rsidRPr="00883125">
        <w:t xml:space="preserve">figure </w:t>
      </w:r>
      <w:r w:rsidR="00A02D8C">
        <w:rPr>
          <w:noProof/>
        </w:rPr>
        <w:t>4</w:t>
      </w:r>
      <w:r w:rsidR="00A02D8C" w:rsidRPr="00883125">
        <w:t>.</w:t>
      </w:r>
      <w:r w:rsidR="00A02D8C">
        <w:rPr>
          <w:noProof/>
        </w:rPr>
        <w:t>1</w:t>
      </w:r>
      <w:r w:rsidRPr="00883125">
        <w:fldChar w:fldCharType="end"/>
      </w:r>
      <w:r w:rsidRPr="00883125">
        <w:t xml:space="preserve"> the SFG estimate of the value of distributed credits is ultimately compared to the refined share of foreign ownership of listed equity, and in </w:t>
      </w:r>
      <w:r w:rsidRPr="00883125">
        <w:fldChar w:fldCharType="begin"/>
      </w:r>
      <w:r w:rsidRPr="00883125">
        <w:instrText xml:space="preserve"> REF  _Ref415078618 \* Lower \h </w:instrText>
      </w:r>
      <w:r w:rsidRPr="00883125">
        <w:fldChar w:fldCharType="separate"/>
      </w:r>
      <w:r w:rsidR="00A02D8C" w:rsidRPr="00883125">
        <w:t xml:space="preserve">figure </w:t>
      </w:r>
      <w:r w:rsidR="00A02D8C">
        <w:rPr>
          <w:noProof/>
        </w:rPr>
        <w:t>4</w:t>
      </w:r>
      <w:r w:rsidR="00A02D8C" w:rsidRPr="00883125">
        <w:t>.</w:t>
      </w:r>
      <w:r w:rsidR="00A02D8C">
        <w:rPr>
          <w:noProof/>
        </w:rPr>
        <w:t>2</w:t>
      </w:r>
      <w:r w:rsidRPr="00883125">
        <w:fldChar w:fldCharType="end"/>
      </w:r>
      <w:r w:rsidRPr="00883125">
        <w:t xml:space="preserve"> the comparison is made with the refined share of foreign ownership in all equity. However, Gray (for SFG) indicated that if the value of distributed credits is estimated via a 'market value approach' (such as SFG's dividend drop off study), then the </w:t>
      </w:r>
      <w:r w:rsidRPr="00883125">
        <w:lastRenderedPageBreak/>
        <w:t>estimate will represent 'an average across all listed firms'.</w:t>
      </w:r>
      <w:r w:rsidRPr="00883125">
        <w:rPr>
          <w:rStyle w:val="FootnoteReference"/>
        </w:rPr>
        <w:footnoteReference w:id="410"/>
      </w:r>
      <w:r w:rsidRPr="00883125">
        <w:t xml:space="preserve"> Accordingly, the relevant foreign ownership share is that of listed equity, and it would be internally inconsistent to compare the SFG estimate of the value of distributed credits with the foreign ownership share of all equity (as the service providers have done in </w:t>
      </w:r>
      <w:r w:rsidRPr="00883125">
        <w:fldChar w:fldCharType="begin"/>
      </w:r>
      <w:r w:rsidRPr="00883125">
        <w:instrText xml:space="preserve"> REF  _Ref415078618 \* Lower \h </w:instrText>
      </w:r>
      <w:r w:rsidRPr="00883125">
        <w:fldChar w:fldCharType="separate"/>
      </w:r>
      <w:r w:rsidR="00A02D8C" w:rsidRPr="00883125">
        <w:t xml:space="preserve">figure </w:t>
      </w:r>
      <w:r w:rsidR="00A02D8C">
        <w:rPr>
          <w:noProof/>
        </w:rPr>
        <w:t>4</w:t>
      </w:r>
      <w:r w:rsidR="00A02D8C" w:rsidRPr="00883125">
        <w:t>.</w:t>
      </w:r>
      <w:r w:rsidR="00A02D8C">
        <w:rPr>
          <w:noProof/>
        </w:rPr>
        <w:t>2</w:t>
      </w:r>
      <w:r w:rsidRPr="00883125">
        <w:fldChar w:fldCharType="end"/>
      </w:r>
      <w:r w:rsidRPr="00883125">
        <w:t>).</w:t>
      </w:r>
    </w:p>
    <w:p w:rsidR="001D37D5" w:rsidRPr="00883125" w:rsidRDefault="001D37D5" w:rsidP="001D37D5">
      <w:r w:rsidRPr="00883125">
        <w:t>It also seems that the SFG estimate of the value of distributed credits reflects the average value over the sample period of the data used by SFG: July 2001 to October 2012. If so, this estimate should be compared with the average, refined foreign ownership share of listed equity over a similar period (June 2001 to December 2012). This is equal to 0.51.</w:t>
      </w:r>
    </w:p>
    <w:p w:rsidR="001D37D5" w:rsidRPr="00883125" w:rsidRDefault="001D37D5" w:rsidP="001D37D5">
      <w:pPr>
        <w:pStyle w:val="HeadingBoldItalic"/>
      </w:pPr>
      <w:r w:rsidRPr="00883125">
        <w:t>Implications for the value of distributed credits across investors in all equity</w:t>
      </w:r>
    </w:p>
    <w:p w:rsidR="001D37D5" w:rsidRPr="00883125" w:rsidRDefault="001D37D5" w:rsidP="001D37D5">
      <w:r w:rsidRPr="00883125">
        <w:t xml:space="preserve">Although we have above identified the inconsistency in comparing SFG's dividend drop off estimate of the value of distributed credits to the foreign ownership share of all equity, </w:t>
      </w:r>
      <w:r w:rsidRPr="00883125">
        <w:fldChar w:fldCharType="begin"/>
      </w:r>
      <w:r w:rsidRPr="00883125">
        <w:instrText xml:space="preserve"> REF  _Ref415078600 \* Lower \h </w:instrText>
      </w:r>
      <w:r w:rsidRPr="00883125">
        <w:fldChar w:fldCharType="separate"/>
      </w:r>
      <w:r w:rsidR="00A02D8C" w:rsidRPr="00883125">
        <w:t xml:space="preserve">figure </w:t>
      </w:r>
      <w:r w:rsidR="00A02D8C">
        <w:rPr>
          <w:noProof/>
        </w:rPr>
        <w:t>4</w:t>
      </w:r>
      <w:r w:rsidR="00A02D8C" w:rsidRPr="00883125">
        <w:t>.</w:t>
      </w:r>
      <w:r w:rsidR="00A02D8C">
        <w:rPr>
          <w:noProof/>
        </w:rPr>
        <w:t>1</w:t>
      </w:r>
      <w:r w:rsidRPr="00883125">
        <w:fldChar w:fldCharType="end"/>
      </w:r>
      <w:r w:rsidRPr="00883125">
        <w:t xml:space="preserve"> and </w:t>
      </w:r>
      <w:r w:rsidRPr="00883125">
        <w:fldChar w:fldCharType="begin"/>
      </w:r>
      <w:r w:rsidRPr="00883125">
        <w:instrText xml:space="preserve"> REF  _Ref415078618 \* Lower \h </w:instrText>
      </w:r>
      <w:r w:rsidRPr="00883125">
        <w:fldChar w:fldCharType="separate"/>
      </w:r>
      <w:r w:rsidR="00A02D8C" w:rsidRPr="00883125">
        <w:t xml:space="preserve">figure </w:t>
      </w:r>
      <w:r w:rsidR="00A02D8C">
        <w:rPr>
          <w:noProof/>
        </w:rPr>
        <w:t>4</w:t>
      </w:r>
      <w:r w:rsidR="00A02D8C" w:rsidRPr="00883125">
        <w:t>.</w:t>
      </w:r>
      <w:r w:rsidR="00A02D8C">
        <w:rPr>
          <w:noProof/>
        </w:rPr>
        <w:t>2</w:t>
      </w:r>
      <w:r w:rsidRPr="00883125">
        <w:fldChar w:fldCharType="end"/>
      </w:r>
      <w:r w:rsidRPr="00883125">
        <w:t xml:space="preserve"> appear to be intended to indicate that the presence of foreign investors is a relevant source of the diminution of the market-wide value of distributed credits. This suggests that, all else held equal, an implied market value study conducted over all equity might produce a higher estimate of the value of distributed credits. This would be because the foreign ownership share of all equity is lower. </w:t>
      </w:r>
    </w:p>
    <w:p w:rsidR="001D37D5" w:rsidRPr="00883125" w:rsidRDefault="001D37D5" w:rsidP="001D37D5">
      <w:r w:rsidRPr="00883125">
        <w:t xml:space="preserve">Using the relevant estimate of the foreign equity ownership share discussed above, the logic of </w:t>
      </w:r>
      <w:r w:rsidRPr="00883125">
        <w:fldChar w:fldCharType="begin"/>
      </w:r>
      <w:r w:rsidRPr="00883125">
        <w:instrText xml:space="preserve"> REF  _Ref415078600 \* Lower \h </w:instrText>
      </w:r>
      <w:r w:rsidRPr="00883125">
        <w:fldChar w:fldCharType="separate"/>
      </w:r>
      <w:r w:rsidR="00A02D8C" w:rsidRPr="00883125">
        <w:t xml:space="preserve">figure </w:t>
      </w:r>
      <w:r w:rsidR="00A02D8C">
        <w:rPr>
          <w:noProof/>
        </w:rPr>
        <w:t>4</w:t>
      </w:r>
      <w:r w:rsidR="00A02D8C" w:rsidRPr="00883125">
        <w:t>.</w:t>
      </w:r>
      <w:r w:rsidR="00A02D8C">
        <w:rPr>
          <w:noProof/>
        </w:rPr>
        <w:t>1</w:t>
      </w:r>
      <w:r w:rsidRPr="00883125">
        <w:fldChar w:fldCharType="end"/>
      </w:r>
      <w:r w:rsidRPr="00883125">
        <w:t xml:space="preserve"> and </w:t>
      </w:r>
      <w:r w:rsidRPr="00883125">
        <w:fldChar w:fldCharType="begin"/>
      </w:r>
      <w:r w:rsidRPr="00883125">
        <w:instrText xml:space="preserve"> REF  _Ref415078618 \* Lower \h </w:instrText>
      </w:r>
      <w:r w:rsidRPr="00883125">
        <w:fldChar w:fldCharType="separate"/>
      </w:r>
      <w:r w:rsidR="00A02D8C" w:rsidRPr="00883125">
        <w:t xml:space="preserve">figure </w:t>
      </w:r>
      <w:r w:rsidR="00A02D8C">
        <w:rPr>
          <w:noProof/>
        </w:rPr>
        <w:t>4</w:t>
      </w:r>
      <w:r w:rsidR="00A02D8C" w:rsidRPr="00883125">
        <w:t>.</w:t>
      </w:r>
      <w:r w:rsidR="00A02D8C">
        <w:rPr>
          <w:noProof/>
        </w:rPr>
        <w:t>2</w:t>
      </w:r>
      <w:r w:rsidRPr="00883125">
        <w:fldChar w:fldCharType="end"/>
      </w:r>
      <w:r w:rsidRPr="00883125">
        <w:t xml:space="preserve"> indicates that SFG's estimate of the value of distributed credits (0.35) represents the diminution of the face value of distributed credits by 51 per cent due to the presence of foreign investors and by (1 - 0.35 - 0.51 =) 14 per cent due to other factors (including differential personal taxes and risk). If the combined diminution due to these other factors is the same for investors in all equity, then the logic of the figures indicates that the value of distributed credits across investors in all equity might be (1 - 0.14 - 0.39 =) 0.47.</w:t>
      </w:r>
      <w:r w:rsidRPr="00883125">
        <w:rPr>
          <w:rStyle w:val="FootnoteReference"/>
        </w:rPr>
        <w:footnoteReference w:id="411"/>
      </w:r>
    </w:p>
    <w:p w:rsidR="001D37D5" w:rsidRPr="00883125" w:rsidRDefault="001D37D5" w:rsidP="001D37D5">
      <w:pPr>
        <w:pStyle w:val="HeadingBoldItalic"/>
      </w:pPr>
      <w:r w:rsidRPr="00883125">
        <w:t>Comparison to the redemption rate from tax statistics</w:t>
      </w:r>
    </w:p>
    <w:p w:rsidR="001D37D5" w:rsidRPr="00883125" w:rsidRDefault="001D37D5" w:rsidP="001D37D5">
      <w:r w:rsidRPr="00883125">
        <w:t>The figures suggest that the difference between the foreign ownership share and the redemption rate from tax statistics is an estimate of the credits distributed to domestic investors who do not redeem them. The figures suggest that this might be because of the 45-day holding rule and/or transactions costs. We consider that there are a number of problems with this estimate.</w:t>
      </w:r>
    </w:p>
    <w:p w:rsidR="001D37D5" w:rsidRPr="00883125" w:rsidRDefault="001D37D5" w:rsidP="001D37D5">
      <w:r w:rsidRPr="00883125">
        <w:t>Firstly, the redemption rate from tax statistics reflects all equity, and therefore it is inconsistent to compare it to the foreign ownership share of listed equity.</w:t>
      </w:r>
    </w:p>
    <w:p w:rsidR="001D37D5" w:rsidRPr="00883125" w:rsidRDefault="001D37D5" w:rsidP="001D37D5">
      <w:pPr>
        <w:rPr>
          <w:rStyle w:val="AERbody"/>
        </w:rPr>
      </w:pPr>
      <w:r w:rsidRPr="00883125">
        <w:t xml:space="preserve">Secondly, this estimate does not contemplate error or inaccuracy in the tax statistics. In section </w:t>
      </w:r>
      <w:r>
        <w:fldChar w:fldCharType="begin"/>
      </w:r>
      <w:r>
        <w:instrText xml:space="preserve"> REF _Ref451291076 \r \h </w:instrText>
      </w:r>
      <w:r>
        <w:fldChar w:fldCharType="separate"/>
      </w:r>
      <w:r w:rsidR="00A02D8C">
        <w:t>4.4</w:t>
      </w:r>
      <w:r>
        <w:fldChar w:fldCharType="end"/>
      </w:r>
      <w:r w:rsidRPr="00883125">
        <w:t xml:space="preserve">, we set out the data concerns that exist regarding the tax statistics. The service providers that we released draft decisions for in 2014 submitted in their initial proposals that no weight be placed on estimates of the utilisation rate from tax statistics because of </w:t>
      </w:r>
      <w:r w:rsidRPr="00883125">
        <w:lastRenderedPageBreak/>
        <w:t>significant unresolved problems with the data.</w:t>
      </w:r>
      <w:r w:rsidRPr="00883125">
        <w:rPr>
          <w:rStyle w:val="FootnoteReference"/>
        </w:rPr>
        <w:footnoteReference w:id="412"/>
      </w:r>
      <w:r w:rsidRPr="00883125">
        <w:t xml:space="preserve"> </w:t>
      </w:r>
      <w:r w:rsidRPr="00883125">
        <w:rPr>
          <w:rStyle w:val="AERbody"/>
        </w:rPr>
        <w:t>NERA has subsequently submitted that tax statistics can be used to estimate a value for theta consistent with a 70% distribution rate, and can also be used to estimate an upper bound value for gamma.</w:t>
      </w:r>
      <w:r w:rsidRPr="00883125">
        <w:rPr>
          <w:rStyle w:val="FootnoteReference"/>
        </w:rPr>
        <w:footnoteReference w:id="413"/>
      </w:r>
      <w:r w:rsidRPr="00883125">
        <w:rPr>
          <w:rStyle w:val="AERbody"/>
        </w:rPr>
        <w:t xml:space="preserve"> Gray (for Frontier) appears to support this.</w:t>
      </w:r>
      <w:r w:rsidRPr="00883125">
        <w:rPr>
          <w:rStyle w:val="FootnoteReference"/>
        </w:rPr>
        <w:footnoteReference w:id="414"/>
      </w:r>
      <w:r w:rsidRPr="00883125">
        <w:rPr>
          <w:rStyle w:val="AERbody"/>
        </w:rPr>
        <w:t xml:space="preserve"> However, given the issues with the tax data and Hathaway's caveated comments regarding the data where he says "[t]he conclusion is that I accept the tax payments and FAB data as given post-2003, and assume that the problem is more likely to have arisen within the franked dividend payments data"</w:t>
      </w:r>
      <w:r w:rsidRPr="00883125">
        <w:rPr>
          <w:rStyle w:val="FootnoteReference"/>
        </w:rPr>
        <w:footnoteReference w:id="415"/>
      </w:r>
      <w:r w:rsidRPr="00883125">
        <w:rPr>
          <w:rStyle w:val="AERbody"/>
        </w:rPr>
        <w:t>, we remain of the view we should treat estimates of theta based on tax data with caution. Hathaway's draft 2014 report gives us no cause to change our view.</w:t>
      </w:r>
      <w:r w:rsidRPr="00883125">
        <w:rPr>
          <w:rStyle w:val="FootnoteReference"/>
        </w:rPr>
        <w:footnoteReference w:id="416"/>
      </w:r>
      <w:r>
        <w:rPr>
          <w:rStyle w:val="AERbody"/>
        </w:rPr>
        <w:t xml:space="preserve"> Lally, in his 2016 report, indicates he considers the most likely reason for a difference between the estimate of the utilisation rate from the equity ownership approach and tax statistics is data issues with the tax statistics.</w:t>
      </w:r>
      <w:r>
        <w:rPr>
          <w:rStyle w:val="FootnoteReference"/>
        </w:rPr>
        <w:footnoteReference w:id="417"/>
      </w:r>
    </w:p>
    <w:p w:rsidR="001D37D5" w:rsidRPr="00883125" w:rsidRDefault="001D37D5" w:rsidP="001D37D5">
      <w:r w:rsidRPr="00883125">
        <w:t>Thirdly, we are not convinced that the 45-day holding rule and transaction costs are contributing to a material amount of credits not being redeemed. As discussed above, this is because:</w:t>
      </w:r>
    </w:p>
    <w:p w:rsidR="001D37D5" w:rsidRPr="00883125" w:rsidRDefault="001D37D5" w:rsidP="001D37D5">
      <w:pPr>
        <w:pStyle w:val="AERbulletlistfirststyle"/>
      </w:pPr>
      <w:r w:rsidRPr="00883125">
        <w:t>Our analysis of the 45-day rule suggests that it is not having a material effect. Although we acknowledge this analysis is subject to any data quality issues with the tax statistics.</w:t>
      </w:r>
    </w:p>
    <w:p w:rsidR="001D37D5" w:rsidRPr="00883125" w:rsidRDefault="001D37D5" w:rsidP="001D37D5">
      <w:pPr>
        <w:pStyle w:val="AERbulletlistfirststyle"/>
      </w:pPr>
      <w:r w:rsidRPr="00883125">
        <w:t xml:space="preserve">We do not consider that transactions costs are likely to dissuade a material number of investors from redeeming imputation credits. </w:t>
      </w:r>
    </w:p>
    <w:p w:rsidR="001D37D5" w:rsidRPr="00883125" w:rsidRDefault="001D37D5" w:rsidP="001D37D5">
      <w:pPr>
        <w:rPr>
          <w:rStyle w:val="AERbody"/>
        </w:rPr>
      </w:pPr>
      <w:r w:rsidRPr="00883125">
        <w:rPr>
          <w:rStyle w:val="AERbody"/>
        </w:rPr>
        <w:t>In response to the service providers</w:t>
      </w:r>
      <w:r>
        <w:rPr>
          <w:rStyle w:val="AERbody"/>
        </w:rPr>
        <w:t>' submissions</w:t>
      </w:r>
      <w:r w:rsidRPr="00883125">
        <w:rPr>
          <w:rStyle w:val="AERbody"/>
        </w:rPr>
        <w:t>,</w:t>
      </w:r>
      <w:r w:rsidRPr="00883125">
        <w:rPr>
          <w:rStyle w:val="FootnoteReference"/>
        </w:rPr>
        <w:footnoteReference w:id="418"/>
      </w:r>
      <w:r w:rsidRPr="00883125">
        <w:rPr>
          <w:rStyle w:val="AERbody"/>
        </w:rPr>
        <w:t xml:space="preserve"> we do not consider there is any inconsistency between Handley's earlier work and subsequent work indicating taxation statistics can be used as a point estimate of theta. Handley has clearly explained why tax statistics can be used as a point estimate for theta, a position we agree with.</w:t>
      </w:r>
      <w:r w:rsidRPr="00883125">
        <w:rPr>
          <w:rStyle w:val="FootnoteReference"/>
        </w:rPr>
        <w:footnoteReference w:id="419"/>
      </w:r>
      <w:r w:rsidRPr="00883125">
        <w:rPr>
          <w:rStyle w:val="AERbody"/>
        </w:rPr>
        <w:t xml:space="preserve"> While we acknowledge that the ultimate source of the value for imputation credits is from redemption, this does not prevent an estimate of the redemption value from taxation statistics being a point estimate</w:t>
      </w:r>
      <w:r>
        <w:rPr>
          <w:rStyle w:val="AERbody"/>
        </w:rPr>
        <w:t>.</w:t>
      </w:r>
      <w:r w:rsidRPr="00883125">
        <w:rPr>
          <w:rStyle w:val="AERbody"/>
        </w:rPr>
        <w:t xml:space="preserve"> </w:t>
      </w:r>
      <w:r>
        <w:rPr>
          <w:rStyle w:val="AERbody"/>
        </w:rPr>
        <w:t>W</w:t>
      </w:r>
      <w:r w:rsidRPr="00883125">
        <w:rPr>
          <w:rStyle w:val="AERbody"/>
        </w:rPr>
        <w:t>e note, given the uncertainty with estimates based on the tax data, the true (unobservable) redemption value could be above or below the estimate.</w:t>
      </w:r>
    </w:p>
    <w:p w:rsidR="001D37D5" w:rsidRPr="00883125" w:rsidRDefault="001D37D5" w:rsidP="001D37D5">
      <w:pPr>
        <w:rPr>
          <w:rStyle w:val="AERbody"/>
        </w:rPr>
      </w:pPr>
      <w:r w:rsidRPr="00883125">
        <w:rPr>
          <w:rStyle w:val="AERbody"/>
        </w:rPr>
        <w:t xml:space="preserve">In section </w:t>
      </w:r>
      <w:r w:rsidRPr="00883125">
        <w:rPr>
          <w:rStyle w:val="AERbody"/>
        </w:rPr>
        <w:fldChar w:fldCharType="begin"/>
      </w:r>
      <w:r w:rsidRPr="00883125">
        <w:rPr>
          <w:rStyle w:val="AERbody"/>
        </w:rPr>
        <w:instrText xml:space="preserve"> REF _Ref450298682 \r \h </w:instrText>
      </w:r>
      <w:r w:rsidRPr="00883125">
        <w:rPr>
          <w:rStyle w:val="AERbody"/>
        </w:rPr>
      </w:r>
      <w:r w:rsidRPr="00883125">
        <w:rPr>
          <w:rStyle w:val="AERbody"/>
        </w:rPr>
        <w:fldChar w:fldCharType="separate"/>
      </w:r>
      <w:r w:rsidR="00A02D8C">
        <w:rPr>
          <w:rStyle w:val="AERbody"/>
        </w:rPr>
        <w:t>A.14</w:t>
      </w:r>
      <w:r w:rsidRPr="00883125">
        <w:rPr>
          <w:rStyle w:val="AERbody"/>
        </w:rPr>
        <w:fldChar w:fldCharType="end"/>
      </w:r>
      <w:r w:rsidRPr="00883125">
        <w:rPr>
          <w:rStyle w:val="AERbody"/>
        </w:rPr>
        <w:t xml:space="preserve">, the difference between the utilisation </w:t>
      </w:r>
      <w:r w:rsidRPr="00883125">
        <w:t>value</w:t>
      </w:r>
      <w:r w:rsidRPr="00883125">
        <w:rPr>
          <w:rStyle w:val="AERbody"/>
        </w:rPr>
        <w:t xml:space="preserve"> from the equity ownership approach and taxation statistics is analysed</w:t>
      </w:r>
      <w:r w:rsidR="005E1FC3">
        <w:rPr>
          <w:rStyle w:val="AERbody"/>
        </w:rPr>
        <w:t>.</w:t>
      </w:r>
    </w:p>
    <w:p w:rsidR="001D37D5" w:rsidRPr="00883125" w:rsidRDefault="001D37D5" w:rsidP="001D37D5">
      <w:pPr>
        <w:pStyle w:val="Heading9"/>
      </w:pPr>
      <w:bookmarkStart w:id="220" w:name="_Ref415068711"/>
      <w:bookmarkStart w:id="221" w:name="_Toc436049450"/>
      <w:r w:rsidRPr="00883125">
        <w:lastRenderedPageBreak/>
        <w:t>NERA's comments on the utilisation rate</w:t>
      </w:r>
    </w:p>
    <w:p w:rsidR="001D37D5" w:rsidRPr="00883125" w:rsidRDefault="001D37D5" w:rsidP="001D37D5">
      <w:r w:rsidRPr="00883125">
        <w:t>NERA submitted that theta is the value that a representative investor places on a dollar of distributed imputation credits.</w:t>
      </w:r>
      <w:r w:rsidRPr="00883125">
        <w:rPr>
          <w:rStyle w:val="FootnoteReference"/>
        </w:rPr>
        <w:footnoteReference w:id="420"/>
      </w:r>
      <w:r w:rsidRPr="00883125">
        <w:t xml:space="preserve"> NERA also presented a simple derivation of theta. The simple model employed by NERA consisted of, among other things: a set of domestic and foreign investors; a domestic asset that distributes imputation credits; and a foreign asset that does not distribute imputation credits. NERA showed that in this model:</w:t>
      </w:r>
    </w:p>
    <w:p w:rsidR="001D37D5" w:rsidRPr="00883125" w:rsidRDefault="001D37D5" w:rsidP="001D37D5">
      <m:oMathPara>
        <m:oMath>
          <m:r>
            <w:rPr>
              <w:rFonts w:ascii="Cambria Math" w:hAnsi="Cambria Math"/>
            </w:rPr>
            <m:t>θ=</m:t>
          </m:r>
          <m:f>
            <m:fPr>
              <m:ctrlPr>
                <w:rPr>
                  <w:rFonts w:ascii="Cambria Math" w:hAnsi="Cambria Math"/>
                </w:rPr>
              </m:ctrlPr>
            </m:fPr>
            <m:num>
              <m:r>
                <w:rPr>
                  <w:rFonts w:ascii="Cambria Math" w:hAnsi="Cambria Math"/>
                </w:rPr>
                <m:t>D</m:t>
              </m:r>
            </m:num>
            <m:den>
              <m:r>
                <w:rPr>
                  <w:rFonts w:ascii="Cambria Math" w:hAnsi="Cambria Math"/>
                </w:rPr>
                <m:t>D+F</m:t>
              </m:r>
            </m:den>
          </m:f>
        </m:oMath>
      </m:oMathPara>
    </w:p>
    <w:p w:rsidR="001D37D5" w:rsidRPr="00883125" w:rsidRDefault="001D37D5" w:rsidP="001D37D5">
      <w:r w:rsidRPr="00883125">
        <w:t xml:space="preserve">where </w:t>
      </w:r>
      <m:oMath>
        <m:r>
          <w:rPr>
            <w:rFonts w:ascii="Cambria Math" w:hAnsi="Cambria Math"/>
          </w:rPr>
          <m:t>D</m:t>
        </m:r>
      </m:oMath>
      <w:r w:rsidRPr="00883125">
        <w:t xml:space="preserve"> is the wealth of domestic investors and </w:t>
      </w:r>
      <m:oMath>
        <m:r>
          <w:rPr>
            <w:rFonts w:ascii="Cambria Math" w:hAnsi="Cambria Math"/>
          </w:rPr>
          <m:t>F</m:t>
        </m:r>
      </m:oMath>
      <w:r w:rsidRPr="00883125">
        <w:t xml:space="preserve"> is the wealth of foreign investors.</w:t>
      </w:r>
      <w:r w:rsidRPr="00883125">
        <w:rPr>
          <w:rStyle w:val="FootnoteReference"/>
        </w:rPr>
        <w:footnoteReference w:id="421"/>
      </w:r>
      <w:r w:rsidRPr="00883125">
        <w:t xml:space="preserve"> NERA also showed that the redemption rate of imputation credits does not equal theta in this model, and is instead given by the ratio of domestic holdings of the domestic asset to the sum of domestic and foreign holdings of the asset. NERA concluded:</w:t>
      </w:r>
      <w:r w:rsidRPr="00883125">
        <w:rPr>
          <w:rStyle w:val="FootnoteReference"/>
        </w:rPr>
        <w:footnoteReference w:id="422"/>
      </w:r>
    </w:p>
    <w:p w:rsidR="001D37D5" w:rsidRPr="00883125" w:rsidRDefault="001D37D5" w:rsidP="001D37D5">
      <w:pPr>
        <w:pStyle w:val="AERquote"/>
      </w:pPr>
      <w:r w:rsidRPr="00883125">
        <w:t>In a small open economy – like Australia – the proportion of credits created that are redeemed is likely to exceed by a substantial margin the value of a dollar of tax credits created to a representative shareholder.</w:t>
      </w:r>
    </w:p>
    <w:p w:rsidR="001D37D5" w:rsidRPr="00883125" w:rsidRDefault="001D37D5" w:rsidP="001D37D5">
      <w:r w:rsidRPr="00883125">
        <w:t>That is, if domestic investors make up only a small proportion of all investors, then theta will be small. However, this conclusion appears to rely on determining theta in an international CAPM context—domestic and foreign investors can invest in both domestic and foreign assets. By contrast, we determine the value of imputation credits (and other rate of return parameters) using a domestic CAPM. In the domestic CAPM context, domestic investors that are eligible to redeem credits make up a significant proportion of all investors that invest in domestic assets. Further, the scope for a material 'wedge' to arise between the redemption rate and theta in the domestic CAPM context is not clear from NERA's analysis because it only considers the international CAPM context.</w:t>
      </w:r>
    </w:p>
    <w:p w:rsidR="001D37D5" w:rsidRPr="00883125" w:rsidRDefault="001D37D5" w:rsidP="001D37D5">
      <w:r w:rsidRPr="00883125">
        <w:t>Our view is supported by Handley's review of NERA's submission. Handley concluded:</w:t>
      </w:r>
      <w:r w:rsidRPr="00883125">
        <w:rPr>
          <w:rStyle w:val="FootnoteReference"/>
        </w:rPr>
        <w:footnoteReference w:id="423"/>
      </w:r>
    </w:p>
    <w:p w:rsidR="001D37D5" w:rsidRPr="00883125" w:rsidRDefault="001D37D5" w:rsidP="001D37D5">
      <w:pPr>
        <w:pStyle w:val="AERquote"/>
      </w:pPr>
      <w:r w:rsidRPr="00883125">
        <w:t>The problem with the NERA model is that it is an international asset pricing model – along the lines of the Black (1974) International CAPM – whereas the current framework is based within a domestic market setting. This means that domestic investors have only a small market weighting by definition. Clearly, the value of imputation credits in an international asset pricing model will be substantially different from the value of imputation credits in a domestic asset pricing model.</w:t>
      </w:r>
    </w:p>
    <w:p w:rsidR="001D37D5" w:rsidRPr="00883125" w:rsidRDefault="001D37D5" w:rsidP="001D37D5">
      <w:pPr>
        <w:pStyle w:val="AERquote"/>
      </w:pPr>
      <w:r w:rsidRPr="00883125">
        <w:t>…</w:t>
      </w:r>
    </w:p>
    <w:p w:rsidR="001D37D5" w:rsidRPr="00883125" w:rsidRDefault="001D37D5" w:rsidP="001D37D5">
      <w:pPr>
        <w:pStyle w:val="AERquote"/>
      </w:pPr>
      <w:r w:rsidRPr="00883125">
        <w:lastRenderedPageBreak/>
        <w:t xml:space="preserve">In my opinion, NERA’s analysis does not establish the presence of a wedge between theta and the redemption rate and so does not invalidate the use of tax statistics to estimate theta. </w:t>
      </w:r>
    </w:p>
    <w:p w:rsidR="001D37D5" w:rsidRPr="00883125" w:rsidRDefault="001D37D5" w:rsidP="001D37D5">
      <w:pPr>
        <w:rPr>
          <w:rStyle w:val="AERbody"/>
        </w:rPr>
      </w:pPr>
      <w:r w:rsidRPr="00883125">
        <w:rPr>
          <w:rStyle w:val="AERbody"/>
        </w:rPr>
        <w:t>NERA responded to the AER position in the JGN decision in its June 2015 report.</w:t>
      </w:r>
      <w:r w:rsidRPr="00883125">
        <w:rPr>
          <w:rStyle w:val="FootnoteReference"/>
        </w:rPr>
        <w:footnoteReference w:id="424"/>
      </w:r>
      <w:r w:rsidRPr="00883125">
        <w:rPr>
          <w:rStyle w:val="AERbody"/>
        </w:rPr>
        <w:t xml:space="preserve"> In this report NERA put forward several propositions:</w:t>
      </w:r>
    </w:p>
    <w:p w:rsidR="001D37D5" w:rsidRPr="005764F6" w:rsidRDefault="001D37D5" w:rsidP="001D37D5">
      <w:pPr>
        <w:pStyle w:val="AERbulletlistfirststyle"/>
      </w:pPr>
      <w:r w:rsidRPr="005764F6">
        <w:t xml:space="preserve">It would be expected that the proportions of credits that are redeemed would significantly exceed the value of a dollar of credits to a representative shareholder in a small open economy like Australia. </w:t>
      </w:r>
    </w:p>
    <w:p w:rsidR="001D37D5" w:rsidRPr="005764F6" w:rsidRDefault="001D37D5" w:rsidP="001D37D5">
      <w:pPr>
        <w:pStyle w:val="AERbulletlistfirststyle"/>
      </w:pPr>
      <w:r w:rsidRPr="005764F6">
        <w:t>The AER's use of a domestic Australian CAPM does not justify any presumption that theta take a non-negligible value.</w:t>
      </w:r>
    </w:p>
    <w:p w:rsidR="001D37D5" w:rsidRPr="005764F6" w:rsidRDefault="001D37D5" w:rsidP="001D37D5">
      <w:pPr>
        <w:pStyle w:val="AERbulletlistfirststyle"/>
      </w:pPr>
      <w:r w:rsidRPr="005764F6">
        <w:t xml:space="preserve">The estimated cost of capital from a domestic CAPM will equal the cost of capital from an international CAPM under certain assumptions. </w:t>
      </w:r>
    </w:p>
    <w:p w:rsidR="001D37D5" w:rsidRPr="00883125" w:rsidRDefault="001D37D5" w:rsidP="001D37D5">
      <w:pPr>
        <w:rPr>
          <w:rStyle w:val="AERbody"/>
        </w:rPr>
      </w:pPr>
      <w:r w:rsidRPr="00883125">
        <w:rPr>
          <w:rStyle w:val="AERbody"/>
        </w:rPr>
        <w:t>In response, we note that we consider our approach is consistent with our definition of the Australian domestic market in the presence of foreign investors.</w:t>
      </w:r>
    </w:p>
    <w:p w:rsidR="001D37D5" w:rsidRPr="00883125" w:rsidRDefault="001D37D5" w:rsidP="001D37D5">
      <w:pPr>
        <w:rPr>
          <w:rStyle w:val="AERbody"/>
        </w:rPr>
      </w:pPr>
      <w:r w:rsidRPr="00883125">
        <w:rPr>
          <w:rStyle w:val="AERbody"/>
        </w:rPr>
        <w:t>While NERA does show a model consistent with the redemption of credits exceeding the value for theta, you may only get theta falling significantly below the redemption rate under specific assumptions.</w:t>
      </w:r>
      <w:r w:rsidRPr="00883125">
        <w:rPr>
          <w:rStyle w:val="FootnoteReference"/>
        </w:rPr>
        <w:footnoteReference w:id="425"/>
      </w:r>
      <w:r w:rsidRPr="00883125">
        <w:rPr>
          <w:rStyle w:val="AERbody"/>
        </w:rPr>
        <w:t xml:space="preserve"> We also note that NERA's model is an international asset pricing model.</w:t>
      </w:r>
      <w:r w:rsidRPr="00883125">
        <w:rPr>
          <w:rStyle w:val="FootnoteReference"/>
        </w:rPr>
        <w:footnoteReference w:id="426"/>
      </w:r>
      <w:r w:rsidRPr="00883125">
        <w:rPr>
          <w:rStyle w:val="AERbody"/>
        </w:rPr>
        <w:t xml:space="preserve"> This model is inconsistent with our definition of the domestic market. We also consider the use of the international CAPM, with a high proportion of wealth held by foreign investors (NERA using 98% in its primary example) is prima facie inconsistent with the way in which the service providers estimate the return on equity using an Australian Domestic CAPM. Handley shows that NERA's claimed "wedge" between the redemption rate and theta can be either small, if input assumptions are made consistent with our definition of the market (domestic in the presence of foreign investors), or zero or even negative depending on your assumption about a number of largely unobservable factors.</w:t>
      </w:r>
      <w:r w:rsidRPr="00883125">
        <w:rPr>
          <w:rStyle w:val="FootnoteReference"/>
        </w:rPr>
        <w:footnoteReference w:id="427"/>
      </w:r>
      <w:r w:rsidRPr="00883125">
        <w:rPr>
          <w:rStyle w:val="AERbody"/>
        </w:rPr>
        <w:t xml:space="preserve"> NERA response to one of Handley's examples that shows the wedge may be small makes clear they are using an International CAPM to argue Handley's response is invalid stating:</w:t>
      </w:r>
      <w:r w:rsidRPr="00883125">
        <w:rPr>
          <w:rStyle w:val="FootnoteReference"/>
        </w:rPr>
        <w:footnoteReference w:id="428"/>
      </w:r>
    </w:p>
    <w:p w:rsidR="001D37D5" w:rsidRPr="00DA0E8B" w:rsidRDefault="001D37D5" w:rsidP="001D37D5">
      <w:pPr>
        <w:pStyle w:val="AERquote"/>
      </w:pPr>
      <w:r w:rsidRPr="00DA0E8B">
        <w:t xml:space="preserve">"The assumption that Australian aggregated wealth makes up 60 percent of the world wealth is also very clearly at odds with the evidence and so we conclude that Handley's second example is similarly of no practical relevance." </w:t>
      </w:r>
    </w:p>
    <w:p w:rsidR="001D37D5" w:rsidRPr="00883125" w:rsidRDefault="001D37D5" w:rsidP="001D37D5">
      <w:pPr>
        <w:rPr>
          <w:rStyle w:val="AERbody"/>
        </w:rPr>
      </w:pPr>
      <w:r w:rsidRPr="00883125">
        <w:rPr>
          <w:rStyle w:val="AERbody"/>
        </w:rPr>
        <w:lastRenderedPageBreak/>
        <w:t>We consider this response by NERA of limited relevance given our definition of the relevant market is a domestic market in the presence of foreign investors, a market which we have used to estimate both the return on equity and the value for imputation credits. Handley's example is appropriate given this definition.</w:t>
      </w:r>
    </w:p>
    <w:p w:rsidR="001D37D5" w:rsidRPr="00883125" w:rsidRDefault="001D37D5" w:rsidP="001D37D5">
      <w:pPr>
        <w:rPr>
          <w:rStyle w:val="AERbody"/>
        </w:rPr>
      </w:pPr>
      <w:r w:rsidRPr="00883125">
        <w:rPr>
          <w:rStyle w:val="AERbody"/>
        </w:rPr>
        <w:t>While NERA responded to the position that theta could exceed the redemption rate arguing the market will not clear, irrespective of this we consider the wedge is not clearly material under our definition of the market and as Handley notes, the current framework is based within a domestic market setting.</w:t>
      </w:r>
      <w:r w:rsidRPr="00883125">
        <w:rPr>
          <w:rStyle w:val="FootnoteReference"/>
        </w:rPr>
        <w:footnoteReference w:id="429"/>
      </w:r>
      <w:r w:rsidRPr="00883125">
        <w:rPr>
          <w:rStyle w:val="AERbody"/>
        </w:rPr>
        <w:t xml:space="preserve"> NERA's comment in a separate report that it does not recommend the use of an International CAPM does not resolve this inconsistency issue.</w:t>
      </w:r>
      <w:r w:rsidRPr="00883125">
        <w:rPr>
          <w:rStyle w:val="FootnoteReference"/>
        </w:rPr>
        <w:footnoteReference w:id="430"/>
      </w:r>
    </w:p>
    <w:p w:rsidR="001D37D5" w:rsidRPr="00883125" w:rsidRDefault="001D37D5" w:rsidP="001D37D5">
      <w:pPr>
        <w:rPr>
          <w:rStyle w:val="AERbody"/>
        </w:rPr>
      </w:pPr>
      <w:r w:rsidRPr="00883125">
        <w:rPr>
          <w:rStyle w:val="AERbody"/>
        </w:rPr>
        <w:t>In addition, while NERA has effectively put forward the position that the use of a domestic CAPM to set the return on equity and the use of an international CAPM to determine theta are not inconsistent because both models may generate the same return on equity estimate under certain assumptions, we consider NERA's position is not adequately supported.  An International CAPM may give a materially different required return on equity estimate. This may be lower or higher depending on whether local (domestic) systematic risk can be diversified away in the global market, or if specific risk in the domestic market contains global systematic risk.</w:t>
      </w:r>
      <w:r w:rsidRPr="00883125">
        <w:rPr>
          <w:rStyle w:val="FootnoteReference"/>
        </w:rPr>
        <w:footnoteReference w:id="431"/>
      </w:r>
      <w:r w:rsidRPr="00883125">
        <w:rPr>
          <w:rStyle w:val="AERbody"/>
        </w:rPr>
        <w:t xml:space="preserve"> While NERA appear to have made a number of assumptions to show both a domestic version of the SLCPAM and international version of the SLCAPM can hold simultaneously</w:t>
      </w:r>
      <w:r w:rsidRPr="00883125">
        <w:rPr>
          <w:rStyle w:val="FootnoteReference"/>
        </w:rPr>
        <w:footnoteReference w:id="432"/>
      </w:r>
      <w:r w:rsidRPr="00883125">
        <w:rPr>
          <w:rStyle w:val="AERbody"/>
        </w:rPr>
        <w:t>, these are assumptions that can only be tested empirically. An academic article by Koedijk, Mathiijs and van Dijk explains the underlying premise of such a test stating:</w:t>
      </w:r>
      <w:r w:rsidRPr="00883125">
        <w:rPr>
          <w:rStyle w:val="FootnoteReference"/>
        </w:rPr>
        <w:footnoteReference w:id="433"/>
      </w:r>
    </w:p>
    <w:p w:rsidR="001D37D5" w:rsidRPr="001D37D5" w:rsidRDefault="001D37D5" w:rsidP="001D37D5">
      <w:pPr>
        <w:pStyle w:val="AERquote"/>
        <w:rPr>
          <w:rFonts w:eastAsiaTheme="minorHAnsi"/>
        </w:rPr>
      </w:pPr>
      <w:r w:rsidRPr="00DA0E8B">
        <w:t>The testing methodology boils down to assessing whether the exposure of an individual company to the global risk factors is effectively captured in the international pricing of the domestic market index. If not, a significant pricing error will exist, which implies that global factors do have a substantial impact on the cost of capital. In effect, the domestic CAPM will underestimate the cost of equity capital of a company if the specific risk according to the domestic CAPM contains additional systematic risk related to the priced global factors. The domestic CAPM will lead to an overestimation of the cost of capital if part of the systematic risk indicated by the CAPM can be diversified away in the global market.</w:t>
      </w:r>
    </w:p>
    <w:p w:rsidR="001D37D5" w:rsidRPr="00883125" w:rsidRDefault="001D37D5" w:rsidP="001D37D5">
      <w:pPr>
        <w:rPr>
          <w:rStyle w:val="AERbody"/>
        </w:rPr>
      </w:pPr>
      <w:r w:rsidRPr="00883125">
        <w:rPr>
          <w:rStyle w:val="AERbody"/>
        </w:rPr>
        <w:t>NERA appear to agree this is an empirical question as it states earlier in its report "</w:t>
      </w:r>
      <w:r>
        <w:rPr>
          <w:rStyle w:val="AERbody"/>
        </w:rPr>
        <w:t>[</w:t>
      </w:r>
      <w:r w:rsidRPr="00883125">
        <w:rPr>
          <w:rStyle w:val="AERbody"/>
        </w:rPr>
        <w:t>w]hether equity markets are integrated or segmented is an empirical issue."</w:t>
      </w:r>
      <w:r w:rsidRPr="00883125">
        <w:rPr>
          <w:rStyle w:val="FootnoteReference"/>
        </w:rPr>
        <w:footnoteReference w:id="434"/>
      </w:r>
      <w:r w:rsidRPr="00883125">
        <w:rPr>
          <w:rStyle w:val="AERbody"/>
        </w:rPr>
        <w:t xml:space="preserve">  </w:t>
      </w:r>
    </w:p>
    <w:p w:rsidR="001D37D5" w:rsidRPr="00883125" w:rsidRDefault="001D37D5" w:rsidP="001D37D5">
      <w:pPr>
        <w:rPr>
          <w:rStyle w:val="AERbody"/>
        </w:rPr>
      </w:pPr>
      <w:r w:rsidRPr="00883125">
        <w:rPr>
          <w:rStyle w:val="AERbody"/>
        </w:rPr>
        <w:lastRenderedPageBreak/>
        <w:t>We also note that some work by Associate Professor Lally at the time of the development of the Rate of return guideline indicated that the required return on equity for Australian firms could be materially lower under full integration.</w:t>
      </w:r>
      <w:r w:rsidRPr="00883125">
        <w:rPr>
          <w:rStyle w:val="FootnoteReference"/>
        </w:rPr>
        <w:footnoteReference w:id="435"/>
      </w:r>
    </w:p>
    <w:p w:rsidR="001D37D5" w:rsidRPr="00883125" w:rsidRDefault="001D37D5" w:rsidP="001D37D5">
      <w:pPr>
        <w:pStyle w:val="Heading8"/>
      </w:pPr>
      <w:bookmarkStart w:id="222" w:name="_Ref451790065"/>
      <w:bookmarkStart w:id="223" w:name="_Toc451842255"/>
      <w:bookmarkStart w:id="224" w:name="_Toc451938310"/>
      <w:r w:rsidRPr="00883125">
        <w:t>Estimation approach considerations</w:t>
      </w:r>
      <w:bookmarkEnd w:id="220"/>
      <w:bookmarkEnd w:id="221"/>
      <w:bookmarkEnd w:id="222"/>
      <w:bookmarkEnd w:id="223"/>
      <w:bookmarkEnd w:id="224"/>
    </w:p>
    <w:p w:rsidR="001D37D5" w:rsidRPr="00883125" w:rsidRDefault="001D37D5" w:rsidP="001D37D5">
      <w:pPr>
        <w:numPr>
          <w:ilvl w:val="0"/>
          <w:numId w:val="24"/>
        </w:numPr>
      </w:pPr>
      <w:r w:rsidRPr="00883125">
        <w:t>Two considerations that were not proposed in the Guideline in determining the value of imputation credits are discussed below.</w:t>
      </w:r>
    </w:p>
    <w:p w:rsidR="001D37D5" w:rsidRPr="00883125" w:rsidRDefault="001D37D5" w:rsidP="001D37D5">
      <w:pPr>
        <w:pStyle w:val="Heading9"/>
      </w:pPr>
      <w:bookmarkStart w:id="225" w:name="_Ref401048631"/>
      <w:r w:rsidRPr="00883125">
        <w:t>Evidence from all equity or only listed equity</w:t>
      </w:r>
      <w:bookmarkEnd w:id="225"/>
    </w:p>
    <w:p w:rsidR="001D37D5" w:rsidRPr="00883125" w:rsidRDefault="001D37D5" w:rsidP="001D37D5">
      <w:pPr>
        <w:numPr>
          <w:ilvl w:val="0"/>
          <w:numId w:val="24"/>
        </w:numPr>
      </w:pPr>
      <w:r w:rsidRPr="00883125">
        <w:t xml:space="preserve">When determining the value of imputation credits, </w:t>
      </w:r>
      <w:r>
        <w:t xml:space="preserve">we remain of the view </w:t>
      </w:r>
      <w:r w:rsidRPr="00883125">
        <w:t xml:space="preserve">it </w:t>
      </w:r>
      <w:r>
        <w:t>is appropriate</w:t>
      </w:r>
      <w:r w:rsidRPr="00883125">
        <w:t xml:space="preserve"> to have regard to evidence from all companies and their investors (all equity) and just listed companies and their investors (only listed equity). There is no consensus on which should be the preferred approach. </w:t>
      </w:r>
    </w:p>
    <w:p w:rsidR="001D37D5" w:rsidRPr="005764F6" w:rsidRDefault="001D37D5" w:rsidP="001D37D5">
      <w:r w:rsidRPr="005764F6">
        <w:t>United Energy submitted that the Tribunal recently considered that the AER had erred in using a listed equity only measure.</w:t>
      </w:r>
      <w:r w:rsidRPr="002110D5">
        <w:rPr>
          <w:rStyle w:val="FootnoteReference"/>
        </w:rPr>
        <w:footnoteReference w:id="436"/>
      </w:r>
      <w:r w:rsidRPr="005764F6">
        <w:t xml:space="preserve"> In this decision the Tribunal considered that the AER had not provide sufficient explanation for introducing the distribution rate for only listed equity and that the considered it appropriate to continue to follow past practice.</w:t>
      </w:r>
      <w:r w:rsidRPr="002110D5">
        <w:rPr>
          <w:rStyle w:val="FootnoteReference"/>
        </w:rPr>
        <w:footnoteReference w:id="437"/>
      </w:r>
    </w:p>
    <w:p w:rsidR="001D37D5" w:rsidRPr="00883125" w:rsidRDefault="001D37D5" w:rsidP="001D37D5">
      <w:pPr>
        <w:numPr>
          <w:ilvl w:val="0"/>
          <w:numId w:val="24"/>
        </w:numPr>
      </w:pPr>
      <w:r w:rsidRPr="00883125">
        <w:t>We have had regard to experts' comments on the issue. Lally made some comments in support of considering all equity:</w:t>
      </w:r>
      <w:r w:rsidRPr="00883125">
        <w:rPr>
          <w:rStyle w:val="FootnoteReference"/>
        </w:rPr>
        <w:footnoteReference w:id="438"/>
      </w:r>
    </w:p>
    <w:p w:rsidR="001D37D5" w:rsidRPr="00883125" w:rsidRDefault="001D37D5" w:rsidP="001D37D5">
      <w:pPr>
        <w:pStyle w:val="AERquote"/>
      </w:pPr>
      <w:r w:rsidRPr="00883125">
        <w:t>The more important point here is whether unlisted equity should be included, in principle. Arguably, the fact that only listed equity is used to estimate the MRP and beta suggests that the same limitation be applied to the present issue. However, the limitation is only imposed for the MRP and beta because data from unlisted firms is entirely inadequate for estimating returns. Furthermore, MRP estimates are generally based on a subset of listed equity (such as the ASX200), the subsets used may vary and are sometimes never specified (in surveys), and betas are typically estimated from foreign returns data. All of these results could reasonably be viewed as proxies for the results that would arise from using Australian data on all equities. In addition, treating the CAPM as a model that applies to only listed equities would rule out using it to estimate the cost of equity for an unlisted company (and some regulated businesses are unlisted). Thus, in principle, I favour inclusion of unlisted equity for estimating the proportion of Australian equities held locally.</w:t>
      </w:r>
    </w:p>
    <w:p w:rsidR="001D37D5" w:rsidRDefault="001D37D5" w:rsidP="001D37D5">
      <w:pPr>
        <w:numPr>
          <w:ilvl w:val="0"/>
          <w:numId w:val="24"/>
        </w:numPr>
      </w:pPr>
      <w:r>
        <w:t>In his latest report, Lally reaffirmed this view that all equity rather than listed equity should be used to estimate the utilisation value. Lally considers that using all equity data suggest the utilisation value is at least 0.60.</w:t>
      </w:r>
      <w:r>
        <w:rPr>
          <w:rStyle w:val="FootnoteReference"/>
        </w:rPr>
        <w:footnoteReference w:id="439"/>
      </w:r>
    </w:p>
    <w:p w:rsidR="001D37D5" w:rsidRPr="00883125" w:rsidRDefault="001D37D5" w:rsidP="001D37D5">
      <w:pPr>
        <w:numPr>
          <w:ilvl w:val="0"/>
          <w:numId w:val="24"/>
        </w:numPr>
      </w:pPr>
      <w:r w:rsidRPr="00883125">
        <w:lastRenderedPageBreak/>
        <w:t>However, Handley suggested that evidence from listed equity is more relevant:</w:t>
      </w:r>
      <w:r w:rsidRPr="00883125">
        <w:rPr>
          <w:rStyle w:val="FootnoteReference"/>
        </w:rPr>
        <w:footnoteReference w:id="440"/>
      </w:r>
    </w:p>
    <w:p w:rsidR="001D37D5" w:rsidRPr="00883125" w:rsidRDefault="001D37D5" w:rsidP="001D37D5">
      <w:pPr>
        <w:pStyle w:val="AERquote"/>
      </w:pPr>
      <w:r w:rsidRPr="00883125">
        <w:t>Specifically, the NERA estimate [of the distribution rate] is based on aggregate [franking account balance] data for all companies – including public companies and private companies. In contrast, one can reasonably argue that the estimate should be based on public companies only since this is more likely to reflect the composition of the Australian domestic market for equity funds – private companies by definition are financed in entirely different ways – and so be a more relevant proxy for a benchmark efficient entity.</w:t>
      </w:r>
    </w:p>
    <w:p w:rsidR="001D37D5" w:rsidRPr="00883125" w:rsidRDefault="001D37D5" w:rsidP="001D37D5">
      <w:r w:rsidRPr="00883125">
        <w:t>Gray's view (for SFG) is not clear to us. In his May 2014 report, Gray stated:</w:t>
      </w:r>
      <w:r w:rsidRPr="00883125">
        <w:rPr>
          <w:rStyle w:val="FootnoteReference"/>
        </w:rPr>
        <w:footnoteReference w:id="441"/>
      </w:r>
    </w:p>
    <w:p w:rsidR="001D37D5" w:rsidRPr="00883125" w:rsidRDefault="001D37D5" w:rsidP="001D37D5">
      <w:pPr>
        <w:pStyle w:val="AERquote"/>
      </w:pPr>
      <w:r w:rsidRPr="00883125">
        <w:t>The 45% foreign ownership figure in Figure 9 above is based on listed equity. In our view, this is the appropriate calculation given that all other WACC parameters are estimated with reference to exchange-listed businesses because they are more reflective of the efficient benchmark entity.</w:t>
      </w:r>
    </w:p>
    <w:p w:rsidR="001D37D5" w:rsidRPr="00883125" w:rsidRDefault="001D37D5" w:rsidP="001D37D5">
      <w:r w:rsidRPr="00883125">
        <w:t>And in his February 2015 report (for SFG) Gray stated:</w:t>
      </w:r>
      <w:r w:rsidRPr="00883125">
        <w:rPr>
          <w:rStyle w:val="FootnoteReference"/>
        </w:rPr>
        <w:footnoteReference w:id="442"/>
      </w:r>
    </w:p>
    <w:p w:rsidR="001D37D5" w:rsidRPr="00883125" w:rsidRDefault="001D37D5" w:rsidP="001D37D5">
      <w:pPr>
        <w:pStyle w:val="AERquote"/>
      </w:pPr>
      <w:r w:rsidRPr="00883125">
        <w:t>There is also a question about whether data should be restricted to listed firms or whether it should be expanded to include private firms as well. Since the benchmark efficient entity is not necessarily listed, this would imply that private firms are also relevant.</w:t>
      </w:r>
    </w:p>
    <w:p w:rsidR="001D37D5" w:rsidRPr="00883125" w:rsidRDefault="001D37D5" w:rsidP="001D37D5">
      <w:r w:rsidRPr="00883125">
        <w:t>A number of the service providers indicated clearly in their initial or revised proposals, or in a submission on their proposal, their view that the value of imputation credits should be estimated with regard to evidence from all equity:</w:t>
      </w:r>
      <w:r w:rsidRPr="00883125">
        <w:rPr>
          <w:rStyle w:val="FootnoteReference"/>
        </w:rPr>
        <w:footnoteReference w:id="443"/>
      </w:r>
    </w:p>
    <w:p w:rsidR="001D37D5" w:rsidRPr="00883125" w:rsidRDefault="001D37D5" w:rsidP="001D37D5">
      <w:pPr>
        <w:pStyle w:val="AERquote"/>
      </w:pPr>
      <w:r w:rsidRPr="00883125">
        <w:t>Gamma is conventionally estimated as a market-wide parameter and therefore there is no reason to measure the distribution rate based on data for listed equity only, in circumstances where data is available for both listed and unlisted firms.</w:t>
      </w:r>
    </w:p>
    <w:p w:rsidR="001D37D5" w:rsidRPr="00883125" w:rsidRDefault="001D37D5" w:rsidP="001D37D5">
      <w:r w:rsidRPr="00883125">
        <w:t>Despite this view, the service providers propose to rely on the 'best estimate' of the utilisation rate from implied market value studies, which by definition relate to only listed equity.</w:t>
      </w:r>
      <w:r w:rsidRPr="00883125">
        <w:rPr>
          <w:rStyle w:val="FootnoteReference"/>
        </w:rPr>
        <w:footnoteReference w:id="444"/>
      </w:r>
      <w:r w:rsidRPr="00883125">
        <w:t xml:space="preserve"> The service providers do not recognise that the evidence they have presented on </w:t>
      </w:r>
      <w:r w:rsidRPr="00883125">
        <w:lastRenderedPageBreak/>
        <w:t xml:space="preserve">their preferred estimate of the utilisation rate implies that it likely understates the value of distributed credits to investors across all equity (see our discussion in section </w:t>
      </w:r>
      <w:r w:rsidRPr="00883125">
        <w:fldChar w:fldCharType="begin"/>
      </w:r>
      <w:r w:rsidRPr="00883125">
        <w:instrText xml:space="preserve"> REF _Ref414099389 \r \h </w:instrText>
      </w:r>
      <w:r w:rsidRPr="00883125">
        <w:fldChar w:fldCharType="separate"/>
      </w:r>
      <w:r w:rsidR="00A02D8C">
        <w:t>A.8.3</w:t>
      </w:r>
      <w:r w:rsidRPr="00883125">
        <w:fldChar w:fldCharType="end"/>
      </w:r>
      <w:r w:rsidRPr="00883125">
        <w:t>).</w:t>
      </w:r>
    </w:p>
    <w:p w:rsidR="001D37D5" w:rsidRDefault="001D37D5" w:rsidP="001D37D5">
      <w:r>
        <w:t xml:space="preserve">We have considered all the material before us. We agree that the utilisation rate is a market wide parameter. However, as set out above, there is no consensus on whether it should be estimated using all equity or listed equity. Therefore, we consider both. </w:t>
      </w:r>
    </w:p>
    <w:p w:rsidR="001D37D5" w:rsidRDefault="001D37D5" w:rsidP="001D37D5">
      <w:pPr>
        <w:rPr>
          <w:rStyle w:val="AERbody"/>
        </w:rPr>
      </w:pPr>
      <w:r>
        <w:t>In relation to the distribution rate, we note it is a firm specific parameter in principle. However, as Lally advised, there are reasons why it may not be appropriate to use firm specific data or industry averages, so sector wide data can be used as a reasonable proxy.</w:t>
      </w:r>
      <w:r>
        <w:rPr>
          <w:rStyle w:val="FootnoteReference"/>
        </w:rPr>
        <w:footnoteReference w:id="445"/>
      </w:r>
      <w:r>
        <w:rPr>
          <w:rStyle w:val="AERbody"/>
        </w:rPr>
        <w:t xml:space="preserve"> Therefore, we consider it is appropriate to use estimates of the distribution rate based on listed equity and all equity. We also have regard to Lally's recommended estimate of the distribution rate for listed equity estimated from financial reports of the top 20 listed firms (that is, 0.83).</w:t>
      </w:r>
      <w:r>
        <w:rPr>
          <w:rStyle w:val="FootnoteReference"/>
        </w:rPr>
        <w:footnoteReference w:id="446"/>
      </w:r>
      <w:r>
        <w:rPr>
          <w:rStyle w:val="AERbody"/>
        </w:rPr>
        <w:t xml:space="preserve"> Lally considers this estimate is reflective of the distribution rate for a benchmark efficient entity. </w:t>
      </w:r>
    </w:p>
    <w:p w:rsidR="001D37D5" w:rsidRPr="005764F6" w:rsidRDefault="001D37D5" w:rsidP="001D37D5">
      <w:pPr>
        <w:rPr>
          <w:rStyle w:val="AERbody"/>
        </w:rPr>
      </w:pPr>
      <w:r w:rsidRPr="00E64E9B">
        <w:t xml:space="preserve">With respect to United Energy's </w:t>
      </w:r>
      <w:r>
        <w:t xml:space="preserve">late </w:t>
      </w:r>
      <w:r w:rsidRPr="00E64E9B">
        <w:t xml:space="preserve">submission on the recent Tribunal decision, we note the Tribunal did not find a clear error in our approach prior to using its preferred approach. We remain of the view that our approach is </w:t>
      </w:r>
      <w:r>
        <w:t xml:space="preserve">open to us, and results in a </w:t>
      </w:r>
      <w:r w:rsidRPr="00E64E9B">
        <w:t>conservative</w:t>
      </w:r>
      <w:r>
        <w:t xml:space="preserve"> estimate (see section </w:t>
      </w:r>
      <w:r>
        <w:fldChar w:fldCharType="begin"/>
      </w:r>
      <w:r>
        <w:instrText xml:space="preserve"> REF _Ref401133206 \r \h </w:instrText>
      </w:r>
      <w:r>
        <w:fldChar w:fldCharType="separate"/>
      </w:r>
      <w:r w:rsidR="00A02D8C">
        <w:t>A.10</w:t>
      </w:r>
      <w:r>
        <w:fldChar w:fldCharType="end"/>
      </w:r>
      <w:r>
        <w:t>)</w:t>
      </w:r>
      <w:r w:rsidRPr="00E64E9B">
        <w:t xml:space="preserve">. </w:t>
      </w:r>
    </w:p>
    <w:p w:rsidR="001D37D5" w:rsidRPr="00883125" w:rsidRDefault="001D37D5" w:rsidP="001D37D5">
      <w:pPr>
        <w:pStyle w:val="Heading9"/>
      </w:pPr>
      <w:bookmarkStart w:id="226" w:name="_Ref403481194"/>
      <w:bookmarkStart w:id="227" w:name="_Ref450299300"/>
      <w:bookmarkStart w:id="228" w:name="_Ref450765039"/>
      <w:r w:rsidRPr="00883125">
        <w:t xml:space="preserve">Relationship between the distribution rate and the utilisation </w:t>
      </w:r>
      <w:bookmarkEnd w:id="226"/>
      <w:r w:rsidRPr="00883125">
        <w:t>value</w:t>
      </w:r>
      <w:bookmarkEnd w:id="227"/>
      <w:bookmarkEnd w:id="228"/>
    </w:p>
    <w:p w:rsidR="001D37D5" w:rsidRPr="00883125" w:rsidRDefault="001D37D5" w:rsidP="001D37D5">
      <w:pPr>
        <w:numPr>
          <w:ilvl w:val="0"/>
          <w:numId w:val="24"/>
        </w:numPr>
      </w:pPr>
      <w:r w:rsidRPr="00883125">
        <w:t xml:space="preserve">In developing the Guideline, we did not recognise the relationship between definitions and estimates of the distribution rate and the utilisation rate. This relationship is that a given estimate of the distribution rate represents the proportion of credits distributed by a given set of companies to the set of investors in those companies. </w:t>
      </w:r>
      <w:r>
        <w:t>In decisions released post the Guideline we considered that f</w:t>
      </w:r>
      <w:r w:rsidRPr="00883125">
        <w:t>or consistency in estimating the value of imputation credits, a corresponding estimate of the utilisation rate should reflect the utilisation of that same set of investors.</w:t>
      </w:r>
    </w:p>
    <w:p w:rsidR="001D37D5" w:rsidRPr="00883125" w:rsidRDefault="001D37D5" w:rsidP="001D37D5">
      <w:r w:rsidRPr="005764F6">
        <w:t>We considered that this relationship should be recognised when determining estimates of the value of imputation credits.</w:t>
      </w:r>
      <w:r w:rsidRPr="00883125">
        <w:t xml:space="preserve"> We therefore consider</w:t>
      </w:r>
      <w:r>
        <w:t>ed</w:t>
      </w:r>
      <w:r w:rsidRPr="00883125">
        <w:t xml:space="preserve"> that estimates of the utilisation rate determined with regard to investors in only listed equity should be paired with estimates of the distribution rate that are also determined with regard to only listed equity. Similarly, </w:t>
      </w:r>
      <w:r>
        <w:t xml:space="preserve">we considered that </w:t>
      </w:r>
      <w:r w:rsidRPr="00883125">
        <w:t>estimates of the utilisation rate determined with regard to all equity should be paired with estimates of the distribution rate that are also determined with regard to all equity.</w:t>
      </w:r>
    </w:p>
    <w:p w:rsidR="001D37D5" w:rsidRPr="00883125" w:rsidRDefault="001D37D5" w:rsidP="001D37D5">
      <w:pPr>
        <w:numPr>
          <w:ilvl w:val="0"/>
          <w:numId w:val="24"/>
        </w:numPr>
        <w:rPr>
          <w:rStyle w:val="AERbody"/>
        </w:rPr>
      </w:pPr>
      <w:r w:rsidRPr="00883125">
        <w:rPr>
          <w:rStyle w:val="AERbody"/>
        </w:rPr>
        <w:lastRenderedPageBreak/>
        <w:t xml:space="preserve">The service providers do not agree that the estimate of the utilisation </w:t>
      </w:r>
      <w:r w:rsidRPr="00883125">
        <w:t>value</w:t>
      </w:r>
      <w:r w:rsidRPr="00883125">
        <w:rPr>
          <w:rStyle w:val="AERbody"/>
        </w:rPr>
        <w:t xml:space="preserve"> based on listed equity (all equity) can be paired</w:t>
      </w:r>
      <w:r>
        <w:rPr>
          <w:rStyle w:val="AERbody"/>
        </w:rPr>
        <w:t xml:space="preserve"> only</w:t>
      </w:r>
      <w:r w:rsidRPr="00883125">
        <w:rPr>
          <w:rStyle w:val="AERbody"/>
        </w:rPr>
        <w:t xml:space="preserve"> with a listed equity (all equity) distribution rate.</w:t>
      </w:r>
      <w:r w:rsidRPr="00883125">
        <w:rPr>
          <w:rStyle w:val="FootnoteReference"/>
        </w:rPr>
        <w:footnoteReference w:id="447"/>
      </w:r>
      <w:r w:rsidRPr="00883125">
        <w:rPr>
          <w:rStyle w:val="AERbody"/>
        </w:rPr>
        <w:t xml:space="preserve"> They submit that for the equity ownership approach both ownership and distribution data is available for all equity and listed equity and it should be necessary to consider which of these measures is more reflective of the benchmark firm.</w:t>
      </w:r>
      <w:r w:rsidRPr="00883125">
        <w:rPr>
          <w:rStyle w:val="FootnoteReference"/>
        </w:rPr>
        <w:footnoteReference w:id="448"/>
      </w:r>
      <w:r w:rsidRPr="00883125">
        <w:rPr>
          <w:rStyle w:val="AERbody"/>
        </w:rPr>
        <w:t xml:space="preserve"> Service providers consider that the distribution rate should be set with reference to all equity to avoid the influence of imputation credits being attached to foreign income. For the utilisation </w:t>
      </w:r>
      <w:r w:rsidRPr="00883125">
        <w:t>value</w:t>
      </w:r>
      <w:r w:rsidRPr="00883125">
        <w:rPr>
          <w:rStyle w:val="AERbody"/>
        </w:rPr>
        <w:t xml:space="preserve"> they consider that it should to be estimated with reference to only listed equity in order to reflect foreign ownership in the benchmark firm.</w:t>
      </w:r>
      <w:r w:rsidRPr="00883125">
        <w:rPr>
          <w:rStyle w:val="FootnoteReference"/>
        </w:rPr>
        <w:footnoteReference w:id="449"/>
      </w:r>
      <w:r w:rsidRPr="00883125">
        <w:rPr>
          <w:rStyle w:val="AERbody"/>
        </w:rPr>
        <w:t xml:space="preserve"> Both Stephen Gray (for Frontier) and NERA submitted that there is no inconsistency with paring the distribution rate for all equity with a theta value (or utilisation rate) for listed equity as the distribution rate is firm specific within the Officer model.</w:t>
      </w:r>
      <w:r w:rsidRPr="00883125">
        <w:rPr>
          <w:rStyle w:val="FootnoteReference"/>
        </w:rPr>
        <w:footnoteReference w:id="450"/>
      </w:r>
      <w:r w:rsidRPr="00883125">
        <w:rPr>
          <w:rStyle w:val="AERbody"/>
        </w:rPr>
        <w:t xml:space="preserve"> As a result they appear to consider we should use either the distribution rate from the broadest market (all equity) in combination with a theta estimate from listed equity,</w:t>
      </w:r>
      <w:r w:rsidRPr="00883125">
        <w:rPr>
          <w:rStyle w:val="FootnoteReference"/>
        </w:rPr>
        <w:footnoteReference w:id="451"/>
      </w:r>
      <w:r w:rsidRPr="00883125">
        <w:rPr>
          <w:rStyle w:val="AERbody"/>
        </w:rPr>
        <w:t xml:space="preserve"> or alternatively we should use of a distribution rate estimated from listed equity excluding the 20 largest firms in the market, both of which yield an estimated distribution rate of around 70%. They effectively consider the use of the 20 largest listed firms to estimate the distribution rate from listed equity data alone will overestimate the distribution rate for the benchmark efficient entity as we assume this entity is not a large listed entity.</w:t>
      </w:r>
      <w:r w:rsidRPr="00883125">
        <w:rPr>
          <w:rStyle w:val="FootnoteReference"/>
        </w:rPr>
        <w:footnoteReference w:id="452"/>
      </w:r>
    </w:p>
    <w:p w:rsidR="001D37D5" w:rsidRDefault="001D37D5" w:rsidP="001D37D5">
      <w:pPr>
        <w:numPr>
          <w:ilvl w:val="0"/>
          <w:numId w:val="24"/>
        </w:numPr>
        <w:rPr>
          <w:rStyle w:val="AERbody"/>
        </w:rPr>
      </w:pPr>
      <w:r w:rsidRPr="00883125">
        <w:rPr>
          <w:rStyle w:val="AERbody"/>
        </w:rPr>
        <w:lastRenderedPageBreak/>
        <w:t>Gray (for Frontier) considers that the distribution rate is firm specific, while theta is a market wider parameter.</w:t>
      </w:r>
      <w:r w:rsidRPr="00883125">
        <w:rPr>
          <w:rStyle w:val="FootnoteReference"/>
        </w:rPr>
        <w:footnoteReference w:id="453"/>
      </w:r>
      <w:r w:rsidRPr="00883125">
        <w:rPr>
          <w:rStyle w:val="AERbody"/>
        </w:rPr>
        <w:t xml:space="preserve"> Gary (for Frontier) draws an analogy between gamma and the CAPM, where the distribution rate is similar to beta and theta is similar to the MRP. Handley </w:t>
      </w:r>
      <w:r>
        <w:rPr>
          <w:rStyle w:val="AERbody"/>
        </w:rPr>
        <w:t xml:space="preserve">previously </w:t>
      </w:r>
      <w:r w:rsidRPr="00883125">
        <w:rPr>
          <w:rStyle w:val="AERbody"/>
        </w:rPr>
        <w:t>considered this issues and supported our decision in JGN to not remove the largest listed equity firms from the estimation of the distribution rate on the basis foreign sourced income allows them to distribute a higher proportion of imputation credits.</w:t>
      </w:r>
      <w:r w:rsidRPr="00883125">
        <w:rPr>
          <w:rStyle w:val="FootnoteReference"/>
        </w:rPr>
        <w:footnoteReference w:id="454"/>
      </w:r>
      <w:r w:rsidRPr="00883125">
        <w:rPr>
          <w:rStyle w:val="AERbody"/>
        </w:rPr>
        <w:t xml:space="preserve"> </w:t>
      </w:r>
      <w:r>
        <w:rPr>
          <w:rStyle w:val="AERbody"/>
        </w:rPr>
        <w:t xml:space="preserve">Further, as outlined in section </w:t>
      </w:r>
      <w:r>
        <w:rPr>
          <w:rStyle w:val="AERbody"/>
        </w:rPr>
        <w:fldChar w:fldCharType="begin"/>
      </w:r>
      <w:r>
        <w:rPr>
          <w:rStyle w:val="AERbody"/>
        </w:rPr>
        <w:instrText xml:space="preserve"> REF _Ref414289334 \r \h </w:instrText>
      </w:r>
      <w:r>
        <w:rPr>
          <w:rStyle w:val="AERbody"/>
        </w:rPr>
      </w:r>
      <w:r>
        <w:rPr>
          <w:rStyle w:val="AERbody"/>
        </w:rPr>
        <w:fldChar w:fldCharType="separate"/>
      </w:r>
      <w:r w:rsidR="00A02D8C">
        <w:rPr>
          <w:rStyle w:val="AERbody"/>
        </w:rPr>
        <w:t>A.10.1</w:t>
      </w:r>
      <w:r>
        <w:rPr>
          <w:rStyle w:val="AERbody"/>
        </w:rPr>
        <w:fldChar w:fldCharType="end"/>
      </w:r>
      <w:r>
        <w:rPr>
          <w:rStyle w:val="AERbody"/>
        </w:rPr>
        <w:t>, Lally has demonstrated there is a negative relationship between foreign operations and the distribution rate.</w:t>
      </w:r>
      <w:r>
        <w:rPr>
          <w:rStyle w:val="FootnoteReference"/>
        </w:rPr>
        <w:footnoteReference w:id="455"/>
      </w:r>
      <w:r>
        <w:rPr>
          <w:rStyle w:val="AERbody"/>
        </w:rPr>
        <w:t xml:space="preserve"> This demonstrates that foreign income actually decreases the distribution rate and not increases it as suggested by Frontier.</w:t>
      </w:r>
    </w:p>
    <w:p w:rsidR="001D37D5" w:rsidRDefault="001D37D5" w:rsidP="001D37D5">
      <w:pPr>
        <w:numPr>
          <w:ilvl w:val="0"/>
          <w:numId w:val="24"/>
        </w:numPr>
        <w:rPr>
          <w:rStyle w:val="AERbody"/>
        </w:rPr>
      </w:pPr>
      <w:r w:rsidRPr="00883125">
        <w:rPr>
          <w:rStyle w:val="AERbody"/>
        </w:rPr>
        <w:t xml:space="preserve">The service providers consider that two benchmark characteristics, foreign ownership and foreign income, justify a lower gamma estimate. However, </w:t>
      </w:r>
      <w:r>
        <w:rPr>
          <w:rStyle w:val="AERbody"/>
        </w:rPr>
        <w:t>we</w:t>
      </w:r>
      <w:r w:rsidRPr="00883125">
        <w:rPr>
          <w:rStyle w:val="AERbody"/>
        </w:rPr>
        <w:t xml:space="preserve"> consider that are other benchmark characteristics that may justify a higher gamma estimate and/or a lower corporate tax allowance. For instance, the EMRF has submitted</w:t>
      </w:r>
      <w:r>
        <w:rPr>
          <w:rStyle w:val="AERbody"/>
        </w:rPr>
        <w:t xml:space="preserve"> that</w:t>
      </w:r>
      <w:r w:rsidRPr="00883125">
        <w:rPr>
          <w:rStyle w:val="AERbody"/>
        </w:rPr>
        <w:t xml:space="preserve"> the Franking account balance of APA Group, Envestra Limited (pre-sale) and JGN's parent company is zero.</w:t>
      </w:r>
      <w:r w:rsidRPr="00883125">
        <w:rPr>
          <w:rStyle w:val="FootnoteReference"/>
        </w:rPr>
        <w:footnoteReference w:id="456"/>
      </w:r>
      <w:r w:rsidRPr="00883125">
        <w:rPr>
          <w:rStyle w:val="AERbody"/>
        </w:rPr>
        <w:t xml:space="preserve"> This could imply that regulated businesses distribute all their imputation credits and therefore the appropriate benchmark distribution rate is closer to one hundred per cent. Alternatively, this could imply that the regulated businesses do not generate any imputation credits as they do not pay company tax. </w:t>
      </w:r>
      <w:r>
        <w:rPr>
          <w:rStyle w:val="AERbody"/>
        </w:rPr>
        <w:t>We</w:t>
      </w:r>
      <w:r w:rsidRPr="00883125">
        <w:rPr>
          <w:rStyle w:val="AERbody"/>
        </w:rPr>
        <w:t xml:space="preserve"> consider the benchmark should be considered holistically and individual characteristics of the benchmark should not be considered in isolation.</w:t>
      </w:r>
    </w:p>
    <w:p w:rsidR="001D37D5" w:rsidRPr="005764F6" w:rsidRDefault="001D37D5" w:rsidP="001D37D5">
      <w:r>
        <w:t>I</w:t>
      </w:r>
      <w:r w:rsidRPr="00033F58">
        <w:t xml:space="preserve">n his latest report, Lally considered it is 'not essential but nor is it precluded' </w:t>
      </w:r>
      <w:r>
        <w:t>estimate the distribution rate and utilisation rate on a consistent basis</w:t>
      </w:r>
      <w:r w:rsidRPr="00033F58">
        <w:t>.</w:t>
      </w:r>
      <w:r w:rsidRPr="00033F58">
        <w:rPr>
          <w:rStyle w:val="FootnoteReference"/>
        </w:rPr>
        <w:footnoteReference w:id="457"/>
      </w:r>
      <w:r w:rsidRPr="00033F58">
        <w:t xml:space="preserve"> Following this, we consider it is not necessary to 'match' estimates of distribution rates and utilisation rates based on the dataset used</w:t>
      </w:r>
      <w:r>
        <w:t xml:space="preserve">, although we note </w:t>
      </w:r>
      <w:r w:rsidRPr="00EA5758">
        <w:t>the choice is open to us</w:t>
      </w:r>
      <w:r w:rsidRPr="00033F58">
        <w:t>. While we principally maintain our previous approach, we also have some regard to Lally's preferred approach (which combines an all equity utilisation rate from the equity ownership approach with a distribution rate for listed equity from financial reports of the top 20 listed firms).</w:t>
      </w:r>
      <w:r w:rsidRPr="00033F58">
        <w:rPr>
          <w:rStyle w:val="FootnoteReference"/>
        </w:rPr>
        <w:footnoteReference w:id="458"/>
      </w:r>
      <w:r>
        <w:t xml:space="preserve"> </w:t>
      </w:r>
      <w:r w:rsidRPr="005764F6">
        <w:t>We note that Lally</w:t>
      </w:r>
      <w:r>
        <w:t>'s preferred approach</w:t>
      </w:r>
      <w:r w:rsidRPr="005764F6">
        <w:t xml:space="preserve"> suggest</w:t>
      </w:r>
      <w:r>
        <w:t>s</w:t>
      </w:r>
      <w:r w:rsidRPr="005764F6">
        <w:t xml:space="preserve"> </w:t>
      </w:r>
      <w:r>
        <w:t>a</w:t>
      </w:r>
      <w:r w:rsidRPr="005764F6">
        <w:t xml:space="preserve"> distribution </w:t>
      </w:r>
      <w:r>
        <w:t xml:space="preserve">rate of at least </w:t>
      </w:r>
      <w:r w:rsidRPr="005764F6">
        <w:t xml:space="preserve">0.83 and </w:t>
      </w:r>
      <w:r>
        <w:t xml:space="preserve">a utilisation rate of </w:t>
      </w:r>
      <w:r w:rsidRPr="005764F6">
        <w:t>0.60.</w:t>
      </w:r>
      <w:r w:rsidRPr="005764F6">
        <w:rPr>
          <w:rStyle w:val="FootnoteReference"/>
        </w:rPr>
        <w:footnoteReference w:id="459"/>
      </w:r>
      <w:r w:rsidRPr="005764F6">
        <w:t xml:space="preserve"> </w:t>
      </w:r>
      <w:r>
        <w:t>This</w:t>
      </w:r>
      <w:r w:rsidRPr="005764F6">
        <w:t xml:space="preserve"> suggest</w:t>
      </w:r>
      <w:r>
        <w:t>s</w:t>
      </w:r>
      <w:r w:rsidRPr="005764F6">
        <w:t xml:space="preserve"> </w:t>
      </w:r>
      <w:r>
        <w:t xml:space="preserve">a </w:t>
      </w:r>
      <w:r w:rsidRPr="005764F6">
        <w:t xml:space="preserve">gamma </w:t>
      </w:r>
      <w:r>
        <w:t>value of</w:t>
      </w:r>
      <w:r w:rsidRPr="005764F6">
        <w:t xml:space="preserve"> at least 0.50</w:t>
      </w:r>
      <w:r>
        <w:t>, which is higher than our estimate of 0.4</w:t>
      </w:r>
      <w:r w:rsidRPr="005764F6">
        <w:t>.</w:t>
      </w:r>
      <w:r>
        <w:rPr>
          <w:rStyle w:val="FootnoteReference"/>
        </w:rPr>
        <w:footnoteReference w:id="460"/>
      </w:r>
    </w:p>
    <w:p w:rsidR="001D37D5" w:rsidRPr="00883125" w:rsidRDefault="001D37D5" w:rsidP="001D37D5">
      <w:pPr>
        <w:pStyle w:val="Heading8"/>
      </w:pPr>
      <w:bookmarkStart w:id="229" w:name="_Toc451842256"/>
      <w:bookmarkStart w:id="230" w:name="_Ref401133206"/>
      <w:bookmarkStart w:id="231" w:name="_Toc436049451"/>
      <w:bookmarkStart w:id="232" w:name="_Toc451842257"/>
      <w:bookmarkStart w:id="233" w:name="_Toc451938311"/>
      <w:bookmarkEnd w:id="229"/>
      <w:r w:rsidRPr="00883125">
        <w:t>Estimating the distribution rate</w:t>
      </w:r>
      <w:bookmarkEnd w:id="230"/>
      <w:bookmarkEnd w:id="231"/>
      <w:bookmarkEnd w:id="232"/>
      <w:bookmarkEnd w:id="233"/>
    </w:p>
    <w:p w:rsidR="001D37D5" w:rsidRPr="00883125" w:rsidRDefault="001D37D5" w:rsidP="001D37D5">
      <w:pPr>
        <w:numPr>
          <w:ilvl w:val="0"/>
          <w:numId w:val="24"/>
        </w:numPr>
      </w:pPr>
      <w:r w:rsidRPr="00883125">
        <w:t xml:space="preserve">We consider that the distribution rate is the proportion of imputation credits generated by the benchmark efficient entity that is distributed to investors. We set out our position on the </w:t>
      </w:r>
      <w:r w:rsidRPr="00883125">
        <w:lastRenderedPageBreak/>
        <w:t xml:space="preserve">distribution rate in section </w:t>
      </w:r>
      <w:r>
        <w:fldChar w:fldCharType="begin"/>
      </w:r>
      <w:r>
        <w:instrText xml:space="preserve"> REF _Ref450761230 \r \h </w:instrText>
      </w:r>
      <w:r>
        <w:fldChar w:fldCharType="separate"/>
      </w:r>
      <w:r w:rsidR="00A02D8C">
        <w:t>4.4.1</w:t>
      </w:r>
      <w:r>
        <w:fldChar w:fldCharType="end"/>
      </w:r>
      <w:r w:rsidRPr="00883125">
        <w:t xml:space="preserve"> of attachment 4. Consistent with the Guideline, we estimate it using the 'cumulative payout ratio approach', which uses data from the ATO on the accounts used by companies to track their stocks of imputation credits ('franking account balances'). Using this approach, NERA estimated a distribution rate across all equity of 0.7 for the period 1987 to 2011.</w:t>
      </w:r>
      <w:r w:rsidRPr="00883125">
        <w:rPr>
          <w:rStyle w:val="FootnoteReference"/>
        </w:rPr>
        <w:footnoteReference w:id="461"/>
      </w:r>
      <w:r w:rsidRPr="00883125">
        <w:t xml:space="preserve"> Hathaway found a similar estimate for the period 2004 to 2011.</w:t>
      </w:r>
      <w:r w:rsidRPr="00883125">
        <w:rPr>
          <w:rStyle w:val="FootnoteReference"/>
        </w:rPr>
        <w:footnoteReference w:id="462"/>
      </w:r>
      <w:r w:rsidRPr="00883125">
        <w:t xml:space="preserve"> Gray (for Frontier) submitted that the distribution rate for all equity and listed equity excluding the impact of the top 20 listed companies is approximately 70%.</w:t>
      </w:r>
      <w:r w:rsidRPr="00883125">
        <w:rPr>
          <w:rStyle w:val="FootnoteReference"/>
        </w:rPr>
        <w:footnoteReference w:id="463"/>
      </w:r>
      <w:r w:rsidRPr="00883125">
        <w:t xml:space="preserve"> Also using this approach, Handley estimated a distribution rate across only listed equity of 0.8 for the period 1987 to 2011.</w:t>
      </w:r>
      <w:r w:rsidRPr="00883125">
        <w:rPr>
          <w:rStyle w:val="FootnoteReference"/>
        </w:rPr>
        <w:footnoteReference w:id="464"/>
      </w:r>
      <w:r w:rsidRPr="00883125">
        <w:t xml:space="preserve"> Our own analysis indicated that the distribution rate over only listed equity is 0.8 for the period 2004 to 2011—we calculated the aggregate net tax paid by public companies over this period to be $255.6 billion and the change in aggregate franking account balances of those companies over the same period to be $50.2 billion (suggesting that $205.4 billion, or 80 per cent, of imputation credits generated were distributed).</w:t>
      </w:r>
    </w:p>
    <w:p w:rsidR="001D37D5" w:rsidRPr="00883125" w:rsidRDefault="001D37D5" w:rsidP="001D37D5">
      <w:pPr>
        <w:numPr>
          <w:ilvl w:val="0"/>
          <w:numId w:val="24"/>
        </w:numPr>
      </w:pPr>
      <w:r w:rsidRPr="00883125">
        <w:t>We relied on an estimate of the distribution rate over all equity of 0.7 in the Guideline and decisions released in 2014 and April 2015 and June 2015. We also relied on an estimate of the distribution rate over only listed equity of 0.8 in the decision released in 2014 and April 2015. We reviewed these estimates in light of an updated analysis of the ATO data to the 2012 tax year by NERA, which was submitted to us as part of JGN's decision process.</w:t>
      </w:r>
      <w:r w:rsidRPr="00883125">
        <w:rPr>
          <w:rStyle w:val="FootnoteReference"/>
        </w:rPr>
        <w:footnoteReference w:id="465"/>
      </w:r>
      <w:r w:rsidRPr="00883125">
        <w:t xml:space="preserve"> Handley also reviewed NERA's analysis, and provided his own report.</w:t>
      </w:r>
      <w:r w:rsidRPr="00883125">
        <w:rPr>
          <w:rStyle w:val="FootnoteReference"/>
        </w:rPr>
        <w:footnoteReference w:id="466"/>
      </w:r>
      <w:r w:rsidRPr="00883125">
        <w:t xml:space="preserve"> Both NERA and Handley found an estimate of 0.7 for the period 2004 to 2012.</w:t>
      </w:r>
      <w:r w:rsidRPr="00883125">
        <w:rPr>
          <w:rStyle w:val="FootnoteReference"/>
        </w:rPr>
        <w:footnoteReference w:id="467"/>
      </w:r>
      <w:r w:rsidRPr="00883125">
        <w:t xml:space="preserve"> However, both NERA and Handley found that the distribution rate over only listed equity has fallen slightly from 0.8. Specifically, Handley found an estimate of 0.77 over the period 2004 to 2012. We used this updated estimate for the decisions released in June, October and November 2015.</w:t>
      </w:r>
    </w:p>
    <w:p w:rsidR="001D37D5" w:rsidRPr="00883125" w:rsidRDefault="001D37D5" w:rsidP="001D37D5">
      <w:pPr>
        <w:numPr>
          <w:ilvl w:val="0"/>
          <w:numId w:val="24"/>
        </w:numPr>
      </w:pPr>
      <w:r w:rsidRPr="00883125">
        <w:t>Gray (for frontier) replicated and updated using the latest Taxation Statistics cumulative payout ratio for public and private companies in NERA's (2015) report.</w:t>
      </w:r>
      <w:r w:rsidRPr="00883125">
        <w:rPr>
          <w:rStyle w:val="FootnoteReference"/>
        </w:rPr>
        <w:footnoteReference w:id="468"/>
      </w:r>
      <w:r w:rsidRPr="00883125">
        <w:t xml:space="preserve"> However, Gray's (for frontier) replication of Handley (2014) and Handley (2015) cumulative payout ratio is slightly different due to what Gray believes to be a different rounding method.</w:t>
      </w:r>
      <w:r w:rsidRPr="00883125">
        <w:rPr>
          <w:rStyle w:val="FootnoteReference"/>
        </w:rPr>
        <w:footnoteReference w:id="469"/>
      </w:r>
      <w:r w:rsidRPr="00883125">
        <w:t xml:space="preserve"> The update payout ratios presented below in </w:t>
      </w:r>
      <w:r w:rsidRPr="00883125">
        <w:fldChar w:fldCharType="begin"/>
      </w:r>
      <w:r w:rsidRPr="00883125">
        <w:instrText xml:space="preserve"> REF _Ref450332920 \h </w:instrText>
      </w:r>
      <w:r w:rsidRPr="00883125">
        <w:fldChar w:fldCharType="separate"/>
      </w:r>
      <w:r w:rsidR="00A02D8C" w:rsidRPr="00883125">
        <w:t xml:space="preserve">Table </w:t>
      </w:r>
      <w:r w:rsidR="00A02D8C">
        <w:rPr>
          <w:noProof/>
        </w:rPr>
        <w:t>4</w:t>
      </w:r>
      <w:r w:rsidR="00A02D8C">
        <w:noBreakHyphen/>
      </w:r>
      <w:r w:rsidR="00A02D8C">
        <w:rPr>
          <w:noProof/>
        </w:rPr>
        <w:t>13</w:t>
      </w:r>
      <w:r w:rsidRPr="00883125">
        <w:fldChar w:fldCharType="end"/>
      </w:r>
      <w:r w:rsidRPr="00883125">
        <w:t>.</w:t>
      </w:r>
    </w:p>
    <w:p w:rsidR="001D37D5" w:rsidRPr="00883125" w:rsidRDefault="001D37D5" w:rsidP="005E1FC3">
      <w:pPr>
        <w:pStyle w:val="Caption"/>
      </w:pPr>
      <w:bookmarkStart w:id="234" w:name="_Ref450332920"/>
      <w:r w:rsidRPr="00883125">
        <w:lastRenderedPageBreak/>
        <w:t xml:space="preserve">Table </w:t>
      </w:r>
      <w:r w:rsidRPr="001D37D5">
        <w:fldChar w:fldCharType="begin"/>
      </w:r>
      <w:r>
        <w:instrText xml:space="preserve"> STYLEREF 1 \s </w:instrText>
      </w:r>
      <w:r w:rsidRPr="001D37D5">
        <w:fldChar w:fldCharType="separate"/>
      </w:r>
      <w:r w:rsidR="00A02D8C">
        <w:rPr>
          <w:noProof/>
        </w:rPr>
        <w:t>4</w:t>
      </w:r>
      <w:r w:rsidRPr="001D37D5">
        <w:fldChar w:fldCharType="end"/>
      </w:r>
      <w:r>
        <w:noBreakHyphen/>
      </w:r>
      <w:r w:rsidRPr="001D37D5">
        <w:fldChar w:fldCharType="begin"/>
      </w:r>
      <w:r>
        <w:instrText xml:space="preserve"> SEQ Table \* ARABIC \s 1 </w:instrText>
      </w:r>
      <w:r w:rsidRPr="001D37D5">
        <w:fldChar w:fldCharType="separate"/>
      </w:r>
      <w:r w:rsidR="00A02D8C">
        <w:rPr>
          <w:noProof/>
        </w:rPr>
        <w:t>13</w:t>
      </w:r>
      <w:r w:rsidRPr="001D37D5">
        <w:fldChar w:fldCharType="end"/>
      </w:r>
      <w:bookmarkEnd w:id="234"/>
      <w:r w:rsidRPr="00883125">
        <w:tab/>
        <w:t>Frontier Economics updated distribution rates</w:t>
      </w:r>
    </w:p>
    <w:tbl>
      <w:tblPr>
        <w:tblStyle w:val="AERtable-numbers"/>
        <w:tblW w:w="0" w:type="auto"/>
        <w:tblLook w:val="04A0" w:firstRow="1" w:lastRow="0" w:firstColumn="1" w:lastColumn="0" w:noHBand="0" w:noVBand="1"/>
      </w:tblPr>
      <w:tblGrid>
        <w:gridCol w:w="3817"/>
        <w:gridCol w:w="2712"/>
        <w:gridCol w:w="2713"/>
      </w:tblGrid>
      <w:tr w:rsidR="001D37D5" w:rsidTr="005E1FC3">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817" w:type="dxa"/>
          </w:tcPr>
          <w:p w:rsidR="001D37D5" w:rsidRPr="00883125" w:rsidRDefault="001D37D5" w:rsidP="00247000">
            <w:pPr>
              <w:keepNext/>
              <w:numPr>
                <w:ilvl w:val="0"/>
                <w:numId w:val="24"/>
              </w:numPr>
            </w:pPr>
          </w:p>
        </w:tc>
        <w:tc>
          <w:tcPr>
            <w:tcW w:w="2712" w:type="dxa"/>
          </w:tcPr>
          <w:p w:rsidR="001D37D5" w:rsidRPr="00883125" w:rsidRDefault="001D37D5" w:rsidP="00247000">
            <w:pPr>
              <w:keepNext/>
              <w:numPr>
                <w:ilvl w:val="0"/>
                <w:numId w:val="24"/>
              </w:numPr>
              <w:cnfStyle w:val="100000000000" w:firstRow="1" w:lastRow="0" w:firstColumn="0" w:lastColumn="0" w:oddVBand="0" w:evenVBand="0" w:oddHBand="0" w:evenHBand="0" w:firstRowFirstColumn="0" w:firstRowLastColumn="0" w:lastRowFirstColumn="0" w:lastRowLastColumn="0"/>
            </w:pPr>
            <w:r w:rsidRPr="00883125">
              <w:t>2001-2012</w:t>
            </w:r>
          </w:p>
        </w:tc>
        <w:tc>
          <w:tcPr>
            <w:tcW w:w="2713" w:type="dxa"/>
          </w:tcPr>
          <w:p w:rsidR="001D37D5" w:rsidRPr="00883125" w:rsidRDefault="001D37D5" w:rsidP="00247000">
            <w:pPr>
              <w:keepNext/>
              <w:numPr>
                <w:ilvl w:val="0"/>
                <w:numId w:val="24"/>
              </w:numPr>
              <w:cnfStyle w:val="100000000000" w:firstRow="1" w:lastRow="0" w:firstColumn="0" w:lastColumn="0" w:oddVBand="0" w:evenVBand="0" w:oddHBand="0" w:evenHBand="0" w:firstRowFirstColumn="0" w:firstRowLastColumn="0" w:lastRowFirstColumn="0" w:lastRowLastColumn="0"/>
            </w:pPr>
            <w:r w:rsidRPr="00883125">
              <w:t>2001-2013</w:t>
            </w:r>
          </w:p>
        </w:tc>
      </w:tr>
      <w:tr w:rsidR="001D37D5" w:rsidTr="005E1FC3">
        <w:trPr>
          <w:cantSplit/>
        </w:trPr>
        <w:tc>
          <w:tcPr>
            <w:cnfStyle w:val="001000000000" w:firstRow="0" w:lastRow="0" w:firstColumn="1" w:lastColumn="0" w:oddVBand="0" w:evenVBand="0" w:oddHBand="0" w:evenHBand="0" w:firstRowFirstColumn="0" w:firstRowLastColumn="0" w:lastRowFirstColumn="0" w:lastRowLastColumn="0"/>
            <w:tcW w:w="3817" w:type="dxa"/>
          </w:tcPr>
          <w:p w:rsidR="001D37D5" w:rsidRPr="00883125" w:rsidRDefault="001D37D5" w:rsidP="00247000">
            <w:pPr>
              <w:keepNext/>
              <w:numPr>
                <w:ilvl w:val="0"/>
                <w:numId w:val="24"/>
              </w:numPr>
            </w:pPr>
            <w:r w:rsidRPr="00883125">
              <w:t>Handley (public companies)</w:t>
            </w:r>
          </w:p>
        </w:tc>
        <w:tc>
          <w:tcPr>
            <w:tcW w:w="2712" w:type="dxa"/>
          </w:tcPr>
          <w:p w:rsidR="001D37D5" w:rsidRPr="00883125" w:rsidRDefault="001D37D5" w:rsidP="00247000">
            <w:pPr>
              <w:keepNext/>
              <w:numPr>
                <w:ilvl w:val="0"/>
                <w:numId w:val="24"/>
              </w:numPr>
              <w:cnfStyle w:val="000000000000" w:firstRow="0" w:lastRow="0" w:firstColumn="0" w:lastColumn="0" w:oddVBand="0" w:evenVBand="0" w:oddHBand="0" w:evenHBand="0" w:firstRowFirstColumn="0" w:firstRowLastColumn="0" w:lastRowFirstColumn="0" w:lastRowLastColumn="0"/>
            </w:pPr>
            <w:r w:rsidRPr="00883125">
              <w:t>0.76</w:t>
            </w:r>
          </w:p>
        </w:tc>
        <w:tc>
          <w:tcPr>
            <w:tcW w:w="2713" w:type="dxa"/>
          </w:tcPr>
          <w:p w:rsidR="001D37D5" w:rsidRPr="00883125" w:rsidRDefault="001D37D5" w:rsidP="00247000">
            <w:pPr>
              <w:keepNext/>
              <w:numPr>
                <w:ilvl w:val="0"/>
                <w:numId w:val="24"/>
              </w:numPr>
              <w:cnfStyle w:val="000000000000" w:firstRow="0" w:lastRow="0" w:firstColumn="0" w:lastColumn="0" w:oddVBand="0" w:evenVBand="0" w:oddHBand="0" w:evenHBand="0" w:firstRowFirstColumn="0" w:firstRowLastColumn="0" w:lastRowFirstColumn="0" w:lastRowLastColumn="0"/>
            </w:pPr>
            <w:r w:rsidRPr="00883125">
              <w:t>0.742</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817" w:type="dxa"/>
          </w:tcPr>
          <w:p w:rsidR="001D37D5" w:rsidRPr="00883125" w:rsidRDefault="001D37D5" w:rsidP="00247000">
            <w:pPr>
              <w:keepNext/>
              <w:numPr>
                <w:ilvl w:val="0"/>
                <w:numId w:val="24"/>
              </w:numPr>
            </w:pPr>
            <w:r w:rsidRPr="00883125">
              <w:t>Handley (Private companies)</w:t>
            </w:r>
          </w:p>
        </w:tc>
        <w:tc>
          <w:tcPr>
            <w:tcW w:w="2712" w:type="dxa"/>
          </w:tcPr>
          <w:p w:rsidR="001D37D5" w:rsidRPr="00883125" w:rsidRDefault="001D37D5" w:rsidP="00247000">
            <w:pPr>
              <w:keepNext/>
              <w:numPr>
                <w:ilvl w:val="0"/>
                <w:numId w:val="24"/>
              </w:numPr>
              <w:cnfStyle w:val="000000010000" w:firstRow="0" w:lastRow="0" w:firstColumn="0" w:lastColumn="0" w:oddVBand="0" w:evenVBand="0" w:oddHBand="0" w:evenHBand="1" w:firstRowFirstColumn="0" w:firstRowLastColumn="0" w:lastRowFirstColumn="0" w:lastRowLastColumn="0"/>
            </w:pPr>
            <w:r w:rsidRPr="00883125">
              <w:t>0.52</w:t>
            </w:r>
          </w:p>
        </w:tc>
        <w:tc>
          <w:tcPr>
            <w:tcW w:w="2713" w:type="dxa"/>
          </w:tcPr>
          <w:p w:rsidR="001D37D5" w:rsidRPr="00883125" w:rsidRDefault="001D37D5" w:rsidP="00247000">
            <w:pPr>
              <w:keepNext/>
              <w:numPr>
                <w:ilvl w:val="0"/>
                <w:numId w:val="24"/>
              </w:numPr>
              <w:cnfStyle w:val="000000010000" w:firstRow="0" w:lastRow="0" w:firstColumn="0" w:lastColumn="0" w:oddVBand="0" w:evenVBand="0" w:oddHBand="0" w:evenHBand="1" w:firstRowFirstColumn="0" w:firstRowLastColumn="0" w:lastRowFirstColumn="0" w:lastRowLastColumn="0"/>
            </w:pPr>
            <w:r w:rsidRPr="00883125">
              <w:t>0.507</w:t>
            </w:r>
          </w:p>
        </w:tc>
      </w:tr>
      <w:tr w:rsidR="001D37D5" w:rsidTr="005E1FC3">
        <w:trPr>
          <w:cantSplit/>
        </w:trPr>
        <w:tc>
          <w:tcPr>
            <w:cnfStyle w:val="001000000000" w:firstRow="0" w:lastRow="0" w:firstColumn="1" w:lastColumn="0" w:oddVBand="0" w:evenVBand="0" w:oddHBand="0" w:evenHBand="0" w:firstRowFirstColumn="0" w:firstRowLastColumn="0" w:lastRowFirstColumn="0" w:lastRowLastColumn="0"/>
            <w:tcW w:w="3817" w:type="dxa"/>
          </w:tcPr>
          <w:p w:rsidR="001D37D5" w:rsidRPr="00883125" w:rsidRDefault="001D37D5" w:rsidP="00247000">
            <w:pPr>
              <w:keepNext/>
              <w:numPr>
                <w:ilvl w:val="0"/>
                <w:numId w:val="24"/>
              </w:numPr>
            </w:pPr>
            <w:r w:rsidRPr="00883125">
              <w:t>NERA (public companies)</w:t>
            </w:r>
          </w:p>
        </w:tc>
        <w:tc>
          <w:tcPr>
            <w:tcW w:w="2712" w:type="dxa"/>
          </w:tcPr>
          <w:p w:rsidR="001D37D5" w:rsidRPr="00883125" w:rsidRDefault="001D37D5" w:rsidP="00247000">
            <w:pPr>
              <w:keepNext/>
              <w:numPr>
                <w:ilvl w:val="0"/>
                <w:numId w:val="24"/>
              </w:numPr>
              <w:cnfStyle w:val="000000000000" w:firstRow="0" w:lastRow="0" w:firstColumn="0" w:lastColumn="0" w:oddVBand="0" w:evenVBand="0" w:oddHBand="0" w:evenHBand="0" w:firstRowFirstColumn="0" w:firstRowLastColumn="0" w:lastRowFirstColumn="0" w:lastRowLastColumn="0"/>
            </w:pPr>
            <w:r w:rsidRPr="00883125">
              <w:t>0.755</w:t>
            </w:r>
          </w:p>
        </w:tc>
        <w:tc>
          <w:tcPr>
            <w:tcW w:w="2713" w:type="dxa"/>
          </w:tcPr>
          <w:p w:rsidR="001D37D5" w:rsidRPr="00883125" w:rsidRDefault="001D37D5" w:rsidP="00247000">
            <w:pPr>
              <w:keepNext/>
              <w:numPr>
                <w:ilvl w:val="0"/>
                <w:numId w:val="24"/>
              </w:numPr>
              <w:cnfStyle w:val="000000000000" w:firstRow="0" w:lastRow="0" w:firstColumn="0" w:lastColumn="0" w:oddVBand="0" w:evenVBand="0" w:oddHBand="0" w:evenHBand="0" w:firstRowFirstColumn="0" w:firstRowLastColumn="0" w:lastRowFirstColumn="0" w:lastRowLastColumn="0"/>
            </w:pPr>
            <w:r w:rsidRPr="00883125">
              <w:t>0.742</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3817" w:type="dxa"/>
          </w:tcPr>
          <w:p w:rsidR="001D37D5" w:rsidRPr="00883125" w:rsidRDefault="001D37D5" w:rsidP="00247000">
            <w:pPr>
              <w:keepNext/>
              <w:numPr>
                <w:ilvl w:val="0"/>
                <w:numId w:val="24"/>
              </w:numPr>
            </w:pPr>
            <w:r w:rsidRPr="00883125">
              <w:t>NERA (Private companies)</w:t>
            </w:r>
          </w:p>
        </w:tc>
        <w:tc>
          <w:tcPr>
            <w:tcW w:w="2712" w:type="dxa"/>
          </w:tcPr>
          <w:p w:rsidR="001D37D5" w:rsidRPr="00883125" w:rsidRDefault="001D37D5" w:rsidP="00247000">
            <w:pPr>
              <w:keepNext/>
              <w:numPr>
                <w:ilvl w:val="0"/>
                <w:numId w:val="24"/>
              </w:numPr>
              <w:cnfStyle w:val="000000010000" w:firstRow="0" w:lastRow="0" w:firstColumn="0" w:lastColumn="0" w:oddVBand="0" w:evenVBand="0" w:oddHBand="0" w:evenHBand="1" w:firstRowFirstColumn="0" w:firstRowLastColumn="0" w:lastRowFirstColumn="0" w:lastRowLastColumn="0"/>
            </w:pPr>
            <w:r w:rsidRPr="00883125">
              <w:t>0.505</w:t>
            </w:r>
          </w:p>
        </w:tc>
        <w:tc>
          <w:tcPr>
            <w:tcW w:w="2713" w:type="dxa"/>
          </w:tcPr>
          <w:p w:rsidR="001D37D5" w:rsidRPr="00883125" w:rsidRDefault="001D37D5" w:rsidP="00247000">
            <w:pPr>
              <w:keepNext/>
              <w:numPr>
                <w:ilvl w:val="0"/>
                <w:numId w:val="24"/>
              </w:numPr>
              <w:cnfStyle w:val="000000010000" w:firstRow="0" w:lastRow="0" w:firstColumn="0" w:lastColumn="0" w:oddVBand="0" w:evenVBand="0" w:oddHBand="0" w:evenHBand="1" w:firstRowFirstColumn="0" w:firstRowLastColumn="0" w:lastRowFirstColumn="0" w:lastRowLastColumn="0"/>
            </w:pPr>
            <w:r w:rsidRPr="00883125">
              <w:t>0.495</w:t>
            </w:r>
          </w:p>
        </w:tc>
      </w:tr>
    </w:tbl>
    <w:p w:rsidR="001D37D5" w:rsidRPr="00883125" w:rsidRDefault="001D37D5" w:rsidP="00247000">
      <w:pPr>
        <w:pStyle w:val="AERtablesource"/>
        <w:keepNext/>
      </w:pPr>
      <w:r w:rsidRPr="00883125">
        <w:t xml:space="preserve">Source: </w:t>
      </w:r>
      <w:r w:rsidRPr="00883125">
        <w:tab/>
        <w:t>Frontier, The appropriate use of tax statistics when estimating gamma, January 2016, p. 22.</w:t>
      </w:r>
    </w:p>
    <w:p w:rsidR="001D37D5" w:rsidRDefault="001D37D5" w:rsidP="001D37D5">
      <w:pPr>
        <w:numPr>
          <w:ilvl w:val="0"/>
          <w:numId w:val="24"/>
        </w:numPr>
        <w:rPr>
          <w:rStyle w:val="AERbody"/>
        </w:rPr>
      </w:pPr>
      <w:r w:rsidRPr="00883125">
        <w:rPr>
          <w:rStyle w:val="AERbody"/>
        </w:rPr>
        <w:t xml:space="preserve">For this final decision the AER has updated the cumulative distribution rate to 2014. Through this process we have estimated that the distribution rate for listed equity has fallen to 0.75 and this value is adopted in this final decision. Consistent with draft decision and the regulated businesses revised proposals, the AER adopts a 0.7 distribution rate for all equity in this decision. </w:t>
      </w:r>
    </w:p>
    <w:p w:rsidR="001D37D5" w:rsidRDefault="001D37D5" w:rsidP="001D37D5">
      <w:r w:rsidRPr="005764F6">
        <w:t xml:space="preserve">We note that Lally recommends we use the distribution rate for </w:t>
      </w:r>
      <w:r>
        <w:t xml:space="preserve">listed equity estimated from financial reports of the </w:t>
      </w:r>
      <w:r w:rsidRPr="005764F6">
        <w:t>top 20 listed firms. This is due to Lally considering that listed equity is more representative of the benchmark efficient entity</w:t>
      </w:r>
      <w:r>
        <w:t>, stating:</w:t>
      </w:r>
      <w:r>
        <w:rPr>
          <w:rStyle w:val="FootnoteReference"/>
        </w:rPr>
        <w:footnoteReference w:id="470"/>
      </w:r>
      <w:r w:rsidRPr="005764F6">
        <w:t xml:space="preserve"> </w:t>
      </w:r>
    </w:p>
    <w:p w:rsidR="001D37D5" w:rsidRDefault="001D37D5" w:rsidP="001D37D5">
      <w:pPr>
        <w:pStyle w:val="AERquote"/>
      </w:pPr>
      <w:r w:rsidRPr="003F23C3">
        <w:t>Furthermore, since privately-owned regulated businesses in Australia are typically listed firms or subsidiaries of listed firms, the appropriate set of firms to use to estimate the distribution rate of regulated businesses would seem to be listed firms.</w:t>
      </w:r>
    </w:p>
    <w:p w:rsidR="001D37D5" w:rsidRPr="005764F6" w:rsidRDefault="001D37D5" w:rsidP="001D37D5">
      <w:r>
        <w:t>Lally also considers</w:t>
      </w:r>
      <w:r w:rsidRPr="005764F6">
        <w:t xml:space="preserve"> the data on the top 20 firms is of a higher quality (via financial statements) relative to the ATO data which contains unresolved discrepancies.</w:t>
      </w:r>
      <w:r w:rsidRPr="005053A1">
        <w:rPr>
          <w:rStyle w:val="FootnoteReference"/>
        </w:rPr>
        <w:footnoteReference w:id="471"/>
      </w:r>
      <w:r w:rsidRPr="005764F6">
        <w:t xml:space="preserve"> We note that if </w:t>
      </w:r>
      <w:r>
        <w:t>we</w:t>
      </w:r>
      <w:r w:rsidRPr="005764F6">
        <w:t xml:space="preserve"> were to adopt Lally </w:t>
      </w:r>
      <w:r>
        <w:t>recommendation</w:t>
      </w:r>
      <w:r w:rsidRPr="005764F6">
        <w:t xml:space="preserve"> in this decision it would result in our estimate for the distribution rate of the benchmark efficient entity (and therefore gamma) increasing. Therefore, while we have not </w:t>
      </w:r>
      <w:r>
        <w:t>used this advice</w:t>
      </w:r>
      <w:r w:rsidRPr="005764F6">
        <w:t xml:space="preserve"> to increase gamma above 0.4, it does provide support to reject the proposals from the </w:t>
      </w:r>
      <w:r>
        <w:t>service providers</w:t>
      </w:r>
      <w:r w:rsidRPr="005764F6">
        <w:t xml:space="preserve"> to reduce the gamma value to 0.25 based on the recent Tribunal decision. </w:t>
      </w:r>
    </w:p>
    <w:p w:rsidR="001D37D5" w:rsidRPr="00883125" w:rsidRDefault="001D37D5" w:rsidP="001D37D5">
      <w:pPr>
        <w:numPr>
          <w:ilvl w:val="0"/>
          <w:numId w:val="24"/>
        </w:numPr>
      </w:pPr>
      <w:r w:rsidRPr="00883125">
        <w:t>In the remainder of this section we respond to the service providers' and Gray's comments on the distribution rate; describe the cumulative payout ratio approach and alternative approaches to estimating the distribution rate; and discuss an updated report on tax statistics from Hathaway.</w:t>
      </w:r>
    </w:p>
    <w:p w:rsidR="001D37D5" w:rsidRPr="00883125" w:rsidRDefault="001D37D5" w:rsidP="001D37D5">
      <w:pPr>
        <w:pStyle w:val="Heading9"/>
      </w:pPr>
      <w:bookmarkStart w:id="235" w:name="_Ref414289334"/>
      <w:r w:rsidRPr="00883125">
        <w:t>Service providers', Gray's and NERA's comments on the distribution rate</w:t>
      </w:r>
      <w:bookmarkEnd w:id="235"/>
    </w:p>
    <w:p w:rsidR="001D37D5" w:rsidRPr="00883125" w:rsidRDefault="001D37D5" w:rsidP="001D37D5">
      <w:r w:rsidRPr="00883125">
        <w:t xml:space="preserve">The service providers and Gray (for SFG) submitted that it would be inappropriate to apply a distribution rate based on evidence from only listed equity and that the distribution rate for all </w:t>
      </w:r>
      <w:r w:rsidRPr="00883125">
        <w:lastRenderedPageBreak/>
        <w:t>equity is likely to be a reasonable proxy for that of the benchmark entity.</w:t>
      </w:r>
      <w:r w:rsidRPr="00883125">
        <w:rPr>
          <w:rStyle w:val="FootnoteReference"/>
        </w:rPr>
        <w:footnoteReference w:id="472"/>
      </w:r>
      <w:r w:rsidRPr="00883125">
        <w:t xml:space="preserve"> United Energy cite the recent Tribunal decision in support of this position.</w:t>
      </w:r>
      <w:r w:rsidRPr="00883125">
        <w:rPr>
          <w:rStyle w:val="FootnoteReference"/>
        </w:rPr>
        <w:footnoteReference w:id="473"/>
      </w:r>
      <w:r w:rsidRPr="00883125">
        <w:t xml:space="preserve"> We disagree and set out our reasons below.</w:t>
      </w:r>
    </w:p>
    <w:p w:rsidR="001D37D5" w:rsidRPr="00883125" w:rsidRDefault="001D37D5" w:rsidP="001D37D5">
      <w:r w:rsidRPr="00883125">
        <w:t xml:space="preserve">There appears to be agreement between the service providers, Gray and us that the distribution rate is the proportion of imputation credits generated by the benchmark efficient entity that is distributed to investors. There also appears to be agreement between the service providers and us that the distribution rate should be estimated on a </w:t>
      </w:r>
      <w:r>
        <w:t>broad</w:t>
      </w:r>
      <w:r w:rsidRPr="00883125">
        <w:t xml:space="preserve"> basis; for instance, a number of service providers submitted:</w:t>
      </w:r>
      <w:r w:rsidRPr="00883125">
        <w:rPr>
          <w:rStyle w:val="FootnoteReference"/>
        </w:rPr>
        <w:footnoteReference w:id="474"/>
      </w:r>
    </w:p>
    <w:p w:rsidR="001D37D5" w:rsidRPr="00883125" w:rsidRDefault="001D37D5" w:rsidP="001D37D5">
      <w:pPr>
        <w:pStyle w:val="AERquote"/>
      </w:pPr>
      <w:r w:rsidRPr="00883125">
        <w:t>Gamma is conventionally estimated as a market-wide parameter and therefore there is no reason to measure the distribution rate based on data for listed equity only, in circumstances where data is available for both listed and unlisted firms.</w:t>
      </w:r>
    </w:p>
    <w:p w:rsidR="001D37D5" w:rsidRPr="00883125" w:rsidRDefault="001D37D5" w:rsidP="001D37D5">
      <w:r>
        <w:t>I</w:t>
      </w:r>
      <w:r w:rsidRPr="00883125">
        <w:t xml:space="preserve">n the decisions previously released in 2014 and 2015, and in section </w:t>
      </w:r>
      <w:r>
        <w:fldChar w:fldCharType="begin"/>
      </w:r>
      <w:r>
        <w:instrText xml:space="preserve"> REF _Ref451790065 \r \h </w:instrText>
      </w:r>
      <w:r>
        <w:fldChar w:fldCharType="separate"/>
      </w:r>
      <w:r w:rsidR="00A02D8C">
        <w:t>A.9</w:t>
      </w:r>
      <w:r>
        <w:fldChar w:fldCharType="end"/>
      </w:r>
      <w:r>
        <w:t xml:space="preserve"> and </w:t>
      </w:r>
      <w:r>
        <w:fldChar w:fldCharType="begin"/>
      </w:r>
      <w:r>
        <w:instrText xml:space="preserve"> REF _Ref401133206 \r \h </w:instrText>
      </w:r>
      <w:r>
        <w:fldChar w:fldCharType="separate"/>
      </w:r>
      <w:r w:rsidR="00A02D8C">
        <w:t>A.10</w:t>
      </w:r>
      <w:r>
        <w:fldChar w:fldCharType="end"/>
      </w:r>
      <w:r w:rsidRPr="00883125">
        <w:t xml:space="preserve"> of this decision, we consider that there are good reasons</w:t>
      </w:r>
      <w:r>
        <w:t xml:space="preserve"> </w:t>
      </w:r>
      <w:r w:rsidRPr="00883125">
        <w:t>for using estimate</w:t>
      </w:r>
      <w:r>
        <w:t>s</w:t>
      </w:r>
      <w:r w:rsidRPr="00883125">
        <w:t xml:space="preserve"> of the distribution rate based on</w:t>
      </w:r>
      <w:r>
        <w:t xml:space="preserve"> all equity and</w:t>
      </w:r>
      <w:r w:rsidRPr="00883125">
        <w:t xml:space="preserve"> only listed equity.</w:t>
      </w:r>
      <w:r>
        <w:t xml:space="preserve"> </w:t>
      </w:r>
    </w:p>
    <w:p w:rsidR="001D37D5" w:rsidRPr="00883125" w:rsidRDefault="001D37D5" w:rsidP="001D37D5">
      <w:r w:rsidRPr="00883125">
        <w:t>Gray's report (for SFG) appears to support an estimate of the distribution rate that is not affected by the distribution behaviour of very large public firms or very small private firms. That is, Gray (for SFG) stated:</w:t>
      </w:r>
    </w:p>
    <w:p w:rsidR="001D37D5" w:rsidRPr="00883125" w:rsidRDefault="001D37D5" w:rsidP="001D37D5">
      <w:pPr>
        <w:pStyle w:val="AERquote"/>
      </w:pPr>
      <w:r w:rsidRPr="00883125">
        <w:t>Conceptually, the task is…to estimate the distribution rate for the benchmark efficient firm.</w:t>
      </w:r>
      <w:r w:rsidRPr="00883125">
        <w:rPr>
          <w:rStyle w:val="FootnoteReference"/>
        </w:rPr>
        <w:footnoteReference w:id="475"/>
      </w:r>
    </w:p>
    <w:p w:rsidR="001D37D5" w:rsidRPr="00883125" w:rsidRDefault="001D37D5" w:rsidP="001D37D5">
      <w:pPr>
        <w:pStyle w:val="AERquote"/>
      </w:pPr>
      <w:r w:rsidRPr="00883125">
        <w:t>…</w:t>
      </w:r>
    </w:p>
    <w:p w:rsidR="001D37D5" w:rsidRPr="00883125" w:rsidRDefault="001D37D5" w:rsidP="001D37D5">
      <w:pPr>
        <w:pStyle w:val="AERquote"/>
      </w:pPr>
      <w:r w:rsidRPr="00883125">
        <w:t>For the same reason that very large multinational firms are not comparable to the benchmark efficient entity, very small private firms would also not be close comparators.</w:t>
      </w:r>
      <w:r w:rsidRPr="00883125">
        <w:rPr>
          <w:rStyle w:val="FootnoteReference"/>
        </w:rPr>
        <w:footnoteReference w:id="476"/>
      </w:r>
    </w:p>
    <w:p w:rsidR="001D37D5" w:rsidRPr="00883125" w:rsidRDefault="001D37D5" w:rsidP="001D37D5">
      <w:r w:rsidRPr="00883125">
        <w:t>In particular, Gray submitted that the distribution behaviour of large multinational firms seemed unrepresentative of the benchmark efficient entity on account of their foreign-</w:t>
      </w:r>
      <w:r w:rsidRPr="00883125">
        <w:lastRenderedPageBreak/>
        <w:t>sourced income.</w:t>
      </w:r>
      <w:r w:rsidRPr="00883125">
        <w:rPr>
          <w:rStyle w:val="FootnoteReference"/>
        </w:rPr>
        <w:footnoteReference w:id="477"/>
      </w:r>
      <w:r w:rsidRPr="00883125">
        <w:t xml:space="preserve"> Gray concluded that the 'best estimate' of the distribution rate from analysis which considered only listed equity was not materially different from 0.7.</w:t>
      </w:r>
      <w:r w:rsidRPr="00883125">
        <w:rPr>
          <w:rStyle w:val="FootnoteReference"/>
        </w:rPr>
        <w:footnoteReference w:id="478"/>
      </w:r>
      <w:r w:rsidRPr="00883125">
        <w:t xml:space="preserve"> Handley considered Gray's analysis to be ' incomplete and oversimplified to support such a strong conclusion'.</w:t>
      </w:r>
      <w:r w:rsidRPr="00883125">
        <w:rPr>
          <w:rStyle w:val="FootnoteReference"/>
        </w:rPr>
        <w:footnoteReference w:id="479"/>
      </w:r>
      <w:r w:rsidRPr="00883125">
        <w:t xml:space="preserve"> Gray (for Frontier) considers that Handley's response does not address the issue that any firm with foreign profits will be able to distribute more imputation credits.</w:t>
      </w:r>
      <w:r w:rsidRPr="00883125">
        <w:rPr>
          <w:rStyle w:val="FootnoteReference"/>
        </w:rPr>
        <w:footnoteReference w:id="480"/>
      </w:r>
    </w:p>
    <w:p w:rsidR="001D37D5" w:rsidRDefault="001D37D5" w:rsidP="001D37D5">
      <w:r>
        <w:t>We</w:t>
      </w:r>
      <w:r w:rsidRPr="00883125">
        <w:t xml:space="preserve"> agree with Handley that Gray's analysis is oversimplified. There are many factors that determine a firm's imputation payout ratio. The introduction of the imputation system in Australia itself resulted in higher dividend payout ratio in order to distribute more imputation credits.</w:t>
      </w:r>
      <w:r w:rsidRPr="00883125">
        <w:rPr>
          <w:rStyle w:val="FootnoteReference"/>
        </w:rPr>
        <w:footnoteReference w:id="481"/>
      </w:r>
      <w:r w:rsidRPr="00883125">
        <w:t xml:space="preserve"> This would imply that firms recognise that investors value imputation credits and want to distribute a certain amount of them in order to maximise value to shareholders. It is also important to note that even if other firms do not have any foreign earnings they still have an ability to distribute their imputation credits via </w:t>
      </w:r>
      <w:r>
        <w:t xml:space="preserve">methods including </w:t>
      </w:r>
      <w:r w:rsidRPr="00883125">
        <w:t xml:space="preserve">higher dividend payments and off-market </w:t>
      </w:r>
      <w:r>
        <w:t xml:space="preserve">share </w:t>
      </w:r>
      <w:r w:rsidRPr="00883125">
        <w:t xml:space="preserve">buybacks. Subsequently if these firms need to retain more of their earnings to fund growth they can achieve this via dividend reinvestment plans and secondary equity raisings. Ultimately, the service providers have not shown the imputation payout ratio is higher due to foreign income or if any increase due to this is material. They have simply asserted that because these firms have foreign source income, and because this may allow these firms to pay a higher imputation payout ratio (without using things like dividend reinvestment plans), these firms should be excluded from the calculation of the dividend payout ratio. </w:t>
      </w:r>
    </w:p>
    <w:p w:rsidR="001D37D5" w:rsidRPr="005764F6" w:rsidRDefault="001D37D5" w:rsidP="001D37D5">
      <w:r w:rsidRPr="005764F6">
        <w:t xml:space="preserve">Lally examined this issue for us and concluded that firms with higher foreign earnings </w:t>
      </w:r>
      <w:r>
        <w:t xml:space="preserve">actually </w:t>
      </w:r>
      <w:r w:rsidRPr="005764F6">
        <w:t xml:space="preserve">appear to be distributing less imputation credits. </w:t>
      </w:r>
      <w:r w:rsidRPr="005053A1">
        <w:rPr>
          <w:rStyle w:val="FootnoteReference"/>
        </w:rPr>
        <w:footnoteReference w:id="482"/>
      </w:r>
      <w:r w:rsidRPr="005764F6">
        <w:t xml:space="preserve"> Lally empirically assessed the seven largest tax paying entities on the ASX and found that the proportion of profit from foreign operation is monotonically decreasing in the distribution rate (correlation of -0.95), which is in the opposite direction to that claimed by Frontier.</w:t>
      </w:r>
      <w:r w:rsidRPr="005053A1">
        <w:rPr>
          <w:rStyle w:val="FootnoteReference"/>
        </w:rPr>
        <w:footnoteReference w:id="483"/>
      </w:r>
      <w:r w:rsidRPr="005764F6">
        <w:t xml:space="preserve"> Lally concluded</w:t>
      </w:r>
      <w:r>
        <w:t>,</w:t>
      </w:r>
      <w:r w:rsidRPr="005764F6">
        <w:t xml:space="preserve"> based on his analysis</w:t>
      </w:r>
      <w:r>
        <w:t>,</w:t>
      </w:r>
      <w:r w:rsidRPr="005764F6">
        <w:t xml:space="preserve"> we should use </w:t>
      </w:r>
      <w:r>
        <w:t>a</w:t>
      </w:r>
      <w:r w:rsidRPr="005764F6">
        <w:t xml:space="preserve"> distribution rate</w:t>
      </w:r>
      <w:r>
        <w:t xml:space="preserve"> for listed equity</w:t>
      </w:r>
      <w:r w:rsidRPr="005764F6">
        <w:t xml:space="preserve"> from the top 20 listed firms.</w:t>
      </w:r>
      <w:r w:rsidRPr="005764F6">
        <w:rPr>
          <w:rStyle w:val="FootnoteReference"/>
        </w:rPr>
        <w:footnoteReference w:id="484"/>
      </w:r>
      <w:r w:rsidRPr="005764F6">
        <w:t xml:space="preserve"> </w:t>
      </w:r>
    </w:p>
    <w:p w:rsidR="001D37D5" w:rsidRPr="00883125" w:rsidRDefault="001D37D5" w:rsidP="001D37D5">
      <w:r>
        <w:t>We</w:t>
      </w:r>
      <w:r w:rsidRPr="00883125">
        <w:t xml:space="preserve"> also consider it </w:t>
      </w:r>
      <w:r>
        <w:t xml:space="preserve">is </w:t>
      </w:r>
      <w:r w:rsidRPr="00883125">
        <w:t>inappropriate to focus on one aspect of the benchmark (foreign ownership</w:t>
      </w:r>
      <w:r>
        <w:t xml:space="preserve"> and foreign income</w:t>
      </w:r>
      <w:r w:rsidRPr="00883125">
        <w:t xml:space="preserve">) and not look at the benchmark holistically. We should be looking at how all regulated businesses distribute imputation credits to investors, rather than focus on the foreign ownership. As </w:t>
      </w:r>
      <w:r>
        <w:t>the</w:t>
      </w:r>
      <w:r w:rsidRPr="00883125">
        <w:t xml:space="preserve"> </w:t>
      </w:r>
      <w:r w:rsidRPr="00B27BE5">
        <w:rPr>
          <w:rStyle w:val="AERbody"/>
        </w:rPr>
        <w:t>EMRF</w:t>
      </w:r>
      <w:r>
        <w:rPr>
          <w:rStyle w:val="AERbody"/>
        </w:rPr>
        <w:t xml:space="preserve"> submitted</w:t>
      </w:r>
      <w:r w:rsidRPr="00883125">
        <w:t xml:space="preserve">, the listed regulated businesses (APA, Envestra (pre-sale) and JGN's parent company) have a franking account balance of </w:t>
      </w:r>
      <w:r w:rsidRPr="00883125">
        <w:lastRenderedPageBreak/>
        <w:t>zero.</w:t>
      </w:r>
      <w:r w:rsidRPr="00883125">
        <w:rPr>
          <w:rStyle w:val="FootnoteReference"/>
        </w:rPr>
        <w:footnoteReference w:id="485"/>
      </w:r>
      <w:r w:rsidRPr="00883125">
        <w:t xml:space="preserve"> This can imply one of the following: (a) the regulated businesses distributed all either imputation credits to investors and therefore the distribution should be set to 100 per cent or (b) the regulated business do not generate any imputation credits as they do not pay corporate tax. This raises the question of whether our tax building block allowance may be too high.  Based on the material submitted by the EMRF, it might be posited that </w:t>
      </w:r>
      <w:r>
        <w:t>our</w:t>
      </w:r>
      <w:r w:rsidRPr="00883125">
        <w:t xml:space="preserve"> overall tax assumptions (including the use of a gamma of 0.4) are conservative (in the favour of the regulated businesses). </w:t>
      </w:r>
    </w:p>
    <w:p w:rsidR="001D37D5" w:rsidRPr="00883125" w:rsidRDefault="001D37D5" w:rsidP="001D37D5">
      <w:r w:rsidRPr="00883125">
        <w:t>Regarding internal consistency when combining estimates of the distribution and utilisation rates, Gray (for SFG) submitted:</w:t>
      </w:r>
      <w:r w:rsidRPr="00883125">
        <w:rPr>
          <w:rStyle w:val="FootnoteReference"/>
        </w:rPr>
        <w:footnoteReference w:id="486"/>
      </w:r>
    </w:p>
    <w:p w:rsidR="001D37D5" w:rsidRPr="00883125" w:rsidRDefault="001D37D5" w:rsidP="001D37D5">
      <w:pPr>
        <w:pStyle w:val="AERquote"/>
      </w:pPr>
      <w:r w:rsidRPr="00883125">
        <w:t>Since all credits from all companies are identical, it must be the case that, in equilibrium, the credits have the same value throughout the economy. Consequently, it is generally accepted that theta is a market-wide parameter – with a single value that would apply to all firms.</w:t>
      </w:r>
    </w:p>
    <w:p w:rsidR="001D37D5" w:rsidRPr="00883125" w:rsidRDefault="001D37D5" w:rsidP="001D37D5">
      <w:r w:rsidRPr="00883125">
        <w:t>That is, if the only value of theta is the market-wide value, then it is internally consistent to combine it with any estimate of the distribution rate. NERA agreed:</w:t>
      </w:r>
      <w:r w:rsidRPr="00883125">
        <w:rPr>
          <w:rStyle w:val="FootnoteReference"/>
        </w:rPr>
        <w:footnoteReference w:id="487"/>
      </w:r>
    </w:p>
    <w:p w:rsidR="001D37D5" w:rsidRPr="00883125" w:rsidRDefault="001D37D5" w:rsidP="001D37D5">
      <w:pPr>
        <w:pStyle w:val="AERquote"/>
      </w:pPr>
      <w:r w:rsidRPr="00883125">
        <w:t>As theta should not vary from firm to firm, however, there should be no link between how one estimates theta and how one estimates the distribution rate.</w:t>
      </w:r>
    </w:p>
    <w:p w:rsidR="001D37D5" w:rsidRPr="00883125" w:rsidRDefault="001D37D5" w:rsidP="001D37D5">
      <w:pPr>
        <w:rPr>
          <w:rStyle w:val="AERbody"/>
        </w:rPr>
      </w:pPr>
      <w:r w:rsidRPr="00883125">
        <w:rPr>
          <w:rStyle w:val="AERbody"/>
        </w:rPr>
        <w:t>Gray (for Frontier) considered this matter again in his June 2015 report (for Frontier) and stated:</w:t>
      </w:r>
      <w:r w:rsidRPr="00883125">
        <w:rPr>
          <w:rStyle w:val="FootnoteReference"/>
        </w:rPr>
        <w:footnoteReference w:id="488"/>
      </w:r>
    </w:p>
    <w:p w:rsidR="001D37D5" w:rsidRPr="001D37D5" w:rsidRDefault="001D37D5" w:rsidP="001D37D5">
      <w:pPr>
        <w:pStyle w:val="AERquote"/>
        <w:rPr>
          <w:rFonts w:eastAsiaTheme="minorHAnsi"/>
        </w:rPr>
      </w:pPr>
      <w:r w:rsidRPr="005764F6">
        <w:t>In my view, when estimating the distribution rate there are two reasons to be concerned about the weight that is afforded to the top 20 listed firms:</w:t>
      </w:r>
    </w:p>
    <w:p w:rsidR="001D37D5" w:rsidRPr="001D37D5" w:rsidRDefault="001D37D5" w:rsidP="001D37D5">
      <w:pPr>
        <w:pStyle w:val="AERquoteindent1"/>
        <w:rPr>
          <w:rFonts w:eastAsiaTheme="minorHAnsi"/>
        </w:rPr>
      </w:pPr>
      <w:r w:rsidRPr="005764F6">
        <w:t>a. The AER has specifically stated that the benchmark efficient entity should not be assumed to be a large listed company, as set out above; and</w:t>
      </w:r>
    </w:p>
    <w:p w:rsidR="001D37D5" w:rsidRPr="005764F6" w:rsidRDefault="001D37D5" w:rsidP="001D37D5">
      <w:pPr>
        <w:pStyle w:val="AERquote"/>
      </w:pPr>
      <w:r w:rsidRPr="005764F6">
        <w:t>b. The top 20 listed firms differ from the benchmark entity in that their foreign sourced profits enable a higher distribution rate.</w:t>
      </w:r>
    </w:p>
    <w:p w:rsidR="001D37D5" w:rsidRPr="00883125" w:rsidRDefault="001D37D5" w:rsidP="001D37D5">
      <w:r w:rsidRPr="00883125">
        <w:t>The service providers submit that the distribution rate for listed equity is likely to be skewed by the practices of multinational firms with significant foreign earnings.</w:t>
      </w:r>
      <w:r w:rsidRPr="00883125">
        <w:rPr>
          <w:rStyle w:val="FootnoteReference"/>
        </w:rPr>
        <w:footnoteReference w:id="489"/>
      </w:r>
    </w:p>
    <w:p w:rsidR="001D37D5" w:rsidRPr="00883125" w:rsidRDefault="001D37D5" w:rsidP="001D37D5">
      <w:r w:rsidRPr="005764F6">
        <w:lastRenderedPageBreak/>
        <w:t xml:space="preserve">However, for the reasons outlined above, </w:t>
      </w:r>
      <w:r>
        <w:t>we</w:t>
      </w:r>
      <w:r w:rsidRPr="005764F6">
        <w:t xml:space="preserve"> consider it is not clear that foreign income results in a higher imputation payout ratio. Lally's analysis actually implies the opposite.</w:t>
      </w:r>
      <w:r w:rsidRPr="005764F6">
        <w:rPr>
          <w:rStyle w:val="FootnoteReference"/>
        </w:rPr>
        <w:footnoteReference w:id="490"/>
      </w:r>
      <w:r>
        <w:t xml:space="preserve"> </w:t>
      </w:r>
      <w:r w:rsidRPr="00883125">
        <w:t>Further, when determining the gamma</w:t>
      </w:r>
      <w:r>
        <w:t xml:space="preserve"> value for the benchmark efficient entity</w:t>
      </w:r>
      <w:r w:rsidRPr="00883125">
        <w:t xml:space="preserve">, the benchmark has to be determined holistically and individual aspect of the benchmark should not be considered in isolation. </w:t>
      </w:r>
      <w:r>
        <w:t>We</w:t>
      </w:r>
      <w:r w:rsidRPr="00883125">
        <w:t xml:space="preserve"> do not exclude the impact of the top 20 firms when determining the cost of equity (MRP historical, DGM and beta) and consider it would be inconsistent to exclude the top 20 firms when estimating the imputation distribution rate to be used for estimating a gamma value for listed equity.</w:t>
      </w:r>
    </w:p>
    <w:p w:rsidR="001D37D5" w:rsidRPr="00883125" w:rsidRDefault="001D37D5" w:rsidP="001D37D5">
      <w:pPr>
        <w:rPr>
          <w:rStyle w:val="AERtexthighlight"/>
        </w:rPr>
      </w:pPr>
      <w:r w:rsidRPr="00883125">
        <w:t>NERA appears to agree with SFG that one should not consider the largest listed companies. It also considers "it is difficult to see there is a case for setting the distribution rate to be any different to the value … of 0.7".</w:t>
      </w:r>
      <w:r w:rsidRPr="00883125">
        <w:rPr>
          <w:rStyle w:val="FootnoteReference"/>
        </w:rPr>
        <w:footnoteReference w:id="491"/>
      </w:r>
    </w:p>
    <w:p w:rsidR="001D37D5" w:rsidRDefault="001D37D5" w:rsidP="001D37D5">
      <w:pPr>
        <w:rPr>
          <w:rStyle w:val="AERbody"/>
        </w:rPr>
      </w:pPr>
      <w:r w:rsidRPr="00883125">
        <w:rPr>
          <w:rStyle w:val="AERbody"/>
        </w:rPr>
        <w:t>In the proposals lodged in 2015 and 2016 the service providers have submitted that the appropriate distribution rate for both listed and all equity is 70% consistent with the advice from Gray and NERA.</w:t>
      </w:r>
      <w:r w:rsidRPr="00883125">
        <w:rPr>
          <w:rStyle w:val="FootnoteReference"/>
        </w:rPr>
        <w:footnoteReference w:id="492"/>
      </w:r>
      <w:r w:rsidRPr="00883125">
        <w:rPr>
          <w:rStyle w:val="AERbody"/>
        </w:rPr>
        <w:t xml:space="preserve"> Service providers also consider that theta under the equity ownership approach should be determined with regard to only listed equity as listed equities foreign ownership is more reflective of the benchmark efficient entity. To summarise, regulated businesses want to ignore firms with foreign income when estimating the distribution rate which reduces gamma and want to include firms with foreign ownership for the purposes of estimating the utilisation value which also reduces gamma.</w:t>
      </w:r>
      <w:r>
        <w:rPr>
          <w:rStyle w:val="FootnoteReference"/>
        </w:rPr>
        <w:footnoteReference w:id="493"/>
      </w:r>
      <w:r w:rsidRPr="00883125">
        <w:rPr>
          <w:rStyle w:val="AERbody"/>
        </w:rPr>
        <w:t xml:space="preserve"> </w:t>
      </w:r>
      <w:r>
        <w:rPr>
          <w:rStyle w:val="AERbody"/>
        </w:rPr>
        <w:t>We</w:t>
      </w:r>
      <w:r w:rsidRPr="00883125">
        <w:rPr>
          <w:rStyle w:val="AERbody"/>
        </w:rPr>
        <w:t xml:space="preserve"> do not agree with this approach</w:t>
      </w:r>
      <w:r>
        <w:rPr>
          <w:rStyle w:val="AERbody"/>
        </w:rPr>
        <w:t xml:space="preserve"> and considers it will not give a reasonable estimate of gamma for the benchmark efficient entity</w:t>
      </w:r>
      <w:r w:rsidRPr="00883125">
        <w:rPr>
          <w:rStyle w:val="AERbody"/>
        </w:rPr>
        <w:t xml:space="preserve"> </w:t>
      </w:r>
      <w:r>
        <w:rPr>
          <w:rStyle w:val="AERbody"/>
        </w:rPr>
        <w:t>for the reasons outline above.</w:t>
      </w:r>
      <w:r w:rsidRPr="00883125">
        <w:rPr>
          <w:rStyle w:val="AERbody"/>
        </w:rPr>
        <w:t xml:space="preserve"> </w:t>
      </w:r>
    </w:p>
    <w:p w:rsidR="001D37D5" w:rsidRPr="00883125" w:rsidRDefault="001D37D5" w:rsidP="001D37D5">
      <w:r w:rsidRPr="00883125">
        <w:t xml:space="preserve">NERA's views and Gray's views (for SFG and Frontier) must be reconciled with the fact that different investors can value imputation credits differently. For instance, foreign investors do not value credits and eligible domestic investors do. Therefore, a given estimate of theta will </w:t>
      </w:r>
      <w:r w:rsidRPr="00883125">
        <w:lastRenderedPageBreak/>
        <w:t>reflect the set of investors over which it is calculated. Gray (for SFG) appears to recognise this elsewhere in his report:</w:t>
      </w:r>
      <w:r w:rsidRPr="00883125">
        <w:rPr>
          <w:rStyle w:val="FootnoteReference"/>
        </w:rPr>
        <w:footnoteReference w:id="494"/>
      </w:r>
    </w:p>
    <w:p w:rsidR="001D37D5" w:rsidRPr="00883125" w:rsidRDefault="001D37D5" w:rsidP="001D37D5">
      <w:pPr>
        <w:pStyle w:val="AERquote"/>
      </w:pPr>
      <w:r w:rsidRPr="00883125">
        <w:t>If theta is estimated using a market value approach, the estimate will represent an average across all listed firms.</w:t>
      </w:r>
    </w:p>
    <w:p w:rsidR="001D37D5" w:rsidRPr="00883125" w:rsidRDefault="001D37D5" w:rsidP="001D37D5">
      <w:r w:rsidRPr="00883125">
        <w:t xml:space="preserve">This is further illustrated in </w:t>
      </w:r>
      <w:r w:rsidRPr="00883125">
        <w:fldChar w:fldCharType="begin"/>
      </w:r>
      <w:r w:rsidRPr="00883125">
        <w:instrText xml:space="preserve"> REF  _Ref415078600 \* Lower \h </w:instrText>
      </w:r>
      <w:r w:rsidRPr="00883125">
        <w:fldChar w:fldCharType="separate"/>
      </w:r>
      <w:r w:rsidR="00A02D8C" w:rsidRPr="00883125">
        <w:t xml:space="preserve">figure </w:t>
      </w:r>
      <w:r w:rsidR="00A02D8C">
        <w:rPr>
          <w:noProof/>
        </w:rPr>
        <w:t>4</w:t>
      </w:r>
      <w:r w:rsidR="00A02D8C" w:rsidRPr="00883125">
        <w:t>.</w:t>
      </w:r>
      <w:r w:rsidR="00A02D8C">
        <w:rPr>
          <w:noProof/>
        </w:rPr>
        <w:t>1</w:t>
      </w:r>
      <w:r w:rsidRPr="00883125">
        <w:fldChar w:fldCharType="end"/>
      </w:r>
      <w:r w:rsidRPr="00883125">
        <w:t xml:space="preserve"> and </w:t>
      </w:r>
      <w:r w:rsidRPr="00883125">
        <w:fldChar w:fldCharType="begin"/>
      </w:r>
      <w:r w:rsidRPr="00883125">
        <w:instrText xml:space="preserve"> REF  _Ref415078618 \* Lower \h </w:instrText>
      </w:r>
      <w:r w:rsidRPr="00883125">
        <w:fldChar w:fldCharType="separate"/>
      </w:r>
      <w:r w:rsidR="00A02D8C" w:rsidRPr="00883125">
        <w:t xml:space="preserve">figure </w:t>
      </w:r>
      <w:r w:rsidR="00A02D8C">
        <w:rPr>
          <w:noProof/>
        </w:rPr>
        <w:t>4</w:t>
      </w:r>
      <w:r w:rsidR="00A02D8C" w:rsidRPr="00883125">
        <w:t>.</w:t>
      </w:r>
      <w:r w:rsidR="00A02D8C">
        <w:rPr>
          <w:noProof/>
        </w:rPr>
        <w:t>2</w:t>
      </w:r>
      <w:r w:rsidRPr="00883125">
        <w:fldChar w:fldCharType="end"/>
      </w:r>
      <w:r w:rsidRPr="00883125">
        <w:t xml:space="preserve"> submitted by a number of service providers, which indicate that SFG's dividend drop off estimate of theta reflects the proportion of foreign investors in listed equity.</w:t>
      </w:r>
    </w:p>
    <w:p w:rsidR="001D37D5" w:rsidRPr="00883125" w:rsidRDefault="001D37D5" w:rsidP="001D37D5">
      <w:r w:rsidRPr="00883125">
        <w:t>To clarify, in theory there may be a single economy-wide theta. However, the practical reality is that a given estimate of theta will reflect the set of investors in the evidence used. Accordingly, we consider that the distribution rate we use in combination with that estimate of theta represent the distribution of credits to that same set of investors (or at least a similarly reflective set)</w:t>
      </w:r>
      <w:r>
        <w:t xml:space="preserve"> and will give a gamma value for this subset of equity</w:t>
      </w:r>
      <w:r w:rsidRPr="00883125">
        <w:t>. The service providers, NERA and Gray (for SFG and Frontier) give us no cause to change this view. Handley also supported our view:</w:t>
      </w:r>
      <w:r w:rsidRPr="00883125">
        <w:rPr>
          <w:rStyle w:val="FootnoteReference"/>
        </w:rPr>
        <w:footnoteReference w:id="495"/>
      </w:r>
    </w:p>
    <w:p w:rsidR="001D37D5" w:rsidRPr="00883125" w:rsidRDefault="001D37D5" w:rsidP="001D37D5">
      <w:pPr>
        <w:pStyle w:val="AERquote"/>
      </w:pPr>
      <w:r w:rsidRPr="00883125">
        <w:t>It is correct to say that theta is not firm-specific and the distribution rate is firm-specific. But I do not agree with the suggestion that there need be no link between how one estimates theta and how one estimates the distribution rate.</w:t>
      </w:r>
    </w:p>
    <w:p w:rsidR="001D37D5" w:rsidRPr="00883125" w:rsidRDefault="001D37D5" w:rsidP="001D37D5">
      <w:pPr>
        <w:pStyle w:val="AERquote"/>
      </w:pPr>
      <w:r w:rsidRPr="00883125">
        <w:t>We are interested in estimating the value of imputation credits to the market as a whole. In setting prices, investors in the market will take into account the quantity of credits expected to be distributed by all firms in the market. Since gamma is effectively defined as a price (theta) times a quantity (distribution rate) then in my opinion, it is obvious that both components should be based on consistent data sets which relate to the same market.</w:t>
      </w:r>
    </w:p>
    <w:p w:rsidR="001D37D5" w:rsidRDefault="001D37D5" w:rsidP="001D37D5">
      <w:pPr>
        <w:rPr>
          <w:rStyle w:val="AERbody"/>
        </w:rPr>
      </w:pPr>
      <w:r>
        <w:rPr>
          <w:rStyle w:val="AERbody"/>
        </w:rPr>
        <w:t>We note that Lally considers that consistency between the distribution rate and utilisation value is not essential nor is it precluded.</w:t>
      </w:r>
      <w:r w:rsidRPr="0016735E">
        <w:rPr>
          <w:rStyle w:val="FootnoteReference"/>
        </w:rPr>
        <w:footnoteReference w:id="496"/>
      </w:r>
      <w:r>
        <w:rPr>
          <w:rStyle w:val="AERbody"/>
        </w:rPr>
        <w:t xml:space="preserve"> At the same time, Lally considers that the distribution rate (for listed equity) should be estimated with reference to </w:t>
      </w:r>
      <w:r w:rsidRPr="0016735E">
        <w:rPr>
          <w:rStyle w:val="AERbody"/>
        </w:rPr>
        <w:t xml:space="preserve">the top 20 listed firms </w:t>
      </w:r>
      <w:r>
        <w:rPr>
          <w:rStyle w:val="AERbody"/>
        </w:rPr>
        <w:t>and the utilisation value should be estimated with reference to all equity.</w:t>
      </w:r>
      <w:r w:rsidRPr="0016735E">
        <w:rPr>
          <w:rStyle w:val="FootnoteReference"/>
        </w:rPr>
        <w:footnoteReference w:id="497"/>
      </w:r>
      <w:r>
        <w:rPr>
          <w:rStyle w:val="AERbody"/>
        </w:rPr>
        <w:t xml:space="preserve"> This implies that gamma is at least 0.5, which indicates our value of gamma may be too low. </w:t>
      </w:r>
    </w:p>
    <w:p w:rsidR="001D37D5" w:rsidRPr="00883125" w:rsidRDefault="001D37D5" w:rsidP="001D37D5">
      <w:pPr>
        <w:rPr>
          <w:rStyle w:val="AERbody"/>
        </w:rPr>
      </w:pPr>
      <w:r w:rsidRPr="00883125">
        <w:rPr>
          <w:rStyle w:val="AERbody"/>
        </w:rPr>
        <w:t xml:space="preserve">We also note that even if we were minded to do so, there is not necessarily a correct way to filter listed equity data to make it more reflective of the benchmark efficient entity (as the benchmark entity has a number of characteristics). While Gray (for SFG and Frontier) and NERA have proposed filtering based on a single characteristic (excluding the 20 largest listed firms) in a way that leads to a lower estimated distribution rate (and therefore a lower estimated value of imputation credits), they have not demonstrated their filtering method will lead to a better estimate of the distribution rate for the benchmark efficient entity. </w:t>
      </w:r>
      <w:r>
        <w:rPr>
          <w:rStyle w:val="AERbody"/>
        </w:rPr>
        <w:t xml:space="preserve">Further, advice that we have received for Lally suggest that the filtering is unnecessary and if </w:t>
      </w:r>
      <w:r>
        <w:rPr>
          <w:rStyle w:val="AERbody"/>
        </w:rPr>
        <w:lastRenderedPageBreak/>
        <w:t>anything the best estimate of the distribution rate is based on the financial data of the top 20 firms.</w:t>
      </w:r>
      <w:r>
        <w:rPr>
          <w:rStyle w:val="FootnoteReference"/>
        </w:rPr>
        <w:footnoteReference w:id="498"/>
      </w:r>
      <w:r>
        <w:rPr>
          <w:rStyle w:val="AERbody"/>
        </w:rPr>
        <w:t xml:space="preserve"> We note Lally's choice of the top 20 firms as a proxy for the estimate of the distribution rate for listed equity is not based on filtering listed equity based on the characteristics of the benchmark efficient entity, although he does consider listed firms more relevant to the estimation of the distribution rate for the benchmark efficient entity.</w:t>
      </w:r>
    </w:p>
    <w:p w:rsidR="001D37D5" w:rsidRPr="00883125" w:rsidRDefault="001D37D5" w:rsidP="001D37D5">
      <w:pPr>
        <w:rPr>
          <w:rStyle w:val="AERbody"/>
        </w:rPr>
      </w:pPr>
      <w:r w:rsidRPr="00883125">
        <w:rPr>
          <w:rStyle w:val="AERbody"/>
        </w:rPr>
        <w:t xml:space="preserve">Handley indicated that Gray's analysis was 'incomplete and oversimplified' to support the restriction proposed, and we consider that Gray's June 2015 report (for Frontier) and NERA's June 2015 report add nothing material to the discussion. </w:t>
      </w:r>
    </w:p>
    <w:p w:rsidR="001D37D5" w:rsidRPr="00883125" w:rsidRDefault="001D37D5" w:rsidP="001D37D5">
      <w:pPr>
        <w:rPr>
          <w:rStyle w:val="AERbody"/>
        </w:rPr>
      </w:pPr>
      <w:r w:rsidRPr="00883125">
        <w:rPr>
          <w:rStyle w:val="AERbody"/>
        </w:rPr>
        <w:t>We also note that if we estimated a distribution rate strictly in accordance with our benchmark definition we would end up with only the firms that we regulate, or an observable set of similar firms, yet the service providers have not suggested an industry benchmark distribution rate. We also do not propose an industry benchmark for the reasons set out in the Guideline</w:t>
      </w:r>
      <w:r>
        <w:rPr>
          <w:rStyle w:val="AERbody"/>
        </w:rPr>
        <w:t>, although we note Lally's estimate of 0.83 for the broader listed equity market does not seem unreasonable</w:t>
      </w:r>
      <w:r w:rsidRPr="00883125">
        <w:rPr>
          <w:rStyle w:val="AERbody"/>
        </w:rPr>
        <w:t>.</w:t>
      </w:r>
      <w:r w:rsidRPr="00883125">
        <w:rPr>
          <w:rStyle w:val="FootnoteReference"/>
        </w:rPr>
        <w:footnoteReference w:id="499"/>
      </w:r>
      <w:r w:rsidRPr="00883125">
        <w:rPr>
          <w:rStyle w:val="AERbody"/>
        </w:rPr>
        <w:t xml:space="preserve"> However, we note the EMRF submitted that our assumed distribution rates are lower (and, therefore more favourable to service providers) than those relevant to a pure play energy network.</w:t>
      </w:r>
      <w:r w:rsidRPr="00883125">
        <w:rPr>
          <w:rStyle w:val="FootnoteReference"/>
        </w:rPr>
        <w:footnoteReference w:id="500"/>
      </w:r>
    </w:p>
    <w:p w:rsidR="001D37D5" w:rsidRPr="00883125" w:rsidRDefault="001D37D5" w:rsidP="001D37D5">
      <w:pPr>
        <w:pStyle w:val="Heading9"/>
      </w:pPr>
      <w:bookmarkStart w:id="236" w:name="_Toc450119282"/>
      <w:bookmarkStart w:id="237" w:name="_Toc450119442"/>
      <w:bookmarkStart w:id="238" w:name="_Ref415126827"/>
      <w:bookmarkEnd w:id="236"/>
      <w:bookmarkEnd w:id="237"/>
      <w:r w:rsidRPr="00883125">
        <w:t>The cumulative payout ratio approach</w:t>
      </w:r>
      <w:bookmarkEnd w:id="238"/>
    </w:p>
    <w:p w:rsidR="001D37D5" w:rsidRPr="00883125" w:rsidRDefault="001D37D5" w:rsidP="001D37D5">
      <w:pPr>
        <w:numPr>
          <w:ilvl w:val="0"/>
          <w:numId w:val="24"/>
        </w:numPr>
      </w:pPr>
      <w:r w:rsidRPr="00883125">
        <w:t>The cumulative payout ratio approach is applied as follows. It starts with the change in the total value of imputation credits in firms’ franking account balances over a particular period of time. This reflects the cumulative additions and subtractions of imputation credits over that particular period of time. Then, subtracting this from total company tax paid over the same period of time produces an estimate of the imputation credits that have been distributed in total. This relies on the idea that every dollar of company tax paid generates an imputation credit, which can either be distributed or retained in franking account balances. Then, dividing this estimate by the value of company tax paid over the same time period produces an estimate of the distribution rate over this time.</w:t>
      </w:r>
    </w:p>
    <w:p w:rsidR="001D37D5" w:rsidRPr="00883125" w:rsidRDefault="001D37D5" w:rsidP="001D37D5">
      <w:pPr>
        <w:numPr>
          <w:ilvl w:val="0"/>
          <w:numId w:val="24"/>
        </w:numPr>
      </w:pPr>
      <w:r w:rsidRPr="00883125">
        <w:t>A limitation of this approach is that factors other than the distribution of imputation credits can lead to a decrease in aggregate franking account balances.</w:t>
      </w:r>
      <w:r w:rsidRPr="00883125">
        <w:rPr>
          <w:rStyle w:val="FootnoteReference"/>
        </w:rPr>
        <w:footnoteReference w:id="501"/>
      </w:r>
      <w:r w:rsidRPr="00883125">
        <w:t xml:space="preserve"> However, we are unaware of the materiality of these factors. Moreover, as discussed in the next section:</w:t>
      </w:r>
    </w:p>
    <w:p w:rsidR="001D37D5" w:rsidRPr="00883125" w:rsidRDefault="001D37D5" w:rsidP="001D37D5">
      <w:pPr>
        <w:pStyle w:val="AERbulletlistfirststyle"/>
      </w:pPr>
      <w:r w:rsidRPr="00883125">
        <w:t>Hathaway and NERA each preferred this approach to an approach involving data on franked dividends, and</w:t>
      </w:r>
    </w:p>
    <w:p w:rsidR="001D37D5" w:rsidRPr="00883125" w:rsidRDefault="001D37D5" w:rsidP="001D37D5">
      <w:pPr>
        <w:pStyle w:val="AERbulletlistfirststyle"/>
      </w:pPr>
      <w:r w:rsidRPr="00883125">
        <w:lastRenderedPageBreak/>
        <w:t>an estimate of the distribution rate across only listed equity using this approach is broadly reinforced by evidence from the financial statements of the largest listed companies.</w:t>
      </w:r>
    </w:p>
    <w:p w:rsidR="001D37D5" w:rsidRPr="00883125" w:rsidRDefault="001D37D5" w:rsidP="001D37D5">
      <w:pPr>
        <w:pStyle w:val="Heading9"/>
      </w:pPr>
      <w:r w:rsidRPr="00883125">
        <w:t>Alternative approaches</w:t>
      </w:r>
    </w:p>
    <w:p w:rsidR="001D37D5" w:rsidRPr="00883125" w:rsidRDefault="001D37D5" w:rsidP="001D37D5">
      <w:pPr>
        <w:numPr>
          <w:ilvl w:val="0"/>
          <w:numId w:val="24"/>
        </w:numPr>
      </w:pPr>
      <w:r w:rsidRPr="00883125">
        <w:t>There are at least two alternative approaches to estimating the distribution rate:</w:t>
      </w:r>
    </w:p>
    <w:p w:rsidR="001D37D5" w:rsidRPr="001D37D5" w:rsidRDefault="001D37D5" w:rsidP="001D37D5">
      <w:pPr>
        <w:pStyle w:val="AERbulletlistfirststyle"/>
      </w:pPr>
      <w:r w:rsidRPr="00883125">
        <w:t>Hathaway and NERA each estimated a distribution rate of around 0.5 using ATO statistics on the franked dividends distributed by companies as reported in their tax returns.</w:t>
      </w:r>
      <w:r w:rsidRPr="001D37D5">
        <w:rPr>
          <w:rStyle w:val="FootnoteReference"/>
        </w:rPr>
        <w:footnoteReference w:id="502"/>
      </w:r>
      <w:r w:rsidRPr="001D37D5">
        <w:t xml:space="preserve"> However, neither advocated the use of this estimate. NERA considered:</w:t>
      </w:r>
      <w:r w:rsidRPr="001D37D5">
        <w:rPr>
          <w:rStyle w:val="FootnoteReference"/>
        </w:rPr>
        <w:footnoteReference w:id="503"/>
      </w:r>
    </w:p>
    <w:p w:rsidR="001D37D5" w:rsidRPr="00883125" w:rsidRDefault="001D37D5" w:rsidP="001D37D5">
      <w:pPr>
        <w:pStyle w:val="AERquote"/>
      </w:pPr>
      <w:r w:rsidRPr="00883125">
        <w:t xml:space="preserve">In our opinion, the cumulative payout ratio is the most reliable estimate that is least likely to be affected by potential distortions in the underlying data set. </w:t>
      </w:r>
    </w:p>
    <w:p w:rsidR="001D37D5" w:rsidRPr="001D37D5" w:rsidRDefault="001D37D5" w:rsidP="001D37D5">
      <w:pPr>
        <w:pStyle w:val="AERbulletlistfirststyle"/>
      </w:pPr>
      <w:r w:rsidRPr="00883125">
        <w:t>And Hathaway considered:</w:t>
      </w:r>
      <w:r w:rsidRPr="001D37D5">
        <w:rPr>
          <w:rStyle w:val="FootnoteReference"/>
        </w:rPr>
        <w:footnoteReference w:id="504"/>
      </w:r>
    </w:p>
    <w:p w:rsidR="001D37D5" w:rsidRPr="00883125" w:rsidRDefault="001D37D5" w:rsidP="001D37D5">
      <w:pPr>
        <w:pStyle w:val="AERquote"/>
      </w:pPr>
      <w:r w:rsidRPr="00883125">
        <w:t>As was explained in section 3, I have more faith in the [franking account balance] data than in the dividend data. The dividend data appears to be missing about $87.5 billion and the ATO has had substantial problems with the dividend data in the past.</w:t>
      </w:r>
    </w:p>
    <w:p w:rsidR="001D37D5" w:rsidRPr="00883125" w:rsidRDefault="001D37D5" w:rsidP="001D37D5">
      <w:r w:rsidRPr="00883125">
        <w:t>Lally examined the financial statements of the 20 largest ASX-listed firms by market capitalisation, and found an aggregate distribution rate across these firms of 0.8</w:t>
      </w:r>
      <w:r>
        <w:t>3</w:t>
      </w:r>
      <w:r w:rsidRPr="00883125">
        <w:t>.</w:t>
      </w:r>
      <w:r w:rsidRPr="00883125">
        <w:rPr>
          <w:rStyle w:val="FootnoteReference"/>
        </w:rPr>
        <w:footnoteReference w:id="505"/>
      </w:r>
      <w:r w:rsidRPr="00883125">
        <w:t xml:space="preserve"> We consider that this broadly reinforces the higher cumulative payout ratio estimate across only listed equity.</w:t>
      </w:r>
    </w:p>
    <w:p w:rsidR="001D37D5" w:rsidRPr="00883125" w:rsidRDefault="001D37D5" w:rsidP="001D37D5">
      <w:pPr>
        <w:pStyle w:val="Heading9"/>
      </w:pPr>
      <w:bookmarkStart w:id="239" w:name="_Ref450297745"/>
      <w:r w:rsidRPr="00883125">
        <w:t>Hathaway (2014)</w:t>
      </w:r>
      <w:bookmarkEnd w:id="239"/>
    </w:p>
    <w:p w:rsidR="001D37D5" w:rsidRPr="00883125" w:rsidRDefault="001D37D5" w:rsidP="001D37D5">
      <w:r w:rsidRPr="00883125">
        <w:t>After the publication of the draft decisions in 2014, and deep into the process of preparing the final decision for JGN, we became aware of an updated analysis of the tax statistics by Hathaway dated October 2014.</w:t>
      </w:r>
      <w:r w:rsidRPr="00883125">
        <w:rPr>
          <w:rStyle w:val="FootnoteReference"/>
        </w:rPr>
        <w:footnoteReference w:id="506"/>
      </w:r>
      <w:r w:rsidRPr="00883125">
        <w:t xml:space="preserve"> This report updates the analysis to include tax data for the 2011–12 financial year, which were published by the ATO during 2014. Hathaway (2014) remains in draft form. Importantly, Hathaway (2014) appears to come to the opposite conclusion of his 2013 analysis regarding the FAB data:</w:t>
      </w:r>
      <w:r w:rsidRPr="00883125">
        <w:rPr>
          <w:rStyle w:val="FootnoteReference"/>
        </w:rPr>
        <w:footnoteReference w:id="507"/>
      </w:r>
    </w:p>
    <w:p w:rsidR="001D37D5" w:rsidRPr="00883125" w:rsidRDefault="001D37D5" w:rsidP="001D37D5">
      <w:pPr>
        <w:pStyle w:val="AERquote"/>
      </w:pPr>
      <w:r w:rsidRPr="00883125">
        <w:t xml:space="preserve">…the FAB data indicate a </w:t>
      </w:r>
      <w:r w:rsidRPr="00883125">
        <w:rPr>
          <w:rStyle w:val="AERtextitalic"/>
        </w:rPr>
        <w:t>net</w:t>
      </w:r>
      <w:r w:rsidRPr="00883125">
        <w:t xml:space="preserve"> $337.4 billion of credits have been distributed and a </w:t>
      </w:r>
      <w:r w:rsidRPr="00883125">
        <w:rPr>
          <w:rStyle w:val="AERtextitalic"/>
        </w:rPr>
        <w:t>gross</w:t>
      </w:r>
      <w:r w:rsidRPr="00883125">
        <w:t xml:space="preserve"> $428 billion was distributed.</w:t>
      </w:r>
    </w:p>
    <w:p w:rsidR="001D37D5" w:rsidRPr="00883125" w:rsidRDefault="001D37D5" w:rsidP="001D37D5">
      <w:pPr>
        <w:pStyle w:val="AERquote"/>
      </w:pPr>
      <w:r w:rsidRPr="00883125">
        <w:t xml:space="preserve">This gross distribution seems highly improbable and is quite inconsistent with the recorded franking credit income. It represents a gross payout ratio of 88% of all company tax as franking credits for the period 2004-12. This is in stark contrast to the </w:t>
      </w:r>
      <w:r w:rsidRPr="00883125">
        <w:lastRenderedPageBreak/>
        <w:t>gross 66% distribution recorded by the payment of franked dividends. We conclude that the FAB data are a concern.</w:t>
      </w:r>
    </w:p>
    <w:p w:rsidR="001D37D5" w:rsidRPr="00883125" w:rsidRDefault="001D37D5" w:rsidP="001D37D5">
      <w:r w:rsidRPr="00883125">
        <w:t>To the extent that the new conclusions in Hathaway (2014) are well founded, the potential implication is that an estimate of the distribution rate using franked dividend data might be more appropriate (that is, around 0.5, or at least between 0.5 and 0.7). However, on first assessment, we are not convinced by Hathaway's main reason for concluding that the FAB data are a concern—the idea that they imply a gross distribution rate of 0.88 which is 'improbable' and much higher than the gross distribution rate implied by franked dividend data (0.66, which appears to be considered by Hathaway to be probable). This is because Lally's estimate of the gross distribution rate across the largest listed companies is 0.8</w:t>
      </w:r>
      <w:r>
        <w:t>3</w:t>
      </w:r>
      <w:r w:rsidRPr="00883125">
        <w:t>, and therefore we do not consider that an estimate of 0.88 is necessarily improbable.</w:t>
      </w:r>
    </w:p>
    <w:p w:rsidR="001D37D5" w:rsidRPr="00883125" w:rsidRDefault="001D37D5" w:rsidP="001D37D5">
      <w:r w:rsidRPr="00883125">
        <w:t xml:space="preserve">While we are aware of it, we do not place reliance on the conclusion in Hathaway (2014) regarding the FAB data in this </w:t>
      </w:r>
      <w:r>
        <w:t>final</w:t>
      </w:r>
      <w:r w:rsidRPr="00883125">
        <w:t xml:space="preserve"> decision. This is because:</w:t>
      </w:r>
    </w:p>
    <w:p w:rsidR="001D37D5" w:rsidRPr="001D37D5" w:rsidRDefault="001D37D5" w:rsidP="001D37D5">
      <w:pPr>
        <w:pStyle w:val="AERbulletlistfirststyle"/>
      </w:pPr>
      <w:r w:rsidRPr="00883125">
        <w:t>We do not find Hathaway's reasoning for his conclusion</w:t>
      </w:r>
      <w:r w:rsidRPr="001D37D5">
        <w:t xml:space="preserve"> convincing.</w:t>
      </w:r>
    </w:p>
    <w:p w:rsidR="001D37D5" w:rsidRPr="00883125" w:rsidRDefault="001D37D5" w:rsidP="001D37D5">
      <w:pPr>
        <w:pStyle w:val="AERbulletlistfirststyle"/>
      </w:pPr>
      <w:r w:rsidRPr="00883125">
        <w:t>This conclusion does not appear contingent on any new information provided by the release of the 2011–12 statistics. Therefore, this conclusion would appear to have been open to Hathaway, NERA and Handley previously, yet none of them came to it.</w:t>
      </w:r>
    </w:p>
    <w:p w:rsidR="001D37D5" w:rsidRPr="00883125" w:rsidRDefault="001D37D5" w:rsidP="001D37D5">
      <w:r w:rsidRPr="00883125">
        <w:t>We also note the report is still marked draft nearly one year after initially being completed.</w:t>
      </w:r>
    </w:p>
    <w:p w:rsidR="001D37D5" w:rsidRPr="00883125" w:rsidRDefault="001D37D5" w:rsidP="001D37D5">
      <w:pPr>
        <w:pStyle w:val="Heading8"/>
      </w:pPr>
      <w:bookmarkStart w:id="240" w:name="_Ref403481535"/>
      <w:bookmarkStart w:id="241" w:name="_Toc436049452"/>
      <w:bookmarkStart w:id="242" w:name="_Toc451842258"/>
      <w:bookmarkStart w:id="243" w:name="_Toc451938312"/>
      <w:r w:rsidRPr="00883125">
        <w:t>Application of rate of return criteria to evidence on the utilisation rate</w:t>
      </w:r>
      <w:bookmarkEnd w:id="240"/>
      <w:bookmarkEnd w:id="241"/>
      <w:bookmarkEnd w:id="242"/>
      <w:bookmarkEnd w:id="243"/>
    </w:p>
    <w:p w:rsidR="001D37D5" w:rsidRPr="00883125" w:rsidRDefault="001D37D5" w:rsidP="001D37D5">
      <w:pPr>
        <w:numPr>
          <w:ilvl w:val="0"/>
          <w:numId w:val="24"/>
        </w:numPr>
      </w:pPr>
      <w:r w:rsidRPr="00883125">
        <w:t xml:space="preserve">Our main assessment of the various approaches to estimating the utilisation rate is set out in section </w:t>
      </w:r>
      <w:r>
        <w:fldChar w:fldCharType="begin"/>
      </w:r>
      <w:r>
        <w:instrText xml:space="preserve"> REF _Ref451342609 \r \h </w:instrText>
      </w:r>
      <w:r>
        <w:fldChar w:fldCharType="separate"/>
      </w:r>
      <w:r w:rsidR="00A02D8C">
        <w:t>4.4</w:t>
      </w:r>
      <w:r>
        <w:fldChar w:fldCharType="end"/>
      </w:r>
      <w:r w:rsidRPr="00883125">
        <w:t xml:space="preserve"> of attachment 4, with supporting evidence provided in this appendix. However, we have also considered these approaches and the evidence they employ against the criteria used to assess evidence on the allowed rate of return (</w:t>
      </w:r>
      <w:r w:rsidRPr="00883125">
        <w:fldChar w:fldCharType="begin"/>
      </w:r>
      <w:r w:rsidRPr="00883125">
        <w:instrText xml:space="preserve"> REF  _Ref415046112 \* Lower \h </w:instrText>
      </w:r>
      <w:r w:rsidRPr="00883125">
        <w:fldChar w:fldCharType="separate"/>
      </w:r>
      <w:r w:rsidR="00A02D8C" w:rsidRPr="00883125">
        <w:t xml:space="preserve">table </w:t>
      </w:r>
      <w:r w:rsidR="00A02D8C">
        <w:rPr>
          <w:noProof/>
        </w:rPr>
        <w:t>4</w:t>
      </w:r>
      <w:r w:rsidR="00A02D8C">
        <w:noBreakHyphen/>
      </w:r>
      <w:r w:rsidR="00A02D8C">
        <w:rPr>
          <w:noProof/>
        </w:rPr>
        <w:t>14</w:t>
      </w:r>
      <w:r w:rsidRPr="00883125">
        <w:fldChar w:fldCharType="end"/>
      </w:r>
      <w:r w:rsidRPr="00883125">
        <w:t>). Assessment against these criteria broadly supports our main assessment of the approaches.</w:t>
      </w:r>
    </w:p>
    <w:p w:rsidR="001D37D5" w:rsidRPr="00883125" w:rsidRDefault="001D37D5" w:rsidP="001D37D5">
      <w:pPr>
        <w:numPr>
          <w:ilvl w:val="0"/>
          <w:numId w:val="24"/>
        </w:numPr>
      </w:pPr>
    </w:p>
    <w:p w:rsidR="001D37D5" w:rsidRPr="00883125" w:rsidRDefault="001D37D5" w:rsidP="001D37D5">
      <w:pPr>
        <w:sectPr w:rsidR="001D37D5" w:rsidRPr="00883125" w:rsidSect="005E1FC3">
          <w:pgSz w:w="11906" w:h="16838"/>
          <w:pgMar w:top="1440" w:right="1440" w:bottom="1440" w:left="1440" w:header="708" w:footer="708" w:gutter="0"/>
          <w:pgNumType w:chapStyle="1"/>
          <w:cols w:space="708"/>
          <w:docGrid w:linePitch="360"/>
        </w:sectPr>
      </w:pPr>
    </w:p>
    <w:tbl>
      <w:tblPr>
        <w:tblStyle w:val="AERtable-text0"/>
        <w:tblpPr w:leftFromText="180" w:rightFromText="180" w:vertAnchor="page" w:horzAnchor="margin" w:tblpY="2071"/>
        <w:tblW w:w="14152" w:type="dxa"/>
        <w:tblLayout w:type="fixed"/>
        <w:tblLook w:val="04A0" w:firstRow="1" w:lastRow="0" w:firstColumn="1" w:lastColumn="0" w:noHBand="0" w:noVBand="1"/>
      </w:tblPr>
      <w:tblGrid>
        <w:gridCol w:w="3936"/>
        <w:gridCol w:w="3140"/>
        <w:gridCol w:w="3238"/>
        <w:gridCol w:w="3838"/>
      </w:tblGrid>
      <w:tr w:rsidR="001D37D5" w:rsidRPr="00FE391A" w:rsidTr="005E1FC3">
        <w:trPr>
          <w:cnfStyle w:val="100000000000" w:firstRow="1" w:lastRow="0" w:firstColumn="0" w:lastColumn="0" w:oddVBand="0" w:evenVBand="0" w:oddHBand="0" w:evenHBand="0" w:firstRowFirstColumn="0" w:firstRowLastColumn="0" w:lastRowFirstColumn="0" w:lastRowLastColumn="0"/>
          <w:cantSplit/>
        </w:trPr>
        <w:tc>
          <w:tcPr>
            <w:tcW w:w="3936" w:type="dxa"/>
          </w:tcPr>
          <w:p w:rsidR="001D37D5" w:rsidRPr="00883125" w:rsidRDefault="001D37D5" w:rsidP="001D37D5">
            <w:pPr>
              <w:pStyle w:val="ListParagraph"/>
              <w:numPr>
                <w:ilvl w:val="0"/>
                <w:numId w:val="24"/>
              </w:numPr>
            </w:pPr>
            <w:r>
              <w:lastRenderedPageBreak/>
              <w:t>Criteria</w:t>
            </w:r>
            <w:r w:rsidRPr="00E30AF3">
              <w:rPr>
                <w:rStyle w:val="AERsuperscript"/>
              </w:rPr>
              <w:t>(a)</w:t>
            </w:r>
          </w:p>
        </w:tc>
        <w:tc>
          <w:tcPr>
            <w:tcW w:w="3140" w:type="dxa"/>
          </w:tcPr>
          <w:p w:rsidR="001D37D5" w:rsidRPr="001D37D5" w:rsidRDefault="001D37D5" w:rsidP="001D37D5">
            <w:r>
              <w:t>Equity ownership approach</w:t>
            </w:r>
          </w:p>
        </w:tc>
        <w:tc>
          <w:tcPr>
            <w:tcW w:w="3238" w:type="dxa"/>
          </w:tcPr>
          <w:p w:rsidR="001D37D5" w:rsidRPr="001D37D5" w:rsidRDefault="001D37D5" w:rsidP="001D37D5">
            <w:r>
              <w:t>Tax statistics</w:t>
            </w:r>
          </w:p>
        </w:tc>
        <w:tc>
          <w:tcPr>
            <w:tcW w:w="3838" w:type="dxa"/>
          </w:tcPr>
          <w:p w:rsidR="001D37D5" w:rsidRPr="001D37D5" w:rsidRDefault="001D37D5" w:rsidP="001D37D5">
            <w:r>
              <w:t>Implied market value studies</w:t>
            </w:r>
          </w:p>
        </w:tc>
      </w:tr>
      <w:tr w:rsidR="001D37D5" w:rsidRPr="00FE391A" w:rsidTr="005E1FC3">
        <w:trPr>
          <w:cantSplit/>
        </w:trPr>
        <w:tc>
          <w:tcPr>
            <w:tcW w:w="3936" w:type="dxa"/>
          </w:tcPr>
          <w:p w:rsidR="001D37D5" w:rsidRPr="00883125" w:rsidRDefault="001D37D5" w:rsidP="001D37D5">
            <w:pPr>
              <w:pStyle w:val="ListParagraph"/>
              <w:numPr>
                <w:ilvl w:val="0"/>
                <w:numId w:val="24"/>
              </w:numPr>
            </w:pPr>
            <w:r w:rsidRPr="00883125">
              <w:t xml:space="preserve">Where applicable, reflective of economic and finance principles and market information. </w:t>
            </w:r>
          </w:p>
          <w:p w:rsidR="001D37D5" w:rsidRPr="00883125" w:rsidRDefault="001D37D5" w:rsidP="001D37D5">
            <w:pPr>
              <w:pStyle w:val="ListParagraph"/>
              <w:numPr>
                <w:ilvl w:val="0"/>
                <w:numId w:val="24"/>
              </w:numPr>
            </w:pPr>
            <w:r w:rsidRPr="00883125">
              <w:t>- Estimation methods and financial models are consistent with well accepted economic and finance principles and informed by sound empirical analysis and robust data.</w:t>
            </w:r>
          </w:p>
        </w:tc>
        <w:tc>
          <w:tcPr>
            <w:tcW w:w="3140" w:type="dxa"/>
          </w:tcPr>
          <w:p w:rsidR="001D37D5" w:rsidRPr="001D37D5" w:rsidRDefault="001D37D5" w:rsidP="001D37D5">
            <w:r w:rsidRPr="00883125">
              <w:t>Accords with Monkhouse framework and principle of investor rationality (e.g. eligible investors expected to utilise credits to which they are entitled).</w:t>
            </w:r>
          </w:p>
          <w:p w:rsidR="001D37D5" w:rsidRPr="001D37D5" w:rsidRDefault="001D37D5" w:rsidP="001D37D5">
            <w:r w:rsidRPr="00883125">
              <w:t>Analysis is straightforward and sound. Data is from credible source (ABS).</w:t>
            </w:r>
          </w:p>
        </w:tc>
        <w:tc>
          <w:tcPr>
            <w:tcW w:w="3238" w:type="dxa"/>
          </w:tcPr>
          <w:p w:rsidR="001D37D5" w:rsidRPr="001D37D5" w:rsidRDefault="001D37D5" w:rsidP="001D37D5">
            <w:r w:rsidRPr="00883125">
              <w:t>Market information on the amount of imputation credits utilised.</w:t>
            </w:r>
          </w:p>
          <w:p w:rsidR="001D37D5" w:rsidRPr="001D37D5" w:rsidRDefault="001D37D5" w:rsidP="001D37D5">
            <w:r w:rsidRPr="00883125">
              <w:t>Analysis is straightforward and sound. Data is from credible source (ATO), but some data concerns have been identified.</w:t>
            </w:r>
          </w:p>
        </w:tc>
        <w:tc>
          <w:tcPr>
            <w:tcW w:w="3838" w:type="dxa"/>
          </w:tcPr>
          <w:p w:rsidR="001D37D5" w:rsidRPr="001D37D5" w:rsidRDefault="001D37D5" w:rsidP="001D37D5">
            <w:r w:rsidRPr="00883125">
              <w:t>Mainly based on the principle that share prices reflect the present value of future dividends (and imputation credits) and 'no arbitrage'.</w:t>
            </w:r>
          </w:p>
          <w:p w:rsidR="001D37D5" w:rsidRPr="001D37D5" w:rsidRDefault="001D37D5" w:rsidP="001D37D5">
            <w:r w:rsidRPr="00883125">
              <w:t>Varying opinions on the soundness of analysis across studies. Underlying data is typically from credible sources (e.g. Bloomberg, ASX).</w:t>
            </w:r>
          </w:p>
        </w:tc>
      </w:tr>
      <w:tr w:rsidR="001D37D5" w:rsidRPr="00FE391A" w:rsidTr="005E1FC3">
        <w:trPr>
          <w:cnfStyle w:val="000000010000" w:firstRow="0" w:lastRow="0" w:firstColumn="0" w:lastColumn="0" w:oddVBand="0" w:evenVBand="0" w:oddHBand="0" w:evenHBand="1" w:firstRowFirstColumn="0" w:firstRowLastColumn="0" w:lastRowFirstColumn="0" w:lastRowLastColumn="0"/>
          <w:cantSplit/>
        </w:trPr>
        <w:tc>
          <w:tcPr>
            <w:tcW w:w="3936" w:type="dxa"/>
          </w:tcPr>
          <w:p w:rsidR="001D37D5" w:rsidRPr="001D37D5" w:rsidRDefault="001D37D5" w:rsidP="001D37D5">
            <w:r w:rsidRPr="00883125">
              <w:t xml:space="preserve">Fit for purpose. </w:t>
            </w:r>
          </w:p>
          <w:p w:rsidR="001D37D5" w:rsidRPr="001D37D5" w:rsidRDefault="001D37D5" w:rsidP="001D37D5">
            <w:r w:rsidRPr="00883125">
              <w:t xml:space="preserve">- The use of estimation methods, financial models, market data and other evidence should be consistent with the original purpose for which it was compiled and have regard to the limitations of that purpose. </w:t>
            </w:r>
          </w:p>
          <w:p w:rsidR="001D37D5" w:rsidRPr="001D37D5" w:rsidRDefault="001D37D5" w:rsidP="001D37D5">
            <w:r w:rsidRPr="00883125">
              <w:t>- Promote simple over complex approaches where appropriate.</w:t>
            </w:r>
          </w:p>
        </w:tc>
        <w:tc>
          <w:tcPr>
            <w:tcW w:w="3140" w:type="dxa"/>
          </w:tcPr>
          <w:p w:rsidR="001D37D5" w:rsidRPr="001D37D5" w:rsidRDefault="001D37D5" w:rsidP="001D37D5">
            <w:r w:rsidRPr="00883125">
              <w:t>ABS data used to estimate the domestic ownership share of Australian equity, which is consistent with its purpose. Approach is simple.</w:t>
            </w:r>
          </w:p>
        </w:tc>
        <w:tc>
          <w:tcPr>
            <w:tcW w:w="3238" w:type="dxa"/>
          </w:tcPr>
          <w:p w:rsidR="001D37D5" w:rsidRPr="001D37D5" w:rsidRDefault="001D37D5" w:rsidP="001D37D5">
            <w:r w:rsidRPr="00883125">
              <w:t>ATO statistics used to observe the reported amount of imputation credits utilised by investors, which is consistent with their purpose. Approach is simple.</w:t>
            </w:r>
          </w:p>
        </w:tc>
        <w:tc>
          <w:tcPr>
            <w:tcW w:w="3838" w:type="dxa"/>
          </w:tcPr>
          <w:p w:rsidR="001D37D5" w:rsidRPr="001D37D5" w:rsidRDefault="001D37D5" w:rsidP="001D37D5">
            <w:r w:rsidRPr="00883125">
              <w:t>Some studies undertaken for the specific purpose of estimating the utilisation rate for regulatory purposes. Results of some studies need to be interpreted carefully to be consistent with the regulatory framework. Studies can employ complex and sometimes problematic estimation methodologies.</w:t>
            </w:r>
          </w:p>
        </w:tc>
      </w:tr>
      <w:tr w:rsidR="001D37D5" w:rsidRPr="00FE391A" w:rsidTr="005E1FC3">
        <w:trPr>
          <w:cantSplit/>
        </w:trPr>
        <w:tc>
          <w:tcPr>
            <w:tcW w:w="3936" w:type="dxa"/>
          </w:tcPr>
          <w:p w:rsidR="001D37D5" w:rsidRPr="001D37D5" w:rsidRDefault="001D37D5" w:rsidP="001D37D5">
            <w:r w:rsidRPr="00883125">
              <w:t xml:space="preserve">Implemented in accordance with good practice. </w:t>
            </w:r>
          </w:p>
          <w:p w:rsidR="001D37D5" w:rsidRPr="001D37D5" w:rsidRDefault="001D37D5" w:rsidP="001D37D5">
            <w:r w:rsidRPr="00883125">
              <w:t>- Supported by robust, transparent and replicable analysis that is derived from available credible datasets.</w:t>
            </w:r>
          </w:p>
        </w:tc>
        <w:tc>
          <w:tcPr>
            <w:tcW w:w="3140" w:type="dxa"/>
          </w:tcPr>
          <w:p w:rsidR="001D37D5" w:rsidRPr="001D37D5" w:rsidRDefault="001D37D5" w:rsidP="001D37D5">
            <w:r w:rsidRPr="00883125">
              <w:t>Transparent and replicable using published data. Some knowledge of ABS classifications required.</w:t>
            </w:r>
          </w:p>
        </w:tc>
        <w:tc>
          <w:tcPr>
            <w:tcW w:w="3238" w:type="dxa"/>
          </w:tcPr>
          <w:p w:rsidR="001D37D5" w:rsidRPr="001D37D5" w:rsidRDefault="001D37D5" w:rsidP="001D37D5">
            <w:r w:rsidRPr="00883125">
              <w:t>Transparent and replicable using published data, although detailed knowledge of tax return labels required. Some data concerns have been identified.</w:t>
            </w:r>
          </w:p>
        </w:tc>
        <w:tc>
          <w:tcPr>
            <w:tcW w:w="3838" w:type="dxa"/>
          </w:tcPr>
          <w:p w:rsidR="001D37D5" w:rsidRPr="001D37D5" w:rsidRDefault="001D37D5" w:rsidP="001D37D5">
            <w:r w:rsidRPr="00883125">
              <w:t>Less transparent and replicable, as econometrics knowledge required and data not always publicly or freely available.</w:t>
            </w:r>
          </w:p>
        </w:tc>
      </w:tr>
      <w:tr w:rsidR="001D37D5" w:rsidRPr="00FE391A" w:rsidTr="005E1FC3">
        <w:trPr>
          <w:cnfStyle w:val="000000010000" w:firstRow="0" w:lastRow="0" w:firstColumn="0" w:lastColumn="0" w:oddVBand="0" w:evenVBand="0" w:oddHBand="0" w:evenHBand="1" w:firstRowFirstColumn="0" w:firstRowLastColumn="0" w:lastRowFirstColumn="0" w:lastRowLastColumn="0"/>
          <w:cantSplit/>
        </w:trPr>
        <w:tc>
          <w:tcPr>
            <w:tcW w:w="3936" w:type="dxa"/>
          </w:tcPr>
          <w:p w:rsidR="001D37D5" w:rsidRPr="001D37D5" w:rsidRDefault="001D37D5" w:rsidP="001D37D5">
            <w:r w:rsidRPr="00883125">
              <w:t>Where market data and other information is used, this information is: credible and verifiable; comparable and timely; and clearly sourced.</w:t>
            </w:r>
          </w:p>
        </w:tc>
        <w:tc>
          <w:tcPr>
            <w:tcW w:w="3140" w:type="dxa"/>
          </w:tcPr>
          <w:p w:rsidR="001D37D5" w:rsidRPr="001D37D5" w:rsidRDefault="001D37D5" w:rsidP="001D37D5">
            <w:r w:rsidRPr="00883125">
              <w:t xml:space="preserve">ABS is a credible source. Relevant statistics are published online on a quarterly basis. </w:t>
            </w:r>
          </w:p>
        </w:tc>
        <w:tc>
          <w:tcPr>
            <w:tcW w:w="3238" w:type="dxa"/>
          </w:tcPr>
          <w:p w:rsidR="001D37D5" w:rsidRPr="001D37D5" w:rsidRDefault="001D37D5" w:rsidP="001D37D5">
            <w:r w:rsidRPr="00883125">
              <w:t>ATO is a credible source. Relevant statistics are published online on an annual basis, with a two-year lag (e.g. 2011–12 statistics published in 2014). Some data concerns have been identified.</w:t>
            </w:r>
          </w:p>
        </w:tc>
        <w:tc>
          <w:tcPr>
            <w:tcW w:w="3838" w:type="dxa"/>
          </w:tcPr>
          <w:p w:rsidR="001D37D5" w:rsidRPr="001D37D5" w:rsidRDefault="001D37D5" w:rsidP="001D37D5">
            <w:r w:rsidRPr="00883125">
              <w:t>Underlying data typically from credible sources (e.g. Bloomberg, ASX) and is produced on a timely basis. Data not always publicly or freely available.</w:t>
            </w:r>
          </w:p>
          <w:p w:rsidR="001D37D5" w:rsidRPr="001D37D5" w:rsidRDefault="001D37D5" w:rsidP="001D37D5">
            <w:r w:rsidRPr="00883125">
              <w:t>Use of econometrics makes the results difficult and complex to verify.</w:t>
            </w:r>
          </w:p>
        </w:tc>
      </w:tr>
      <w:tr w:rsidR="001D37D5" w:rsidRPr="00FE391A" w:rsidTr="005E1FC3">
        <w:trPr>
          <w:cantSplit/>
        </w:trPr>
        <w:tc>
          <w:tcPr>
            <w:tcW w:w="3936" w:type="dxa"/>
          </w:tcPr>
          <w:p w:rsidR="001D37D5" w:rsidRPr="001D37D5" w:rsidRDefault="001D37D5" w:rsidP="001D37D5">
            <w:r w:rsidRPr="00883125">
              <w:t xml:space="preserve">Sufficiently flexible as to </w:t>
            </w:r>
            <w:r w:rsidRPr="001D37D5">
              <w:t>allow changing market conditions and new information to be reflected in regulatory outcomes, as appropriate.</w:t>
            </w:r>
          </w:p>
        </w:tc>
        <w:tc>
          <w:tcPr>
            <w:tcW w:w="3140" w:type="dxa"/>
          </w:tcPr>
          <w:p w:rsidR="001D37D5" w:rsidRPr="001D37D5" w:rsidRDefault="001D37D5" w:rsidP="001D37D5">
            <w:r w:rsidRPr="00883125">
              <w:t xml:space="preserve">Reflects current ownership of Australian equities. However, might not reflect any tax law changes that reduce eligible investors’ utilisation rates below 1.  </w:t>
            </w:r>
          </w:p>
        </w:tc>
        <w:tc>
          <w:tcPr>
            <w:tcW w:w="3238" w:type="dxa"/>
          </w:tcPr>
          <w:p w:rsidR="001D37D5" w:rsidRPr="001D37D5" w:rsidRDefault="001D37D5" w:rsidP="001D37D5">
            <w:r w:rsidRPr="00883125">
              <w:t>Reflects conditions up to two years ago.</w:t>
            </w:r>
          </w:p>
        </w:tc>
        <w:tc>
          <w:tcPr>
            <w:tcW w:w="3838" w:type="dxa"/>
          </w:tcPr>
          <w:p w:rsidR="001D37D5" w:rsidRPr="001D37D5" w:rsidRDefault="001D37D5" w:rsidP="001D37D5">
            <w:r w:rsidRPr="00883125">
              <w:t>Reflects current conditions to the extent that recent data is used. Different studies span various time periods.</w:t>
            </w:r>
          </w:p>
        </w:tc>
      </w:tr>
    </w:tbl>
    <w:p w:rsidR="001D37D5" w:rsidRPr="00883125" w:rsidRDefault="001D37D5" w:rsidP="001D37D5">
      <w:pPr>
        <w:pStyle w:val="Caption"/>
      </w:pPr>
      <w:bookmarkStart w:id="244" w:name="_Ref415046112"/>
      <w:r w:rsidRPr="00883125">
        <w:t xml:space="preserve">Table </w:t>
      </w:r>
      <w:r w:rsidRPr="001D37D5">
        <w:fldChar w:fldCharType="begin"/>
      </w:r>
      <w:r>
        <w:instrText xml:space="preserve"> STYLEREF 1 \s </w:instrText>
      </w:r>
      <w:r w:rsidRPr="001D37D5">
        <w:fldChar w:fldCharType="separate"/>
      </w:r>
      <w:r w:rsidR="00A02D8C">
        <w:rPr>
          <w:noProof/>
        </w:rPr>
        <w:t>4</w:t>
      </w:r>
      <w:r w:rsidRPr="001D37D5">
        <w:fldChar w:fldCharType="end"/>
      </w:r>
      <w:r>
        <w:noBreakHyphen/>
      </w:r>
      <w:r w:rsidRPr="001D37D5">
        <w:fldChar w:fldCharType="begin"/>
      </w:r>
      <w:r>
        <w:instrText xml:space="preserve"> SEQ Table \* ARABIC \s 1 </w:instrText>
      </w:r>
      <w:r w:rsidRPr="001D37D5">
        <w:fldChar w:fldCharType="separate"/>
      </w:r>
      <w:r w:rsidR="00A02D8C">
        <w:rPr>
          <w:noProof/>
        </w:rPr>
        <w:t>14</w:t>
      </w:r>
      <w:r w:rsidRPr="001D37D5">
        <w:fldChar w:fldCharType="end"/>
      </w:r>
      <w:bookmarkEnd w:id="244"/>
      <w:r w:rsidRPr="00883125">
        <w:tab/>
        <w:t>Application of rate of return criteria to evidence on the utilisation rate</w:t>
      </w:r>
    </w:p>
    <w:p w:rsidR="001D37D5" w:rsidRPr="00883125" w:rsidRDefault="001D37D5" w:rsidP="001D37D5">
      <w:pPr>
        <w:pStyle w:val="AERtablesource"/>
      </w:pPr>
      <w:r w:rsidRPr="00883125">
        <w:t xml:space="preserve">Source: </w:t>
      </w:r>
      <w:r w:rsidRPr="00883125">
        <w:tab/>
        <w:t>AER analysis.</w:t>
      </w:r>
    </w:p>
    <w:p w:rsidR="001D37D5" w:rsidRPr="00883125" w:rsidRDefault="001D37D5" w:rsidP="001D37D5">
      <w:pPr>
        <w:pStyle w:val="AERtablesource"/>
      </w:pPr>
      <w:r w:rsidRPr="00883125">
        <w:t>(a):</w:t>
      </w:r>
      <w:r w:rsidRPr="00883125">
        <w:tab/>
        <w:t>The criteria relating specifically to return on equity and return on debt quantitative models are excluded because they are not applicable.</w:t>
      </w:r>
    </w:p>
    <w:p w:rsidR="001D37D5" w:rsidRPr="00883125" w:rsidRDefault="001D37D5" w:rsidP="001D37D5">
      <w:pPr>
        <w:sectPr w:rsidR="001D37D5" w:rsidRPr="00883125" w:rsidSect="005E1FC3">
          <w:pgSz w:w="16838" w:h="11906" w:orient="landscape"/>
          <w:pgMar w:top="1440" w:right="1440" w:bottom="1440" w:left="1440" w:header="709" w:footer="709" w:gutter="0"/>
          <w:pgNumType w:chapStyle="1"/>
          <w:cols w:space="720"/>
          <w:docGrid w:linePitch="326"/>
        </w:sectPr>
      </w:pPr>
    </w:p>
    <w:p w:rsidR="001D37D5" w:rsidRPr="00883125" w:rsidRDefault="001D37D5" w:rsidP="001D37D5">
      <w:pPr>
        <w:pStyle w:val="Heading8"/>
      </w:pPr>
      <w:bookmarkStart w:id="245" w:name="_Ref415049811"/>
      <w:bookmarkStart w:id="246" w:name="_Toc436049453"/>
      <w:bookmarkStart w:id="247" w:name="_Toc451842259"/>
      <w:bookmarkStart w:id="248" w:name="_Toc451938313"/>
      <w:r w:rsidRPr="00883125">
        <w:lastRenderedPageBreak/>
        <w:t>The equity ownership approach</w:t>
      </w:r>
      <w:bookmarkEnd w:id="245"/>
      <w:bookmarkEnd w:id="246"/>
      <w:bookmarkEnd w:id="247"/>
      <w:bookmarkEnd w:id="248"/>
    </w:p>
    <w:p w:rsidR="001D37D5" w:rsidRPr="00883125" w:rsidRDefault="001D37D5" w:rsidP="001D37D5">
      <w:pPr>
        <w:numPr>
          <w:ilvl w:val="0"/>
          <w:numId w:val="24"/>
        </w:numPr>
      </w:pPr>
      <w:r w:rsidRPr="00883125">
        <w:t>Recalling that eligible investors have a utilisation rate of 1 and ineligible investors have a utilisation rate of 0, we consider that the value-weighted proportion of domestic investors in the Australian equity market is a reasonable estimate of the utilisation rate. This is because, in general, domestic investors are eligible to utilise imputation credits and foreign investors are not. We refer to this approach as the 'equity ownership approach', and we use data from the National Accounts to estimate the domestic ownership share.</w:t>
      </w:r>
      <w:r w:rsidRPr="00883125">
        <w:rPr>
          <w:rStyle w:val="FootnoteReference"/>
        </w:rPr>
        <w:footnoteReference w:id="508"/>
      </w:r>
    </w:p>
    <w:p w:rsidR="001D37D5" w:rsidRPr="00883125" w:rsidRDefault="001D37D5" w:rsidP="001D37D5">
      <w:pPr>
        <w:numPr>
          <w:ilvl w:val="0"/>
          <w:numId w:val="24"/>
        </w:numPr>
      </w:pPr>
      <w:r w:rsidRPr="00883125">
        <w:t xml:space="preserve">Our views on the equity ownership approach to estimating the utilisation rate are set out in section </w:t>
      </w:r>
      <w:r>
        <w:fldChar w:fldCharType="begin"/>
      </w:r>
      <w:r>
        <w:instrText xml:space="preserve"> REF _Ref451342743 \r \h </w:instrText>
      </w:r>
      <w:r>
        <w:fldChar w:fldCharType="separate"/>
      </w:r>
      <w:r w:rsidR="00A02D8C">
        <w:t>4.4</w:t>
      </w:r>
      <w:r>
        <w:fldChar w:fldCharType="end"/>
      </w:r>
      <w:r w:rsidRPr="00883125">
        <w:t xml:space="preserve"> of attachment 4. In this section, we provide further detail on our application of the approach. We also compare our assessment of the approach in this </w:t>
      </w:r>
      <w:r>
        <w:t>final</w:t>
      </w:r>
      <w:r w:rsidRPr="00883125">
        <w:t xml:space="preserve"> decision with our assessment in the Guideline.</w:t>
      </w:r>
    </w:p>
    <w:p w:rsidR="001D37D5" w:rsidRPr="00883125" w:rsidRDefault="001D37D5" w:rsidP="001D37D5">
      <w:pPr>
        <w:numPr>
          <w:ilvl w:val="0"/>
          <w:numId w:val="24"/>
        </w:numPr>
      </w:pPr>
      <w:r w:rsidRPr="00883125">
        <w:t xml:space="preserve">We place significant reliance on the equity ownership approach for the reasons set out in section </w:t>
      </w:r>
      <w:r>
        <w:fldChar w:fldCharType="begin"/>
      </w:r>
      <w:r>
        <w:instrText xml:space="preserve"> REF _Ref451342752 \r \h </w:instrText>
      </w:r>
      <w:r>
        <w:fldChar w:fldCharType="separate"/>
      </w:r>
      <w:r w:rsidR="00A02D8C">
        <w:t>4.4</w:t>
      </w:r>
      <w:r>
        <w:fldChar w:fldCharType="end"/>
      </w:r>
      <w:r w:rsidRPr="00883125">
        <w:t xml:space="preserve"> of attachment 4. We have regard also to the limitations of this approach, but we do not consider them significant:</w:t>
      </w:r>
    </w:p>
    <w:p w:rsidR="001D37D5" w:rsidRPr="001D37D5" w:rsidRDefault="001D37D5" w:rsidP="001D37D5">
      <w:pPr>
        <w:pStyle w:val="AERbulletlistfirststyle"/>
      </w:pPr>
      <w:r w:rsidRPr="00883125">
        <w:t xml:space="preserve">The approach does not take into account the effect of the 45-day holding rule (or any other rules that can affect the eligibility of domestic investors to claim imputation credits). However, as discussed in section </w:t>
      </w:r>
      <w:r w:rsidRPr="001D37D5">
        <w:fldChar w:fldCharType="begin"/>
      </w:r>
      <w:r w:rsidRPr="001D37D5">
        <w:instrText xml:space="preserve"> REF _Ref414099389 \r \h </w:instrText>
      </w:r>
      <w:r w:rsidRPr="001D37D5">
        <w:fldChar w:fldCharType="separate"/>
      </w:r>
      <w:r w:rsidR="00A02D8C">
        <w:t>A.8.3</w:t>
      </w:r>
      <w:r w:rsidRPr="001D37D5">
        <w:fldChar w:fldCharType="end"/>
      </w:r>
      <w:r w:rsidRPr="001D37D5">
        <w:t>, we do not consider that there is clear evidence as to effect that these rules have or should be expected to have. Moreover, we consider that the most relevant evidence on the effect of these rules suggest that they have a negligible effect.</w:t>
      </w:r>
    </w:p>
    <w:p w:rsidR="001D37D5" w:rsidRPr="001D37D5" w:rsidRDefault="001D37D5" w:rsidP="001D37D5">
      <w:pPr>
        <w:pStyle w:val="AERbulletlistfirststyle"/>
      </w:pPr>
      <w:r w:rsidRPr="00883125">
        <w:t>The approach allows investors' utilisation rates to be weighted by wealth, but not by risk aversion, as required by the definition of the utilisation rate in the Monkhouse framework.  However, we do not consider that we can feasibly weight our estimates in this regard, as this would require specific calculations or assumptions regarding the portfolios and risk preferences of individuals or classes of investors. Moreover, neither Handley nor Lally identified the inability to weight by risk aversion as an unacceptable limitation of the approach.</w:t>
      </w:r>
      <w:r w:rsidRPr="001D37D5">
        <w:rPr>
          <w:rStyle w:val="FootnoteReference"/>
        </w:rPr>
        <w:footnoteReference w:id="509"/>
      </w:r>
    </w:p>
    <w:p w:rsidR="001D37D5" w:rsidRDefault="001D37D5" w:rsidP="001D37D5">
      <w:pPr>
        <w:numPr>
          <w:ilvl w:val="0"/>
          <w:numId w:val="24"/>
        </w:numPr>
      </w:pPr>
      <w:r>
        <w:t>In his latest report, Lally considers the utilisation value is a weighted average over the utilisation rates for investors, equal to 1 for those who are eligible to use the credits and zero otherwise.</w:t>
      </w:r>
      <w:r>
        <w:rPr>
          <w:rStyle w:val="FootnoteReference"/>
        </w:rPr>
        <w:footnoteReference w:id="510"/>
      </w:r>
      <w:r>
        <w:t xml:space="preserve"> This is consistent with our equity ownership approach.</w:t>
      </w:r>
      <w:r>
        <w:rPr>
          <w:rStyle w:val="FootnoteReference"/>
        </w:rPr>
        <w:footnoteReference w:id="511"/>
      </w:r>
    </w:p>
    <w:p w:rsidR="001D37D5" w:rsidRPr="00883125" w:rsidRDefault="001D37D5" w:rsidP="001D37D5">
      <w:pPr>
        <w:numPr>
          <w:ilvl w:val="0"/>
          <w:numId w:val="24"/>
        </w:numPr>
      </w:pPr>
      <w:r w:rsidRPr="00883125">
        <w:t>We consider that a reasonable estimate for the utilisation rate from the equity ownership approach is between:</w:t>
      </w:r>
    </w:p>
    <w:p w:rsidR="001D37D5" w:rsidRPr="00883125" w:rsidRDefault="001D37D5" w:rsidP="001D37D5">
      <w:pPr>
        <w:pStyle w:val="AERbulletlistfirststyle"/>
      </w:pPr>
      <w:r w:rsidRPr="00883125">
        <w:t>0.56 and 0.68, if all equity is considered, and</w:t>
      </w:r>
    </w:p>
    <w:p w:rsidR="001D37D5" w:rsidRPr="00883125" w:rsidRDefault="001D37D5" w:rsidP="001D37D5">
      <w:pPr>
        <w:pStyle w:val="AERbulletlistfirststyle"/>
      </w:pPr>
      <w:r w:rsidRPr="00883125">
        <w:lastRenderedPageBreak/>
        <w:t>0.38 and 0.55, if only listed equity is considered.</w:t>
      </w:r>
    </w:p>
    <w:p w:rsidR="001D37D5" w:rsidRPr="00883125" w:rsidRDefault="001D37D5" w:rsidP="001D37D5">
      <w:pPr>
        <w:numPr>
          <w:ilvl w:val="0"/>
          <w:numId w:val="24"/>
        </w:numPr>
      </w:pPr>
      <w:r w:rsidRPr="00883125">
        <w:t>In the Guideline, we considered that the equity ownership approach supported a utilisation rate between 0.7 and 0.8. This range was based on:</w:t>
      </w:r>
    </w:p>
    <w:p w:rsidR="001D37D5" w:rsidRPr="001D37D5" w:rsidRDefault="001D37D5" w:rsidP="001D37D5">
      <w:pPr>
        <w:pStyle w:val="AERbulletlistfirststyle"/>
      </w:pPr>
      <w:r w:rsidRPr="00883125">
        <w:t>A 2007 feature article by the ABS, in which it was estimated using data from the National Accounts that domestic investors held 71 per cent of Australian equity.</w:t>
      </w:r>
      <w:r w:rsidRPr="001D37D5">
        <w:rPr>
          <w:rStyle w:val="FootnoteReference"/>
        </w:rPr>
        <w:footnoteReference w:id="512"/>
      </w:r>
    </w:p>
    <w:p w:rsidR="001D37D5" w:rsidRPr="001D37D5" w:rsidRDefault="001D37D5" w:rsidP="001D37D5">
      <w:pPr>
        <w:pStyle w:val="AERbulletlistfirststyle"/>
      </w:pPr>
      <w:r w:rsidRPr="00883125">
        <w:t>A graph in a September 2013 report by Hathaway, which suggested that the domestic ownership share of Australian equity had fluctuated between 75 and 81 per cent over the period 1988 to 2012.</w:t>
      </w:r>
      <w:r w:rsidRPr="001D37D5">
        <w:rPr>
          <w:rStyle w:val="FootnoteReference"/>
        </w:rPr>
        <w:footnoteReference w:id="513"/>
      </w:r>
      <w:r w:rsidRPr="001D37D5">
        <w:t xml:space="preserve"> The data underlying this graph also came from the National Accounts.</w:t>
      </w:r>
    </w:p>
    <w:p w:rsidR="001D37D5" w:rsidRPr="00883125" w:rsidRDefault="001D37D5" w:rsidP="001D37D5">
      <w:r w:rsidRPr="00883125">
        <w:t xml:space="preserve">Since the Guideline's publication, we have examined more closely the relevant data from the National Accounts. This has allowed us to update and refine our estimates. Moreover, we now express estimates for both all equity and only listed equity, consistent with the approach set out in section </w:t>
      </w:r>
      <w:r>
        <w:fldChar w:fldCharType="begin"/>
      </w:r>
      <w:r>
        <w:instrText xml:space="preserve"> REF _Ref451790065 \r \h </w:instrText>
      </w:r>
      <w:r>
        <w:fldChar w:fldCharType="separate"/>
      </w:r>
      <w:r w:rsidR="00A02D8C">
        <w:t>A.9</w:t>
      </w:r>
      <w:r>
        <w:fldChar w:fldCharType="end"/>
      </w:r>
      <w:r>
        <w:t xml:space="preserve"> and </w:t>
      </w:r>
      <w:r>
        <w:fldChar w:fldCharType="begin"/>
      </w:r>
      <w:r>
        <w:instrText xml:space="preserve"> REF _Ref401133206 \r \h </w:instrText>
      </w:r>
      <w:r>
        <w:fldChar w:fldCharType="separate"/>
      </w:r>
      <w:r w:rsidR="00A02D8C">
        <w:t>A.10</w:t>
      </w:r>
      <w:r>
        <w:fldChar w:fldCharType="end"/>
      </w:r>
      <w:r w:rsidRPr="00883125">
        <w:t>.</w:t>
      </w:r>
    </w:p>
    <w:p w:rsidR="001D37D5" w:rsidRPr="00883125" w:rsidRDefault="001D37D5" w:rsidP="001D37D5">
      <w:pPr>
        <w:numPr>
          <w:ilvl w:val="0"/>
          <w:numId w:val="24"/>
        </w:numPr>
      </w:pPr>
      <w:r w:rsidRPr="00883125">
        <w:t>We consider that the equity ownership approach can be refined by filtering the National Accounts data to focus on the types of equity that we consider most relevant to the benchmark entity, and the specific classes of investor that are expected to either utilise or waste the imputation credits they receive. That is, we can:</w:t>
      </w:r>
    </w:p>
    <w:p w:rsidR="001D37D5" w:rsidRPr="00883125" w:rsidRDefault="001D37D5" w:rsidP="001D37D5">
      <w:pPr>
        <w:pStyle w:val="AERbulletlistfirststyle"/>
      </w:pPr>
      <w:r w:rsidRPr="00883125">
        <w:t>Exclude from the calculation equity in entities that are wholly owned by the public sector. In the National Accounts, this is equity issued by the 'central bank', 'central borrowing authorities' and 'public non-financial corporations'.</w:t>
      </w:r>
    </w:p>
    <w:p w:rsidR="001D37D5" w:rsidRPr="001D37D5" w:rsidRDefault="001D37D5" w:rsidP="001D37D5">
      <w:pPr>
        <w:pStyle w:val="AERbulletlistfirststyle"/>
      </w:pPr>
      <w:r w:rsidRPr="00AC2168">
        <w:t>Calculate the equity held by those classes of investor that are eligible to utilise imputation credits as a share of the equity held by all classes of investor that either utilise or waste credits. In the National Accounts, this is calculated as the equity held by 'households', 'pension funds' and 'life insurance corporations' as a share of the equity held by these classes plus 'rest of world'. In the draft decisions released in 2014, our calculation of the refined domestic ownership share effectively assumed that governments 'wasted' the imputation credits they received. We noted in the draft decisions that there was no clear case for making this assumption. In this final decision, consistent with the approach we took for the decisions we released in October and November 2015, we exclude government-held equity from the calculation of the refined domestic ownership share. This is because the value of imputation credits forms part of our determination of the rate of return required by private investors in the benchmark efficient entity.</w:t>
      </w:r>
      <w:r w:rsidRPr="001D37D5">
        <w:rPr>
          <w:rStyle w:val="FootnoteReference"/>
        </w:rPr>
        <w:footnoteReference w:id="514"/>
      </w:r>
      <w:r w:rsidRPr="001D37D5">
        <w:t xml:space="preserve"> In doing this we are </w:t>
      </w:r>
      <w:r w:rsidRPr="001D37D5">
        <w:lastRenderedPageBreak/>
        <w:t xml:space="preserve">estimating market-wide utilisation rates (for both listed and all equity) reflective of the capital invested by private investors. We do not consider this is inconsistent with other parameter estimates used for estimating the WACC and consider this will lead to an overall return that should lead to efficient investment in regulated assets.  </w:t>
      </w:r>
    </w:p>
    <w:p w:rsidR="001D37D5" w:rsidRPr="00883125" w:rsidRDefault="001D37D5" w:rsidP="001D37D5">
      <w:pPr>
        <w:numPr>
          <w:ilvl w:val="0"/>
          <w:numId w:val="24"/>
        </w:numPr>
      </w:pPr>
      <w:r w:rsidRPr="00883125">
        <w:t xml:space="preserve">The </w:t>
      </w:r>
      <w:r>
        <w:t>service providers</w:t>
      </w:r>
      <w:r w:rsidRPr="00883125">
        <w:t xml:space="preserve"> have submitted that </w:t>
      </w:r>
      <w:r>
        <w:t>our</w:t>
      </w:r>
      <w:r w:rsidRPr="00883125">
        <w:t xml:space="preserve"> refinement of the data may not be complete as it is limited by the coarseness of the data and that there are a number of concerns with the quality of the data as documented by the ABS.</w:t>
      </w:r>
      <w:r w:rsidRPr="00883125">
        <w:rPr>
          <w:rStyle w:val="FootnoteReference"/>
        </w:rPr>
        <w:footnoteReference w:id="515"/>
      </w:r>
      <w:r w:rsidRPr="00883125">
        <w:t xml:space="preserve"> However, </w:t>
      </w:r>
      <w:r>
        <w:t>we</w:t>
      </w:r>
      <w:r w:rsidRPr="00883125">
        <w:t xml:space="preserve"> do not consider that the data limitations that may exist in all datasets is a valid reason not to refine data. </w:t>
      </w:r>
      <w:r>
        <w:t>We</w:t>
      </w:r>
      <w:r w:rsidRPr="00883125">
        <w:t xml:space="preserve"> consider there are valid reasons to refine the ABS data. It should be noted that </w:t>
      </w:r>
      <w:r>
        <w:t>our</w:t>
      </w:r>
      <w:r w:rsidRPr="00883125">
        <w:t xml:space="preserve"> approach to removing the government sector is conservative. Alternatively, </w:t>
      </w:r>
      <w:r>
        <w:t>we</w:t>
      </w:r>
      <w:r w:rsidRPr="00883125">
        <w:t xml:space="preserve"> could have assumed the government sector has a utilisation value of 1 given this equity is Australian owned.</w:t>
      </w:r>
    </w:p>
    <w:p w:rsidR="001D37D5" w:rsidRPr="00883125" w:rsidRDefault="001D37D5" w:rsidP="001D37D5">
      <w:pPr>
        <w:numPr>
          <w:ilvl w:val="0"/>
          <w:numId w:val="24"/>
        </w:numPr>
      </w:pPr>
      <w:r w:rsidRPr="00883125">
        <w:t xml:space="preserve">Further, in response to Frontier, </w:t>
      </w:r>
      <w:r>
        <w:t xml:space="preserve">we </w:t>
      </w:r>
      <w:r w:rsidRPr="00883125">
        <w:t xml:space="preserve">do not consider the refinement of the ABS data is what drives the difference between the equity ownership approach and taxation statistics. </w:t>
      </w:r>
      <w:r>
        <w:t>We</w:t>
      </w:r>
      <w:r w:rsidRPr="00883125">
        <w:t xml:space="preserve"> consider the difference is primarily driven by data issues with taxation statics and other issues. This is further discussed in section </w:t>
      </w:r>
      <w:r w:rsidRPr="00883125">
        <w:fldChar w:fldCharType="begin"/>
      </w:r>
      <w:r w:rsidRPr="00883125">
        <w:instrText xml:space="preserve"> REF _Ref450299464 \r \h </w:instrText>
      </w:r>
      <w:r w:rsidRPr="00883125">
        <w:fldChar w:fldCharType="separate"/>
      </w:r>
      <w:r w:rsidR="00A02D8C">
        <w:t>A.14</w:t>
      </w:r>
      <w:r w:rsidRPr="00883125">
        <w:fldChar w:fldCharType="end"/>
      </w:r>
      <w:r w:rsidRPr="00883125">
        <w:t>.</w:t>
      </w:r>
    </w:p>
    <w:p w:rsidR="001D37D5" w:rsidRPr="00883125" w:rsidRDefault="001D37D5" w:rsidP="001D37D5">
      <w:pPr>
        <w:numPr>
          <w:ilvl w:val="0"/>
          <w:numId w:val="24"/>
        </w:numPr>
      </w:pPr>
      <w:r w:rsidRPr="00883125">
        <w:t xml:space="preserve">Our estimate ranges in this </w:t>
      </w:r>
      <w:r>
        <w:t>final</w:t>
      </w:r>
      <w:r w:rsidRPr="00883125">
        <w:t xml:space="preserve"> decision differ from the corresponding ranges in the draft decisions released in 2014. These changes in part reflect the views of service providers, Gray (for SFG) and Handley. We discuss our consideration of these views below.</w:t>
      </w:r>
    </w:p>
    <w:p w:rsidR="001D37D5" w:rsidRPr="00883125" w:rsidRDefault="001D37D5" w:rsidP="001D37D5">
      <w:r w:rsidRPr="00883125">
        <w:t>A number of service providers have submitted that we erred in our earlier decisions because:</w:t>
      </w:r>
      <w:r w:rsidRPr="00883125">
        <w:rPr>
          <w:rStyle w:val="FootnoteReference"/>
        </w:rPr>
        <w:footnoteReference w:id="516"/>
      </w:r>
    </w:p>
    <w:p w:rsidR="001D37D5" w:rsidRPr="00883125" w:rsidRDefault="001D37D5" w:rsidP="001D37D5">
      <w:pPr>
        <w:pStyle w:val="AERquote"/>
      </w:pPr>
      <w:r w:rsidRPr="00883125">
        <w:t>…the ranges used by the AER for the equity ownership rate are inconsistent with the evidence in the Draft Decision.</w:t>
      </w:r>
    </w:p>
    <w:p w:rsidR="001D37D5" w:rsidRPr="00883125" w:rsidRDefault="001D37D5" w:rsidP="001D37D5">
      <w:r w:rsidRPr="00883125">
        <w:t>The service providers then referred to the data presented in the draft decisions released in 2014 on the refined domestic ownership share (figures 4.4 and 4.5 of the draft decisions). However, as indicated in the draft decisions, our estimates were based on evidence across both the refined domestic ownership share (figures 4.4 and 4.5 of the draft decisions) and simple domestic ownership share (figures 4.2 and 4.3 of the draft decisions).</w:t>
      </w:r>
    </w:p>
    <w:p w:rsidR="001D37D5" w:rsidRPr="00883125" w:rsidRDefault="001D37D5" w:rsidP="001D37D5">
      <w:r w:rsidRPr="00883125">
        <w:lastRenderedPageBreak/>
        <w:t>In his recent advice, Handley advised that, although it is reasonable to rely on both the simple and refined domestic ownership share, 'the refined share should (subject to the limitations in the data) be more relevant by construction'.</w:t>
      </w:r>
      <w:r w:rsidRPr="00883125">
        <w:rPr>
          <w:rStyle w:val="FootnoteReference"/>
        </w:rPr>
        <w:footnoteReference w:id="517"/>
      </w:r>
      <w:r w:rsidRPr="00883125">
        <w:t xml:space="preserve"> Accordingly, as we did in the decisions released in April, June, October and November 2015, in this final decision we rely only on the refined domestic ownership share.</w:t>
      </w:r>
    </w:p>
    <w:p w:rsidR="001D37D5" w:rsidRPr="00883125" w:rsidRDefault="001D37D5" w:rsidP="001D37D5">
      <w:r w:rsidRPr="00883125">
        <w:t>Service providers have also submitted that only the most recent point estimates of the equity ownership share are relevant.</w:t>
      </w:r>
      <w:r w:rsidRPr="00883125">
        <w:rPr>
          <w:rStyle w:val="FootnoteReference"/>
        </w:rPr>
        <w:footnoteReference w:id="518"/>
      </w:r>
      <w:r w:rsidRPr="00883125">
        <w:t xml:space="preserve"> We disagree. Given that the series exhibits considerable volatility, we think it is reasonable to not rely solely on the most recent point estimate. Handley supported this view:</w:t>
      </w:r>
      <w:r w:rsidRPr="00883125">
        <w:rPr>
          <w:rStyle w:val="FootnoteReference"/>
        </w:rPr>
        <w:footnoteReference w:id="519"/>
      </w:r>
    </w:p>
    <w:p w:rsidR="001D37D5" w:rsidRPr="00883125" w:rsidRDefault="001D37D5" w:rsidP="001D37D5">
      <w:pPr>
        <w:pStyle w:val="AERquote"/>
      </w:pPr>
      <w:r w:rsidRPr="00883125">
        <w:t>Referring to the refined data, it is apparent that there is substantial volatility in the reported ABS estimates over time. There are also residual issues with the ABS data. This suggests that more than just the most recent estimates should be taken into consideration, although the length of period to be considered is open to judgment.</w:t>
      </w:r>
    </w:p>
    <w:p w:rsidR="001D37D5" w:rsidRDefault="001D37D5" w:rsidP="001D37D5">
      <w:r>
        <w:t>In determining whether to use the current value of equity ownership or a historical average, Lally considers that it depends on whether the series is following a random walk or mean reversion.</w:t>
      </w:r>
      <w:r>
        <w:rPr>
          <w:rStyle w:val="FootnoteReference"/>
        </w:rPr>
        <w:footnoteReference w:id="520"/>
      </w:r>
      <w:r>
        <w:t xml:space="preserve"> Lally does not concluded whether the series is mean reverting or not and states the current observation are not unusually high or low. He suggests that even if the series are mean reverting, a reasonable point estimate for the next five years would still be approximately the latest values.</w:t>
      </w:r>
      <w:r>
        <w:rPr>
          <w:rStyle w:val="FootnoteReference"/>
        </w:rPr>
        <w:footnoteReference w:id="521"/>
      </w:r>
      <w:r>
        <w:t xml:space="preserve"> We note that Lally uses the current equity ownership rate of all equity to estimate an utilisation value of at least 0.6. In contrast we assess the utilisation value for all equity using the lowest point of the range over the last 15 years. As a result, for the equity ownership approach for all equity our approach of using a value towards the bottom end of the range is conservative relative to Lally's use of a value of around the current estimate.</w:t>
      </w:r>
    </w:p>
    <w:p w:rsidR="001D37D5" w:rsidRPr="00883125" w:rsidRDefault="001D37D5" w:rsidP="001D37D5">
      <w:r w:rsidRPr="00883125">
        <w:t>On Handley's point regarding the length of period to considered, we agree with Gray's view (for SFG) that:</w:t>
      </w:r>
      <w:r w:rsidRPr="00883125">
        <w:rPr>
          <w:rStyle w:val="FootnoteReference"/>
        </w:rPr>
        <w:footnoteReference w:id="522"/>
      </w:r>
    </w:p>
    <w:p w:rsidR="001D37D5" w:rsidRPr="00883125" w:rsidRDefault="001D37D5" w:rsidP="001D37D5">
      <w:pPr>
        <w:pStyle w:val="AERquote"/>
      </w:pPr>
      <w:r w:rsidRPr="00883125">
        <w:lastRenderedPageBreak/>
        <w:t>It is not clear why estimates of what the domestic equity ownership proportion was in the 1980s are relevant to the current determination for the forthcoming regulatory period.</w:t>
      </w:r>
    </w:p>
    <w:p w:rsidR="001D37D5" w:rsidRPr="00883125" w:rsidRDefault="001D37D5" w:rsidP="001D37D5">
      <w:r w:rsidRPr="00883125">
        <w:t>We consider that the most relevant period to consider is that since July 2000, when eligible investors became entitled for a refund of excess credits. This accords with one of the periods Handley considered relevant.</w:t>
      </w:r>
      <w:r w:rsidRPr="00883125">
        <w:rPr>
          <w:rStyle w:val="FootnoteReference"/>
        </w:rPr>
        <w:footnoteReference w:id="523"/>
      </w:r>
      <w:r w:rsidRPr="00883125">
        <w:t xml:space="preserve"> It is also consistent with the service providers' proposed estimation of the value of distributed credits via SFG's dividend drop off study. This study employs data from July 2001 to October 2012.</w:t>
      </w:r>
    </w:p>
    <w:p w:rsidR="001D37D5" w:rsidRPr="00883125" w:rsidRDefault="001D37D5" w:rsidP="001D37D5">
      <w:r w:rsidRPr="00883125">
        <w:t>The service providers submit that the July 2000 start date is arbitrary and that more recent events such as the GFC could provide a more appropriate start date.</w:t>
      </w:r>
      <w:r w:rsidRPr="00883125">
        <w:rPr>
          <w:rStyle w:val="FootnoteReference"/>
        </w:rPr>
        <w:footnoteReference w:id="524"/>
      </w:r>
      <w:r w:rsidRPr="00883125">
        <w:t xml:space="preserve"> However, the AER considers that the service provider have not provided any evidence why the GFC would result in a structural change in the value of imputation credits. The AER considers that the 2000 tax law change is a structural change and would be expected to increase the value of imputation credits to investors. The same cannot be said about the GFC where the impact on imputation credits is unclear.</w:t>
      </w:r>
    </w:p>
    <w:p w:rsidR="001D37D5" w:rsidRPr="00883125" w:rsidRDefault="001D37D5" w:rsidP="001D37D5">
      <w:pPr>
        <w:rPr>
          <w:rStyle w:val="AERbody"/>
        </w:rPr>
      </w:pPr>
      <w:r w:rsidRPr="00883125">
        <w:rPr>
          <w:rStyle w:val="AERbody"/>
        </w:rPr>
        <w:t>Gray (for Frontier) submitted that we are incorrect to exclude from the equity ownership calculation entities that are wholly owned by the public sector and to the extent we exclude them theta will be upward biased.</w:t>
      </w:r>
      <w:r w:rsidRPr="00883125">
        <w:rPr>
          <w:rStyle w:val="FootnoteReference"/>
        </w:rPr>
        <w:footnoteReference w:id="525"/>
      </w:r>
      <w:r w:rsidRPr="00883125">
        <w:rPr>
          <w:rStyle w:val="AERbody"/>
        </w:rPr>
        <w:t xml:space="preserve"> We disagree for the reasons stated above as set out in our April and June 2015 decisions. We consider that the Vanilla WACC framework as embedded in the rules is aimed at ensuring private investors are fairly compensated. This should ensure efficient investment and use of regulated network infrastructure. We consider an estimate of gamma reduced due to government entities being assumed to not redeem credits is not appropriate. </w:t>
      </w:r>
    </w:p>
    <w:p w:rsidR="001D37D5" w:rsidRDefault="001D37D5" w:rsidP="001D37D5">
      <w:r w:rsidRPr="00883125">
        <w:rPr>
          <w:rStyle w:val="AERbody"/>
        </w:rPr>
        <w:t xml:space="preserve">United Energy has submitted that the Tribunal found that the </w:t>
      </w:r>
      <w:r w:rsidRPr="00883125">
        <w:t>equity ownership approach overstates the redemption rates and would only be useful as a further check on other estimates.</w:t>
      </w:r>
      <w:r w:rsidRPr="00883125">
        <w:rPr>
          <w:rStyle w:val="FootnoteReference"/>
        </w:rPr>
        <w:footnoteReference w:id="526"/>
      </w:r>
      <w:r w:rsidRPr="00883125">
        <w:t xml:space="preserve"> In this decision the Tribunal also indicated that since the equity ownership approach utilisation value is higher than the tax statistics this implies that there are investors who the AER assumes are eligible to redeem imputation credits but, for whatever reasons, either cannot redeem them or attribute so little value to the </w:t>
      </w:r>
      <w:r w:rsidRPr="00883125">
        <w:lastRenderedPageBreak/>
        <w:t>credits that they do not utilise them.</w:t>
      </w:r>
      <w:r w:rsidRPr="00883125">
        <w:rPr>
          <w:rStyle w:val="FootnoteReference"/>
        </w:rPr>
        <w:footnoteReference w:id="527"/>
      </w:r>
      <w:r w:rsidRPr="00883125">
        <w:t xml:space="preserve"> </w:t>
      </w:r>
      <w:r>
        <w:t>We have</w:t>
      </w:r>
      <w:r w:rsidRPr="00883125">
        <w:t xml:space="preserve"> carefully considered the Tribunal reasoning and remain of the view that the equity ownership approach can be used as a point estimate for the utilisation value.</w:t>
      </w:r>
      <w:r>
        <w:t xml:space="preserve"> Lally supports this view by noting the equity ownership approach is not an upper bound on the utilisation value but an unbiased estimate.</w:t>
      </w:r>
      <w:r w:rsidRPr="00EA25C2">
        <w:rPr>
          <w:rStyle w:val="FootnoteReference"/>
        </w:rPr>
        <w:t xml:space="preserve"> </w:t>
      </w:r>
      <w:r>
        <w:rPr>
          <w:rStyle w:val="FootnoteReference"/>
        </w:rPr>
        <w:footnoteReference w:id="528"/>
      </w:r>
    </w:p>
    <w:p w:rsidR="001D37D5" w:rsidRPr="00883125" w:rsidRDefault="001D37D5" w:rsidP="001D37D5">
      <w:pPr>
        <w:rPr>
          <w:rStyle w:val="AERbody"/>
        </w:rPr>
      </w:pPr>
      <w:r w:rsidRPr="00883125">
        <w:t>United Energy also submitted that the Tribunal found that the AER is effectively redefining the utilisation value as the proportion of distributed imputation credits available for redemption, and this is inconsistent with the concept of gamma in the Office Framework for the WACC.</w:t>
      </w:r>
      <w:r w:rsidRPr="00883125">
        <w:rPr>
          <w:rStyle w:val="FootnoteReference"/>
        </w:rPr>
        <w:footnoteReference w:id="529"/>
      </w:r>
      <w:r w:rsidRPr="00883125">
        <w:t xml:space="preserve"> </w:t>
      </w:r>
      <w:r>
        <w:t xml:space="preserve">As set out in sections </w:t>
      </w:r>
      <w:r>
        <w:fldChar w:fldCharType="begin"/>
      </w:r>
      <w:r>
        <w:instrText xml:space="preserve"> REF _Ref415144114 \r \h </w:instrText>
      </w:r>
      <w:r>
        <w:fldChar w:fldCharType="separate"/>
      </w:r>
      <w:r w:rsidR="00A02D8C">
        <w:t>A.5</w:t>
      </w:r>
      <w:r>
        <w:fldChar w:fldCharType="end"/>
      </w:r>
      <w:r>
        <w:t xml:space="preserve">, </w:t>
      </w:r>
      <w:r>
        <w:fldChar w:fldCharType="begin"/>
      </w:r>
      <w:r>
        <w:instrText xml:space="preserve"> REF _Ref451826492 \r \h </w:instrText>
      </w:r>
      <w:r>
        <w:fldChar w:fldCharType="separate"/>
      </w:r>
      <w:r w:rsidR="00A02D8C">
        <w:t>A.6</w:t>
      </w:r>
      <w:r>
        <w:fldChar w:fldCharType="end"/>
      </w:r>
      <w:r>
        <w:t xml:space="preserve"> and </w:t>
      </w:r>
      <w:r>
        <w:fldChar w:fldCharType="begin"/>
      </w:r>
      <w:r>
        <w:instrText xml:space="preserve"> REF _Ref451849752 \r \h </w:instrText>
      </w:r>
      <w:r>
        <w:fldChar w:fldCharType="separate"/>
      </w:r>
      <w:r w:rsidR="00A02D8C">
        <w:t>A.7</w:t>
      </w:r>
      <w:r>
        <w:fldChar w:fldCharType="end"/>
      </w:r>
      <w:r>
        <w:t>, we</w:t>
      </w:r>
      <w:r w:rsidRPr="00883125">
        <w:t xml:space="preserve"> consider </w:t>
      </w:r>
      <w:r>
        <w:t>our</w:t>
      </w:r>
      <w:r w:rsidRPr="00883125">
        <w:t xml:space="preserve"> approach is consistent with the post-tax Officer Framework for the WACC. </w:t>
      </w:r>
      <w:r>
        <w:t>We</w:t>
      </w:r>
      <w:r w:rsidRPr="00883125">
        <w:t xml:space="preserve"> consider the face value of imputation credits is the post</w:t>
      </w:r>
      <w:r>
        <w:t>-</w:t>
      </w:r>
      <w:r w:rsidRPr="00883125">
        <w:t>tax (pre-personal tax) value of imputation credits and reflects the cost of imputation credits to the regulated businesses</w:t>
      </w:r>
      <w:r>
        <w:t xml:space="preserve">. The face value of distributed imputation credits also reflects </w:t>
      </w:r>
      <w:r w:rsidRPr="00883125">
        <w:t>the post</w:t>
      </w:r>
      <w:r>
        <w:t>-</w:t>
      </w:r>
      <w:r w:rsidRPr="00883125">
        <w:t xml:space="preserve">tax value of </w:t>
      </w:r>
      <w:r>
        <w:t xml:space="preserve">distributed </w:t>
      </w:r>
      <w:r w:rsidRPr="00883125">
        <w:t xml:space="preserve">imputation credits to equity investors. </w:t>
      </w:r>
    </w:p>
    <w:p w:rsidR="001D37D5" w:rsidRDefault="001D37D5" w:rsidP="001D37D5">
      <w:r w:rsidRPr="00883125">
        <w:rPr>
          <w:rStyle w:val="AERbody"/>
        </w:rPr>
        <w:t>With</w:t>
      </w:r>
      <w:r w:rsidRPr="00883125">
        <w:t xml:space="preserve"> regard to these considerations, the relevant data is shown in </w:t>
      </w:r>
      <w:r w:rsidRPr="00883125">
        <w:fldChar w:fldCharType="begin"/>
      </w:r>
      <w:r w:rsidRPr="00883125">
        <w:instrText xml:space="preserve"> REF  _Ref414273399 \* Lower \h </w:instrText>
      </w:r>
      <w:r w:rsidRPr="00883125">
        <w:fldChar w:fldCharType="separate"/>
      </w:r>
      <w:r w:rsidR="00A02D8C" w:rsidRPr="00883125">
        <w:t xml:space="preserve">figure </w:t>
      </w:r>
      <w:r w:rsidR="00A02D8C">
        <w:rPr>
          <w:noProof/>
        </w:rPr>
        <w:t>4</w:t>
      </w:r>
      <w:r w:rsidR="00A02D8C" w:rsidRPr="00883125">
        <w:t>.</w:t>
      </w:r>
      <w:r w:rsidR="00A02D8C">
        <w:rPr>
          <w:noProof/>
        </w:rPr>
        <w:t>3</w:t>
      </w:r>
      <w:r w:rsidRPr="00883125">
        <w:fldChar w:fldCharType="end"/>
      </w:r>
      <w:r w:rsidRPr="00883125">
        <w:t>.</w:t>
      </w:r>
    </w:p>
    <w:p w:rsidR="005E1FC3" w:rsidRPr="00883125" w:rsidRDefault="005E1FC3" w:rsidP="001D37D5"/>
    <w:p w:rsidR="001D37D5" w:rsidRPr="00883125" w:rsidRDefault="001D37D5" w:rsidP="001D37D5">
      <w:pPr>
        <w:pStyle w:val="Caption"/>
      </w:pPr>
      <w:bookmarkStart w:id="249" w:name="_Ref414273399"/>
      <w:r w:rsidRPr="00883125">
        <w:lastRenderedPageBreak/>
        <w:t xml:space="preserve">Figure </w:t>
      </w:r>
      <w:r w:rsidRPr="00B27BE5">
        <w:fldChar w:fldCharType="begin"/>
      </w:r>
      <w:r>
        <w:instrText xml:space="preserve"> STYLEREF 1 \s </w:instrText>
      </w:r>
      <w:r w:rsidRPr="00B27BE5">
        <w:fldChar w:fldCharType="separate"/>
      </w:r>
      <w:r w:rsidR="00A02D8C">
        <w:rPr>
          <w:noProof/>
        </w:rPr>
        <w:t>4</w:t>
      </w:r>
      <w:r w:rsidRPr="00B27BE5">
        <w:fldChar w:fldCharType="end"/>
      </w:r>
      <w:r w:rsidRPr="00883125">
        <w:t>.</w:t>
      </w:r>
      <w:r w:rsidRPr="00B27BE5">
        <w:fldChar w:fldCharType="begin"/>
      </w:r>
      <w:r>
        <w:instrText xml:space="preserve"> SEQ Figure \* ARABIC \s 1 </w:instrText>
      </w:r>
      <w:r w:rsidRPr="00B27BE5">
        <w:fldChar w:fldCharType="separate"/>
      </w:r>
      <w:r w:rsidR="00A02D8C">
        <w:rPr>
          <w:noProof/>
        </w:rPr>
        <w:t>3</w:t>
      </w:r>
      <w:r w:rsidRPr="00B27BE5">
        <w:fldChar w:fldCharType="end"/>
      </w:r>
      <w:bookmarkEnd w:id="249"/>
      <w:r w:rsidRPr="00883125">
        <w:tab/>
        <w:t>Refined domestic ownership share of Australian equity</w:t>
      </w:r>
    </w:p>
    <w:p w:rsidR="001D37D5" w:rsidRPr="00883125" w:rsidRDefault="001D37D5" w:rsidP="001D37D5">
      <w:r w:rsidRPr="001D37D5">
        <w:rPr>
          <w:noProof/>
          <w:lang w:eastAsia="en-AU"/>
        </w:rPr>
        <w:drawing>
          <wp:inline distT="0" distB="0" distL="0" distR="0" wp14:anchorId="4D715371" wp14:editId="0F9AFE81">
            <wp:extent cx="5382895" cy="3505200"/>
            <wp:effectExtent l="0" t="0" r="8255" b="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1D37D5" w:rsidRPr="00883125" w:rsidRDefault="001D37D5" w:rsidP="001D37D5">
      <w:pPr>
        <w:pStyle w:val="AERtablesource"/>
      </w:pPr>
      <w:r w:rsidRPr="00883125">
        <w:t xml:space="preserve">Source: </w:t>
      </w:r>
      <w:r w:rsidRPr="00883125">
        <w:tab/>
        <w:t>Australian National Accounts: Finance and Wealth (ABS cat. 5232.0), tables 47 and 48.</w:t>
      </w:r>
    </w:p>
    <w:p w:rsidR="001D37D5" w:rsidRPr="00883125" w:rsidRDefault="001D37D5" w:rsidP="001D37D5">
      <w:r w:rsidRPr="00883125">
        <w:fldChar w:fldCharType="begin"/>
      </w:r>
      <w:r w:rsidRPr="00883125">
        <w:instrText xml:space="preserve"> REF _Ref414273399 \h </w:instrText>
      </w:r>
      <w:r w:rsidRPr="00883125">
        <w:fldChar w:fldCharType="separate"/>
      </w:r>
      <w:r w:rsidR="00A02D8C" w:rsidRPr="00883125">
        <w:t xml:space="preserve">Figure </w:t>
      </w:r>
      <w:r w:rsidR="00A02D8C">
        <w:rPr>
          <w:noProof/>
        </w:rPr>
        <w:t>4</w:t>
      </w:r>
      <w:r w:rsidR="00A02D8C" w:rsidRPr="00883125">
        <w:t>.</w:t>
      </w:r>
      <w:r w:rsidR="00A02D8C">
        <w:rPr>
          <w:noProof/>
        </w:rPr>
        <w:t>3</w:t>
      </w:r>
      <w:r w:rsidRPr="00883125">
        <w:fldChar w:fldCharType="end"/>
      </w:r>
      <w:r w:rsidRPr="00883125">
        <w:t xml:space="preserve"> indicates that the refined domestic ownership share of total equity has ranged from 0.56 to 0.68 over the relevant period, while the refined domestic ownership share of only listed equity has ranged from 0.38 to 0.55.</w:t>
      </w:r>
    </w:p>
    <w:p w:rsidR="001D37D5" w:rsidRPr="00883125" w:rsidRDefault="001D37D5" w:rsidP="001D37D5">
      <w:pPr>
        <w:pStyle w:val="Heading8"/>
      </w:pPr>
      <w:bookmarkStart w:id="250" w:name="_Ref402179420"/>
      <w:bookmarkStart w:id="251" w:name="_Toc436049454"/>
      <w:bookmarkStart w:id="252" w:name="_Toc451842260"/>
      <w:bookmarkStart w:id="253" w:name="_Toc451938314"/>
      <w:r w:rsidRPr="00883125">
        <w:t>Tax statistics</w:t>
      </w:r>
      <w:bookmarkEnd w:id="250"/>
      <w:bookmarkEnd w:id="251"/>
      <w:bookmarkEnd w:id="252"/>
      <w:bookmarkEnd w:id="253"/>
    </w:p>
    <w:p w:rsidR="001D37D5" w:rsidRPr="00883125" w:rsidRDefault="001D37D5" w:rsidP="001D37D5">
      <w:pPr>
        <w:numPr>
          <w:ilvl w:val="0"/>
          <w:numId w:val="24"/>
        </w:numPr>
      </w:pPr>
      <w:r w:rsidRPr="00883125">
        <w:t>The ATO publishes aggregate statistics on the tax returns submitted by individuals, superannuation funds and companies, as well as on the imputation credits refunded to certain income tax exempt entities (for example, charities).</w:t>
      </w:r>
      <w:r w:rsidRPr="00883125">
        <w:rPr>
          <w:rStyle w:val="FootnoteReference"/>
        </w:rPr>
        <w:footnoteReference w:id="530"/>
      </w:r>
      <w:r w:rsidRPr="00883125">
        <w:t xml:space="preserve"> These statistics can be used to derive a measure of the total amount of imputation credits utilised by eligible investors to offset tax or to be refunded. As discussed in relation to the distribution rate, ATO statistics also provide estimates of the amount of imputation credits distributed. We consider that the reported value of credits utilised divided by the reported value of credits distributed is a reasonable estimate of the utilisation rate.</w:t>
      </w:r>
    </w:p>
    <w:p w:rsidR="001D37D5" w:rsidRPr="00883125" w:rsidRDefault="001D37D5" w:rsidP="001D37D5">
      <w:pPr>
        <w:numPr>
          <w:ilvl w:val="0"/>
          <w:numId w:val="24"/>
        </w:numPr>
      </w:pPr>
      <w:r w:rsidRPr="00883125">
        <w:t xml:space="preserve">Our position on the use of tax statistics to estimate the utilisation rate is set out in section </w:t>
      </w:r>
      <w:r>
        <w:fldChar w:fldCharType="begin"/>
      </w:r>
      <w:r>
        <w:instrText xml:space="preserve"> REF _Ref451347585 \r \h </w:instrText>
      </w:r>
      <w:r>
        <w:fldChar w:fldCharType="separate"/>
      </w:r>
      <w:r w:rsidR="00A02D8C">
        <w:t>4.4</w:t>
      </w:r>
      <w:r>
        <w:fldChar w:fldCharType="end"/>
      </w:r>
      <w:r w:rsidRPr="00883125">
        <w:t xml:space="preserve"> of attachment 4. In this section, we explain how our position has changed compared to that in the Guideline.</w:t>
      </w:r>
    </w:p>
    <w:p w:rsidR="001D37D5" w:rsidRPr="00883125" w:rsidRDefault="001D37D5" w:rsidP="001D37D5">
      <w:pPr>
        <w:numPr>
          <w:ilvl w:val="0"/>
          <w:numId w:val="24"/>
        </w:numPr>
      </w:pPr>
      <w:r w:rsidRPr="00883125">
        <w:lastRenderedPageBreak/>
        <w:t>In the Guideline, we considered that tax statistics supported a utilisation rate between 0.4 and 0.8. This was based on:</w:t>
      </w:r>
    </w:p>
    <w:p w:rsidR="001D37D5" w:rsidRPr="001D37D5" w:rsidRDefault="001D37D5" w:rsidP="001D37D5">
      <w:pPr>
        <w:pStyle w:val="AERbulletlistfirststyle"/>
      </w:pPr>
      <w:r w:rsidRPr="00883125">
        <w:t>A 2013 report by Hathaway, which sought to estimate the proportion of distributed credits that have been utilised. This report produced two estimates for the period 2004 to 2011: 0.43 and 0.61.</w:t>
      </w:r>
      <w:r w:rsidRPr="001D37D5" w:rsidDel="005F06A5">
        <w:t xml:space="preserve"> </w:t>
      </w:r>
      <w:r w:rsidRPr="001D37D5">
        <w:t xml:space="preserve"> The two estimates reflect two alternative measures of the value of credits distributed, which in turn imply two alternative estimates of the distribution rate (as discussed in section </w:t>
      </w:r>
      <w:r w:rsidRPr="001D37D5">
        <w:fldChar w:fldCharType="begin"/>
      </w:r>
      <w:r w:rsidRPr="001D37D5">
        <w:instrText xml:space="preserve"> REF _Ref401133206 \r \h </w:instrText>
      </w:r>
      <w:r w:rsidRPr="001D37D5">
        <w:fldChar w:fldCharType="separate"/>
      </w:r>
      <w:r w:rsidR="00A02D8C">
        <w:t>A.10</w:t>
      </w:r>
      <w:r w:rsidRPr="001D37D5">
        <w:fldChar w:fldCharType="end"/>
      </w:r>
      <w:r w:rsidRPr="001D37D5">
        <w:t>). The 0.43 and 0.61 estimates of the utilisation rate correspond to estimates of the distribution rate of around 0.7 and 0.5 respectively.</w:t>
      </w:r>
      <w:r w:rsidRPr="001D37D5">
        <w:rPr>
          <w:rStyle w:val="FootnoteReference"/>
        </w:rPr>
        <w:footnoteReference w:id="531"/>
      </w:r>
      <w:r w:rsidRPr="001D37D5">
        <w:t xml:space="preserve"> </w:t>
      </w:r>
    </w:p>
    <w:p w:rsidR="001D37D5" w:rsidRPr="00883125" w:rsidRDefault="001D37D5" w:rsidP="001D37D5">
      <w:pPr>
        <w:pStyle w:val="AERbulletlistfirststyle"/>
      </w:pPr>
      <w:r w:rsidRPr="00883125">
        <w:t>A 2004 paper by Handley and Maheswaran, which sought to estimate the proportion of distributed credits that were used to reduce investors' tax liabilities. This paper produced an estimate for the period 2001 to 2004 of 0.81.</w:t>
      </w:r>
    </w:p>
    <w:p w:rsidR="001D37D5" w:rsidRPr="00883125" w:rsidRDefault="001D37D5" w:rsidP="001D37D5">
      <w:pPr>
        <w:numPr>
          <w:ilvl w:val="0"/>
          <w:numId w:val="24"/>
        </w:numPr>
      </w:pPr>
      <w:r w:rsidRPr="00883125">
        <w:t xml:space="preserve">Since the Guideline we have continued to examine this evidence. We now consider that </w:t>
      </w:r>
      <w:r>
        <w:t>greater reliance should be placed up</w:t>
      </w:r>
      <w:r w:rsidRPr="00883125">
        <w:t>on estimates that are:</w:t>
      </w:r>
    </w:p>
    <w:p w:rsidR="001D37D5" w:rsidRPr="001D37D5" w:rsidRDefault="001D37D5" w:rsidP="001D37D5">
      <w:pPr>
        <w:pStyle w:val="AERbulletlistfirststyle"/>
      </w:pPr>
      <w:r w:rsidRPr="00883125">
        <w:t>derived from post-2004 data, consistent with Hathaway's findings that the ATO statistics are subject to a number of issues prior to 2004,</w:t>
      </w:r>
      <w:r w:rsidRPr="001D37D5">
        <w:rPr>
          <w:rStyle w:val="FootnoteReference"/>
        </w:rPr>
        <w:footnoteReference w:id="532"/>
      </w:r>
      <w:r w:rsidRPr="001D37D5">
        <w:t xml:space="preserve"> and</w:t>
      </w:r>
    </w:p>
    <w:p w:rsidR="001D37D5" w:rsidRPr="001D37D5" w:rsidRDefault="001D37D5" w:rsidP="001D37D5">
      <w:pPr>
        <w:pStyle w:val="AERbulletlistfirststyle"/>
      </w:pPr>
      <w:r w:rsidRPr="00883125">
        <w:t>consistent with our preferred estimates of the distribution rate</w:t>
      </w:r>
      <w:r w:rsidRPr="001D37D5">
        <w:t xml:space="preserve"> estimated using cumulative distribution rate data. However, we note this consistency principle does not preclude the combination of a utilisation rate estimated based on this principle with a higher estimate of the distribution rate for the benchmark efficient entity based on Lally's latest advice.  </w:t>
      </w:r>
    </w:p>
    <w:p w:rsidR="001D37D5" w:rsidRPr="00883125" w:rsidRDefault="001D37D5" w:rsidP="001D37D5">
      <w:pPr>
        <w:numPr>
          <w:ilvl w:val="0"/>
          <w:numId w:val="24"/>
        </w:numPr>
      </w:pPr>
      <w:r w:rsidRPr="00883125">
        <w:t>Applying these considerations, in our prior decisions</w:t>
      </w:r>
      <w:r>
        <w:t>,</w:t>
      </w:r>
      <w:r w:rsidRPr="00883125">
        <w:t xml:space="preserve"> we did not rely on:</w:t>
      </w:r>
    </w:p>
    <w:p w:rsidR="001D37D5" w:rsidRPr="00883125" w:rsidRDefault="001D37D5" w:rsidP="001D37D5">
      <w:pPr>
        <w:pStyle w:val="AERbulletlistfirststyle"/>
      </w:pPr>
      <w:r w:rsidRPr="00883125">
        <w:t>Handley and Maheswaran's estimate of 0.81, because this is (predominantly) derived from pre-2004 data.</w:t>
      </w:r>
    </w:p>
    <w:p w:rsidR="001D37D5" w:rsidRPr="001D37D5" w:rsidRDefault="001D37D5" w:rsidP="001D37D5">
      <w:pPr>
        <w:pStyle w:val="AERbulletlistfirststyle"/>
      </w:pPr>
      <w:r w:rsidRPr="00883125">
        <w:t>Hathaway's estimate of 0.61, because this corresponds to an estimate of the distribution rate of around 0.5 whereas we adopt an estimate of the distribution rate over all equity of 0.7.</w:t>
      </w:r>
      <w:r w:rsidRPr="001D37D5">
        <w:t xml:space="preserve"> We note this does not apply to Lally's latest analysis, as he determines the distribution rate from annual reports and not tax statistics. Lally considers that the difference between the two Hathaway's utilisation rate estimates demonstrates the unreliability of tax statistics data.</w:t>
      </w:r>
      <w:r w:rsidRPr="001D37D5">
        <w:rPr>
          <w:rStyle w:val="FootnoteReference"/>
        </w:rPr>
        <w:footnoteReference w:id="533"/>
      </w:r>
      <w:r w:rsidRPr="001D37D5">
        <w:t xml:space="preserve"> </w:t>
      </w:r>
    </w:p>
    <w:p w:rsidR="001D37D5" w:rsidRDefault="001D37D5" w:rsidP="001D37D5">
      <w:r w:rsidRPr="00883125">
        <w:lastRenderedPageBreak/>
        <w:t xml:space="preserve">NERA updated analysis of the ATO data to the 2012 tax year </w:t>
      </w:r>
      <w:r>
        <w:t>and</w:t>
      </w:r>
      <w:r w:rsidRPr="00883125">
        <w:t xml:space="preserve"> f</w:t>
      </w:r>
      <w:r>
        <w:t>ound</w:t>
      </w:r>
      <w:r w:rsidRPr="00883125">
        <w:t xml:space="preserve"> a</w:t>
      </w:r>
      <w:r>
        <w:t>n estimated</w:t>
      </w:r>
      <w:r w:rsidRPr="00883125">
        <w:t xml:space="preserve"> utilisation rate of 0.45.</w:t>
      </w:r>
      <w:r w:rsidRPr="00883125">
        <w:rPr>
          <w:rStyle w:val="FootnoteReference"/>
        </w:rPr>
        <w:footnoteReference w:id="534"/>
      </w:r>
      <w:r w:rsidRPr="00883125">
        <w:t xml:space="preserve"> This analysis </w:t>
      </w:r>
      <w:r>
        <w:t>was subsequently</w:t>
      </w:r>
      <w:r w:rsidRPr="00883125">
        <w:t xml:space="preserve"> update</w:t>
      </w:r>
      <w:r>
        <w:t>d</w:t>
      </w:r>
      <w:r w:rsidRPr="00883125">
        <w:t xml:space="preserve"> by Frontier to the 2013 tax year which f</w:t>
      </w:r>
      <w:r>
        <w:t>ound</w:t>
      </w:r>
      <w:r w:rsidRPr="00883125">
        <w:t xml:space="preserve"> a</w:t>
      </w:r>
      <w:r>
        <w:t>n estimated</w:t>
      </w:r>
      <w:r w:rsidRPr="00883125">
        <w:t xml:space="preserve"> utilisation rate of 0.46.</w:t>
      </w:r>
      <w:r w:rsidRPr="00883125">
        <w:rPr>
          <w:rStyle w:val="FootnoteReference"/>
        </w:rPr>
        <w:footnoteReference w:id="535"/>
      </w:r>
      <w:r w:rsidRPr="00883125">
        <w:t xml:space="preserve"> </w:t>
      </w:r>
      <w:r>
        <w:t>We</w:t>
      </w:r>
      <w:r w:rsidRPr="00883125">
        <w:t xml:space="preserve"> further updated </w:t>
      </w:r>
      <w:r>
        <w:t xml:space="preserve">the estimate using </w:t>
      </w:r>
      <w:r w:rsidRPr="00883125">
        <w:t xml:space="preserve">tax statistics to the 2014 </w:t>
      </w:r>
      <w:r>
        <w:t xml:space="preserve">tax year </w:t>
      </w:r>
      <w:r w:rsidRPr="00883125">
        <w:t>and f</w:t>
      </w:r>
      <w:r>
        <w:t>ound</w:t>
      </w:r>
      <w:r w:rsidRPr="00883125">
        <w:t xml:space="preserve"> a utilisation value of 0.48. </w:t>
      </w:r>
    </w:p>
    <w:p w:rsidR="001D37D5" w:rsidRPr="00883125" w:rsidRDefault="001D37D5" w:rsidP="001D37D5">
      <w:r w:rsidRPr="00883125">
        <w:t xml:space="preserve">As discussed in section </w:t>
      </w:r>
      <w:r w:rsidRPr="00883125">
        <w:fldChar w:fldCharType="begin"/>
      </w:r>
      <w:r w:rsidRPr="00883125">
        <w:instrText xml:space="preserve"> REF _Ref401133206 \r \h </w:instrText>
      </w:r>
      <w:r w:rsidRPr="00883125">
        <w:fldChar w:fldCharType="separate"/>
      </w:r>
      <w:r w:rsidR="00A02D8C">
        <w:t>A.10</w:t>
      </w:r>
      <w:r w:rsidRPr="00883125">
        <w:fldChar w:fldCharType="end"/>
      </w:r>
      <w:r w:rsidRPr="00883125">
        <w:t>, for this decision we place no reliance on Hathaway's new report and therefore it does not change our conclusions regarding the utilisation rate indicated by tax statistics.</w:t>
      </w:r>
    </w:p>
    <w:p w:rsidR="001D37D5" w:rsidRDefault="001D37D5" w:rsidP="001D37D5">
      <w:r w:rsidRPr="00883125">
        <w:t>As noted above, United Energy has submitted that the Tribunal considers that tax statistics can only provide an upper bound on the estimate of theta.</w:t>
      </w:r>
      <w:r w:rsidRPr="00883125">
        <w:rPr>
          <w:rStyle w:val="FootnoteReference"/>
        </w:rPr>
        <w:footnoteReference w:id="536"/>
      </w:r>
      <w:r w:rsidRPr="00883125">
        <w:t xml:space="preserve"> </w:t>
      </w:r>
      <w:r>
        <w:t>We</w:t>
      </w:r>
      <w:r w:rsidRPr="00883125">
        <w:t xml:space="preserve"> remain of the view that tax statistics can be used as point estimate for the utilisation value</w:t>
      </w:r>
      <w:r>
        <w:t xml:space="preserve"> (see section </w:t>
      </w:r>
      <w:r>
        <w:fldChar w:fldCharType="begin"/>
      </w:r>
      <w:r>
        <w:instrText xml:space="preserve"> REF _Ref450761230 \r \h </w:instrText>
      </w:r>
      <w:r>
        <w:fldChar w:fldCharType="separate"/>
      </w:r>
      <w:r w:rsidR="00A02D8C">
        <w:t>4.4.1</w:t>
      </w:r>
      <w:r>
        <w:fldChar w:fldCharType="end"/>
      </w:r>
      <w:r>
        <w:t xml:space="preserve"> and our reasoning below)</w:t>
      </w:r>
      <w:r w:rsidRPr="00883125">
        <w:t xml:space="preserve">. </w:t>
      </w:r>
    </w:p>
    <w:p w:rsidR="001D37D5" w:rsidRDefault="001D37D5" w:rsidP="001D37D5">
      <w:r>
        <w:t xml:space="preserve">We consider tax statistics produce estimates of the utilisation rate. These estimates are uncertain and dependent on the quality of the underlying data (which is an issue for tax statistics, as shown in section </w:t>
      </w:r>
      <w:r>
        <w:fldChar w:fldCharType="begin"/>
      </w:r>
      <w:r>
        <w:instrText xml:space="preserve"> REF _Ref450761230 \r \h </w:instrText>
      </w:r>
      <w:r>
        <w:fldChar w:fldCharType="separate"/>
      </w:r>
      <w:r w:rsidR="00A02D8C">
        <w:t>4.4.1</w:t>
      </w:r>
      <w:r>
        <w:fldChar w:fldCharType="end"/>
      </w:r>
      <w:r>
        <w:t xml:space="preserve">). As such, </w:t>
      </w:r>
      <w:r w:rsidRPr="00883125">
        <w:t>the true (unknown) value could be higher or lower.</w:t>
      </w:r>
      <w:r>
        <w:t xml:space="preserve"> We consider this cannot constitute an upper bound for the true utilisation rate.</w:t>
      </w:r>
    </w:p>
    <w:p w:rsidR="001D37D5" w:rsidRPr="00883125" w:rsidRDefault="001D37D5" w:rsidP="001D37D5">
      <w:r>
        <w:t>Also, Lally considers that the correctly measured tax statistics provides an upward biased estimate for the utilisation value.</w:t>
      </w:r>
      <w:r>
        <w:rPr>
          <w:rStyle w:val="FootnoteReference"/>
        </w:rPr>
        <w:footnoteReference w:id="537"/>
      </w:r>
      <w:r>
        <w:t xml:space="preserve"> This is because local investors tilt their shareholding to stocks with higher imputation credit yields. However, Lally considers our estimate of 0.45 (updated to 0.48 in this decision) is not an upper bound as tax statistics are unreliable and we use the lower of two possible tax statistics estimates for the utilisation rate.</w:t>
      </w:r>
      <w:r>
        <w:rPr>
          <w:rStyle w:val="FootnoteReference"/>
        </w:rPr>
        <w:footnoteReference w:id="538"/>
      </w:r>
      <w:r w:rsidRPr="00EA5224">
        <w:t xml:space="preserve"> </w:t>
      </w:r>
      <w:r>
        <w:t>Ultimately, as set out above, w</w:t>
      </w:r>
      <w:r w:rsidRPr="00EA5224">
        <w:t xml:space="preserve">e consider any uncertain estimate is not an upper bound. Given the uncertainty </w:t>
      </w:r>
      <w:r>
        <w:t xml:space="preserve">associated </w:t>
      </w:r>
      <w:r w:rsidRPr="00EA5224">
        <w:t>with the utilisation rate estimate, we also do not consider the tax statistics would be inconsistent with a higher estimate of gamma than 0.4 for the benchmark efficient entity.</w:t>
      </w:r>
      <w:r>
        <w:t xml:space="preserve"> In particular, we note</w:t>
      </w:r>
      <w:r w:rsidRPr="004635C5">
        <w:t xml:space="preserve"> an estimate of gamma of approximately 0.4 is obtained when combining a utilisation rate of 0.48 (</w:t>
      </w:r>
      <w:r>
        <w:t xml:space="preserve">consistent with </w:t>
      </w:r>
      <w:r w:rsidRPr="004635C5">
        <w:t>FAB data) with Lally's preferred estimate of the distribution rate for a benchmark efficient entity of 0.83.</w:t>
      </w:r>
      <w:r>
        <w:rPr>
          <w:rStyle w:val="FootnoteReference"/>
        </w:rPr>
        <w:footnoteReference w:id="539"/>
      </w:r>
    </w:p>
    <w:p w:rsidR="001D37D5" w:rsidRPr="00883125" w:rsidRDefault="001D37D5" w:rsidP="001D37D5">
      <w:r w:rsidRPr="00883125">
        <w:t xml:space="preserve">Given the concerns with tax statistics data, </w:t>
      </w:r>
      <w:r>
        <w:t>we</w:t>
      </w:r>
      <w:r w:rsidRPr="00883125">
        <w:t xml:space="preserve"> consider the equity ownership approach provides </w:t>
      </w:r>
      <w:r>
        <w:t>the best</w:t>
      </w:r>
      <w:r w:rsidRPr="00883125">
        <w:t xml:space="preserve"> point estimate for the utilisation value</w:t>
      </w:r>
      <w:r>
        <w:t xml:space="preserve"> currently available</w:t>
      </w:r>
      <w:r w:rsidRPr="00883125">
        <w:t xml:space="preserve">. This is due to the value of imputation credits being equal to face value on a pre-personal tax and pre-personal cost basis. Given the 45 day holding rule should not be having a material </w:t>
      </w:r>
      <w:r w:rsidRPr="00883125">
        <w:lastRenderedPageBreak/>
        <w:t xml:space="preserve">impact on the utilisation of imputation credits (see section </w:t>
      </w:r>
      <w:r>
        <w:fldChar w:fldCharType="begin"/>
      </w:r>
      <w:r>
        <w:instrText xml:space="preserve"> REF _Ref414099389 \r \h </w:instrText>
      </w:r>
      <w:r>
        <w:fldChar w:fldCharType="separate"/>
      </w:r>
      <w:r w:rsidR="00A02D8C">
        <w:t>A.8.3</w:t>
      </w:r>
      <w:r>
        <w:fldChar w:fldCharType="end"/>
      </w:r>
      <w:r w:rsidRPr="00883125">
        <w:t xml:space="preserve">), </w:t>
      </w:r>
      <w:r>
        <w:t>w</w:t>
      </w:r>
      <w:r w:rsidRPr="00883125">
        <w:t>e consider the proportion of local investor in the equity markets is a</w:t>
      </w:r>
      <w:r>
        <w:t xml:space="preserve"> reasonable point estimate of the utilisation value.</w:t>
      </w:r>
      <w:r w:rsidRPr="00883125" w:rsidDel="00EE2A38">
        <w:t xml:space="preserve"> </w:t>
      </w:r>
    </w:p>
    <w:p w:rsidR="001D37D5" w:rsidRPr="00883125" w:rsidRDefault="001D37D5" w:rsidP="001D37D5">
      <w:r w:rsidRPr="00883125">
        <w:t xml:space="preserve">In comparison to tax statistics market studies do not provide as appropriate an estimate of the utilisation value as they are determined by the marginal investor and the not aggregate investors. As a result, we consider market studies do not provide as good an estimate of the value of distributed imputation credits as estimates from the equity ownership approach and tax statistics. Market studies are also influenced by differential personal tax and personal cost factors </w:t>
      </w:r>
      <w:r>
        <w:t xml:space="preserve">and do not reflect a post-tax (pre-personal) rate of imputation credits under our post-tax framework </w:t>
      </w:r>
      <w:r w:rsidRPr="00883125">
        <w:t xml:space="preserve">(see section </w:t>
      </w:r>
      <w:r w:rsidRPr="00883125">
        <w:fldChar w:fldCharType="begin"/>
      </w:r>
      <w:r w:rsidRPr="00883125">
        <w:instrText xml:space="preserve"> REF _Ref435171205 \r \h </w:instrText>
      </w:r>
      <w:r w:rsidRPr="00883125">
        <w:fldChar w:fldCharType="separate"/>
      </w:r>
      <w:r w:rsidR="00A02D8C">
        <w:t>A.15.3</w:t>
      </w:r>
      <w:r w:rsidRPr="00883125">
        <w:fldChar w:fldCharType="end"/>
      </w:r>
      <w:r w:rsidRPr="00883125">
        <w:t>). For these reasons we provide them relatively less weight.</w:t>
      </w:r>
    </w:p>
    <w:p w:rsidR="001D37D5" w:rsidRPr="00883125" w:rsidRDefault="001D37D5" w:rsidP="001D37D5">
      <w:pPr>
        <w:pStyle w:val="Heading8"/>
      </w:pPr>
      <w:bookmarkStart w:id="254" w:name="_Ref450298682"/>
      <w:bookmarkStart w:id="255" w:name="_Ref450299464"/>
      <w:bookmarkStart w:id="256" w:name="_Toc451842261"/>
      <w:bookmarkStart w:id="257" w:name="_Toc451938315"/>
      <w:bookmarkStart w:id="258" w:name="_Ref401080753"/>
      <w:bookmarkStart w:id="259" w:name="_Toc436049455"/>
      <w:r w:rsidRPr="00883125">
        <w:t>Difference between equity ownership approach and tax statistics</w:t>
      </w:r>
      <w:bookmarkEnd w:id="254"/>
      <w:bookmarkEnd w:id="255"/>
      <w:bookmarkEnd w:id="256"/>
      <w:bookmarkEnd w:id="257"/>
    </w:p>
    <w:p w:rsidR="001D37D5" w:rsidRPr="00883125" w:rsidRDefault="001D37D5" w:rsidP="001D37D5">
      <w:r w:rsidRPr="00883125">
        <w:t xml:space="preserve">In </w:t>
      </w:r>
      <w:r>
        <w:t>its</w:t>
      </w:r>
      <w:r w:rsidRPr="00883125">
        <w:t xml:space="preserve"> decision</w:t>
      </w:r>
      <w:r>
        <w:t>s</w:t>
      </w:r>
      <w:r w:rsidRPr="00883125">
        <w:t>, the Tribunal considered it is apparent that there are investors who the AER assumes are eligible to redeem imputation credits but, for whatever reasons, either cannot redeem them or attribute so little value to the credits that they do not utilise them.</w:t>
      </w:r>
      <w:r w:rsidRPr="00883125">
        <w:rPr>
          <w:rStyle w:val="FootnoteReference"/>
        </w:rPr>
        <w:footnoteReference w:id="540"/>
      </w:r>
      <w:r w:rsidRPr="00883125">
        <w:t xml:space="preserve"> This is due to the equity ownership approach indicating</w:t>
      </w:r>
      <w:r>
        <w:t xml:space="preserve"> the</w:t>
      </w:r>
      <w:r w:rsidRPr="00883125">
        <w:t xml:space="preserve"> utilisation</w:t>
      </w:r>
      <w:r>
        <w:t xml:space="preserve"> rate</w:t>
      </w:r>
      <w:r w:rsidRPr="00883125">
        <w:t xml:space="preserve"> is above the </w:t>
      </w:r>
      <w:r>
        <w:t>estimate</w:t>
      </w:r>
      <w:r w:rsidRPr="00883125">
        <w:t xml:space="preserve"> specified through tax statistics. Further, the Tribunal considered the value of the utilisation value produced by taxation statistics is evidence that Australian investors do not value imputation credits at their face value, because they may be unable to use them.</w:t>
      </w:r>
      <w:r w:rsidRPr="00883125">
        <w:rPr>
          <w:rStyle w:val="FootnoteReference"/>
        </w:rPr>
        <w:footnoteReference w:id="541"/>
      </w:r>
    </w:p>
    <w:p w:rsidR="001D37D5" w:rsidRDefault="001D37D5" w:rsidP="001D37D5">
      <w:r>
        <w:t>We have</w:t>
      </w:r>
      <w:r w:rsidRPr="00883125">
        <w:t xml:space="preserve"> considered the Tribunal's reasoning and consider there is no reason to </w:t>
      </w:r>
      <w:r>
        <w:t>expect</w:t>
      </w:r>
      <w:r w:rsidRPr="00883125">
        <w:t xml:space="preserve"> that the equity ownership approach and the taxation statistics should result in the same utilisation value. </w:t>
      </w:r>
      <w:r>
        <w:t>We</w:t>
      </w:r>
      <w:r w:rsidRPr="00883125">
        <w:t xml:space="preserve"> do not consider the difference is likely to be driven either by the 45 day holding rule or by investors valuing imputation credits at less than face value because they may be unable to use them. We </w:t>
      </w:r>
      <w:r>
        <w:t>consider</w:t>
      </w:r>
      <w:r w:rsidRPr="00883125">
        <w:t xml:space="preserve"> the difference between the equity ownership approach and tax statistics is likely driven primarily by data issues </w:t>
      </w:r>
      <w:r>
        <w:t xml:space="preserve">associated </w:t>
      </w:r>
      <w:r w:rsidRPr="00883125">
        <w:t>with the tax statistics. The data issues with tax statistics was recognised by the Tribunal.</w:t>
      </w:r>
      <w:r w:rsidRPr="00883125">
        <w:rPr>
          <w:rStyle w:val="FootnoteReference"/>
        </w:rPr>
        <w:footnoteReference w:id="542"/>
      </w:r>
      <w:r w:rsidRPr="00883125">
        <w:t xml:space="preserve"> </w:t>
      </w:r>
      <w:r>
        <w:t>Lally supports this view by noting that the most obvious explanation for the difference between the equity ownership and tax statistics is explained by our tax statistics estimate being too low.</w:t>
      </w:r>
      <w:r>
        <w:rPr>
          <w:rStyle w:val="FootnoteReference"/>
        </w:rPr>
        <w:footnoteReference w:id="543"/>
      </w:r>
      <w:r>
        <w:t xml:space="preserve"> Although, we note that </w:t>
      </w:r>
      <w:r w:rsidRPr="00645287">
        <w:t xml:space="preserve">an estimate of gamma of approximately 0.4 </w:t>
      </w:r>
      <w:r>
        <w:t>is be</w:t>
      </w:r>
      <w:r w:rsidRPr="00645287">
        <w:t xml:space="preserve"> obtained when combining a utilisation rate of 0.48 (</w:t>
      </w:r>
      <w:r>
        <w:t>consistent with</w:t>
      </w:r>
      <w:r w:rsidRPr="00645287">
        <w:t xml:space="preserve"> </w:t>
      </w:r>
      <w:r>
        <w:t xml:space="preserve">tax statistics, </w:t>
      </w:r>
      <w:r w:rsidRPr="00645287">
        <w:t>FAB data) with Lally's preferred estimate of the distribution rate for a benchmark efficient entity of 0.83.</w:t>
      </w:r>
      <w:r>
        <w:rPr>
          <w:rStyle w:val="FootnoteReference"/>
        </w:rPr>
        <w:footnoteReference w:id="544"/>
      </w:r>
    </w:p>
    <w:p w:rsidR="001D37D5" w:rsidRPr="00883125" w:rsidRDefault="001D37D5" w:rsidP="001D37D5">
      <w:r>
        <w:lastRenderedPageBreak/>
        <w:t>Further, w</w:t>
      </w:r>
      <w:r w:rsidRPr="00883125">
        <w:t xml:space="preserve">e note there is no compelling evidence before </w:t>
      </w:r>
      <w:r>
        <w:t>us</w:t>
      </w:r>
      <w:r w:rsidRPr="00883125">
        <w:t xml:space="preserve"> that the 45 day rule is having a material impact, or that investors are valuing imputation credits at less than their face value because they may be unable to use them. As noted earlier, the estimate from tax statistics</w:t>
      </w:r>
      <w:r>
        <w:t xml:space="preserve"> that we rely upon </w:t>
      </w:r>
      <w:r w:rsidRPr="00883125">
        <w:t>is not an upper bound on the utilisation value.</w:t>
      </w:r>
      <w:r w:rsidRPr="00C20CE6">
        <w:rPr>
          <w:rStyle w:val="FootnoteReference"/>
        </w:rPr>
        <w:t xml:space="preserve"> </w:t>
      </w:r>
      <w:r>
        <w:rPr>
          <w:rStyle w:val="FootnoteReference"/>
        </w:rPr>
        <w:footnoteReference w:id="545"/>
      </w:r>
    </w:p>
    <w:p w:rsidR="001D37D5" w:rsidRPr="00883125" w:rsidRDefault="001D37D5" w:rsidP="001D37D5">
      <w:r w:rsidRPr="00883125">
        <w:t xml:space="preserve">Finally we note that even if the data was </w:t>
      </w:r>
      <w:r>
        <w:t xml:space="preserve">highly </w:t>
      </w:r>
      <w:r w:rsidRPr="00883125">
        <w:t>reliable</w:t>
      </w:r>
      <w:r>
        <w:t>,</w:t>
      </w:r>
      <w:r w:rsidRPr="00883125">
        <w:t xml:space="preserve"> the equity ownership approach and taxation statistics are </w:t>
      </w:r>
      <w:r>
        <w:t xml:space="preserve">a </w:t>
      </w:r>
      <w:r w:rsidRPr="00883125">
        <w:t>slight</w:t>
      </w:r>
      <w:r>
        <w:t>ly</w:t>
      </w:r>
      <w:r w:rsidRPr="00883125">
        <w:t xml:space="preserve"> different measures based on different data sets and methodologies</w:t>
      </w:r>
      <w:r>
        <w:t>. Therefore,</w:t>
      </w:r>
      <w:r w:rsidRPr="00883125">
        <w:t xml:space="preserve"> there should be no expectation that both measures should yield exactly the same estimates of the utilisation value. </w:t>
      </w:r>
      <w:r>
        <w:t>We</w:t>
      </w:r>
      <w:r w:rsidRPr="00883125">
        <w:t xml:space="preserve"> consider both measure are relevant in determining gamma. However, </w:t>
      </w:r>
      <w:r>
        <w:t>we</w:t>
      </w:r>
      <w:r w:rsidRPr="00883125">
        <w:t xml:space="preserve"> place more reliance on the equity ownership approach given </w:t>
      </w:r>
      <w:r>
        <w:t xml:space="preserve">they are conceptually more correct (see section </w:t>
      </w:r>
      <w:r>
        <w:fldChar w:fldCharType="begin"/>
      </w:r>
      <w:r>
        <w:instrText xml:space="preserve"> REF _Ref415049811 \r \h </w:instrText>
      </w:r>
      <w:r>
        <w:fldChar w:fldCharType="separate"/>
      </w:r>
      <w:r w:rsidR="00A02D8C">
        <w:t>A.12</w:t>
      </w:r>
      <w:r>
        <w:fldChar w:fldCharType="end"/>
      </w:r>
      <w:r>
        <w:t>) and there are</w:t>
      </w:r>
      <w:r w:rsidRPr="00883125">
        <w:t xml:space="preserve"> data issue</w:t>
      </w:r>
      <w:r>
        <w:t>s associated</w:t>
      </w:r>
      <w:r w:rsidRPr="00883125">
        <w:t xml:space="preserve"> with tax statistics. The Tribunal itself has acknowledged these data issues in its latest decision.</w:t>
      </w:r>
      <w:r w:rsidRPr="00883125">
        <w:rPr>
          <w:rStyle w:val="FootnoteReference"/>
        </w:rPr>
        <w:footnoteReference w:id="546"/>
      </w:r>
      <w:r w:rsidRPr="00883125">
        <w:t xml:space="preserve"> In light of the Tribunals acknowledgement of the data issues, </w:t>
      </w:r>
      <w:r>
        <w:t xml:space="preserve">we consider </w:t>
      </w:r>
      <w:r w:rsidRPr="00883125">
        <w:t>taxation statistics cannot be used to infer the upper bound for theta</w:t>
      </w:r>
      <w:r>
        <w:t xml:space="preserve"> (see section </w:t>
      </w:r>
      <w:r>
        <w:fldChar w:fldCharType="begin"/>
      </w:r>
      <w:r>
        <w:instrText xml:space="preserve"> REF _Ref402179420 \r \h </w:instrText>
      </w:r>
      <w:r>
        <w:fldChar w:fldCharType="separate"/>
      </w:r>
      <w:r w:rsidR="00A02D8C">
        <w:t>A.13</w:t>
      </w:r>
      <w:r>
        <w:fldChar w:fldCharType="end"/>
      </w:r>
      <w:r>
        <w:t>)</w:t>
      </w:r>
      <w:r w:rsidRPr="00883125">
        <w:t>.</w:t>
      </w:r>
      <w:r>
        <w:t xml:space="preserve"> Moreover, h</w:t>
      </w:r>
      <w:r w:rsidRPr="009A225F">
        <w:t xml:space="preserve">aving regard to the potential data limitations and alternate estimates, </w:t>
      </w:r>
      <w:r>
        <w:t xml:space="preserve">we consider </w:t>
      </w:r>
      <w:r w:rsidRPr="009A225F">
        <w:t>the evidence from tax statistics is not inconsistent with the evidence from the equity ownership approach</w:t>
      </w:r>
      <w:r>
        <w:t>.</w:t>
      </w:r>
      <w:r w:rsidRPr="00883125">
        <w:t xml:space="preserve"> </w:t>
      </w:r>
    </w:p>
    <w:p w:rsidR="001D37D5" w:rsidRPr="00883125" w:rsidRDefault="001D37D5" w:rsidP="001D37D5">
      <w:pPr>
        <w:pStyle w:val="Heading8"/>
      </w:pPr>
      <w:bookmarkStart w:id="260" w:name="_Ref451184082"/>
      <w:bookmarkStart w:id="261" w:name="_Ref451186079"/>
      <w:bookmarkStart w:id="262" w:name="_Ref451242641"/>
      <w:bookmarkStart w:id="263" w:name="_Ref451266265"/>
      <w:bookmarkStart w:id="264" w:name="_Ref451267181"/>
      <w:bookmarkStart w:id="265" w:name="_Ref451267267"/>
      <w:bookmarkStart w:id="266" w:name="_Ref451267696"/>
      <w:bookmarkStart w:id="267" w:name="_Ref451267729"/>
      <w:bookmarkStart w:id="268" w:name="_Ref451267750"/>
      <w:bookmarkStart w:id="269" w:name="_Toc451842262"/>
      <w:bookmarkStart w:id="270" w:name="_Toc451938316"/>
      <w:r w:rsidRPr="00883125">
        <w:t>Implied market value studies</w:t>
      </w:r>
      <w:bookmarkEnd w:id="258"/>
      <w:bookmarkEnd w:id="259"/>
      <w:bookmarkEnd w:id="260"/>
      <w:bookmarkEnd w:id="261"/>
      <w:bookmarkEnd w:id="262"/>
      <w:bookmarkEnd w:id="263"/>
      <w:bookmarkEnd w:id="264"/>
      <w:bookmarkEnd w:id="265"/>
      <w:bookmarkEnd w:id="266"/>
      <w:bookmarkEnd w:id="267"/>
      <w:bookmarkEnd w:id="268"/>
      <w:bookmarkEnd w:id="269"/>
      <w:bookmarkEnd w:id="270"/>
    </w:p>
    <w:p w:rsidR="001D37D5" w:rsidRPr="00883125" w:rsidRDefault="001D37D5" w:rsidP="001D37D5">
      <w:pPr>
        <w:numPr>
          <w:ilvl w:val="0"/>
          <w:numId w:val="24"/>
        </w:numPr>
      </w:pPr>
      <w:r w:rsidRPr="00883125">
        <w:t xml:space="preserve">Implied market value studies seek to infer from market prices the value of distributed imputation credits. Our position on the use of implied market value studies to estimate the utilisation rate is set out in section </w:t>
      </w:r>
      <w:r>
        <w:fldChar w:fldCharType="begin"/>
      </w:r>
      <w:r>
        <w:instrText xml:space="preserve"> REF _Ref451350649 \r \h </w:instrText>
      </w:r>
      <w:r>
        <w:fldChar w:fldCharType="separate"/>
      </w:r>
      <w:r w:rsidR="00A02D8C">
        <w:t>4.4</w:t>
      </w:r>
      <w:r>
        <w:fldChar w:fldCharType="end"/>
      </w:r>
      <w:r w:rsidRPr="00883125">
        <w:t xml:space="preserve"> of attachment 4. </w:t>
      </w:r>
    </w:p>
    <w:p w:rsidR="001D37D5" w:rsidRPr="00883125" w:rsidRDefault="001D37D5" w:rsidP="001D37D5">
      <w:pPr>
        <w:numPr>
          <w:ilvl w:val="0"/>
          <w:numId w:val="24"/>
        </w:numPr>
      </w:pPr>
      <w:r w:rsidRPr="00883125">
        <w:t xml:space="preserve">This section sets out further evidence which supports our position on the use of implied market value studies to estimate the utilisation rate. It describes the types of study available, and estimates from these studies. As we discuss in section </w:t>
      </w:r>
      <w:r>
        <w:fldChar w:fldCharType="begin"/>
      </w:r>
      <w:r>
        <w:instrText xml:space="preserve"> REF _Ref451350656 \r \h </w:instrText>
      </w:r>
      <w:r>
        <w:fldChar w:fldCharType="separate"/>
      </w:r>
      <w:r w:rsidR="00A02D8C">
        <w:t>4.4</w:t>
      </w:r>
      <w:r>
        <w:fldChar w:fldCharType="end"/>
      </w:r>
      <w:r w:rsidRPr="00883125">
        <w:t xml:space="preserve"> of attachment 4, the level of reliance we place on implied market value studies reflects the limitations of these studies. We discuss the limitations of the most common type of implied market value study, dividend drop off studies, in sections </w:t>
      </w:r>
      <w:r w:rsidRPr="00883125">
        <w:fldChar w:fldCharType="begin"/>
      </w:r>
      <w:r w:rsidRPr="00883125">
        <w:instrText xml:space="preserve"> REF _Ref414624721 \r \h </w:instrText>
      </w:r>
      <w:r w:rsidRPr="00883125">
        <w:fldChar w:fldCharType="separate"/>
      </w:r>
      <w:r w:rsidR="00A02D8C">
        <w:t>A.15.5</w:t>
      </w:r>
      <w:r w:rsidRPr="00883125">
        <w:fldChar w:fldCharType="end"/>
      </w:r>
      <w:r w:rsidRPr="00883125">
        <w:t>.</w:t>
      </w:r>
    </w:p>
    <w:p w:rsidR="001D37D5" w:rsidRPr="00883125" w:rsidRDefault="001D37D5" w:rsidP="001D37D5">
      <w:pPr>
        <w:pStyle w:val="Heading9"/>
      </w:pPr>
      <w:bookmarkStart w:id="271" w:name="_Ref402791521"/>
      <w:r w:rsidRPr="00883125">
        <w:t>Types of implied market value studies</w:t>
      </w:r>
      <w:bookmarkEnd w:id="271"/>
    </w:p>
    <w:p w:rsidR="001D37D5" w:rsidRPr="00883125" w:rsidRDefault="001D37D5" w:rsidP="001D37D5">
      <w:pPr>
        <w:numPr>
          <w:ilvl w:val="0"/>
          <w:numId w:val="24"/>
        </w:numPr>
      </w:pPr>
      <w:r w:rsidRPr="00883125">
        <w:t>In this section, we describe the key characteristics of dividend drop off studies and other implied market value studies.</w:t>
      </w:r>
    </w:p>
    <w:p w:rsidR="001D37D5" w:rsidRPr="00883125" w:rsidRDefault="001D37D5" w:rsidP="001D37D5">
      <w:pPr>
        <w:pStyle w:val="HeadingBoldBlue"/>
        <w:numPr>
          <w:ilvl w:val="0"/>
          <w:numId w:val="24"/>
        </w:numPr>
      </w:pPr>
      <w:r w:rsidRPr="00883125">
        <w:t>Dividend drop off studies</w:t>
      </w:r>
    </w:p>
    <w:p w:rsidR="001D37D5" w:rsidRPr="00883125" w:rsidRDefault="001D37D5" w:rsidP="001D37D5">
      <w:pPr>
        <w:numPr>
          <w:ilvl w:val="0"/>
          <w:numId w:val="24"/>
        </w:numPr>
      </w:pPr>
      <w:r w:rsidRPr="00883125">
        <w:t>Dividend drop off studies are the most common type of implied market value study. These studies involve comparing share prices between:</w:t>
      </w:r>
    </w:p>
    <w:p w:rsidR="001D37D5" w:rsidRPr="00883125" w:rsidRDefault="001D37D5" w:rsidP="001D37D5">
      <w:pPr>
        <w:pStyle w:val="AERbulletlistfirststyle"/>
      </w:pPr>
      <w:r w:rsidRPr="00883125">
        <w:lastRenderedPageBreak/>
        <w:t>the cum-dividend date—the last day on which investors owning shares will be eligible to receive dividends and the attached imputation credits, and</w:t>
      </w:r>
    </w:p>
    <w:p w:rsidR="001D37D5" w:rsidRPr="00883125" w:rsidRDefault="001D37D5" w:rsidP="001D37D5">
      <w:pPr>
        <w:pStyle w:val="AERbulletlistfirststyle"/>
      </w:pPr>
      <w:r w:rsidRPr="00883125">
        <w:t>the ex-dividend date—the first day on which investors owning shares will not be eligible to receive dividends and attached imputation credits.</w:t>
      </w:r>
    </w:p>
    <w:p w:rsidR="001D37D5" w:rsidRPr="00883125" w:rsidRDefault="001D37D5" w:rsidP="001D37D5">
      <w:pPr>
        <w:numPr>
          <w:ilvl w:val="0"/>
          <w:numId w:val="24"/>
        </w:numPr>
      </w:pPr>
      <w:r w:rsidRPr="00883125">
        <w:t>That is, an investor that buys a share on the cum-dividend date will be eligible to receive a dividend from that company. An investor who buys a share on the ex-dividend date will not. The difference in these prices should therefore reflect investors' valuation of the combined package of dividends and imputation credits, all other things being equal. Dividend drop off studies often will report this as a dividend drop off ratio. This is the reduction in the share price as a proportion of the face value of dividends paid out.</w:t>
      </w:r>
    </w:p>
    <w:p w:rsidR="001D37D5" w:rsidRPr="00883125" w:rsidRDefault="001D37D5" w:rsidP="001D37D5">
      <w:pPr>
        <w:numPr>
          <w:ilvl w:val="0"/>
          <w:numId w:val="24"/>
        </w:numPr>
      </w:pPr>
      <w:r w:rsidRPr="00883125">
        <w:fldChar w:fldCharType="begin"/>
      </w:r>
      <w:r w:rsidRPr="00883125">
        <w:instrText xml:space="preserve"> REF _Ref401075742 \h </w:instrText>
      </w:r>
      <w:r w:rsidRPr="00883125">
        <w:fldChar w:fldCharType="separate"/>
      </w:r>
      <w:r w:rsidR="00A02D8C" w:rsidRPr="00883125">
        <w:t xml:space="preserve">Table </w:t>
      </w:r>
      <w:r w:rsidR="00A02D8C">
        <w:rPr>
          <w:noProof/>
        </w:rPr>
        <w:t>4</w:t>
      </w:r>
      <w:r w:rsidR="00A02D8C">
        <w:noBreakHyphen/>
      </w:r>
      <w:r w:rsidR="00A02D8C">
        <w:rPr>
          <w:noProof/>
        </w:rPr>
        <w:t>15</w:t>
      </w:r>
      <w:r w:rsidRPr="00883125">
        <w:fldChar w:fldCharType="end"/>
      </w:r>
      <w:r w:rsidRPr="00883125">
        <w:t xml:space="preserve"> identifies the dividend drop off studies that we are aware of, and describes the methodology of each study. The results from these studies are presented in </w:t>
      </w:r>
      <w:r w:rsidRPr="00883125">
        <w:fldChar w:fldCharType="begin"/>
      </w:r>
      <w:r w:rsidRPr="00883125">
        <w:instrText xml:space="preserve"> REF  _Ref401075676 \* Lower \h </w:instrText>
      </w:r>
      <w:r w:rsidRPr="00883125">
        <w:fldChar w:fldCharType="separate"/>
      </w:r>
      <w:r w:rsidR="00A02D8C" w:rsidRPr="00883125">
        <w:t xml:space="preserve">table </w:t>
      </w:r>
      <w:r w:rsidR="00A02D8C">
        <w:rPr>
          <w:noProof/>
        </w:rPr>
        <w:t>4</w:t>
      </w:r>
      <w:r w:rsidR="00A02D8C">
        <w:noBreakHyphen/>
      </w:r>
      <w:r w:rsidR="00A02D8C">
        <w:rPr>
          <w:noProof/>
        </w:rPr>
        <w:t>17</w:t>
      </w:r>
      <w:r w:rsidRPr="00883125">
        <w:fldChar w:fldCharType="end"/>
      </w:r>
      <w:r w:rsidRPr="00883125">
        <w:t>.</w:t>
      </w:r>
    </w:p>
    <w:p w:rsidR="001D37D5" w:rsidRPr="00883125" w:rsidRDefault="001D37D5" w:rsidP="001D37D5">
      <w:pPr>
        <w:pStyle w:val="Caption"/>
      </w:pPr>
      <w:bookmarkStart w:id="272" w:name="_Ref401075742"/>
      <w:r w:rsidRPr="00883125">
        <w:t xml:space="preserve">Table </w:t>
      </w:r>
      <w:r w:rsidRPr="001D37D5">
        <w:fldChar w:fldCharType="begin"/>
      </w:r>
      <w:r>
        <w:instrText xml:space="preserve"> STYLEREF 1 \s </w:instrText>
      </w:r>
      <w:r w:rsidRPr="001D37D5">
        <w:fldChar w:fldCharType="separate"/>
      </w:r>
      <w:r w:rsidR="00A02D8C">
        <w:rPr>
          <w:noProof/>
        </w:rPr>
        <w:t>4</w:t>
      </w:r>
      <w:r w:rsidRPr="001D37D5">
        <w:fldChar w:fldCharType="end"/>
      </w:r>
      <w:r>
        <w:noBreakHyphen/>
      </w:r>
      <w:r w:rsidRPr="001D37D5">
        <w:fldChar w:fldCharType="begin"/>
      </w:r>
      <w:r>
        <w:instrText xml:space="preserve"> SEQ Table \* ARABIC \s 1 </w:instrText>
      </w:r>
      <w:r w:rsidRPr="001D37D5">
        <w:fldChar w:fldCharType="separate"/>
      </w:r>
      <w:r w:rsidR="00A02D8C">
        <w:rPr>
          <w:noProof/>
        </w:rPr>
        <w:t>15</w:t>
      </w:r>
      <w:r w:rsidRPr="001D37D5">
        <w:fldChar w:fldCharType="end"/>
      </w:r>
      <w:bookmarkEnd w:id="272"/>
      <w:r w:rsidRPr="00883125">
        <w:tab/>
        <w:t>Summary of available dividend drop off studies</w:t>
      </w:r>
    </w:p>
    <w:tbl>
      <w:tblPr>
        <w:tblStyle w:val="AERtable-text0"/>
        <w:tblW w:w="0" w:type="auto"/>
        <w:tblLook w:val="04A0" w:firstRow="1" w:lastRow="0" w:firstColumn="1" w:lastColumn="0" w:noHBand="0" w:noVBand="1"/>
      </w:tblPr>
      <w:tblGrid>
        <w:gridCol w:w="2383"/>
        <w:gridCol w:w="1223"/>
        <w:gridCol w:w="5087"/>
      </w:tblGrid>
      <w:tr w:rsidR="001D37D5" w:rsidTr="005E1FC3">
        <w:trPr>
          <w:cnfStyle w:val="100000000000" w:firstRow="1" w:lastRow="0" w:firstColumn="0" w:lastColumn="0" w:oddVBand="0" w:evenVBand="0" w:oddHBand="0" w:evenHBand="0" w:firstRowFirstColumn="0" w:firstRowLastColumn="0" w:lastRowFirstColumn="0" w:lastRowLastColumn="0"/>
          <w:cantSplit/>
          <w:tblHeader/>
        </w:trPr>
        <w:tc>
          <w:tcPr>
            <w:tcW w:w="2518" w:type="dxa"/>
          </w:tcPr>
          <w:p w:rsidR="001D37D5" w:rsidRPr="001D37D5" w:rsidRDefault="001D37D5" w:rsidP="001D37D5">
            <w:r w:rsidRPr="00883125">
              <w:t>Authors</w:t>
            </w:r>
          </w:p>
        </w:tc>
        <w:tc>
          <w:tcPr>
            <w:tcW w:w="1276" w:type="dxa"/>
          </w:tcPr>
          <w:p w:rsidR="001D37D5" w:rsidRPr="001D37D5" w:rsidRDefault="001D37D5" w:rsidP="001D37D5">
            <w:r w:rsidRPr="00883125">
              <w:t>Data range</w:t>
            </w:r>
          </w:p>
        </w:tc>
        <w:tc>
          <w:tcPr>
            <w:tcW w:w="5448" w:type="dxa"/>
          </w:tcPr>
          <w:p w:rsidR="001D37D5" w:rsidRPr="001D37D5" w:rsidRDefault="001D37D5" w:rsidP="001D37D5">
            <w:r w:rsidRPr="00883125">
              <w:t>Assessment relative to other studies in that class</w:t>
            </w:r>
          </w:p>
        </w:tc>
      </w:tr>
      <w:tr w:rsidR="001D37D5" w:rsidTr="005E1FC3">
        <w:trPr>
          <w:cantSplit/>
        </w:trPr>
        <w:tc>
          <w:tcPr>
            <w:tcW w:w="9242" w:type="dxa"/>
            <w:gridSpan w:val="3"/>
          </w:tcPr>
          <w:p w:rsidR="001D37D5" w:rsidRPr="00883125" w:rsidRDefault="001D37D5" w:rsidP="001D37D5">
            <w:pPr>
              <w:numPr>
                <w:ilvl w:val="0"/>
                <w:numId w:val="24"/>
              </w:numPr>
            </w:pPr>
            <w:r w:rsidRPr="00883125">
              <w:rPr>
                <w:rStyle w:val="Strong"/>
              </w:rPr>
              <w:t>Dividend drop off study</w:t>
            </w:r>
            <w:r w:rsidRPr="00883125">
              <w:t xml:space="preserve"> – Compare share prices before and after dividend events (with and without imputation credits).</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tcW w:w="2518" w:type="dxa"/>
          </w:tcPr>
          <w:p w:rsidR="001D37D5" w:rsidRPr="001D37D5" w:rsidRDefault="001D37D5" w:rsidP="001D37D5">
            <w:r w:rsidRPr="00883125">
              <w:t>Vo et al (2013)</w:t>
            </w:r>
            <w:r w:rsidRPr="001D37D5">
              <w:rPr>
                <w:rStyle w:val="FootnoteReference"/>
              </w:rPr>
              <w:footnoteReference w:id="547"/>
            </w:r>
          </w:p>
        </w:tc>
        <w:tc>
          <w:tcPr>
            <w:tcW w:w="1276" w:type="dxa"/>
          </w:tcPr>
          <w:p w:rsidR="001D37D5" w:rsidRPr="001D37D5" w:rsidRDefault="001D37D5" w:rsidP="001D37D5">
            <w:r w:rsidRPr="00883125">
              <w:t>2001-2012</w:t>
            </w:r>
          </w:p>
        </w:tc>
        <w:tc>
          <w:tcPr>
            <w:tcW w:w="5448" w:type="dxa"/>
          </w:tcPr>
          <w:p w:rsidR="001D37D5" w:rsidRPr="001D37D5" w:rsidRDefault="001D37D5" w:rsidP="001D37D5">
            <w:r w:rsidRPr="00883125">
              <w:t>Builds on SFG (2011), includes additional econometric permutations and sensitivity analysis.</w:t>
            </w:r>
          </w:p>
        </w:tc>
      </w:tr>
      <w:tr w:rsidR="001D37D5" w:rsidTr="005E1FC3">
        <w:trPr>
          <w:cantSplit/>
        </w:trPr>
        <w:tc>
          <w:tcPr>
            <w:tcW w:w="2518" w:type="dxa"/>
          </w:tcPr>
          <w:p w:rsidR="001D37D5" w:rsidRPr="001D37D5" w:rsidRDefault="001D37D5" w:rsidP="001D37D5">
            <w:r w:rsidRPr="00883125">
              <w:t>SFG (2013a)</w:t>
            </w:r>
            <w:r w:rsidRPr="001D37D5">
              <w:rPr>
                <w:rStyle w:val="FootnoteReference"/>
              </w:rPr>
              <w:footnoteReference w:id="548"/>
            </w:r>
          </w:p>
        </w:tc>
        <w:tc>
          <w:tcPr>
            <w:tcW w:w="1276" w:type="dxa"/>
          </w:tcPr>
          <w:p w:rsidR="001D37D5" w:rsidRPr="001D37D5" w:rsidRDefault="001D37D5" w:rsidP="001D37D5">
            <w:r w:rsidRPr="00883125">
              <w:t>2001-2012</w:t>
            </w:r>
          </w:p>
        </w:tc>
        <w:tc>
          <w:tcPr>
            <w:tcW w:w="5448" w:type="dxa"/>
          </w:tcPr>
          <w:p w:rsidR="001D37D5" w:rsidRPr="001D37D5" w:rsidRDefault="001D37D5" w:rsidP="001D37D5">
            <w:r w:rsidRPr="00883125">
              <w:t>Updates SFG (2011) – same author, longer data series.</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tcW w:w="2518" w:type="dxa"/>
          </w:tcPr>
          <w:p w:rsidR="001D37D5" w:rsidRPr="001D37D5" w:rsidRDefault="001D37D5" w:rsidP="001D37D5">
            <w:r w:rsidRPr="00883125">
              <w:t>SFG (2011)</w:t>
            </w:r>
            <w:r w:rsidRPr="001D37D5">
              <w:rPr>
                <w:rStyle w:val="FootnoteReference"/>
              </w:rPr>
              <w:footnoteReference w:id="549"/>
            </w:r>
          </w:p>
        </w:tc>
        <w:tc>
          <w:tcPr>
            <w:tcW w:w="1276" w:type="dxa"/>
          </w:tcPr>
          <w:p w:rsidR="001D37D5" w:rsidRPr="001D37D5" w:rsidRDefault="001D37D5" w:rsidP="001D37D5">
            <w:r w:rsidRPr="00883125">
              <w:t>2001-2010</w:t>
            </w:r>
          </w:p>
        </w:tc>
        <w:tc>
          <w:tcPr>
            <w:tcW w:w="5448" w:type="dxa"/>
          </w:tcPr>
          <w:p w:rsidR="001D37D5" w:rsidRPr="001D37D5" w:rsidRDefault="001D37D5" w:rsidP="001D37D5">
            <w:r w:rsidRPr="00883125">
              <w:t>Study commissioned by the Australian Competition Tribunal.</w:t>
            </w:r>
          </w:p>
        </w:tc>
      </w:tr>
      <w:tr w:rsidR="001D37D5" w:rsidTr="005E1FC3">
        <w:trPr>
          <w:cantSplit/>
        </w:trPr>
        <w:tc>
          <w:tcPr>
            <w:tcW w:w="2518" w:type="dxa"/>
          </w:tcPr>
          <w:p w:rsidR="001D37D5" w:rsidRPr="001D37D5" w:rsidRDefault="001D37D5" w:rsidP="001D37D5">
            <w:r w:rsidRPr="00883125">
              <w:t>Minney (2010)</w:t>
            </w:r>
            <w:r w:rsidRPr="001D37D5">
              <w:rPr>
                <w:rStyle w:val="FootnoteReference"/>
              </w:rPr>
              <w:footnoteReference w:id="550"/>
            </w:r>
          </w:p>
        </w:tc>
        <w:tc>
          <w:tcPr>
            <w:tcW w:w="1276" w:type="dxa"/>
          </w:tcPr>
          <w:p w:rsidR="001D37D5" w:rsidRPr="001D37D5" w:rsidRDefault="001D37D5" w:rsidP="001D37D5">
            <w:r w:rsidRPr="00883125">
              <w:t>2001–2009</w:t>
            </w:r>
          </w:p>
        </w:tc>
        <w:tc>
          <w:tcPr>
            <w:tcW w:w="5448" w:type="dxa"/>
          </w:tcPr>
          <w:p w:rsidR="001D37D5" w:rsidRPr="001D37D5" w:rsidRDefault="001D37D5" w:rsidP="001D37D5">
            <w:r w:rsidRPr="00883125">
              <w:t xml:space="preserve">Partitions by firm size; </w:t>
            </w:r>
            <w:r w:rsidRPr="001D37D5">
              <w:t>sub-periods 2001–2005 and 2006–2009.</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tcW w:w="2518" w:type="dxa"/>
          </w:tcPr>
          <w:p w:rsidR="001D37D5" w:rsidRPr="001D37D5" w:rsidRDefault="001D37D5" w:rsidP="001D37D5">
            <w:r w:rsidRPr="00883125">
              <w:t>Beggs and Skeels (2006)</w:t>
            </w:r>
            <w:r w:rsidRPr="001D37D5">
              <w:rPr>
                <w:rStyle w:val="FootnoteReference"/>
              </w:rPr>
              <w:footnoteReference w:id="551"/>
            </w:r>
          </w:p>
        </w:tc>
        <w:tc>
          <w:tcPr>
            <w:tcW w:w="1276" w:type="dxa"/>
          </w:tcPr>
          <w:p w:rsidR="001D37D5" w:rsidRPr="001D37D5" w:rsidRDefault="001D37D5" w:rsidP="001D37D5">
            <w:r w:rsidRPr="00883125">
              <w:t>1986-2004</w:t>
            </w:r>
          </w:p>
        </w:tc>
        <w:tc>
          <w:tcPr>
            <w:tcW w:w="5448" w:type="dxa"/>
          </w:tcPr>
          <w:p w:rsidR="001D37D5" w:rsidRPr="001D37D5" w:rsidRDefault="001D37D5" w:rsidP="001D37D5">
            <w:r w:rsidRPr="00883125">
              <w:t>Key study in the AER's 2009 review of rate of return parameters. Data calculated yearly.</w:t>
            </w:r>
          </w:p>
        </w:tc>
      </w:tr>
      <w:tr w:rsidR="001D37D5" w:rsidTr="005E1FC3">
        <w:trPr>
          <w:cantSplit/>
        </w:trPr>
        <w:tc>
          <w:tcPr>
            <w:tcW w:w="2518" w:type="dxa"/>
          </w:tcPr>
          <w:p w:rsidR="001D37D5" w:rsidRPr="001D37D5" w:rsidRDefault="001D37D5" w:rsidP="001D37D5">
            <w:r w:rsidRPr="00883125">
              <w:t>Hathaway and Officer (2004)</w:t>
            </w:r>
            <w:r w:rsidRPr="001D37D5">
              <w:rPr>
                <w:rStyle w:val="FootnoteReference"/>
              </w:rPr>
              <w:footnoteReference w:id="552"/>
            </w:r>
          </w:p>
        </w:tc>
        <w:tc>
          <w:tcPr>
            <w:tcW w:w="1276" w:type="dxa"/>
          </w:tcPr>
          <w:p w:rsidR="001D37D5" w:rsidRPr="001D37D5" w:rsidRDefault="001D37D5" w:rsidP="001D37D5">
            <w:r w:rsidRPr="00883125">
              <w:t>1986-2004</w:t>
            </w:r>
          </w:p>
        </w:tc>
        <w:tc>
          <w:tcPr>
            <w:tcW w:w="5448" w:type="dxa"/>
          </w:tcPr>
          <w:p w:rsidR="001D37D5" w:rsidRPr="001D37D5" w:rsidRDefault="001D37D5" w:rsidP="001D37D5">
            <w:r w:rsidRPr="00883125">
              <w:t>Study partitions by firm size, dividend yield level.</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tcW w:w="2518" w:type="dxa"/>
          </w:tcPr>
          <w:p w:rsidR="001D37D5" w:rsidRPr="001D37D5" w:rsidRDefault="001D37D5" w:rsidP="001D37D5">
            <w:r w:rsidRPr="00883125">
              <w:lastRenderedPageBreak/>
              <w:t>Bellamy and Gray (2004)</w:t>
            </w:r>
            <w:r w:rsidRPr="001D37D5">
              <w:rPr>
                <w:rStyle w:val="FootnoteReference"/>
              </w:rPr>
              <w:footnoteReference w:id="553"/>
            </w:r>
          </w:p>
        </w:tc>
        <w:tc>
          <w:tcPr>
            <w:tcW w:w="1276" w:type="dxa"/>
          </w:tcPr>
          <w:p w:rsidR="001D37D5" w:rsidRPr="001D37D5" w:rsidRDefault="001D37D5" w:rsidP="001D37D5">
            <w:r w:rsidRPr="00883125">
              <w:t>1995-2002</w:t>
            </w:r>
          </w:p>
        </w:tc>
        <w:tc>
          <w:tcPr>
            <w:tcW w:w="5448" w:type="dxa"/>
          </w:tcPr>
          <w:p w:rsidR="001D37D5" w:rsidRPr="001D37D5" w:rsidRDefault="001D37D5" w:rsidP="001D37D5">
            <w:r w:rsidRPr="00883125">
              <w:t>Several regression forms and sample selections. Partitions by size and time period (pre and post 45-day holding rule). Use of simulation to inform regression equation.</w:t>
            </w:r>
          </w:p>
        </w:tc>
      </w:tr>
      <w:tr w:rsidR="001D37D5" w:rsidTr="005E1FC3">
        <w:trPr>
          <w:cantSplit/>
        </w:trPr>
        <w:tc>
          <w:tcPr>
            <w:tcW w:w="2518" w:type="dxa"/>
          </w:tcPr>
          <w:p w:rsidR="001D37D5" w:rsidRPr="001D37D5" w:rsidRDefault="001D37D5" w:rsidP="001D37D5">
            <w:r w:rsidRPr="00883125">
              <w:t>Bruckner et al (1994)</w:t>
            </w:r>
            <w:r w:rsidRPr="001D37D5">
              <w:rPr>
                <w:rStyle w:val="FootnoteReference"/>
              </w:rPr>
              <w:footnoteReference w:id="554"/>
            </w:r>
          </w:p>
        </w:tc>
        <w:tc>
          <w:tcPr>
            <w:tcW w:w="1276" w:type="dxa"/>
          </w:tcPr>
          <w:p w:rsidR="001D37D5" w:rsidRPr="001D37D5" w:rsidRDefault="001D37D5" w:rsidP="001D37D5">
            <w:r w:rsidRPr="00883125">
              <w:t>1987-1993</w:t>
            </w:r>
          </w:p>
        </w:tc>
        <w:tc>
          <w:tcPr>
            <w:tcW w:w="5448" w:type="dxa"/>
          </w:tcPr>
          <w:p w:rsidR="001D37D5" w:rsidRPr="001D37D5" w:rsidRDefault="001D37D5" w:rsidP="001D37D5">
            <w:r w:rsidRPr="00883125">
              <w:t>Early study with limited data; sub-periods 1987–1990 and 1991–1993.</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tcW w:w="2518" w:type="dxa"/>
          </w:tcPr>
          <w:p w:rsidR="001D37D5" w:rsidRPr="001D37D5" w:rsidRDefault="001D37D5" w:rsidP="001D37D5">
            <w:r w:rsidRPr="00883125">
              <w:t>Brown and Clarke (1993)</w:t>
            </w:r>
            <w:r w:rsidRPr="001D37D5">
              <w:rPr>
                <w:rStyle w:val="FootnoteReference"/>
              </w:rPr>
              <w:footnoteReference w:id="555"/>
            </w:r>
          </w:p>
        </w:tc>
        <w:tc>
          <w:tcPr>
            <w:tcW w:w="1276" w:type="dxa"/>
          </w:tcPr>
          <w:p w:rsidR="001D37D5" w:rsidRPr="001D37D5" w:rsidRDefault="001D37D5" w:rsidP="001D37D5">
            <w:r w:rsidRPr="00883125">
              <w:t>1973–1991</w:t>
            </w:r>
          </w:p>
        </w:tc>
        <w:tc>
          <w:tcPr>
            <w:tcW w:w="5448" w:type="dxa"/>
          </w:tcPr>
          <w:p w:rsidR="001D37D5" w:rsidRPr="001D37D5" w:rsidRDefault="001D37D5" w:rsidP="001D37D5">
            <w:r w:rsidRPr="00883125">
              <w:t>Compares dividend drop off before and after imputation; presents yearly figures and sub-periods.</w:t>
            </w:r>
          </w:p>
        </w:tc>
      </w:tr>
    </w:tbl>
    <w:p w:rsidR="001D37D5" w:rsidRPr="00883125" w:rsidRDefault="001D37D5" w:rsidP="001D37D5">
      <w:pPr>
        <w:pStyle w:val="AERtablesource"/>
      </w:pPr>
      <w:r w:rsidRPr="00883125">
        <w:t xml:space="preserve">Source: </w:t>
      </w:r>
      <w:r w:rsidRPr="00883125">
        <w:tab/>
        <w:t>As specified in table.</w:t>
      </w:r>
    </w:p>
    <w:p w:rsidR="001D37D5" w:rsidRPr="00883125" w:rsidRDefault="001D37D5" w:rsidP="001D37D5">
      <w:pPr>
        <w:pStyle w:val="HeadingBoldBlue"/>
        <w:numPr>
          <w:ilvl w:val="0"/>
          <w:numId w:val="24"/>
        </w:numPr>
      </w:pPr>
      <w:r w:rsidRPr="00883125">
        <w:t>Alternative implied market value studies</w:t>
      </w:r>
    </w:p>
    <w:p w:rsidR="001D37D5" w:rsidRPr="00883125" w:rsidRDefault="001D37D5" w:rsidP="001D37D5">
      <w:pPr>
        <w:numPr>
          <w:ilvl w:val="0"/>
          <w:numId w:val="24"/>
        </w:numPr>
      </w:pPr>
      <w:r w:rsidRPr="00883125">
        <w:t>Besides dividend drop off studies, there are alternative market-based implied valuation approaches to estimating the utilisation rate. Generally, these studies are based on similar arbitrage principles to dividend drop off studies. This means they compare two security prices where one security includes the entitlement and one security excludes the entitlement. They then assume the difference reflects the market valuation of the entitlement. However, they are designed to avoid the other influences in the data that affect traditional dividend drop off analysis. In particular, these studies typically use simultaneous price differentials that make them less affected by general market movements. That is, the differentials should more accurately reflect the implied market value of the specific dividend event. Some examples of alternative market-based valuation approaches involve:</w:t>
      </w:r>
    </w:p>
    <w:p w:rsidR="001D37D5" w:rsidRPr="00883125" w:rsidRDefault="001D37D5" w:rsidP="001D37D5">
      <w:pPr>
        <w:pStyle w:val="AERbulletlistfirststyle"/>
      </w:pPr>
      <w:r w:rsidRPr="00883125">
        <w:t>Simultaneous trading of shares with and without entitlements.</w:t>
      </w:r>
    </w:p>
    <w:p w:rsidR="001D37D5" w:rsidRPr="00883125" w:rsidRDefault="001D37D5" w:rsidP="001D37D5">
      <w:pPr>
        <w:pStyle w:val="AERbulletlistfirststyle"/>
      </w:pPr>
      <w:r w:rsidRPr="00883125">
        <w:t>Simultaneous trading of derivatives and futures and of their underlying shares.</w:t>
      </w:r>
    </w:p>
    <w:p w:rsidR="001D37D5" w:rsidRPr="00883125" w:rsidRDefault="001D37D5" w:rsidP="001D37D5">
      <w:pPr>
        <w:pStyle w:val="AERbulletlistfirststyle"/>
      </w:pPr>
      <w:r w:rsidRPr="00883125">
        <w:t>Hybrid securities which trade with imputation credits.</w:t>
      </w:r>
    </w:p>
    <w:p w:rsidR="001D37D5" w:rsidRPr="00883125" w:rsidRDefault="001D37D5" w:rsidP="001D37D5">
      <w:pPr>
        <w:pStyle w:val="AERbulletlistfirststyle"/>
      </w:pPr>
      <w:r w:rsidRPr="00883125">
        <w:t>Comparison of the capital gains and (cash) dividend returns across time.</w:t>
      </w:r>
    </w:p>
    <w:p w:rsidR="001D37D5" w:rsidRDefault="001D37D5" w:rsidP="001D37D5">
      <w:pPr>
        <w:rPr>
          <w:rStyle w:val="AERbody"/>
        </w:rPr>
      </w:pPr>
      <w:r w:rsidRPr="00B27BE5">
        <w:rPr>
          <w:rStyle w:val="AERbody"/>
        </w:rPr>
        <w:fldChar w:fldCharType="begin"/>
      </w:r>
      <w:r w:rsidRPr="00B27BE5">
        <w:rPr>
          <w:rStyle w:val="AERbody"/>
        </w:rPr>
        <w:instrText xml:space="preserve"> REF _Ref401075839 \h </w:instrText>
      </w:r>
      <w:r w:rsidRPr="00883125">
        <w:rPr>
          <w:rStyle w:val="AERbody"/>
        </w:rPr>
        <w:instrText xml:space="preserve"> \* MERGEFORMAT </w:instrText>
      </w:r>
      <w:r w:rsidRPr="00B27BE5">
        <w:rPr>
          <w:rStyle w:val="AERbody"/>
        </w:rPr>
      </w:r>
      <w:r w:rsidRPr="00B27BE5">
        <w:rPr>
          <w:rStyle w:val="AERbody"/>
        </w:rPr>
        <w:fldChar w:fldCharType="separate"/>
      </w:r>
      <w:r w:rsidR="00A02D8C" w:rsidRPr="00247000">
        <w:rPr>
          <w:rStyle w:val="AERbody"/>
        </w:rPr>
        <w:t>Table 4</w:t>
      </w:r>
      <w:r w:rsidR="00A02D8C" w:rsidRPr="00247000">
        <w:rPr>
          <w:rStyle w:val="AERbody"/>
        </w:rPr>
        <w:noBreakHyphen/>
        <w:t>16</w:t>
      </w:r>
      <w:r w:rsidRPr="00B27BE5">
        <w:rPr>
          <w:rStyle w:val="AERbody"/>
        </w:rPr>
        <w:fldChar w:fldCharType="end"/>
      </w:r>
      <w:r w:rsidRPr="00B27BE5">
        <w:rPr>
          <w:rStyle w:val="AERbody"/>
        </w:rPr>
        <w:t xml:space="preserve"> identifies the alternative implied market value studies that we are aware of, and describes the methodology of each study. The results from these studies are presented in</w:t>
      </w:r>
      <w:r w:rsidRPr="00883125">
        <w:rPr>
          <w:rStyle w:val="AERbody"/>
        </w:rPr>
        <w:t xml:space="preserve"> </w:t>
      </w:r>
      <w:r w:rsidRPr="00883125">
        <w:rPr>
          <w:rStyle w:val="AERbody"/>
        </w:rPr>
        <w:fldChar w:fldCharType="begin"/>
      </w:r>
      <w:r w:rsidRPr="00883125">
        <w:rPr>
          <w:rStyle w:val="AERbody"/>
        </w:rPr>
        <w:instrText xml:space="preserve"> REF _Ref449538408 \h </w:instrText>
      </w:r>
      <w:r w:rsidRPr="00883125">
        <w:rPr>
          <w:rStyle w:val="AERbody"/>
        </w:rPr>
      </w:r>
      <w:r w:rsidRPr="00883125">
        <w:rPr>
          <w:rStyle w:val="AERbody"/>
        </w:rPr>
        <w:fldChar w:fldCharType="separate"/>
      </w:r>
      <w:r w:rsidR="00A02D8C" w:rsidRPr="00883125">
        <w:t xml:space="preserve">Table </w:t>
      </w:r>
      <w:r w:rsidR="00A02D8C">
        <w:rPr>
          <w:noProof/>
        </w:rPr>
        <w:t>4</w:t>
      </w:r>
      <w:r w:rsidR="00A02D8C">
        <w:noBreakHyphen/>
      </w:r>
      <w:r w:rsidR="00A02D8C">
        <w:rPr>
          <w:noProof/>
        </w:rPr>
        <w:t>18</w:t>
      </w:r>
      <w:r w:rsidRPr="00883125">
        <w:rPr>
          <w:rStyle w:val="AERbody"/>
        </w:rPr>
        <w:fldChar w:fldCharType="end"/>
      </w:r>
      <w:r w:rsidRPr="00883125">
        <w:rPr>
          <w:rStyle w:val="AERbody"/>
        </w:rPr>
        <w:t>.</w:t>
      </w:r>
    </w:p>
    <w:p w:rsidR="005E1FC3" w:rsidRPr="00B27BE5" w:rsidRDefault="005E1FC3" w:rsidP="001D37D5">
      <w:pPr>
        <w:rPr>
          <w:rStyle w:val="AERbody"/>
        </w:rPr>
      </w:pPr>
    </w:p>
    <w:p w:rsidR="001D37D5" w:rsidRPr="00883125" w:rsidRDefault="001D37D5" w:rsidP="001D37D5">
      <w:pPr>
        <w:pStyle w:val="Caption"/>
      </w:pPr>
      <w:bookmarkStart w:id="273" w:name="_Ref401075839"/>
      <w:r w:rsidRPr="00883125">
        <w:lastRenderedPageBreak/>
        <w:t xml:space="preserve">Table </w:t>
      </w:r>
      <w:r w:rsidRPr="001D37D5">
        <w:fldChar w:fldCharType="begin"/>
      </w:r>
      <w:r>
        <w:instrText xml:space="preserve"> STYLEREF 1 \s </w:instrText>
      </w:r>
      <w:r w:rsidRPr="001D37D5">
        <w:fldChar w:fldCharType="separate"/>
      </w:r>
      <w:r w:rsidR="00A02D8C">
        <w:rPr>
          <w:noProof/>
        </w:rPr>
        <w:t>4</w:t>
      </w:r>
      <w:r w:rsidRPr="001D37D5">
        <w:fldChar w:fldCharType="end"/>
      </w:r>
      <w:r>
        <w:noBreakHyphen/>
      </w:r>
      <w:r w:rsidRPr="001D37D5">
        <w:fldChar w:fldCharType="begin"/>
      </w:r>
      <w:r>
        <w:instrText xml:space="preserve"> SEQ Table \* ARABIC \s 1 </w:instrText>
      </w:r>
      <w:r w:rsidRPr="001D37D5">
        <w:fldChar w:fldCharType="separate"/>
      </w:r>
      <w:r w:rsidR="00A02D8C">
        <w:rPr>
          <w:noProof/>
        </w:rPr>
        <w:t>16</w:t>
      </w:r>
      <w:r w:rsidRPr="001D37D5">
        <w:fldChar w:fldCharType="end"/>
      </w:r>
      <w:bookmarkEnd w:id="273"/>
      <w:r w:rsidRPr="00883125">
        <w:tab/>
        <w:t>Summary of alternative implied market value studies</w:t>
      </w:r>
    </w:p>
    <w:tbl>
      <w:tblPr>
        <w:tblStyle w:val="AERtable-text0"/>
        <w:tblW w:w="0" w:type="auto"/>
        <w:tblLook w:val="04A0" w:firstRow="1" w:lastRow="0" w:firstColumn="1" w:lastColumn="0" w:noHBand="0" w:noVBand="1"/>
      </w:tblPr>
      <w:tblGrid>
        <w:gridCol w:w="2536"/>
        <w:gridCol w:w="1072"/>
        <w:gridCol w:w="5085"/>
      </w:tblGrid>
      <w:tr w:rsidR="001D37D5" w:rsidTr="005E1FC3">
        <w:trPr>
          <w:cnfStyle w:val="100000000000" w:firstRow="1" w:lastRow="0" w:firstColumn="0" w:lastColumn="0" w:oddVBand="0" w:evenVBand="0" w:oddHBand="0" w:evenHBand="0" w:firstRowFirstColumn="0" w:firstRowLastColumn="0" w:lastRowFirstColumn="0" w:lastRowLastColumn="0"/>
          <w:cantSplit/>
          <w:tblHeader/>
        </w:trPr>
        <w:tc>
          <w:tcPr>
            <w:tcW w:w="2683" w:type="dxa"/>
          </w:tcPr>
          <w:p w:rsidR="001D37D5" w:rsidRPr="00883125" w:rsidRDefault="001D37D5" w:rsidP="001D37D5">
            <w:pPr>
              <w:numPr>
                <w:ilvl w:val="0"/>
                <w:numId w:val="24"/>
              </w:numPr>
            </w:pPr>
            <w:r w:rsidRPr="00883125">
              <w:t>Authors</w:t>
            </w:r>
          </w:p>
        </w:tc>
        <w:tc>
          <w:tcPr>
            <w:tcW w:w="1111" w:type="dxa"/>
          </w:tcPr>
          <w:p w:rsidR="001D37D5" w:rsidRPr="00883125" w:rsidRDefault="001D37D5" w:rsidP="001D37D5">
            <w:pPr>
              <w:numPr>
                <w:ilvl w:val="0"/>
                <w:numId w:val="24"/>
              </w:numPr>
            </w:pPr>
            <w:r w:rsidRPr="00883125">
              <w:t>Data range</w:t>
            </w:r>
          </w:p>
        </w:tc>
        <w:tc>
          <w:tcPr>
            <w:tcW w:w="5448" w:type="dxa"/>
          </w:tcPr>
          <w:p w:rsidR="001D37D5" w:rsidRPr="00883125" w:rsidRDefault="001D37D5" w:rsidP="001D37D5">
            <w:pPr>
              <w:numPr>
                <w:ilvl w:val="0"/>
                <w:numId w:val="24"/>
              </w:numPr>
            </w:pPr>
            <w:r w:rsidRPr="00883125">
              <w:t>Assessment relative to other studies in that class</w:t>
            </w:r>
          </w:p>
        </w:tc>
      </w:tr>
      <w:tr w:rsidR="001D37D5" w:rsidTr="005E1FC3">
        <w:trPr>
          <w:cantSplit/>
        </w:trPr>
        <w:tc>
          <w:tcPr>
            <w:tcW w:w="9242" w:type="dxa"/>
            <w:gridSpan w:val="3"/>
          </w:tcPr>
          <w:p w:rsidR="001D37D5" w:rsidRPr="00883125" w:rsidRDefault="001D37D5" w:rsidP="001D37D5">
            <w:pPr>
              <w:numPr>
                <w:ilvl w:val="0"/>
                <w:numId w:val="24"/>
              </w:numPr>
            </w:pPr>
            <w:r w:rsidRPr="00883125">
              <w:rPr>
                <w:rStyle w:val="Strong"/>
              </w:rPr>
              <w:t>Dividend drop off using hybrids</w:t>
            </w:r>
            <w:r w:rsidRPr="00883125">
              <w:t xml:space="preserve"> – Similar to standard DDO but using debt/equity hybrid securities.</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tcW w:w="2683" w:type="dxa"/>
          </w:tcPr>
          <w:p w:rsidR="001D37D5" w:rsidRPr="001D37D5" w:rsidRDefault="001D37D5" w:rsidP="001D37D5">
            <w:r w:rsidRPr="00883125">
              <w:t>Feuerherdt et al (2010)</w:t>
            </w:r>
            <w:r w:rsidRPr="001D37D5">
              <w:rPr>
                <w:rStyle w:val="FootnoteReference"/>
              </w:rPr>
              <w:footnoteReference w:id="556"/>
            </w:r>
          </w:p>
        </w:tc>
        <w:tc>
          <w:tcPr>
            <w:tcW w:w="1111" w:type="dxa"/>
          </w:tcPr>
          <w:p w:rsidR="001D37D5" w:rsidRPr="001D37D5" w:rsidRDefault="001D37D5" w:rsidP="001D37D5">
            <w:r w:rsidRPr="00883125">
              <w:t>1995–2002</w:t>
            </w:r>
          </w:p>
        </w:tc>
        <w:tc>
          <w:tcPr>
            <w:tcW w:w="5448" w:type="dxa"/>
          </w:tcPr>
          <w:p w:rsidR="001D37D5" w:rsidRPr="001D37D5" w:rsidRDefault="001D37D5" w:rsidP="001D37D5">
            <w:r w:rsidRPr="00883125">
              <w:t>Uses hybrid securities (such as convertible preference shares), 165 ex-dividend events for 46 securities which are primarily fully franked.</w:t>
            </w:r>
          </w:p>
        </w:tc>
      </w:tr>
      <w:tr w:rsidR="001D37D5" w:rsidTr="005E1FC3">
        <w:trPr>
          <w:cantSplit/>
        </w:trPr>
        <w:tc>
          <w:tcPr>
            <w:tcW w:w="9242" w:type="dxa"/>
            <w:gridSpan w:val="3"/>
          </w:tcPr>
          <w:p w:rsidR="001D37D5" w:rsidRPr="00883125" w:rsidRDefault="001D37D5" w:rsidP="001D37D5">
            <w:pPr>
              <w:numPr>
                <w:ilvl w:val="0"/>
                <w:numId w:val="24"/>
              </w:numPr>
            </w:pPr>
            <w:r w:rsidRPr="00883125">
              <w:rPr>
                <w:rStyle w:val="Strong"/>
              </w:rPr>
              <w:t>Futures study (using individual firms or index)</w:t>
            </w:r>
            <w:r w:rsidRPr="00883125">
              <w:t xml:space="preserve"> – Compare simultaneous prices for securities and futures contracts.</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tcW w:w="2683" w:type="dxa"/>
          </w:tcPr>
          <w:p w:rsidR="001D37D5" w:rsidRPr="001D37D5" w:rsidRDefault="001D37D5" w:rsidP="001D37D5">
            <w:r w:rsidRPr="00883125">
              <w:t>SFG (2013b)</w:t>
            </w:r>
            <w:r w:rsidRPr="001D37D5">
              <w:rPr>
                <w:rStyle w:val="FootnoteReference"/>
              </w:rPr>
              <w:footnoteReference w:id="557"/>
            </w:r>
          </w:p>
        </w:tc>
        <w:tc>
          <w:tcPr>
            <w:tcW w:w="1111" w:type="dxa"/>
          </w:tcPr>
          <w:p w:rsidR="001D37D5" w:rsidRPr="001D37D5" w:rsidRDefault="001D37D5" w:rsidP="001D37D5">
            <w:r w:rsidRPr="00883125">
              <w:t>2000–2013</w:t>
            </w:r>
          </w:p>
        </w:tc>
        <w:tc>
          <w:tcPr>
            <w:tcW w:w="5448" w:type="dxa"/>
          </w:tcPr>
          <w:p w:rsidR="001D37D5" w:rsidRPr="001D37D5" w:rsidRDefault="001D37D5" w:rsidP="001D37D5">
            <w:r w:rsidRPr="00883125">
              <w:t>Updates Cannavan et al (2004). Compares matched trades in individual shares to futures contracts and low exercise price options for 98 firms (over 52,000 trades).</w:t>
            </w:r>
          </w:p>
        </w:tc>
      </w:tr>
      <w:tr w:rsidR="001D37D5" w:rsidTr="005E1FC3">
        <w:trPr>
          <w:cantSplit/>
        </w:trPr>
        <w:tc>
          <w:tcPr>
            <w:tcW w:w="2683" w:type="dxa"/>
          </w:tcPr>
          <w:p w:rsidR="001D37D5" w:rsidRPr="001D37D5" w:rsidRDefault="001D37D5" w:rsidP="001D37D5">
            <w:r w:rsidRPr="00883125">
              <w:t>Cannavan et al (2004)</w:t>
            </w:r>
            <w:r w:rsidRPr="001D37D5">
              <w:rPr>
                <w:rStyle w:val="FootnoteReference"/>
              </w:rPr>
              <w:footnoteReference w:id="558"/>
            </w:r>
          </w:p>
        </w:tc>
        <w:tc>
          <w:tcPr>
            <w:tcW w:w="1111" w:type="dxa"/>
          </w:tcPr>
          <w:p w:rsidR="001D37D5" w:rsidRPr="001D37D5" w:rsidRDefault="001D37D5" w:rsidP="001D37D5">
            <w:r w:rsidRPr="00883125">
              <w:t>1994–1999</w:t>
            </w:r>
          </w:p>
        </w:tc>
        <w:tc>
          <w:tcPr>
            <w:tcW w:w="5448" w:type="dxa"/>
          </w:tcPr>
          <w:p w:rsidR="001D37D5" w:rsidRPr="001D37D5" w:rsidRDefault="001D37D5" w:rsidP="001D37D5">
            <w:r w:rsidRPr="00883125">
              <w:t>Uses matched trades (four minute window) in individual shares and futures contracts for 19 firms (over 14,000 trades). Sub-periods 1994–1997 and 1997–1999.</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tcW w:w="2683" w:type="dxa"/>
          </w:tcPr>
          <w:p w:rsidR="001D37D5" w:rsidRPr="001D37D5" w:rsidRDefault="001D37D5" w:rsidP="001D37D5">
            <w:r w:rsidRPr="00883125">
              <w:t>Cummings and Frino (2008)</w:t>
            </w:r>
            <w:r w:rsidRPr="001D37D5">
              <w:rPr>
                <w:rStyle w:val="FootnoteReference"/>
              </w:rPr>
              <w:footnoteReference w:id="559"/>
            </w:r>
          </w:p>
        </w:tc>
        <w:tc>
          <w:tcPr>
            <w:tcW w:w="1111" w:type="dxa"/>
          </w:tcPr>
          <w:p w:rsidR="001D37D5" w:rsidRPr="001D37D5" w:rsidRDefault="001D37D5" w:rsidP="001D37D5">
            <w:r w:rsidRPr="00883125">
              <w:t>2002-2005</w:t>
            </w:r>
          </w:p>
        </w:tc>
        <w:tc>
          <w:tcPr>
            <w:tcW w:w="5448" w:type="dxa"/>
          </w:tcPr>
          <w:p w:rsidR="001D37D5" w:rsidRPr="001D37D5" w:rsidRDefault="001D37D5" w:rsidP="001D37D5">
            <w:r w:rsidRPr="00883125">
              <w:t xml:space="preserve">Uses entire ASX200 index (rather than specific firms) and futures over the index, distinct from other studies in this class (which use individual shares). </w:t>
            </w:r>
          </w:p>
        </w:tc>
      </w:tr>
      <w:tr w:rsidR="001D37D5" w:rsidTr="005E1FC3">
        <w:trPr>
          <w:cantSplit/>
        </w:trPr>
        <w:tc>
          <w:tcPr>
            <w:tcW w:w="9242" w:type="dxa"/>
            <w:gridSpan w:val="3"/>
          </w:tcPr>
          <w:p w:rsidR="001D37D5" w:rsidRPr="00883125" w:rsidRDefault="001D37D5" w:rsidP="001D37D5">
            <w:pPr>
              <w:numPr>
                <w:ilvl w:val="0"/>
                <w:numId w:val="24"/>
              </w:numPr>
            </w:pPr>
            <w:r w:rsidRPr="00883125">
              <w:rPr>
                <w:rStyle w:val="Strong"/>
              </w:rPr>
              <w:t>Rate of return study</w:t>
            </w:r>
            <w:r w:rsidRPr="00883125">
              <w:t xml:space="preserve"> – Compare past returns (capital gains and cash dividends) or future returns (dividend forecasts).</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tcW w:w="2683" w:type="dxa"/>
          </w:tcPr>
          <w:p w:rsidR="001D37D5" w:rsidRPr="001D37D5" w:rsidRDefault="001D37D5" w:rsidP="001D37D5">
            <w:r w:rsidRPr="00883125">
              <w:t>NERA (2013b)</w:t>
            </w:r>
            <w:r w:rsidRPr="001D37D5">
              <w:rPr>
                <w:rStyle w:val="FootnoteReference"/>
              </w:rPr>
              <w:footnoteReference w:id="560"/>
            </w:r>
          </w:p>
        </w:tc>
        <w:tc>
          <w:tcPr>
            <w:tcW w:w="1111" w:type="dxa"/>
          </w:tcPr>
          <w:p w:rsidR="001D37D5" w:rsidRPr="001D37D5" w:rsidRDefault="001D37D5" w:rsidP="001D37D5">
            <w:r w:rsidRPr="00883125">
              <w:t>1987–2012</w:t>
            </w:r>
          </w:p>
        </w:tc>
        <w:tc>
          <w:tcPr>
            <w:tcW w:w="5448" w:type="dxa"/>
          </w:tcPr>
          <w:p w:rsidR="001D37D5" w:rsidRPr="001D37D5" w:rsidRDefault="001D37D5" w:rsidP="001D37D5">
            <w:r w:rsidRPr="00883125">
              <w:t>Updates the Lajbcygier and Wheatley paper; same author and more relevant data set. Sub-period splits 1987–2000 and 2000–2012.</w:t>
            </w:r>
          </w:p>
        </w:tc>
      </w:tr>
      <w:tr w:rsidR="001D37D5" w:rsidTr="005E1FC3">
        <w:trPr>
          <w:cantSplit/>
        </w:trPr>
        <w:tc>
          <w:tcPr>
            <w:tcW w:w="2683" w:type="dxa"/>
          </w:tcPr>
          <w:p w:rsidR="001D37D5" w:rsidRPr="001D37D5" w:rsidRDefault="001D37D5" w:rsidP="001D37D5">
            <w:r w:rsidRPr="00883125">
              <w:t>Lajbcygier and Wheatley (2012)</w:t>
            </w:r>
            <w:r w:rsidRPr="001D37D5">
              <w:rPr>
                <w:rStyle w:val="FootnoteReference"/>
              </w:rPr>
              <w:footnoteReference w:id="561"/>
            </w:r>
          </w:p>
        </w:tc>
        <w:tc>
          <w:tcPr>
            <w:tcW w:w="1111" w:type="dxa"/>
          </w:tcPr>
          <w:p w:rsidR="001D37D5" w:rsidRPr="001D37D5" w:rsidRDefault="001D37D5" w:rsidP="001D37D5">
            <w:r w:rsidRPr="00883125">
              <w:t>1987–2009</w:t>
            </w:r>
          </w:p>
        </w:tc>
        <w:tc>
          <w:tcPr>
            <w:tcW w:w="5448" w:type="dxa"/>
          </w:tcPr>
          <w:p w:rsidR="001D37D5" w:rsidRPr="001D37D5" w:rsidRDefault="001D37D5" w:rsidP="001D37D5">
            <w:r w:rsidRPr="00883125">
              <w:t>Compares current prices to past returns from capital gains and dividends. Includes sub-periods from 1987–2000 and 2000-2009.</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tcW w:w="2683" w:type="dxa"/>
          </w:tcPr>
          <w:p w:rsidR="001D37D5" w:rsidRPr="001D37D5" w:rsidRDefault="001D37D5" w:rsidP="001D37D5">
            <w:r w:rsidRPr="00883125">
              <w:t>Siau et al (2013)</w:t>
            </w:r>
            <w:r w:rsidRPr="001D37D5">
              <w:rPr>
                <w:rStyle w:val="FootnoteReference"/>
              </w:rPr>
              <w:footnoteReference w:id="562"/>
            </w:r>
          </w:p>
        </w:tc>
        <w:tc>
          <w:tcPr>
            <w:tcW w:w="1111" w:type="dxa"/>
          </w:tcPr>
          <w:p w:rsidR="001D37D5" w:rsidRPr="001D37D5" w:rsidRDefault="001D37D5" w:rsidP="001D37D5">
            <w:r w:rsidRPr="00883125">
              <w:t>1996–2011</w:t>
            </w:r>
          </w:p>
        </w:tc>
        <w:tc>
          <w:tcPr>
            <w:tcW w:w="5448" w:type="dxa"/>
          </w:tcPr>
          <w:p w:rsidR="001D37D5" w:rsidRPr="001D37D5" w:rsidRDefault="001D37D5" w:rsidP="001D37D5">
            <w:r w:rsidRPr="00883125">
              <w:t xml:space="preserve">Compares current prices to expected future returns. Uses ASX300 index firms and consensus analyst dividend forecasts. </w:t>
            </w:r>
          </w:p>
        </w:tc>
      </w:tr>
      <w:tr w:rsidR="001D37D5" w:rsidTr="005E1FC3">
        <w:trPr>
          <w:cantSplit/>
        </w:trPr>
        <w:tc>
          <w:tcPr>
            <w:tcW w:w="2683" w:type="dxa"/>
          </w:tcPr>
          <w:p w:rsidR="001D37D5" w:rsidRPr="001D37D5" w:rsidRDefault="001D37D5" w:rsidP="001D37D5">
            <w:r w:rsidRPr="00883125">
              <w:t>Siau et al (2015)</w:t>
            </w:r>
            <w:r w:rsidRPr="001D37D5">
              <w:rPr>
                <w:rStyle w:val="FootnoteReference"/>
              </w:rPr>
              <w:footnoteReference w:id="563"/>
            </w:r>
          </w:p>
        </w:tc>
        <w:tc>
          <w:tcPr>
            <w:tcW w:w="1111" w:type="dxa"/>
          </w:tcPr>
          <w:p w:rsidR="001D37D5" w:rsidRPr="001D37D5" w:rsidRDefault="001D37D5" w:rsidP="001D37D5">
            <w:r w:rsidRPr="00883125">
              <w:t>1996-2011</w:t>
            </w:r>
          </w:p>
        </w:tc>
        <w:tc>
          <w:tcPr>
            <w:tcW w:w="5448" w:type="dxa"/>
          </w:tcPr>
          <w:p w:rsidR="001D37D5" w:rsidRPr="001D37D5" w:rsidRDefault="001D37D5" w:rsidP="001D37D5">
            <w:r w:rsidRPr="00883125">
              <w:t xml:space="preserve">Journal published version of the 2013 paper by Siau et al with relatively minor editorial changes </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tcW w:w="2683" w:type="dxa"/>
          </w:tcPr>
          <w:p w:rsidR="001D37D5" w:rsidRPr="001D37D5" w:rsidRDefault="001D37D5" w:rsidP="001D37D5">
            <w:r w:rsidRPr="00883125">
              <w:t>NERA (2015)</w:t>
            </w:r>
            <w:r w:rsidRPr="001D37D5">
              <w:rPr>
                <w:rStyle w:val="FootnoteReference"/>
              </w:rPr>
              <w:footnoteReference w:id="564"/>
            </w:r>
          </w:p>
        </w:tc>
        <w:tc>
          <w:tcPr>
            <w:tcW w:w="1111" w:type="dxa"/>
          </w:tcPr>
          <w:p w:rsidR="001D37D5" w:rsidRPr="001D37D5" w:rsidRDefault="001D37D5" w:rsidP="001D37D5">
            <w:r w:rsidRPr="00883125">
              <w:t>1987-2013</w:t>
            </w:r>
          </w:p>
        </w:tc>
        <w:tc>
          <w:tcPr>
            <w:tcW w:w="5448" w:type="dxa"/>
          </w:tcPr>
          <w:p w:rsidR="001D37D5" w:rsidRPr="001D37D5" w:rsidRDefault="001D37D5" w:rsidP="001D37D5">
            <w:r w:rsidRPr="00883125">
              <w:t>Updates the results of the Lajbcygier and Wheatley and NERA (2013) studies.</w:t>
            </w:r>
          </w:p>
        </w:tc>
      </w:tr>
      <w:tr w:rsidR="001D37D5" w:rsidTr="005E1FC3">
        <w:trPr>
          <w:cantSplit/>
        </w:trPr>
        <w:tc>
          <w:tcPr>
            <w:tcW w:w="9242" w:type="dxa"/>
            <w:gridSpan w:val="3"/>
          </w:tcPr>
          <w:p w:rsidR="001D37D5" w:rsidRPr="00883125" w:rsidRDefault="001D37D5" w:rsidP="001D37D5">
            <w:pPr>
              <w:numPr>
                <w:ilvl w:val="0"/>
                <w:numId w:val="24"/>
              </w:numPr>
            </w:pPr>
            <w:r w:rsidRPr="00883125">
              <w:rPr>
                <w:rStyle w:val="Strong"/>
              </w:rPr>
              <w:lastRenderedPageBreak/>
              <w:t>Simultaneous share trades</w:t>
            </w:r>
            <w:r w:rsidRPr="00883125">
              <w:t xml:space="preserve"> – Compare simultaneous prices for shares that are/are not entitled to imputation credits.</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tcW w:w="2683" w:type="dxa"/>
          </w:tcPr>
          <w:p w:rsidR="001D37D5" w:rsidRPr="001D37D5" w:rsidRDefault="001D37D5" w:rsidP="001D37D5">
            <w:r w:rsidRPr="00883125">
              <w:t>Chu and Partington (2008)</w:t>
            </w:r>
            <w:r w:rsidRPr="001D37D5">
              <w:rPr>
                <w:rStyle w:val="FootnoteReference"/>
              </w:rPr>
              <w:footnoteReference w:id="565"/>
            </w:r>
          </w:p>
        </w:tc>
        <w:tc>
          <w:tcPr>
            <w:tcW w:w="1111" w:type="dxa"/>
          </w:tcPr>
          <w:p w:rsidR="001D37D5" w:rsidRPr="001D37D5" w:rsidRDefault="001D37D5" w:rsidP="001D37D5">
            <w:r w:rsidRPr="00883125">
              <w:t>1996</w:t>
            </w:r>
          </w:p>
        </w:tc>
        <w:tc>
          <w:tcPr>
            <w:tcW w:w="5448" w:type="dxa"/>
          </w:tcPr>
          <w:p w:rsidR="001D37D5" w:rsidRPr="001D37D5" w:rsidRDefault="001D37D5" w:rsidP="001D37D5">
            <w:r w:rsidRPr="00883125">
              <w:t xml:space="preserve">Uses shares trading in two forms (one with dividend, one without) as a result of the CRA bonus issue. 154 matched trades (one minute window) across 3 </w:t>
            </w:r>
            <w:r w:rsidRPr="001D37D5">
              <w:t>months.</w:t>
            </w:r>
          </w:p>
        </w:tc>
      </w:tr>
      <w:tr w:rsidR="001D37D5" w:rsidTr="005E1FC3">
        <w:trPr>
          <w:cantSplit/>
        </w:trPr>
        <w:tc>
          <w:tcPr>
            <w:tcW w:w="2683" w:type="dxa"/>
          </w:tcPr>
          <w:p w:rsidR="001D37D5" w:rsidRPr="001D37D5" w:rsidRDefault="001D37D5" w:rsidP="001D37D5">
            <w:r w:rsidRPr="00883125">
              <w:t>Chu and Partington (2001)</w:t>
            </w:r>
            <w:r w:rsidRPr="001D37D5">
              <w:rPr>
                <w:rStyle w:val="FootnoteReference"/>
              </w:rPr>
              <w:footnoteReference w:id="566"/>
            </w:r>
          </w:p>
        </w:tc>
        <w:tc>
          <w:tcPr>
            <w:tcW w:w="1111" w:type="dxa"/>
          </w:tcPr>
          <w:p w:rsidR="001D37D5" w:rsidRPr="001D37D5" w:rsidRDefault="001D37D5" w:rsidP="001D37D5">
            <w:r w:rsidRPr="00883125">
              <w:t>1991–1999</w:t>
            </w:r>
          </w:p>
        </w:tc>
        <w:tc>
          <w:tcPr>
            <w:tcW w:w="5448" w:type="dxa"/>
          </w:tcPr>
          <w:p w:rsidR="001D37D5" w:rsidRPr="001D37D5" w:rsidDel="003D6627" w:rsidRDefault="001D37D5" w:rsidP="001D37D5">
            <w:r w:rsidRPr="00883125">
              <w:t>Uses shares trading simultaneously with and without dividend after certain rights issues - 3,356 trades (matched within a minute) from 26 rights issues for 23 firms.</w:t>
            </w:r>
          </w:p>
        </w:tc>
      </w:tr>
      <w:tr w:rsidR="001D37D5" w:rsidTr="005E1FC3">
        <w:trPr>
          <w:cnfStyle w:val="000000010000" w:firstRow="0" w:lastRow="0" w:firstColumn="0" w:lastColumn="0" w:oddVBand="0" w:evenVBand="0" w:oddHBand="0" w:evenHBand="1" w:firstRowFirstColumn="0" w:firstRowLastColumn="0" w:lastRowFirstColumn="0" w:lastRowLastColumn="0"/>
          <w:cantSplit/>
        </w:trPr>
        <w:tc>
          <w:tcPr>
            <w:tcW w:w="2683" w:type="dxa"/>
          </w:tcPr>
          <w:p w:rsidR="001D37D5" w:rsidRPr="001D37D5" w:rsidRDefault="001D37D5" w:rsidP="001D37D5">
            <w:r w:rsidRPr="00883125">
              <w:t>Walker and Partington (1999)</w:t>
            </w:r>
            <w:r w:rsidRPr="001D37D5">
              <w:rPr>
                <w:rStyle w:val="FootnoteReference"/>
              </w:rPr>
              <w:footnoteReference w:id="567"/>
            </w:r>
          </w:p>
        </w:tc>
        <w:tc>
          <w:tcPr>
            <w:tcW w:w="1111" w:type="dxa"/>
          </w:tcPr>
          <w:p w:rsidR="001D37D5" w:rsidRPr="001D37D5" w:rsidRDefault="001D37D5" w:rsidP="001D37D5">
            <w:r w:rsidRPr="00883125">
              <w:t>1995–1997</w:t>
            </w:r>
          </w:p>
        </w:tc>
        <w:tc>
          <w:tcPr>
            <w:tcW w:w="5448" w:type="dxa"/>
          </w:tcPr>
          <w:p w:rsidR="001D37D5" w:rsidRPr="001D37D5" w:rsidRDefault="001D37D5" w:rsidP="001D37D5">
            <w:r w:rsidRPr="00883125">
              <w:t>Looks at shares trading cum-dividend in the ex-dividend period. 1,015 data points (trades matched within a minute) for 93 ex-dividend events from 50 securities.</w:t>
            </w:r>
          </w:p>
        </w:tc>
      </w:tr>
    </w:tbl>
    <w:p w:rsidR="001D37D5" w:rsidRPr="00883125" w:rsidRDefault="001D37D5" w:rsidP="001D37D5">
      <w:pPr>
        <w:pStyle w:val="AERtablesource"/>
      </w:pPr>
      <w:r w:rsidRPr="00883125">
        <w:t xml:space="preserve">Source: </w:t>
      </w:r>
      <w:r w:rsidRPr="00883125">
        <w:tab/>
        <w:t>As specified in table.</w:t>
      </w:r>
    </w:p>
    <w:p w:rsidR="001D37D5" w:rsidRPr="00883125" w:rsidRDefault="001D37D5" w:rsidP="001D37D5">
      <w:pPr>
        <w:pStyle w:val="Heading9"/>
      </w:pPr>
      <w:bookmarkStart w:id="274" w:name="_Ref403482459"/>
      <w:r w:rsidRPr="00883125">
        <w:t>Estimates from implied market value studies</w:t>
      </w:r>
      <w:bookmarkEnd w:id="274"/>
    </w:p>
    <w:p w:rsidR="001D37D5" w:rsidRPr="00883125" w:rsidRDefault="001D37D5" w:rsidP="001D37D5">
      <w:pPr>
        <w:numPr>
          <w:ilvl w:val="0"/>
          <w:numId w:val="24"/>
        </w:numPr>
      </w:pPr>
      <w:r w:rsidRPr="00883125">
        <w:t>This section presents the results from the available implied market value studies.</w:t>
      </w:r>
    </w:p>
    <w:p w:rsidR="001D37D5" w:rsidRPr="00883125" w:rsidRDefault="001D37D5" w:rsidP="001D37D5">
      <w:pPr>
        <w:numPr>
          <w:ilvl w:val="0"/>
          <w:numId w:val="24"/>
        </w:numPr>
      </w:pPr>
      <w:r w:rsidRPr="00883125">
        <w:fldChar w:fldCharType="begin"/>
      </w:r>
      <w:r w:rsidRPr="00883125">
        <w:instrText xml:space="preserve"> REF _Ref401075676 \h </w:instrText>
      </w:r>
      <w:r w:rsidRPr="00883125">
        <w:fldChar w:fldCharType="separate"/>
      </w:r>
      <w:r w:rsidR="00A02D8C" w:rsidRPr="00883125">
        <w:t xml:space="preserve">Table </w:t>
      </w:r>
      <w:r w:rsidR="00A02D8C">
        <w:rPr>
          <w:noProof/>
        </w:rPr>
        <w:t>4</w:t>
      </w:r>
      <w:r w:rsidR="00A02D8C">
        <w:noBreakHyphen/>
      </w:r>
      <w:r w:rsidR="00A02D8C">
        <w:rPr>
          <w:noProof/>
        </w:rPr>
        <w:t>17</w:t>
      </w:r>
      <w:r w:rsidRPr="00883125">
        <w:fldChar w:fldCharType="end"/>
      </w:r>
      <w:r w:rsidRPr="00883125">
        <w:t xml:space="preserve"> reports estimates of the utilisation rate from the set of available dividend drop off studies. As a high level summary table, it attempts to report the single utilisation rate preferred by the authors for the scenario most relevant to our rate of return framework. The service providers consider the AER does not have regard to the estimation period for the market value studies and in particular to whether the analysis is based on pre or post 2000.</w:t>
      </w:r>
      <w:r w:rsidRPr="00883125">
        <w:rPr>
          <w:rStyle w:val="FootnoteReference"/>
        </w:rPr>
        <w:footnoteReference w:id="568"/>
      </w:r>
      <w:r w:rsidRPr="00883125">
        <w:t xml:space="preserve"> This is not true as seen in table 4.10 where the table separately reports results based on whether the underlying data is (primarily) from before or after 2000, when the change in tax law entitled eligible investors to a full refund of excess imputation credits. In the recent Tribunal decision, the Tribunal stated that the AER could have excluded earlier market based studies that were not relevant, such as the studies that were conducted on pre 2000 data.</w:t>
      </w:r>
      <w:r w:rsidRPr="00883125">
        <w:rPr>
          <w:rStyle w:val="FootnoteReference"/>
        </w:rPr>
        <w:footnoteReference w:id="569"/>
      </w:r>
    </w:p>
    <w:p w:rsidR="001D37D5" w:rsidRPr="00883125" w:rsidRDefault="001D37D5" w:rsidP="001D37D5">
      <w:pPr>
        <w:numPr>
          <w:ilvl w:val="0"/>
          <w:numId w:val="24"/>
        </w:numPr>
      </w:pPr>
      <w:r w:rsidRPr="00883125">
        <w:t>When determining the point estimate from the range in the equity ownership approach (0.4 to 0.4</w:t>
      </w:r>
      <w:r>
        <w:t>1</w:t>
      </w:r>
      <w:r w:rsidRPr="00883125">
        <w:t xml:space="preserve">), the AER considers that studies post 2000 are more relevant, but still has </w:t>
      </w:r>
      <w:r w:rsidRPr="00883125">
        <w:lastRenderedPageBreak/>
        <w:t xml:space="preserve">regard to </w:t>
      </w:r>
      <w:r>
        <w:t xml:space="preserve"> </w:t>
      </w:r>
      <w:r w:rsidRPr="00883125">
        <w:t xml:space="preserve">pre 2000 studies. However, even if the AER was to completely disregard the pre 2000 studies this would not change the outcome of selecting the lowest point estimate in the range from the equity ownership approach. </w:t>
      </w:r>
    </w:p>
    <w:p w:rsidR="001D37D5" w:rsidRPr="00B27BE5" w:rsidRDefault="001D37D5" w:rsidP="001D37D5">
      <w:r w:rsidRPr="00B27BE5">
        <w:fldChar w:fldCharType="begin"/>
      </w:r>
      <w:r w:rsidRPr="00B27BE5">
        <w:instrText xml:space="preserve"> REF _Ref449538408 \h </w:instrText>
      </w:r>
      <w:r w:rsidRPr="00B27BE5">
        <w:fldChar w:fldCharType="separate"/>
      </w:r>
      <w:r w:rsidR="00A02D8C" w:rsidRPr="00883125">
        <w:t xml:space="preserve">Table </w:t>
      </w:r>
      <w:r w:rsidR="00A02D8C">
        <w:rPr>
          <w:noProof/>
        </w:rPr>
        <w:t>4</w:t>
      </w:r>
      <w:r w:rsidR="00A02D8C">
        <w:noBreakHyphen/>
      </w:r>
      <w:r w:rsidR="00A02D8C">
        <w:rPr>
          <w:noProof/>
        </w:rPr>
        <w:t>18</w:t>
      </w:r>
      <w:r w:rsidRPr="00B27BE5">
        <w:fldChar w:fldCharType="end"/>
      </w:r>
      <w:r w:rsidRPr="00B27BE5">
        <w:t xml:space="preserve"> is the equivalent table for alternative implied market value studies. In this table, several results are recorded as 'N/A', even though there is a specific date range provided. In such cases, that particular technique (or data limitations) did not permit the disaggregation of the value of the dividend component and the imputation credit. In this situation, the study typically reports the combined value of the cash dividend and imputation credit together. The minimum value for the imputation credit component of this package will arise if the cash dividend is fully valued, and these estimates are presented in the 'notes' column.</w:t>
      </w:r>
    </w:p>
    <w:p w:rsidR="001D37D5" w:rsidRPr="00883125" w:rsidRDefault="001D37D5" w:rsidP="001D37D5">
      <w:pPr>
        <w:pStyle w:val="Caption"/>
      </w:pPr>
      <w:bookmarkStart w:id="275" w:name="_Ref401075676"/>
      <w:r w:rsidRPr="00883125">
        <w:t xml:space="preserve">Table </w:t>
      </w:r>
      <w:r w:rsidRPr="001D37D5">
        <w:fldChar w:fldCharType="begin"/>
      </w:r>
      <w:r>
        <w:instrText xml:space="preserve"> STYLEREF 1 \s </w:instrText>
      </w:r>
      <w:r w:rsidRPr="001D37D5">
        <w:fldChar w:fldCharType="separate"/>
      </w:r>
      <w:r w:rsidR="00A02D8C">
        <w:rPr>
          <w:noProof/>
        </w:rPr>
        <w:t>4</w:t>
      </w:r>
      <w:r w:rsidRPr="001D37D5">
        <w:fldChar w:fldCharType="end"/>
      </w:r>
      <w:r>
        <w:noBreakHyphen/>
      </w:r>
      <w:r w:rsidRPr="001D37D5">
        <w:fldChar w:fldCharType="begin"/>
      </w:r>
      <w:r>
        <w:instrText xml:space="preserve"> SEQ Table \* ARABIC \s 1 </w:instrText>
      </w:r>
      <w:r w:rsidRPr="001D37D5">
        <w:fldChar w:fldCharType="separate"/>
      </w:r>
      <w:r w:rsidR="00A02D8C">
        <w:rPr>
          <w:noProof/>
        </w:rPr>
        <w:t>17</w:t>
      </w:r>
      <w:r w:rsidRPr="001D37D5">
        <w:fldChar w:fldCharType="end"/>
      </w:r>
      <w:bookmarkEnd w:id="275"/>
      <w:r w:rsidRPr="00883125">
        <w:tab/>
        <w:t>Estimates of the utilisation rate from dividend drop off studies</w:t>
      </w:r>
    </w:p>
    <w:tbl>
      <w:tblPr>
        <w:tblStyle w:val="AERtable-text0"/>
        <w:tblW w:w="0" w:type="auto"/>
        <w:tblLayout w:type="fixed"/>
        <w:tblLook w:val="04A0" w:firstRow="1" w:lastRow="0" w:firstColumn="1" w:lastColumn="0" w:noHBand="0" w:noVBand="1"/>
      </w:tblPr>
      <w:tblGrid>
        <w:gridCol w:w="250"/>
        <w:gridCol w:w="142"/>
        <w:gridCol w:w="2835"/>
        <w:gridCol w:w="1346"/>
        <w:gridCol w:w="1347"/>
        <w:gridCol w:w="3260"/>
      </w:tblGrid>
      <w:tr w:rsidR="001D37D5" w:rsidRPr="00222643" w:rsidTr="005E1FC3">
        <w:trPr>
          <w:cnfStyle w:val="100000000000" w:firstRow="1" w:lastRow="0" w:firstColumn="0" w:lastColumn="0" w:oddVBand="0" w:evenVBand="0" w:oddHBand="0" w:evenHBand="0" w:firstRowFirstColumn="0" w:firstRowLastColumn="0" w:lastRowFirstColumn="0" w:lastRowLastColumn="0"/>
          <w:cantSplit/>
          <w:tblHeader/>
        </w:trPr>
        <w:tc>
          <w:tcPr>
            <w:tcW w:w="392" w:type="dxa"/>
            <w:gridSpan w:val="2"/>
          </w:tcPr>
          <w:p w:rsidR="001D37D5" w:rsidRPr="00883125" w:rsidRDefault="001D37D5" w:rsidP="001D37D5"/>
        </w:tc>
        <w:tc>
          <w:tcPr>
            <w:tcW w:w="2835" w:type="dxa"/>
          </w:tcPr>
          <w:p w:rsidR="001D37D5" w:rsidRPr="001D37D5" w:rsidRDefault="001D37D5" w:rsidP="001D37D5">
            <w:r w:rsidRPr="00883125">
              <w:t>Authors</w:t>
            </w:r>
          </w:p>
        </w:tc>
        <w:tc>
          <w:tcPr>
            <w:tcW w:w="1346" w:type="dxa"/>
          </w:tcPr>
          <w:p w:rsidR="001D37D5" w:rsidRPr="001D37D5" w:rsidRDefault="001D37D5" w:rsidP="001D37D5">
            <w:r w:rsidRPr="00883125">
              <w:t>Pre-2000 results</w:t>
            </w:r>
          </w:p>
        </w:tc>
        <w:tc>
          <w:tcPr>
            <w:tcW w:w="1347" w:type="dxa"/>
          </w:tcPr>
          <w:p w:rsidR="001D37D5" w:rsidRPr="001D37D5" w:rsidRDefault="001D37D5" w:rsidP="001D37D5">
            <w:r w:rsidRPr="00883125">
              <w:t>Post-2000 results</w:t>
            </w:r>
          </w:p>
        </w:tc>
        <w:tc>
          <w:tcPr>
            <w:tcW w:w="3260" w:type="dxa"/>
          </w:tcPr>
          <w:p w:rsidR="001D37D5" w:rsidRPr="001D37D5" w:rsidRDefault="001D37D5" w:rsidP="001D37D5">
            <w:r w:rsidRPr="00883125">
              <w:t>Notes</w:t>
            </w:r>
          </w:p>
        </w:tc>
      </w:tr>
      <w:tr w:rsidR="001D37D5" w:rsidRPr="00222643" w:rsidTr="005E1FC3">
        <w:trPr>
          <w:cantSplit/>
          <w:trHeight w:val="426"/>
        </w:trPr>
        <w:tc>
          <w:tcPr>
            <w:tcW w:w="3227" w:type="dxa"/>
            <w:gridSpan w:val="3"/>
          </w:tcPr>
          <w:p w:rsidR="001D37D5" w:rsidRPr="001D37D5" w:rsidRDefault="001D37D5" w:rsidP="001D37D5">
            <w:pPr>
              <w:rPr>
                <w:rStyle w:val="Strong"/>
              </w:rPr>
            </w:pPr>
            <w:r w:rsidRPr="00883125">
              <w:rPr>
                <w:rStyle w:val="Strong"/>
              </w:rPr>
              <w:t>Dividend drop off study</w:t>
            </w:r>
          </w:p>
        </w:tc>
        <w:tc>
          <w:tcPr>
            <w:tcW w:w="1346" w:type="dxa"/>
          </w:tcPr>
          <w:p w:rsidR="001D37D5" w:rsidRPr="00883125" w:rsidRDefault="001D37D5" w:rsidP="001D37D5"/>
        </w:tc>
        <w:tc>
          <w:tcPr>
            <w:tcW w:w="1347" w:type="dxa"/>
          </w:tcPr>
          <w:p w:rsidR="001D37D5" w:rsidRPr="00883125" w:rsidRDefault="001D37D5" w:rsidP="001D37D5"/>
        </w:tc>
        <w:tc>
          <w:tcPr>
            <w:tcW w:w="3260" w:type="dxa"/>
          </w:tcPr>
          <w:p w:rsidR="001D37D5" w:rsidRPr="00883125" w:rsidRDefault="001D37D5" w:rsidP="001D37D5"/>
        </w:tc>
      </w:tr>
      <w:tr w:rsidR="001D37D5" w:rsidRPr="00222643" w:rsidTr="005E1FC3">
        <w:trPr>
          <w:cnfStyle w:val="000000010000" w:firstRow="0" w:lastRow="0" w:firstColumn="0" w:lastColumn="0" w:oddVBand="0" w:evenVBand="0" w:oddHBand="0" w:evenHBand="1" w:firstRowFirstColumn="0" w:firstRowLastColumn="0" w:lastRowFirstColumn="0" w:lastRowLastColumn="0"/>
          <w:cantSplit/>
          <w:trHeight w:val="406"/>
        </w:trPr>
        <w:tc>
          <w:tcPr>
            <w:tcW w:w="250" w:type="dxa"/>
          </w:tcPr>
          <w:p w:rsidR="001D37D5" w:rsidRPr="00883125" w:rsidRDefault="001D37D5" w:rsidP="001D37D5"/>
        </w:tc>
        <w:tc>
          <w:tcPr>
            <w:tcW w:w="2977" w:type="dxa"/>
            <w:gridSpan w:val="2"/>
          </w:tcPr>
          <w:p w:rsidR="001D37D5" w:rsidRPr="001D37D5" w:rsidRDefault="001D37D5" w:rsidP="001D37D5">
            <w:r w:rsidRPr="00883125">
              <w:t>Vo et al (2013)</w:t>
            </w:r>
            <w:r w:rsidRPr="001D37D5">
              <w:rPr>
                <w:rStyle w:val="FootnoteReference"/>
              </w:rPr>
              <w:footnoteReference w:id="570"/>
            </w:r>
          </w:p>
        </w:tc>
        <w:tc>
          <w:tcPr>
            <w:tcW w:w="1346" w:type="dxa"/>
          </w:tcPr>
          <w:p w:rsidR="001D37D5" w:rsidRPr="00883125" w:rsidRDefault="001D37D5" w:rsidP="001D37D5"/>
        </w:tc>
        <w:tc>
          <w:tcPr>
            <w:tcW w:w="1347" w:type="dxa"/>
          </w:tcPr>
          <w:p w:rsidR="001D37D5" w:rsidRPr="001D37D5" w:rsidRDefault="001D37D5" w:rsidP="001D37D5">
            <w:r w:rsidRPr="00883125">
              <w:t>0.35–0.55</w:t>
            </w:r>
            <w:r w:rsidRPr="00883125">
              <w:br/>
              <w:t>(2001–2012)</w:t>
            </w:r>
          </w:p>
        </w:tc>
        <w:tc>
          <w:tcPr>
            <w:tcW w:w="3260" w:type="dxa"/>
          </w:tcPr>
          <w:p w:rsidR="001D37D5" w:rsidRPr="001D37D5" w:rsidRDefault="001D37D5" w:rsidP="001D37D5">
            <w:r w:rsidRPr="00883125">
              <w:t>Range derived from large number of permutations and sensitivity tests.</w:t>
            </w:r>
          </w:p>
        </w:tc>
      </w:tr>
      <w:tr w:rsidR="001D37D5" w:rsidRPr="00222643" w:rsidTr="005E1FC3">
        <w:trPr>
          <w:cantSplit/>
        </w:trPr>
        <w:tc>
          <w:tcPr>
            <w:tcW w:w="250" w:type="dxa"/>
          </w:tcPr>
          <w:p w:rsidR="001D37D5" w:rsidRPr="00883125" w:rsidRDefault="001D37D5" w:rsidP="001D37D5"/>
        </w:tc>
        <w:tc>
          <w:tcPr>
            <w:tcW w:w="2977" w:type="dxa"/>
            <w:gridSpan w:val="2"/>
          </w:tcPr>
          <w:p w:rsidR="001D37D5" w:rsidRPr="001D37D5" w:rsidRDefault="001D37D5" w:rsidP="001D37D5">
            <w:r w:rsidRPr="00883125">
              <w:t>SFG (2013a)</w:t>
            </w:r>
            <w:r w:rsidRPr="001D37D5">
              <w:rPr>
                <w:rStyle w:val="FootnoteReference"/>
              </w:rPr>
              <w:footnoteReference w:id="571"/>
            </w:r>
          </w:p>
        </w:tc>
        <w:tc>
          <w:tcPr>
            <w:tcW w:w="1346" w:type="dxa"/>
          </w:tcPr>
          <w:p w:rsidR="001D37D5" w:rsidRPr="00883125" w:rsidRDefault="001D37D5" w:rsidP="001D37D5"/>
        </w:tc>
        <w:tc>
          <w:tcPr>
            <w:tcW w:w="1347" w:type="dxa"/>
          </w:tcPr>
          <w:p w:rsidR="001D37D5" w:rsidRPr="001D37D5" w:rsidRDefault="001D37D5" w:rsidP="001D37D5">
            <w:r w:rsidRPr="00883125">
              <w:t>0.35</w:t>
            </w:r>
            <w:r w:rsidRPr="00883125">
              <w:br/>
              <w:t>(2001–2012)</w:t>
            </w:r>
          </w:p>
        </w:tc>
        <w:tc>
          <w:tcPr>
            <w:tcW w:w="3260" w:type="dxa"/>
          </w:tcPr>
          <w:p w:rsidR="001D37D5" w:rsidRPr="001D37D5" w:rsidRDefault="001D37D5" w:rsidP="001D37D5">
            <w:r w:rsidRPr="00883125">
              <w:t xml:space="preserve">Author's point estimate </w:t>
            </w:r>
            <w:r w:rsidRPr="001D37D5">
              <w:t>across a number of different regression forms.</w:t>
            </w:r>
          </w:p>
        </w:tc>
      </w:tr>
      <w:tr w:rsidR="001D37D5" w:rsidRPr="00222643" w:rsidTr="005E1FC3">
        <w:trPr>
          <w:cnfStyle w:val="000000010000" w:firstRow="0" w:lastRow="0" w:firstColumn="0" w:lastColumn="0" w:oddVBand="0" w:evenVBand="0" w:oddHBand="0" w:evenHBand="1" w:firstRowFirstColumn="0" w:firstRowLastColumn="0" w:lastRowFirstColumn="0" w:lastRowLastColumn="0"/>
          <w:cantSplit/>
        </w:trPr>
        <w:tc>
          <w:tcPr>
            <w:tcW w:w="250" w:type="dxa"/>
          </w:tcPr>
          <w:p w:rsidR="001D37D5" w:rsidRPr="00883125" w:rsidRDefault="001D37D5" w:rsidP="001D37D5"/>
        </w:tc>
        <w:tc>
          <w:tcPr>
            <w:tcW w:w="2977" w:type="dxa"/>
            <w:gridSpan w:val="2"/>
          </w:tcPr>
          <w:p w:rsidR="001D37D5" w:rsidRPr="001D37D5" w:rsidRDefault="001D37D5" w:rsidP="001D37D5">
            <w:r w:rsidRPr="00883125">
              <w:t>SFG (2011)</w:t>
            </w:r>
            <w:r w:rsidRPr="001D37D5">
              <w:rPr>
                <w:rStyle w:val="FootnoteReference"/>
              </w:rPr>
              <w:footnoteReference w:id="572"/>
            </w:r>
          </w:p>
        </w:tc>
        <w:tc>
          <w:tcPr>
            <w:tcW w:w="1346" w:type="dxa"/>
          </w:tcPr>
          <w:p w:rsidR="001D37D5" w:rsidRPr="00883125" w:rsidRDefault="001D37D5" w:rsidP="001D37D5"/>
        </w:tc>
        <w:tc>
          <w:tcPr>
            <w:tcW w:w="1347" w:type="dxa"/>
          </w:tcPr>
          <w:p w:rsidR="001D37D5" w:rsidRPr="001D37D5" w:rsidRDefault="001D37D5" w:rsidP="001D37D5">
            <w:r w:rsidRPr="00883125">
              <w:t>0.35</w:t>
            </w:r>
            <w:r w:rsidRPr="00883125">
              <w:br/>
              <w:t>(2001–2010)</w:t>
            </w:r>
          </w:p>
        </w:tc>
        <w:tc>
          <w:tcPr>
            <w:tcW w:w="3260" w:type="dxa"/>
          </w:tcPr>
          <w:p w:rsidR="001D37D5" w:rsidRPr="00883125" w:rsidRDefault="001D37D5" w:rsidP="001D37D5"/>
        </w:tc>
      </w:tr>
      <w:tr w:rsidR="001D37D5" w:rsidRPr="00222643" w:rsidTr="005E1FC3">
        <w:trPr>
          <w:cantSplit/>
          <w:trHeight w:val="301"/>
        </w:trPr>
        <w:tc>
          <w:tcPr>
            <w:tcW w:w="250" w:type="dxa"/>
          </w:tcPr>
          <w:p w:rsidR="001D37D5" w:rsidRPr="00883125" w:rsidRDefault="001D37D5" w:rsidP="001D37D5"/>
        </w:tc>
        <w:tc>
          <w:tcPr>
            <w:tcW w:w="2977" w:type="dxa"/>
            <w:gridSpan w:val="2"/>
          </w:tcPr>
          <w:p w:rsidR="001D37D5" w:rsidRPr="001D37D5" w:rsidRDefault="001D37D5" w:rsidP="001D37D5">
            <w:r w:rsidRPr="00883125">
              <w:t>Minney (2010)</w:t>
            </w:r>
            <w:r w:rsidRPr="001D37D5">
              <w:rPr>
                <w:rStyle w:val="FootnoteReference"/>
              </w:rPr>
              <w:footnoteReference w:id="573"/>
            </w:r>
          </w:p>
        </w:tc>
        <w:tc>
          <w:tcPr>
            <w:tcW w:w="1346" w:type="dxa"/>
          </w:tcPr>
          <w:p w:rsidR="001D37D5" w:rsidRPr="00883125" w:rsidRDefault="001D37D5" w:rsidP="001D37D5"/>
        </w:tc>
        <w:tc>
          <w:tcPr>
            <w:tcW w:w="1347" w:type="dxa"/>
          </w:tcPr>
          <w:p w:rsidR="001D37D5" w:rsidRPr="001D37D5" w:rsidRDefault="001D37D5" w:rsidP="001D37D5">
            <w:r w:rsidRPr="00883125">
              <w:t>0.39</w:t>
            </w:r>
            <w:r w:rsidRPr="00883125">
              <w:br/>
              <w:t>(2001–2009)</w:t>
            </w:r>
          </w:p>
        </w:tc>
        <w:tc>
          <w:tcPr>
            <w:tcW w:w="3260" w:type="dxa"/>
          </w:tcPr>
          <w:p w:rsidR="001D37D5" w:rsidRPr="001D37D5" w:rsidRDefault="001D37D5" w:rsidP="001D37D5">
            <w:r w:rsidRPr="00883125">
              <w:t>Average of results from 2001–2005 and 2006–2009 sub-periods. For the most recent sub-period (2006–2009), utilisation rate is 0.53.</w:t>
            </w:r>
          </w:p>
        </w:tc>
      </w:tr>
      <w:tr w:rsidR="001D37D5" w:rsidRPr="00222643" w:rsidTr="005E1FC3">
        <w:trPr>
          <w:cnfStyle w:val="000000010000" w:firstRow="0" w:lastRow="0" w:firstColumn="0" w:lastColumn="0" w:oddVBand="0" w:evenVBand="0" w:oddHBand="0" w:evenHBand="1" w:firstRowFirstColumn="0" w:firstRowLastColumn="0" w:lastRowFirstColumn="0" w:lastRowLastColumn="0"/>
          <w:cantSplit/>
          <w:trHeight w:val="720"/>
        </w:trPr>
        <w:tc>
          <w:tcPr>
            <w:tcW w:w="250" w:type="dxa"/>
          </w:tcPr>
          <w:p w:rsidR="001D37D5" w:rsidRPr="00883125" w:rsidRDefault="001D37D5" w:rsidP="001D37D5"/>
        </w:tc>
        <w:tc>
          <w:tcPr>
            <w:tcW w:w="2977" w:type="dxa"/>
            <w:gridSpan w:val="2"/>
          </w:tcPr>
          <w:p w:rsidR="001D37D5" w:rsidRPr="001D37D5" w:rsidRDefault="001D37D5" w:rsidP="001D37D5">
            <w:r w:rsidRPr="00883125">
              <w:t xml:space="preserve">Beggs </w:t>
            </w:r>
            <w:r w:rsidRPr="001D37D5">
              <w:t>and Skeels (2006)</w:t>
            </w:r>
            <w:r w:rsidRPr="001D37D5">
              <w:rPr>
                <w:rStyle w:val="FootnoteReference"/>
              </w:rPr>
              <w:footnoteReference w:id="574"/>
            </w:r>
          </w:p>
        </w:tc>
        <w:tc>
          <w:tcPr>
            <w:tcW w:w="1346" w:type="dxa"/>
          </w:tcPr>
          <w:p w:rsidR="001D37D5" w:rsidRPr="001D37D5" w:rsidRDefault="001D37D5" w:rsidP="001D37D5">
            <w:r w:rsidRPr="00883125">
              <w:t>0.20</w:t>
            </w:r>
            <w:r w:rsidRPr="00883125">
              <w:br/>
              <w:t>(1992–1997)</w:t>
            </w:r>
          </w:p>
        </w:tc>
        <w:tc>
          <w:tcPr>
            <w:tcW w:w="1347" w:type="dxa"/>
          </w:tcPr>
          <w:p w:rsidR="001D37D5" w:rsidRPr="001D37D5" w:rsidRDefault="001D37D5" w:rsidP="001D37D5">
            <w:r w:rsidRPr="00883125">
              <w:t>0.57</w:t>
            </w:r>
            <w:r w:rsidRPr="00883125">
              <w:br/>
              <w:t>(2001–2004)</w:t>
            </w:r>
          </w:p>
        </w:tc>
        <w:tc>
          <w:tcPr>
            <w:tcW w:w="3260" w:type="dxa"/>
          </w:tcPr>
          <w:p w:rsidR="001D37D5" w:rsidRPr="001D37D5" w:rsidRDefault="001D37D5" w:rsidP="001D37D5">
            <w:r w:rsidRPr="00883125">
              <w:t>Several other pre-2000 periods are presented.</w:t>
            </w:r>
          </w:p>
        </w:tc>
      </w:tr>
      <w:tr w:rsidR="001D37D5" w:rsidRPr="00222643" w:rsidTr="005E1FC3">
        <w:trPr>
          <w:cantSplit/>
          <w:trHeight w:val="789"/>
        </w:trPr>
        <w:tc>
          <w:tcPr>
            <w:tcW w:w="250" w:type="dxa"/>
          </w:tcPr>
          <w:p w:rsidR="001D37D5" w:rsidRPr="00883125" w:rsidRDefault="001D37D5" w:rsidP="001D37D5"/>
        </w:tc>
        <w:tc>
          <w:tcPr>
            <w:tcW w:w="2977" w:type="dxa"/>
            <w:gridSpan w:val="2"/>
          </w:tcPr>
          <w:p w:rsidR="001D37D5" w:rsidRPr="001D37D5" w:rsidRDefault="001D37D5" w:rsidP="001D37D5">
            <w:r w:rsidRPr="00883125">
              <w:t>Hathaway and Officer (2004)</w:t>
            </w:r>
            <w:r w:rsidRPr="001D37D5">
              <w:rPr>
                <w:rStyle w:val="FootnoteReference"/>
              </w:rPr>
              <w:footnoteReference w:id="575"/>
            </w:r>
          </w:p>
        </w:tc>
        <w:tc>
          <w:tcPr>
            <w:tcW w:w="1346" w:type="dxa"/>
          </w:tcPr>
          <w:p w:rsidR="001D37D5" w:rsidRPr="001D37D5" w:rsidRDefault="001D37D5" w:rsidP="001D37D5">
            <w:r w:rsidRPr="00883125">
              <w:t>0.49</w:t>
            </w:r>
            <w:r w:rsidRPr="00883125">
              <w:br/>
              <w:t>(1986–2004)</w:t>
            </w:r>
          </w:p>
        </w:tc>
        <w:tc>
          <w:tcPr>
            <w:tcW w:w="1347" w:type="dxa"/>
          </w:tcPr>
          <w:p w:rsidR="001D37D5" w:rsidRPr="00883125" w:rsidRDefault="001D37D5" w:rsidP="001D37D5"/>
        </w:tc>
        <w:tc>
          <w:tcPr>
            <w:tcW w:w="3260" w:type="dxa"/>
          </w:tcPr>
          <w:p w:rsidR="001D37D5" w:rsidRPr="001D37D5" w:rsidRDefault="001D37D5" w:rsidP="001D37D5">
            <w:r w:rsidRPr="00883125">
              <w:t>Authors suggest that estimate has increased post-2000.</w:t>
            </w:r>
          </w:p>
        </w:tc>
      </w:tr>
      <w:tr w:rsidR="001D37D5" w:rsidRPr="00222643" w:rsidTr="005E1FC3">
        <w:trPr>
          <w:cnfStyle w:val="000000010000" w:firstRow="0" w:lastRow="0" w:firstColumn="0" w:lastColumn="0" w:oddVBand="0" w:evenVBand="0" w:oddHBand="0" w:evenHBand="1" w:firstRowFirstColumn="0" w:firstRowLastColumn="0" w:lastRowFirstColumn="0" w:lastRowLastColumn="0"/>
          <w:cantSplit/>
        </w:trPr>
        <w:tc>
          <w:tcPr>
            <w:tcW w:w="250" w:type="dxa"/>
          </w:tcPr>
          <w:p w:rsidR="001D37D5" w:rsidRPr="00883125" w:rsidRDefault="001D37D5" w:rsidP="001D37D5"/>
        </w:tc>
        <w:tc>
          <w:tcPr>
            <w:tcW w:w="2977" w:type="dxa"/>
            <w:gridSpan w:val="2"/>
          </w:tcPr>
          <w:p w:rsidR="001D37D5" w:rsidRPr="001D37D5" w:rsidRDefault="001D37D5" w:rsidP="001D37D5">
            <w:r w:rsidRPr="00883125">
              <w:t>Bellamy and Gray (2004)</w:t>
            </w:r>
            <w:r w:rsidRPr="001D37D5">
              <w:rPr>
                <w:rStyle w:val="FootnoteReference"/>
              </w:rPr>
              <w:footnoteReference w:id="576"/>
            </w:r>
          </w:p>
        </w:tc>
        <w:tc>
          <w:tcPr>
            <w:tcW w:w="1346" w:type="dxa"/>
          </w:tcPr>
          <w:p w:rsidR="001D37D5" w:rsidRPr="001D37D5" w:rsidRDefault="001D37D5" w:rsidP="001D37D5">
            <w:r w:rsidRPr="00883125">
              <w:t>0.36</w:t>
            </w:r>
            <w:r w:rsidRPr="00883125">
              <w:br/>
              <w:t>(1995–2002)</w:t>
            </w:r>
          </w:p>
        </w:tc>
        <w:tc>
          <w:tcPr>
            <w:tcW w:w="1347" w:type="dxa"/>
          </w:tcPr>
          <w:p w:rsidR="001D37D5" w:rsidRPr="00883125" w:rsidRDefault="001D37D5" w:rsidP="001D37D5"/>
        </w:tc>
        <w:tc>
          <w:tcPr>
            <w:tcW w:w="3260" w:type="dxa"/>
          </w:tcPr>
          <w:p w:rsidR="001D37D5" w:rsidRPr="001D37D5" w:rsidRDefault="001D37D5" w:rsidP="001D37D5">
            <w:r w:rsidRPr="00883125">
              <w:t>Range of</w:t>
            </w:r>
            <w:r w:rsidRPr="001D37D5">
              <w:t xml:space="preserve"> 0.0–0.60 is also presented.</w:t>
            </w:r>
          </w:p>
        </w:tc>
      </w:tr>
      <w:tr w:rsidR="001D37D5" w:rsidRPr="00222643" w:rsidTr="005E1FC3">
        <w:trPr>
          <w:cantSplit/>
        </w:trPr>
        <w:tc>
          <w:tcPr>
            <w:tcW w:w="250" w:type="dxa"/>
          </w:tcPr>
          <w:p w:rsidR="001D37D5" w:rsidRPr="00883125" w:rsidRDefault="001D37D5" w:rsidP="001D37D5"/>
        </w:tc>
        <w:tc>
          <w:tcPr>
            <w:tcW w:w="2977" w:type="dxa"/>
            <w:gridSpan w:val="2"/>
          </w:tcPr>
          <w:p w:rsidR="001D37D5" w:rsidRPr="001D37D5" w:rsidRDefault="001D37D5" w:rsidP="001D37D5">
            <w:r w:rsidRPr="00883125">
              <w:t>Bruckner et al (1994)</w:t>
            </w:r>
            <w:r w:rsidRPr="001D37D5">
              <w:rPr>
                <w:rStyle w:val="FootnoteReference"/>
              </w:rPr>
              <w:footnoteReference w:id="577"/>
            </w:r>
          </w:p>
        </w:tc>
        <w:tc>
          <w:tcPr>
            <w:tcW w:w="1346" w:type="dxa"/>
          </w:tcPr>
          <w:p w:rsidR="001D37D5" w:rsidRPr="001D37D5" w:rsidRDefault="001D37D5" w:rsidP="001D37D5">
            <w:r w:rsidRPr="00883125">
              <w:t>0.69</w:t>
            </w:r>
            <w:r w:rsidRPr="00883125">
              <w:br/>
              <w:t>(1991–1993)</w:t>
            </w:r>
          </w:p>
        </w:tc>
        <w:tc>
          <w:tcPr>
            <w:tcW w:w="1347" w:type="dxa"/>
          </w:tcPr>
          <w:p w:rsidR="001D37D5" w:rsidRPr="00883125" w:rsidRDefault="001D37D5" w:rsidP="001D37D5"/>
        </w:tc>
        <w:tc>
          <w:tcPr>
            <w:tcW w:w="3260" w:type="dxa"/>
          </w:tcPr>
          <w:p w:rsidR="001D37D5" w:rsidRPr="001D37D5" w:rsidRDefault="001D37D5" w:rsidP="001D37D5">
            <w:r w:rsidRPr="00883125">
              <w:t>Also present an earlier period (1987–1990).</w:t>
            </w:r>
          </w:p>
        </w:tc>
      </w:tr>
      <w:tr w:rsidR="001D37D5" w:rsidRPr="00222643" w:rsidTr="005E1FC3">
        <w:trPr>
          <w:cnfStyle w:val="000000010000" w:firstRow="0" w:lastRow="0" w:firstColumn="0" w:lastColumn="0" w:oddVBand="0" w:evenVBand="0" w:oddHBand="0" w:evenHBand="1" w:firstRowFirstColumn="0" w:firstRowLastColumn="0" w:lastRowFirstColumn="0" w:lastRowLastColumn="0"/>
          <w:cantSplit/>
        </w:trPr>
        <w:tc>
          <w:tcPr>
            <w:tcW w:w="250" w:type="dxa"/>
          </w:tcPr>
          <w:p w:rsidR="001D37D5" w:rsidRPr="00883125" w:rsidRDefault="001D37D5" w:rsidP="001D37D5"/>
        </w:tc>
        <w:tc>
          <w:tcPr>
            <w:tcW w:w="2977" w:type="dxa"/>
            <w:gridSpan w:val="2"/>
          </w:tcPr>
          <w:p w:rsidR="001D37D5" w:rsidRPr="001D37D5" w:rsidRDefault="001D37D5" w:rsidP="001D37D5">
            <w:r w:rsidRPr="00883125">
              <w:t>Brown and Clarke (1993)</w:t>
            </w:r>
            <w:r w:rsidRPr="001D37D5">
              <w:rPr>
                <w:rStyle w:val="FootnoteReference"/>
              </w:rPr>
              <w:footnoteReference w:id="578"/>
            </w:r>
          </w:p>
        </w:tc>
        <w:tc>
          <w:tcPr>
            <w:tcW w:w="1346" w:type="dxa"/>
          </w:tcPr>
          <w:p w:rsidR="001D37D5" w:rsidRPr="001D37D5" w:rsidRDefault="001D37D5" w:rsidP="001D37D5">
            <w:r w:rsidRPr="00883125">
              <w:t>0.80</w:t>
            </w:r>
            <w:r w:rsidRPr="00883125">
              <w:br/>
              <w:t>(1988–1991)</w:t>
            </w:r>
          </w:p>
        </w:tc>
        <w:tc>
          <w:tcPr>
            <w:tcW w:w="1347" w:type="dxa"/>
          </w:tcPr>
          <w:p w:rsidR="001D37D5" w:rsidRPr="00883125" w:rsidRDefault="001D37D5" w:rsidP="001D37D5"/>
        </w:tc>
        <w:tc>
          <w:tcPr>
            <w:tcW w:w="3260" w:type="dxa"/>
          </w:tcPr>
          <w:p w:rsidR="001D37D5" w:rsidRPr="00883125" w:rsidRDefault="001D37D5" w:rsidP="001D37D5"/>
        </w:tc>
      </w:tr>
    </w:tbl>
    <w:p w:rsidR="001D37D5" w:rsidRPr="00883125" w:rsidRDefault="001D37D5" w:rsidP="001D37D5">
      <w:pPr>
        <w:pStyle w:val="AERtablesource"/>
      </w:pPr>
      <w:r w:rsidRPr="00883125">
        <w:t xml:space="preserve">Source: </w:t>
      </w:r>
      <w:r w:rsidRPr="00883125">
        <w:tab/>
        <w:t>As specified in table.</w:t>
      </w:r>
    </w:p>
    <w:p w:rsidR="005E1FC3" w:rsidRDefault="001D37D5" w:rsidP="001D37D5">
      <w:pPr>
        <w:rPr>
          <w:rStyle w:val="AERbody"/>
        </w:rPr>
      </w:pPr>
      <w:bookmarkStart w:id="276" w:name="_Ref401076250"/>
      <w:r w:rsidRPr="00883125">
        <w:rPr>
          <w:rStyle w:val="AERbody"/>
        </w:rPr>
        <w:t>As is evident in the table above</w:t>
      </w:r>
      <w:r w:rsidRPr="00B27BE5">
        <w:rPr>
          <w:rStyle w:val="AERbody"/>
        </w:rPr>
        <w:t xml:space="preserve">, dividend drop off studies suggest that the utilisation </w:t>
      </w:r>
      <w:r w:rsidRPr="00B27BE5">
        <w:t xml:space="preserve">value </w:t>
      </w:r>
      <w:r w:rsidRPr="00B27BE5">
        <w:rPr>
          <w:rStyle w:val="AERbody"/>
        </w:rPr>
        <w:t>is in the range of 0.35 to 0.57 when using post 2000 data and is in the range of 0.2 to 0.8 when using pre 2000 data. This is consistent with the finding in Ainsworth, Partington and Warren (2015) which considers that the dividend drop-off and comparative pricing studies they examine would suggest that imputation credits are partially priced at about $0.38 in the dollar.</w:t>
      </w:r>
      <w:r w:rsidRPr="00B27BE5">
        <w:rPr>
          <w:rStyle w:val="FootnoteReference"/>
        </w:rPr>
        <w:footnoteReference w:id="579"/>
      </w:r>
    </w:p>
    <w:p w:rsidR="005E1FC3" w:rsidRDefault="005E1FC3">
      <w:pPr>
        <w:spacing w:line="240" w:lineRule="auto"/>
        <w:rPr>
          <w:rStyle w:val="AERbody"/>
        </w:rPr>
      </w:pPr>
      <w:r>
        <w:rPr>
          <w:rStyle w:val="AERbody"/>
        </w:rPr>
        <w:br w:type="page"/>
      </w:r>
    </w:p>
    <w:p w:rsidR="001D37D5" w:rsidRPr="00883125" w:rsidRDefault="001D37D5" w:rsidP="001D37D5">
      <w:pPr>
        <w:pStyle w:val="Caption"/>
      </w:pPr>
      <w:bookmarkStart w:id="277" w:name="_Ref449538408"/>
      <w:r w:rsidRPr="00883125">
        <w:lastRenderedPageBreak/>
        <w:t xml:space="preserve">Table </w:t>
      </w:r>
      <w:r w:rsidRPr="001D37D5">
        <w:fldChar w:fldCharType="begin"/>
      </w:r>
      <w:r>
        <w:instrText xml:space="preserve"> STYLEREF 1 \s </w:instrText>
      </w:r>
      <w:r w:rsidRPr="001D37D5">
        <w:fldChar w:fldCharType="separate"/>
      </w:r>
      <w:r w:rsidR="00A02D8C">
        <w:rPr>
          <w:noProof/>
        </w:rPr>
        <w:t>4</w:t>
      </w:r>
      <w:r w:rsidRPr="001D37D5">
        <w:fldChar w:fldCharType="end"/>
      </w:r>
      <w:r>
        <w:noBreakHyphen/>
      </w:r>
      <w:r w:rsidRPr="001D37D5">
        <w:fldChar w:fldCharType="begin"/>
      </w:r>
      <w:r>
        <w:instrText xml:space="preserve"> SEQ Table \* ARABIC \s 1 </w:instrText>
      </w:r>
      <w:r w:rsidRPr="001D37D5">
        <w:fldChar w:fldCharType="separate"/>
      </w:r>
      <w:r w:rsidR="00A02D8C">
        <w:rPr>
          <w:noProof/>
        </w:rPr>
        <w:t>18</w:t>
      </w:r>
      <w:r w:rsidRPr="001D37D5">
        <w:fldChar w:fldCharType="end"/>
      </w:r>
      <w:bookmarkEnd w:id="276"/>
      <w:bookmarkEnd w:id="277"/>
      <w:r w:rsidRPr="00883125">
        <w:tab/>
        <w:t>Estimates of the utilisation rate from alternative market value studies</w:t>
      </w:r>
    </w:p>
    <w:tbl>
      <w:tblPr>
        <w:tblStyle w:val="AERtable-text0"/>
        <w:tblW w:w="0" w:type="auto"/>
        <w:tblLayout w:type="fixed"/>
        <w:tblLook w:val="04A0" w:firstRow="1" w:lastRow="0" w:firstColumn="1" w:lastColumn="0" w:noHBand="0" w:noVBand="1"/>
      </w:tblPr>
      <w:tblGrid>
        <w:gridCol w:w="392"/>
        <w:gridCol w:w="2835"/>
        <w:gridCol w:w="1346"/>
        <w:gridCol w:w="1347"/>
        <w:gridCol w:w="3260"/>
        <w:gridCol w:w="62"/>
      </w:tblGrid>
      <w:tr w:rsidR="001D37D5" w:rsidRPr="00222643" w:rsidTr="005E1FC3">
        <w:trPr>
          <w:gridAfter w:val="1"/>
          <w:cnfStyle w:val="100000000000" w:firstRow="1" w:lastRow="0" w:firstColumn="0" w:lastColumn="0" w:oddVBand="0" w:evenVBand="0" w:oddHBand="0" w:evenHBand="0" w:firstRowFirstColumn="0" w:firstRowLastColumn="0" w:lastRowFirstColumn="0" w:lastRowLastColumn="0"/>
          <w:wAfter w:w="62" w:type="dxa"/>
          <w:cantSplit/>
          <w:tblHeader/>
        </w:trPr>
        <w:tc>
          <w:tcPr>
            <w:tcW w:w="392" w:type="dxa"/>
          </w:tcPr>
          <w:p w:rsidR="001D37D5" w:rsidRPr="00883125" w:rsidRDefault="001D37D5" w:rsidP="001D37D5"/>
        </w:tc>
        <w:tc>
          <w:tcPr>
            <w:tcW w:w="2835" w:type="dxa"/>
          </w:tcPr>
          <w:p w:rsidR="001D37D5" w:rsidRPr="001D37D5" w:rsidRDefault="001D37D5" w:rsidP="001D37D5">
            <w:r w:rsidRPr="00883125">
              <w:t>Authors</w:t>
            </w:r>
          </w:p>
        </w:tc>
        <w:tc>
          <w:tcPr>
            <w:tcW w:w="1346" w:type="dxa"/>
          </w:tcPr>
          <w:p w:rsidR="001D37D5" w:rsidRPr="001D37D5" w:rsidRDefault="001D37D5" w:rsidP="001D37D5">
            <w:r w:rsidRPr="00883125">
              <w:t>Pre-2000 results</w:t>
            </w:r>
          </w:p>
        </w:tc>
        <w:tc>
          <w:tcPr>
            <w:tcW w:w="1347" w:type="dxa"/>
          </w:tcPr>
          <w:p w:rsidR="001D37D5" w:rsidRPr="001D37D5" w:rsidRDefault="001D37D5" w:rsidP="001D37D5">
            <w:r w:rsidRPr="00883125">
              <w:t>Post-2000 results</w:t>
            </w:r>
          </w:p>
        </w:tc>
        <w:tc>
          <w:tcPr>
            <w:tcW w:w="3260" w:type="dxa"/>
          </w:tcPr>
          <w:p w:rsidR="001D37D5" w:rsidRPr="001D37D5" w:rsidRDefault="001D37D5" w:rsidP="001D37D5">
            <w:r w:rsidRPr="00883125">
              <w:t>Notes</w:t>
            </w:r>
          </w:p>
        </w:tc>
      </w:tr>
      <w:tr w:rsidR="001D37D5" w:rsidRPr="00222643" w:rsidTr="005E1FC3">
        <w:trPr>
          <w:cantSplit/>
          <w:trHeight w:val="479"/>
        </w:trPr>
        <w:tc>
          <w:tcPr>
            <w:tcW w:w="3227" w:type="dxa"/>
            <w:gridSpan w:val="2"/>
          </w:tcPr>
          <w:p w:rsidR="001D37D5" w:rsidRPr="001D37D5" w:rsidRDefault="001D37D5" w:rsidP="001D37D5">
            <w:pPr>
              <w:rPr>
                <w:rStyle w:val="Strong"/>
              </w:rPr>
            </w:pPr>
            <w:r w:rsidRPr="00883125">
              <w:rPr>
                <w:rStyle w:val="Strong"/>
              </w:rPr>
              <w:t>Dividend drop off study using hybrids</w:t>
            </w:r>
          </w:p>
        </w:tc>
        <w:tc>
          <w:tcPr>
            <w:tcW w:w="1346" w:type="dxa"/>
          </w:tcPr>
          <w:p w:rsidR="001D37D5" w:rsidRPr="00883125" w:rsidRDefault="001D37D5" w:rsidP="001D37D5"/>
        </w:tc>
        <w:tc>
          <w:tcPr>
            <w:tcW w:w="1347" w:type="dxa"/>
          </w:tcPr>
          <w:p w:rsidR="001D37D5" w:rsidRPr="00883125" w:rsidRDefault="001D37D5" w:rsidP="001D37D5"/>
        </w:tc>
        <w:tc>
          <w:tcPr>
            <w:tcW w:w="3322" w:type="dxa"/>
            <w:gridSpan w:val="2"/>
          </w:tcPr>
          <w:p w:rsidR="001D37D5" w:rsidRPr="00883125" w:rsidRDefault="001D37D5" w:rsidP="001D37D5"/>
        </w:tc>
      </w:tr>
      <w:tr w:rsidR="001D37D5" w:rsidRPr="00222643" w:rsidTr="005E1FC3">
        <w:trPr>
          <w:cnfStyle w:val="000000010000" w:firstRow="0" w:lastRow="0" w:firstColumn="0" w:lastColumn="0" w:oddVBand="0" w:evenVBand="0" w:oddHBand="0" w:evenHBand="1" w:firstRowFirstColumn="0" w:firstRowLastColumn="0" w:lastRowFirstColumn="0" w:lastRowLastColumn="0"/>
          <w:cantSplit/>
        </w:trPr>
        <w:tc>
          <w:tcPr>
            <w:tcW w:w="392" w:type="dxa"/>
          </w:tcPr>
          <w:p w:rsidR="001D37D5" w:rsidRPr="00883125" w:rsidRDefault="001D37D5" w:rsidP="001D37D5"/>
        </w:tc>
        <w:tc>
          <w:tcPr>
            <w:tcW w:w="2835" w:type="dxa"/>
          </w:tcPr>
          <w:p w:rsidR="001D37D5" w:rsidRPr="001D37D5" w:rsidRDefault="001D37D5" w:rsidP="001D37D5">
            <w:r w:rsidRPr="00883125">
              <w:t>Feuerherdt, Gray and Hall (2010)</w:t>
            </w:r>
            <w:r w:rsidRPr="001D37D5">
              <w:rPr>
                <w:rStyle w:val="FootnoteReference"/>
              </w:rPr>
              <w:footnoteReference w:id="580"/>
            </w:r>
          </w:p>
        </w:tc>
        <w:tc>
          <w:tcPr>
            <w:tcW w:w="1346" w:type="dxa"/>
          </w:tcPr>
          <w:p w:rsidR="001D37D5" w:rsidRPr="001D37D5" w:rsidRDefault="001D37D5" w:rsidP="001D37D5">
            <w:r w:rsidRPr="00883125">
              <w:t>N/A</w:t>
            </w:r>
            <w:r w:rsidRPr="00883125">
              <w:br/>
              <w:t>(1995–2002)</w:t>
            </w:r>
          </w:p>
        </w:tc>
        <w:tc>
          <w:tcPr>
            <w:tcW w:w="1347" w:type="dxa"/>
          </w:tcPr>
          <w:p w:rsidR="001D37D5" w:rsidRPr="00883125" w:rsidRDefault="001D37D5" w:rsidP="001D37D5"/>
        </w:tc>
        <w:tc>
          <w:tcPr>
            <w:tcW w:w="3322" w:type="dxa"/>
            <w:gridSpan w:val="2"/>
          </w:tcPr>
          <w:p w:rsidR="001D37D5" w:rsidRPr="001D37D5" w:rsidRDefault="001D37D5" w:rsidP="001D37D5">
            <w:r w:rsidRPr="00883125">
              <w:t>Combined drop off of 1.0. With dividends at full value, this is a utilisation rate of 0.</w:t>
            </w:r>
          </w:p>
        </w:tc>
      </w:tr>
      <w:tr w:rsidR="001D37D5" w:rsidRPr="00222643" w:rsidTr="005E1FC3">
        <w:trPr>
          <w:cantSplit/>
        </w:trPr>
        <w:tc>
          <w:tcPr>
            <w:tcW w:w="3227" w:type="dxa"/>
            <w:gridSpan w:val="2"/>
          </w:tcPr>
          <w:p w:rsidR="001D37D5" w:rsidRPr="001D37D5" w:rsidRDefault="001D37D5" w:rsidP="001D37D5">
            <w:pPr>
              <w:rPr>
                <w:rStyle w:val="Strong"/>
              </w:rPr>
            </w:pPr>
            <w:r w:rsidRPr="00883125">
              <w:rPr>
                <w:rStyle w:val="Strong"/>
              </w:rPr>
              <w:t xml:space="preserve">Futures study (individual or </w:t>
            </w:r>
            <w:r w:rsidRPr="001D37D5">
              <w:rPr>
                <w:rStyle w:val="Strong"/>
              </w:rPr>
              <w:t>index)</w:t>
            </w:r>
          </w:p>
        </w:tc>
        <w:tc>
          <w:tcPr>
            <w:tcW w:w="1346" w:type="dxa"/>
          </w:tcPr>
          <w:p w:rsidR="001D37D5" w:rsidRPr="00883125" w:rsidRDefault="001D37D5" w:rsidP="001D37D5">
            <w:pPr>
              <w:rPr>
                <w:rStyle w:val="Strong"/>
              </w:rPr>
            </w:pPr>
          </w:p>
        </w:tc>
        <w:tc>
          <w:tcPr>
            <w:tcW w:w="1347" w:type="dxa"/>
          </w:tcPr>
          <w:p w:rsidR="001D37D5" w:rsidRPr="00883125" w:rsidRDefault="001D37D5" w:rsidP="001D37D5"/>
        </w:tc>
        <w:tc>
          <w:tcPr>
            <w:tcW w:w="3322" w:type="dxa"/>
            <w:gridSpan w:val="2"/>
          </w:tcPr>
          <w:p w:rsidR="001D37D5" w:rsidRPr="00883125" w:rsidRDefault="001D37D5" w:rsidP="001D37D5"/>
        </w:tc>
      </w:tr>
      <w:tr w:rsidR="001D37D5" w:rsidRPr="00222643" w:rsidTr="005E1FC3">
        <w:trPr>
          <w:cnfStyle w:val="000000010000" w:firstRow="0" w:lastRow="0" w:firstColumn="0" w:lastColumn="0" w:oddVBand="0" w:evenVBand="0" w:oddHBand="0" w:evenHBand="1" w:firstRowFirstColumn="0" w:firstRowLastColumn="0" w:lastRowFirstColumn="0" w:lastRowLastColumn="0"/>
          <w:cantSplit/>
          <w:trHeight w:val="542"/>
        </w:trPr>
        <w:tc>
          <w:tcPr>
            <w:tcW w:w="392" w:type="dxa"/>
          </w:tcPr>
          <w:p w:rsidR="001D37D5" w:rsidRPr="00883125" w:rsidRDefault="001D37D5" w:rsidP="001D37D5"/>
        </w:tc>
        <w:tc>
          <w:tcPr>
            <w:tcW w:w="2835" w:type="dxa"/>
          </w:tcPr>
          <w:p w:rsidR="001D37D5" w:rsidRPr="001D37D5" w:rsidRDefault="001D37D5" w:rsidP="001D37D5">
            <w:r w:rsidRPr="00883125">
              <w:t>SFG (2013b)</w:t>
            </w:r>
            <w:r w:rsidRPr="001D37D5">
              <w:rPr>
                <w:rStyle w:val="FootnoteReference"/>
              </w:rPr>
              <w:footnoteReference w:id="581"/>
            </w:r>
          </w:p>
        </w:tc>
        <w:tc>
          <w:tcPr>
            <w:tcW w:w="1346" w:type="dxa"/>
          </w:tcPr>
          <w:p w:rsidR="001D37D5" w:rsidRPr="00883125" w:rsidRDefault="001D37D5" w:rsidP="001D37D5"/>
        </w:tc>
        <w:tc>
          <w:tcPr>
            <w:tcW w:w="1347" w:type="dxa"/>
          </w:tcPr>
          <w:p w:rsidR="001D37D5" w:rsidRPr="001D37D5" w:rsidRDefault="001D37D5" w:rsidP="001D37D5">
            <w:r w:rsidRPr="00883125">
              <w:t>0.12</w:t>
            </w:r>
            <w:r w:rsidRPr="00883125">
              <w:br/>
              <w:t>(2000–2013)</w:t>
            </w:r>
          </w:p>
        </w:tc>
        <w:tc>
          <w:tcPr>
            <w:tcW w:w="3322" w:type="dxa"/>
            <w:gridSpan w:val="2"/>
          </w:tcPr>
          <w:p w:rsidR="001D37D5" w:rsidRPr="001D37D5" w:rsidRDefault="001D37D5" w:rsidP="001D37D5">
            <w:r w:rsidRPr="00883125">
              <w:t>Uses individual firms.</w:t>
            </w:r>
          </w:p>
        </w:tc>
      </w:tr>
      <w:tr w:rsidR="001D37D5" w:rsidRPr="00222643" w:rsidTr="005E1FC3">
        <w:trPr>
          <w:cantSplit/>
          <w:trHeight w:val="465"/>
        </w:trPr>
        <w:tc>
          <w:tcPr>
            <w:tcW w:w="392" w:type="dxa"/>
          </w:tcPr>
          <w:p w:rsidR="001D37D5" w:rsidRPr="00883125" w:rsidRDefault="001D37D5" w:rsidP="001D37D5"/>
        </w:tc>
        <w:tc>
          <w:tcPr>
            <w:tcW w:w="2835" w:type="dxa"/>
          </w:tcPr>
          <w:p w:rsidR="001D37D5" w:rsidRPr="001D37D5" w:rsidRDefault="001D37D5" w:rsidP="001D37D5">
            <w:r w:rsidRPr="00883125">
              <w:t>Cannavan et al (2004)</w:t>
            </w:r>
            <w:r w:rsidRPr="001D37D5">
              <w:rPr>
                <w:rStyle w:val="FootnoteReference"/>
              </w:rPr>
              <w:footnoteReference w:id="582"/>
            </w:r>
          </w:p>
        </w:tc>
        <w:tc>
          <w:tcPr>
            <w:tcW w:w="1346" w:type="dxa"/>
          </w:tcPr>
          <w:p w:rsidR="001D37D5" w:rsidRPr="001D37D5" w:rsidRDefault="001D37D5" w:rsidP="001D37D5">
            <w:r w:rsidRPr="00883125">
              <w:t>0–0.15</w:t>
            </w:r>
            <w:r w:rsidRPr="00883125">
              <w:br/>
              <w:t>(1994–1999)</w:t>
            </w:r>
          </w:p>
        </w:tc>
        <w:tc>
          <w:tcPr>
            <w:tcW w:w="1347" w:type="dxa"/>
          </w:tcPr>
          <w:p w:rsidR="001D37D5" w:rsidRPr="00883125" w:rsidRDefault="001D37D5" w:rsidP="001D37D5"/>
        </w:tc>
        <w:tc>
          <w:tcPr>
            <w:tcW w:w="3322" w:type="dxa"/>
            <w:gridSpan w:val="2"/>
          </w:tcPr>
          <w:p w:rsidR="001D37D5" w:rsidRPr="001D37D5" w:rsidRDefault="001D37D5" w:rsidP="001D37D5">
            <w:r w:rsidRPr="00883125">
              <w:t>Uses individual firms.</w:t>
            </w:r>
          </w:p>
        </w:tc>
      </w:tr>
      <w:tr w:rsidR="001D37D5" w:rsidRPr="00222643" w:rsidTr="005E1FC3">
        <w:trPr>
          <w:cnfStyle w:val="000000010000" w:firstRow="0" w:lastRow="0" w:firstColumn="0" w:lastColumn="0" w:oddVBand="0" w:evenVBand="0" w:oddHBand="0" w:evenHBand="1" w:firstRowFirstColumn="0" w:firstRowLastColumn="0" w:lastRowFirstColumn="0" w:lastRowLastColumn="0"/>
          <w:cantSplit/>
        </w:trPr>
        <w:tc>
          <w:tcPr>
            <w:tcW w:w="392" w:type="dxa"/>
          </w:tcPr>
          <w:p w:rsidR="001D37D5" w:rsidRPr="00883125" w:rsidRDefault="001D37D5" w:rsidP="001D37D5"/>
        </w:tc>
        <w:tc>
          <w:tcPr>
            <w:tcW w:w="2835" w:type="dxa"/>
          </w:tcPr>
          <w:p w:rsidR="001D37D5" w:rsidRPr="001D37D5" w:rsidRDefault="001D37D5" w:rsidP="001D37D5">
            <w:r w:rsidRPr="00883125">
              <w:t>Cummings and Frino (2008)</w:t>
            </w:r>
            <w:r w:rsidRPr="001D37D5">
              <w:rPr>
                <w:rStyle w:val="FootnoteReference"/>
              </w:rPr>
              <w:footnoteReference w:id="583"/>
            </w:r>
          </w:p>
        </w:tc>
        <w:tc>
          <w:tcPr>
            <w:tcW w:w="1346" w:type="dxa"/>
          </w:tcPr>
          <w:p w:rsidR="001D37D5" w:rsidRPr="00883125" w:rsidRDefault="001D37D5" w:rsidP="001D37D5"/>
        </w:tc>
        <w:tc>
          <w:tcPr>
            <w:tcW w:w="1347" w:type="dxa"/>
          </w:tcPr>
          <w:p w:rsidR="001D37D5" w:rsidRPr="001D37D5" w:rsidRDefault="001D37D5" w:rsidP="001D37D5">
            <w:r w:rsidRPr="00883125">
              <w:t>0.52</w:t>
            </w:r>
            <w:r w:rsidRPr="00883125">
              <w:br/>
              <w:t>(2002–2005)</w:t>
            </w:r>
          </w:p>
        </w:tc>
        <w:tc>
          <w:tcPr>
            <w:tcW w:w="3322" w:type="dxa"/>
            <w:gridSpan w:val="2"/>
          </w:tcPr>
          <w:p w:rsidR="001D37D5" w:rsidRPr="001D37D5" w:rsidRDefault="001D37D5" w:rsidP="001D37D5">
            <w:r w:rsidRPr="00883125">
              <w:t>Uses index.</w:t>
            </w:r>
          </w:p>
        </w:tc>
      </w:tr>
      <w:tr w:rsidR="001D37D5" w:rsidRPr="00222643" w:rsidTr="005E1FC3">
        <w:trPr>
          <w:cantSplit/>
        </w:trPr>
        <w:tc>
          <w:tcPr>
            <w:tcW w:w="3227" w:type="dxa"/>
            <w:gridSpan w:val="2"/>
          </w:tcPr>
          <w:p w:rsidR="001D37D5" w:rsidRPr="001D37D5" w:rsidRDefault="001D37D5" w:rsidP="001D37D5">
            <w:pPr>
              <w:rPr>
                <w:rStyle w:val="Strong"/>
              </w:rPr>
            </w:pPr>
            <w:r w:rsidRPr="00883125">
              <w:rPr>
                <w:rStyle w:val="Strong"/>
              </w:rPr>
              <w:t>Rate of return study</w:t>
            </w:r>
          </w:p>
        </w:tc>
        <w:tc>
          <w:tcPr>
            <w:tcW w:w="1346" w:type="dxa"/>
          </w:tcPr>
          <w:p w:rsidR="001D37D5" w:rsidRPr="00883125" w:rsidRDefault="001D37D5" w:rsidP="001D37D5"/>
        </w:tc>
        <w:tc>
          <w:tcPr>
            <w:tcW w:w="1347" w:type="dxa"/>
          </w:tcPr>
          <w:p w:rsidR="001D37D5" w:rsidRPr="00883125" w:rsidRDefault="001D37D5" w:rsidP="001D37D5"/>
        </w:tc>
        <w:tc>
          <w:tcPr>
            <w:tcW w:w="3322" w:type="dxa"/>
            <w:gridSpan w:val="2"/>
          </w:tcPr>
          <w:p w:rsidR="001D37D5" w:rsidRPr="00883125" w:rsidRDefault="001D37D5" w:rsidP="001D37D5"/>
        </w:tc>
      </w:tr>
      <w:tr w:rsidR="001D37D5" w:rsidRPr="00222643" w:rsidTr="005E1FC3">
        <w:trPr>
          <w:cnfStyle w:val="000000010000" w:firstRow="0" w:lastRow="0" w:firstColumn="0" w:lastColumn="0" w:oddVBand="0" w:evenVBand="0" w:oddHBand="0" w:evenHBand="1" w:firstRowFirstColumn="0" w:firstRowLastColumn="0" w:lastRowFirstColumn="0" w:lastRowLastColumn="0"/>
          <w:cantSplit/>
        </w:trPr>
        <w:tc>
          <w:tcPr>
            <w:tcW w:w="392" w:type="dxa"/>
          </w:tcPr>
          <w:p w:rsidR="001D37D5" w:rsidRPr="00883125" w:rsidRDefault="001D37D5" w:rsidP="001D37D5"/>
        </w:tc>
        <w:tc>
          <w:tcPr>
            <w:tcW w:w="2835" w:type="dxa"/>
          </w:tcPr>
          <w:p w:rsidR="001D37D5" w:rsidRPr="001D37D5" w:rsidRDefault="001D37D5" w:rsidP="001D37D5">
            <w:r w:rsidRPr="00883125">
              <w:t>NERA (2013b)</w:t>
            </w:r>
            <w:r w:rsidRPr="001D37D5">
              <w:rPr>
                <w:rStyle w:val="FootnoteReference"/>
              </w:rPr>
              <w:footnoteReference w:id="584"/>
            </w:r>
          </w:p>
        </w:tc>
        <w:tc>
          <w:tcPr>
            <w:tcW w:w="1346" w:type="dxa"/>
          </w:tcPr>
          <w:p w:rsidR="001D37D5" w:rsidRPr="001D37D5" w:rsidRDefault="001D37D5" w:rsidP="001D37D5">
            <w:r w:rsidRPr="00883125">
              <w:t>-1.57</w:t>
            </w:r>
            <w:r w:rsidRPr="00883125">
              <w:br/>
              <w:t>(1987–2000)</w:t>
            </w:r>
          </w:p>
        </w:tc>
        <w:tc>
          <w:tcPr>
            <w:tcW w:w="1347" w:type="dxa"/>
          </w:tcPr>
          <w:p w:rsidR="001D37D5" w:rsidRPr="001D37D5" w:rsidRDefault="001D37D5" w:rsidP="001D37D5">
            <w:r w:rsidRPr="00883125">
              <w:t>-1.90</w:t>
            </w:r>
            <w:r w:rsidRPr="00883125">
              <w:br/>
              <w:t>(2000–2012)</w:t>
            </w:r>
          </w:p>
        </w:tc>
        <w:tc>
          <w:tcPr>
            <w:tcW w:w="3322" w:type="dxa"/>
            <w:gridSpan w:val="2"/>
          </w:tcPr>
          <w:p w:rsidR="001D37D5" w:rsidRPr="001D37D5" w:rsidRDefault="001D37D5" w:rsidP="001D37D5">
            <w:r w:rsidRPr="00883125">
              <w:t>Uses past returns. For the entire period, estimate is -1.50.</w:t>
            </w:r>
          </w:p>
        </w:tc>
      </w:tr>
      <w:tr w:rsidR="001D37D5" w:rsidRPr="00222643" w:rsidTr="005E1FC3">
        <w:trPr>
          <w:cantSplit/>
          <w:trHeight w:val="535"/>
        </w:trPr>
        <w:tc>
          <w:tcPr>
            <w:tcW w:w="392" w:type="dxa"/>
          </w:tcPr>
          <w:p w:rsidR="001D37D5" w:rsidRPr="00883125" w:rsidRDefault="001D37D5" w:rsidP="001D37D5"/>
        </w:tc>
        <w:tc>
          <w:tcPr>
            <w:tcW w:w="2835" w:type="dxa"/>
          </w:tcPr>
          <w:p w:rsidR="001D37D5" w:rsidRPr="001D37D5" w:rsidRDefault="001D37D5" w:rsidP="001D37D5">
            <w:r w:rsidRPr="00883125">
              <w:t>Lajbcygier and Wheatley (2012)</w:t>
            </w:r>
            <w:r w:rsidRPr="001D37D5">
              <w:rPr>
                <w:rStyle w:val="FootnoteReference"/>
              </w:rPr>
              <w:footnoteReference w:id="585"/>
            </w:r>
          </w:p>
        </w:tc>
        <w:tc>
          <w:tcPr>
            <w:tcW w:w="1346" w:type="dxa"/>
          </w:tcPr>
          <w:p w:rsidR="001D37D5" w:rsidRPr="001D37D5" w:rsidRDefault="001D37D5" w:rsidP="001D37D5">
            <w:r w:rsidRPr="00883125">
              <w:t>-1.57</w:t>
            </w:r>
            <w:r w:rsidRPr="00883125">
              <w:br/>
              <w:t>(1987–2000)</w:t>
            </w:r>
          </w:p>
        </w:tc>
        <w:tc>
          <w:tcPr>
            <w:tcW w:w="1347" w:type="dxa"/>
          </w:tcPr>
          <w:p w:rsidR="001D37D5" w:rsidRPr="001D37D5" w:rsidRDefault="001D37D5" w:rsidP="001D37D5">
            <w:r w:rsidRPr="00883125">
              <w:t>-1.68</w:t>
            </w:r>
            <w:r w:rsidRPr="00883125">
              <w:br/>
              <w:t>(2000–2009)</w:t>
            </w:r>
          </w:p>
        </w:tc>
        <w:tc>
          <w:tcPr>
            <w:tcW w:w="3322" w:type="dxa"/>
            <w:gridSpan w:val="2"/>
          </w:tcPr>
          <w:p w:rsidR="001D37D5" w:rsidRPr="001D37D5" w:rsidRDefault="001D37D5" w:rsidP="001D37D5">
            <w:r w:rsidRPr="00883125">
              <w:t>Uses past returns. For the entire period, estimate is -1.88</w:t>
            </w:r>
          </w:p>
        </w:tc>
      </w:tr>
      <w:tr w:rsidR="001D37D5" w:rsidRPr="00222643" w:rsidTr="005E1FC3">
        <w:trPr>
          <w:cnfStyle w:val="000000010000" w:firstRow="0" w:lastRow="0" w:firstColumn="0" w:lastColumn="0" w:oddVBand="0" w:evenVBand="0" w:oddHBand="0" w:evenHBand="1" w:firstRowFirstColumn="0" w:firstRowLastColumn="0" w:lastRowFirstColumn="0" w:lastRowLastColumn="0"/>
          <w:cantSplit/>
          <w:trHeight w:val="299"/>
        </w:trPr>
        <w:tc>
          <w:tcPr>
            <w:tcW w:w="392" w:type="dxa"/>
          </w:tcPr>
          <w:p w:rsidR="001D37D5" w:rsidRPr="00883125" w:rsidRDefault="001D37D5" w:rsidP="001D37D5"/>
        </w:tc>
        <w:tc>
          <w:tcPr>
            <w:tcW w:w="2835" w:type="dxa"/>
          </w:tcPr>
          <w:p w:rsidR="001D37D5" w:rsidRPr="001D37D5" w:rsidRDefault="001D37D5" w:rsidP="001D37D5">
            <w:r w:rsidRPr="00883125">
              <w:t>Siau et al (2013)</w:t>
            </w:r>
            <w:r w:rsidRPr="001D37D5">
              <w:rPr>
                <w:rStyle w:val="FootnoteReference"/>
              </w:rPr>
              <w:footnoteReference w:id="586"/>
            </w:r>
          </w:p>
        </w:tc>
        <w:tc>
          <w:tcPr>
            <w:tcW w:w="1346" w:type="dxa"/>
          </w:tcPr>
          <w:p w:rsidR="001D37D5" w:rsidRPr="00883125" w:rsidRDefault="001D37D5" w:rsidP="001D37D5"/>
        </w:tc>
        <w:tc>
          <w:tcPr>
            <w:tcW w:w="1347" w:type="dxa"/>
          </w:tcPr>
          <w:p w:rsidR="001D37D5" w:rsidRPr="001D37D5" w:rsidRDefault="001D37D5" w:rsidP="001D37D5">
            <w:r w:rsidRPr="00883125">
              <w:t>-0.29–0.30</w:t>
            </w:r>
            <w:r w:rsidRPr="00883125">
              <w:br/>
              <w:t>(1996–2011)</w:t>
            </w:r>
          </w:p>
        </w:tc>
        <w:tc>
          <w:tcPr>
            <w:tcW w:w="3322" w:type="dxa"/>
            <w:gridSpan w:val="2"/>
          </w:tcPr>
          <w:p w:rsidR="001D37D5" w:rsidRPr="001D37D5" w:rsidRDefault="001D37D5" w:rsidP="001D37D5">
            <w:r w:rsidRPr="00883125">
              <w:t>Uses forecast returns. Note range is from negative 0.29 to positive 0.30.</w:t>
            </w:r>
          </w:p>
        </w:tc>
      </w:tr>
      <w:tr w:rsidR="001D37D5" w:rsidRPr="00222643" w:rsidTr="005E1FC3">
        <w:trPr>
          <w:cantSplit/>
          <w:trHeight w:val="299"/>
        </w:trPr>
        <w:tc>
          <w:tcPr>
            <w:tcW w:w="392" w:type="dxa"/>
          </w:tcPr>
          <w:p w:rsidR="001D37D5" w:rsidRPr="00883125" w:rsidRDefault="001D37D5" w:rsidP="001D37D5"/>
        </w:tc>
        <w:tc>
          <w:tcPr>
            <w:tcW w:w="2835" w:type="dxa"/>
          </w:tcPr>
          <w:p w:rsidR="001D37D5" w:rsidRPr="001D37D5" w:rsidRDefault="001D37D5" w:rsidP="001D37D5">
            <w:r w:rsidRPr="00883125">
              <w:t>Siau et al (2015)</w:t>
            </w:r>
            <w:r w:rsidRPr="001D37D5">
              <w:rPr>
                <w:rStyle w:val="FootnoteReference"/>
              </w:rPr>
              <w:footnoteReference w:id="587"/>
            </w:r>
          </w:p>
        </w:tc>
        <w:tc>
          <w:tcPr>
            <w:tcW w:w="1346" w:type="dxa"/>
          </w:tcPr>
          <w:p w:rsidR="001D37D5" w:rsidRPr="00883125" w:rsidRDefault="001D37D5" w:rsidP="001D37D5"/>
        </w:tc>
        <w:tc>
          <w:tcPr>
            <w:tcW w:w="1347" w:type="dxa"/>
          </w:tcPr>
          <w:p w:rsidR="001D37D5" w:rsidRPr="001D37D5" w:rsidRDefault="001D37D5" w:rsidP="001D37D5">
            <w:r w:rsidRPr="00883125">
              <w:t>-0.29–0.30</w:t>
            </w:r>
            <w:r w:rsidRPr="00883125">
              <w:br/>
              <w:t>(1996–2011)</w:t>
            </w:r>
          </w:p>
        </w:tc>
        <w:tc>
          <w:tcPr>
            <w:tcW w:w="3322" w:type="dxa"/>
            <w:gridSpan w:val="2"/>
          </w:tcPr>
          <w:p w:rsidR="001D37D5" w:rsidRPr="001D37D5" w:rsidRDefault="001D37D5" w:rsidP="001D37D5">
            <w:r w:rsidRPr="00883125">
              <w:t xml:space="preserve">Uses forecast returns. Note range is from negative 0.29 to positive 0.30. </w:t>
            </w:r>
          </w:p>
        </w:tc>
      </w:tr>
      <w:tr w:rsidR="001D37D5" w:rsidRPr="00222643" w:rsidTr="005E1FC3">
        <w:trPr>
          <w:cnfStyle w:val="000000010000" w:firstRow="0" w:lastRow="0" w:firstColumn="0" w:lastColumn="0" w:oddVBand="0" w:evenVBand="0" w:oddHBand="0" w:evenHBand="1" w:firstRowFirstColumn="0" w:firstRowLastColumn="0" w:lastRowFirstColumn="0" w:lastRowLastColumn="0"/>
          <w:cantSplit/>
          <w:trHeight w:val="299"/>
        </w:trPr>
        <w:tc>
          <w:tcPr>
            <w:tcW w:w="392" w:type="dxa"/>
          </w:tcPr>
          <w:p w:rsidR="001D37D5" w:rsidRPr="00883125" w:rsidRDefault="001D37D5" w:rsidP="001D37D5"/>
        </w:tc>
        <w:tc>
          <w:tcPr>
            <w:tcW w:w="2835" w:type="dxa"/>
          </w:tcPr>
          <w:p w:rsidR="001D37D5" w:rsidRPr="001D37D5" w:rsidRDefault="001D37D5" w:rsidP="001D37D5">
            <w:r w:rsidRPr="00883125">
              <w:t>NERA (2015)</w:t>
            </w:r>
            <w:r w:rsidRPr="001D37D5">
              <w:rPr>
                <w:rStyle w:val="FootnoteReference"/>
              </w:rPr>
              <w:footnoteReference w:id="588"/>
            </w:r>
          </w:p>
        </w:tc>
        <w:tc>
          <w:tcPr>
            <w:tcW w:w="1346" w:type="dxa"/>
          </w:tcPr>
          <w:p w:rsidR="001D37D5" w:rsidRPr="001D37D5" w:rsidRDefault="001D37D5" w:rsidP="001D37D5">
            <w:r w:rsidRPr="00883125">
              <w:t>-0.90                         (1987-2000)</w:t>
            </w:r>
          </w:p>
        </w:tc>
        <w:tc>
          <w:tcPr>
            <w:tcW w:w="1347" w:type="dxa"/>
          </w:tcPr>
          <w:p w:rsidR="001D37D5" w:rsidRPr="001D37D5" w:rsidRDefault="001D37D5" w:rsidP="001D37D5">
            <w:r w:rsidRPr="00883125">
              <w:t>-3.18                    (2000-2013)</w:t>
            </w:r>
          </w:p>
        </w:tc>
        <w:tc>
          <w:tcPr>
            <w:tcW w:w="3322" w:type="dxa"/>
            <w:gridSpan w:val="2"/>
          </w:tcPr>
          <w:p w:rsidR="001D37D5" w:rsidRPr="001D37D5" w:rsidRDefault="001D37D5" w:rsidP="001D37D5">
            <w:r w:rsidRPr="00883125">
              <w:t>Uses past returns. For the entire period, estimate is -1.76</w:t>
            </w:r>
          </w:p>
        </w:tc>
      </w:tr>
      <w:tr w:rsidR="001D37D5" w:rsidRPr="00222643" w:rsidTr="005E1FC3">
        <w:trPr>
          <w:cantSplit/>
          <w:trHeight w:val="402"/>
        </w:trPr>
        <w:tc>
          <w:tcPr>
            <w:tcW w:w="3227" w:type="dxa"/>
            <w:gridSpan w:val="2"/>
          </w:tcPr>
          <w:p w:rsidR="001D37D5" w:rsidRPr="001D37D5" w:rsidRDefault="001D37D5" w:rsidP="001D37D5">
            <w:pPr>
              <w:rPr>
                <w:rStyle w:val="Strong"/>
              </w:rPr>
            </w:pPr>
            <w:r w:rsidRPr="00883125">
              <w:rPr>
                <w:rStyle w:val="Strong"/>
              </w:rPr>
              <w:lastRenderedPageBreak/>
              <w:t>Simultaneous share trades</w:t>
            </w:r>
          </w:p>
        </w:tc>
        <w:tc>
          <w:tcPr>
            <w:tcW w:w="1346" w:type="dxa"/>
          </w:tcPr>
          <w:p w:rsidR="001D37D5" w:rsidRPr="00883125" w:rsidRDefault="001D37D5" w:rsidP="001D37D5"/>
        </w:tc>
        <w:tc>
          <w:tcPr>
            <w:tcW w:w="1347" w:type="dxa"/>
          </w:tcPr>
          <w:p w:rsidR="001D37D5" w:rsidRPr="00883125" w:rsidRDefault="001D37D5" w:rsidP="001D37D5"/>
        </w:tc>
        <w:tc>
          <w:tcPr>
            <w:tcW w:w="3322" w:type="dxa"/>
            <w:gridSpan w:val="2"/>
          </w:tcPr>
          <w:p w:rsidR="001D37D5" w:rsidRPr="00883125" w:rsidRDefault="001D37D5" w:rsidP="001D37D5"/>
        </w:tc>
      </w:tr>
      <w:tr w:rsidR="001D37D5" w:rsidRPr="00222643" w:rsidTr="005E1FC3">
        <w:trPr>
          <w:cnfStyle w:val="000000010000" w:firstRow="0" w:lastRow="0" w:firstColumn="0" w:lastColumn="0" w:oddVBand="0" w:evenVBand="0" w:oddHBand="0" w:evenHBand="1" w:firstRowFirstColumn="0" w:firstRowLastColumn="0" w:lastRowFirstColumn="0" w:lastRowLastColumn="0"/>
          <w:cantSplit/>
          <w:trHeight w:val="402"/>
        </w:trPr>
        <w:tc>
          <w:tcPr>
            <w:tcW w:w="392" w:type="dxa"/>
          </w:tcPr>
          <w:p w:rsidR="001D37D5" w:rsidRPr="00883125" w:rsidRDefault="001D37D5" w:rsidP="001D37D5"/>
        </w:tc>
        <w:tc>
          <w:tcPr>
            <w:tcW w:w="2835" w:type="dxa"/>
          </w:tcPr>
          <w:p w:rsidR="001D37D5" w:rsidRPr="001D37D5" w:rsidRDefault="001D37D5" w:rsidP="001D37D5">
            <w:r w:rsidRPr="00883125">
              <w:t>Chu and Partington (2008)</w:t>
            </w:r>
            <w:r w:rsidRPr="001D37D5">
              <w:rPr>
                <w:rStyle w:val="FootnoteReference"/>
              </w:rPr>
              <w:footnoteReference w:id="589"/>
            </w:r>
          </w:p>
        </w:tc>
        <w:tc>
          <w:tcPr>
            <w:tcW w:w="1346" w:type="dxa"/>
          </w:tcPr>
          <w:p w:rsidR="001D37D5" w:rsidRPr="001D37D5" w:rsidRDefault="001D37D5" w:rsidP="001D37D5">
            <w:r w:rsidRPr="00883125">
              <w:t>N/A</w:t>
            </w:r>
            <w:r w:rsidRPr="00883125">
              <w:br/>
              <w:t>(1996)</w:t>
            </w:r>
          </w:p>
        </w:tc>
        <w:tc>
          <w:tcPr>
            <w:tcW w:w="1347" w:type="dxa"/>
          </w:tcPr>
          <w:p w:rsidR="001D37D5" w:rsidRPr="00883125" w:rsidRDefault="001D37D5" w:rsidP="001D37D5"/>
        </w:tc>
        <w:tc>
          <w:tcPr>
            <w:tcW w:w="3322" w:type="dxa"/>
            <w:gridSpan w:val="2"/>
          </w:tcPr>
          <w:p w:rsidR="001D37D5" w:rsidRPr="001D37D5" w:rsidRDefault="001D37D5" w:rsidP="001D37D5">
            <w:r w:rsidRPr="00883125">
              <w:t>Combined drop off of 1.29. With dividends at full value, this is a utilisation rate of 0.68.</w:t>
            </w:r>
          </w:p>
        </w:tc>
      </w:tr>
      <w:tr w:rsidR="001D37D5" w:rsidRPr="00222643" w:rsidTr="005E1FC3">
        <w:trPr>
          <w:cantSplit/>
          <w:trHeight w:val="284"/>
        </w:trPr>
        <w:tc>
          <w:tcPr>
            <w:tcW w:w="392" w:type="dxa"/>
          </w:tcPr>
          <w:p w:rsidR="001D37D5" w:rsidRPr="00883125" w:rsidRDefault="001D37D5" w:rsidP="001D37D5"/>
        </w:tc>
        <w:tc>
          <w:tcPr>
            <w:tcW w:w="2835" w:type="dxa"/>
          </w:tcPr>
          <w:p w:rsidR="001D37D5" w:rsidRPr="001D37D5" w:rsidRDefault="001D37D5" w:rsidP="001D37D5">
            <w:r w:rsidRPr="00883125">
              <w:t>Walker and Partington (1999)</w:t>
            </w:r>
            <w:r w:rsidRPr="001D37D5">
              <w:rPr>
                <w:rStyle w:val="FootnoteReference"/>
              </w:rPr>
              <w:footnoteReference w:id="590"/>
            </w:r>
          </w:p>
        </w:tc>
        <w:tc>
          <w:tcPr>
            <w:tcW w:w="1346" w:type="dxa"/>
          </w:tcPr>
          <w:p w:rsidR="001D37D5" w:rsidRPr="001D37D5" w:rsidRDefault="001D37D5" w:rsidP="001D37D5">
            <w:r w:rsidRPr="00883125">
              <w:t>0.88–0.96</w:t>
            </w:r>
            <w:r w:rsidRPr="00883125">
              <w:br/>
              <w:t>(1995–1997)</w:t>
            </w:r>
          </w:p>
        </w:tc>
        <w:tc>
          <w:tcPr>
            <w:tcW w:w="1347" w:type="dxa"/>
          </w:tcPr>
          <w:p w:rsidR="001D37D5" w:rsidRPr="00883125" w:rsidRDefault="001D37D5" w:rsidP="001D37D5"/>
        </w:tc>
        <w:tc>
          <w:tcPr>
            <w:tcW w:w="3322" w:type="dxa"/>
            <w:gridSpan w:val="2"/>
          </w:tcPr>
          <w:p w:rsidR="001D37D5" w:rsidRPr="00883125" w:rsidDel="003D6627" w:rsidRDefault="001D37D5" w:rsidP="001D37D5"/>
        </w:tc>
      </w:tr>
      <w:tr w:rsidR="001D37D5" w:rsidRPr="00222643" w:rsidTr="005E1FC3">
        <w:trPr>
          <w:cnfStyle w:val="000000010000" w:firstRow="0" w:lastRow="0" w:firstColumn="0" w:lastColumn="0" w:oddVBand="0" w:evenVBand="0" w:oddHBand="0" w:evenHBand="1" w:firstRowFirstColumn="0" w:firstRowLastColumn="0" w:lastRowFirstColumn="0" w:lastRowLastColumn="0"/>
          <w:cantSplit/>
          <w:trHeight w:val="658"/>
        </w:trPr>
        <w:tc>
          <w:tcPr>
            <w:tcW w:w="392" w:type="dxa"/>
          </w:tcPr>
          <w:p w:rsidR="001D37D5" w:rsidRPr="00883125" w:rsidRDefault="001D37D5" w:rsidP="001D37D5"/>
        </w:tc>
        <w:tc>
          <w:tcPr>
            <w:tcW w:w="2835" w:type="dxa"/>
          </w:tcPr>
          <w:p w:rsidR="001D37D5" w:rsidRPr="001D37D5" w:rsidRDefault="001D37D5" w:rsidP="001D37D5">
            <w:r w:rsidRPr="00883125">
              <w:t>Chu and Partington (2001)</w:t>
            </w:r>
            <w:r w:rsidRPr="001D37D5">
              <w:rPr>
                <w:rStyle w:val="FootnoteReference"/>
              </w:rPr>
              <w:footnoteReference w:id="591"/>
            </w:r>
          </w:p>
        </w:tc>
        <w:tc>
          <w:tcPr>
            <w:tcW w:w="1346" w:type="dxa"/>
          </w:tcPr>
          <w:p w:rsidR="001D37D5" w:rsidRPr="001D37D5" w:rsidRDefault="001D37D5" w:rsidP="001D37D5">
            <w:r w:rsidRPr="00883125">
              <w:t>N/A</w:t>
            </w:r>
            <w:r w:rsidRPr="00883125">
              <w:br/>
              <w:t>(1991–1999)</w:t>
            </w:r>
          </w:p>
        </w:tc>
        <w:tc>
          <w:tcPr>
            <w:tcW w:w="1347" w:type="dxa"/>
          </w:tcPr>
          <w:p w:rsidR="001D37D5" w:rsidRPr="00883125" w:rsidRDefault="001D37D5" w:rsidP="001D37D5"/>
        </w:tc>
        <w:tc>
          <w:tcPr>
            <w:tcW w:w="3322" w:type="dxa"/>
            <w:gridSpan w:val="2"/>
          </w:tcPr>
          <w:p w:rsidR="001D37D5" w:rsidRPr="001D37D5" w:rsidDel="003D6627" w:rsidRDefault="001D37D5" w:rsidP="001D37D5">
            <w:r w:rsidRPr="00883125">
              <w:t>Combined drop off of 1.5. With dividends at full value, this is a utilisation rate above 1.</w:t>
            </w:r>
          </w:p>
        </w:tc>
      </w:tr>
    </w:tbl>
    <w:p w:rsidR="001D37D5" w:rsidRPr="00883125" w:rsidRDefault="001D37D5" w:rsidP="001D37D5">
      <w:pPr>
        <w:pStyle w:val="AERtablesource"/>
      </w:pPr>
      <w:r w:rsidRPr="00883125">
        <w:t xml:space="preserve">Source: </w:t>
      </w:r>
      <w:r w:rsidRPr="00883125">
        <w:tab/>
        <w:t>As specified in table.</w:t>
      </w:r>
    </w:p>
    <w:p w:rsidR="001D37D5" w:rsidRPr="00883125" w:rsidRDefault="001D37D5" w:rsidP="001D37D5">
      <w:r w:rsidRPr="00883125">
        <w:t>In relation to the 2015 study by Siau et al, this is an academic journal published version of the early study by Siau et al already considered by us. The 2015 paper has relatively minor editorial changes and gives us no cause to change our views.</w:t>
      </w:r>
      <w:r w:rsidRPr="00883125">
        <w:rPr>
          <w:rStyle w:val="FootnoteReference"/>
        </w:rPr>
        <w:footnoteReference w:id="592"/>
      </w:r>
      <w:r w:rsidRPr="00883125">
        <w:t xml:space="preserve"> </w:t>
      </w:r>
    </w:p>
    <w:p w:rsidR="001D37D5" w:rsidRPr="00883125" w:rsidRDefault="001D37D5" w:rsidP="001D37D5">
      <w:r w:rsidRPr="00883125">
        <w:t>In relation to the 2015 study by NERA, this is an update of the 2013 study by NERA using one extra year's data. The results are somewhat similar to the 2013 study and we consider the results do not provide compelling evidence on the value of imputation credits, particularly given the large negative estimate for the value of imputation credits.</w:t>
      </w:r>
      <w:r w:rsidRPr="00883125">
        <w:rPr>
          <w:rStyle w:val="FootnoteReference"/>
        </w:rPr>
        <w:footnoteReference w:id="593"/>
      </w:r>
      <w:r w:rsidRPr="00883125">
        <w:t xml:space="preserve"> While NERA has responded to the criticism effectively stating the results may indicate there is something wrong with the SLCAPM</w:t>
      </w:r>
      <w:r w:rsidRPr="00883125">
        <w:rPr>
          <w:rStyle w:val="FootnoteReference"/>
        </w:rPr>
        <w:footnoteReference w:id="594"/>
      </w:r>
      <w:r w:rsidRPr="00883125">
        <w:t>, this does not resolve the issue of the reliability of the theta estimate for use in the SLCAPM.</w:t>
      </w:r>
      <w:r w:rsidRPr="00883125">
        <w:rPr>
          <w:rStyle w:val="FootnoteReference"/>
        </w:rPr>
        <w:footnoteReference w:id="595"/>
      </w:r>
      <w:r w:rsidRPr="00883125">
        <w:t xml:space="preserve"> </w:t>
      </w:r>
      <w:r>
        <w:t>A</w:t>
      </w:r>
      <w:r w:rsidRPr="00883125">
        <w:t>s outlined by Ainsworth, Partington and Warren (2015) the negative value on imputation credits is implausible and the sign on the coefficient probably flags issues with the empirical method.</w:t>
      </w:r>
      <w:r w:rsidRPr="00883125">
        <w:rPr>
          <w:rStyle w:val="FootnoteReference"/>
        </w:rPr>
        <w:footnoteReference w:id="596"/>
      </w:r>
    </w:p>
    <w:p w:rsidR="001D37D5" w:rsidRPr="00883125" w:rsidRDefault="001D37D5" w:rsidP="00247000">
      <w:pPr>
        <w:pStyle w:val="Heading9"/>
        <w:keepNext/>
      </w:pPr>
      <w:bookmarkStart w:id="278" w:name="_Ref435171205"/>
      <w:r w:rsidRPr="00883125">
        <w:lastRenderedPageBreak/>
        <w:t>Comparison with other market-based estimation approaches</w:t>
      </w:r>
      <w:bookmarkEnd w:id="278"/>
    </w:p>
    <w:p w:rsidR="001D37D5" w:rsidRPr="00883125" w:rsidRDefault="001D37D5" w:rsidP="00247000">
      <w:pPr>
        <w:keepNext/>
      </w:pPr>
      <w:r w:rsidRPr="00883125">
        <w:t>The majority of service providers have submitted that the use of implied market value studies to estimate the value of imputation credits is consistent with the approach to estimating other rate of return parameters.</w:t>
      </w:r>
      <w:r w:rsidRPr="00883125">
        <w:rPr>
          <w:rStyle w:val="FootnoteReference"/>
        </w:rPr>
        <w:footnoteReference w:id="597"/>
      </w:r>
      <w:r w:rsidRPr="00883125">
        <w:t xml:space="preserve"> We disagree. As we set our prior decisions, we consider that the use of market prices to estimate the value of imputation credits is fundamentally different to using market prices to estimate other rate of return parameters. </w:t>
      </w:r>
    </w:p>
    <w:p w:rsidR="001D37D5" w:rsidRPr="00883125" w:rsidRDefault="001D37D5" w:rsidP="001D37D5">
      <w:r w:rsidRPr="00883125">
        <w:t>For example, bonds are separately and (generally) regularly traded, and we can observe the market price that arises from this trading. As correctly noted by Gray (for SFG), '…when estimating the cost of debt the AER uses traded bond prices which reflect the value of those bonds to investors…'.</w:t>
      </w:r>
      <w:r w:rsidRPr="00883125">
        <w:rPr>
          <w:rStyle w:val="FootnoteReference"/>
        </w:rPr>
        <w:footnoteReference w:id="598"/>
      </w:r>
      <w:r w:rsidRPr="00883125">
        <w:t xml:space="preserve"> By contrast, imputation credits are not separately traded. Therefore, no market price exists for imputation credits in the same manner as that for separately traded assets.</w:t>
      </w:r>
    </w:p>
    <w:p w:rsidR="001D37D5" w:rsidRPr="00883125" w:rsidRDefault="001D37D5" w:rsidP="001D37D5">
      <w:r w:rsidRPr="00883125">
        <w:t xml:space="preserve">Further, when returns are calculated on bonds for the cost of debt, and capital gains/loss for the return on equity, these returns are </w:t>
      </w:r>
      <w:r>
        <w:t>pre-personal tax returns</w:t>
      </w:r>
      <w:r w:rsidRPr="00883125">
        <w:t>. However, imputation credits and dividends market values derived from drop off studies are influenced by differential personal tax</w:t>
      </w:r>
      <w:r>
        <w:t xml:space="preserve"> resulting in these values being neither pre nor post tax values</w:t>
      </w:r>
      <w:r w:rsidRPr="00883125">
        <w:t xml:space="preserve">. </w:t>
      </w:r>
      <w:r>
        <w:t>Lally notes that differential personal taxes on different types of income should affect the pre personal tax costs of debt and equity but they should not affect the estimate of theta.</w:t>
      </w:r>
      <w:r w:rsidRPr="00B64830">
        <w:rPr>
          <w:rStyle w:val="FootnoteReference"/>
        </w:rPr>
        <w:t xml:space="preserve"> </w:t>
      </w:r>
      <w:r>
        <w:rPr>
          <w:rStyle w:val="FootnoteReference"/>
        </w:rPr>
        <w:footnoteReference w:id="599"/>
      </w:r>
      <w:r>
        <w:t xml:space="preserve"> </w:t>
      </w:r>
      <w:r w:rsidRPr="00883125">
        <w:t xml:space="preserve">This is further discussed in detail in section </w:t>
      </w:r>
      <w:r>
        <w:fldChar w:fldCharType="begin"/>
      </w:r>
      <w:r>
        <w:instrText xml:space="preserve"> REF _Ref450840388 \r \h </w:instrText>
      </w:r>
      <w:r>
        <w:fldChar w:fldCharType="separate"/>
      </w:r>
      <w:r w:rsidR="00A02D8C">
        <w:t>A.8.2</w:t>
      </w:r>
      <w:r>
        <w:fldChar w:fldCharType="end"/>
      </w:r>
      <w:r w:rsidRPr="00883125">
        <w:t xml:space="preserve"> and an example is provided to demonstrate the impact below.</w:t>
      </w:r>
    </w:p>
    <w:p w:rsidR="001D37D5" w:rsidRPr="00883125" w:rsidRDefault="001D37D5" w:rsidP="001D37D5">
      <w:r w:rsidRPr="00883125">
        <w:t xml:space="preserve">We also noted in the decisions released in 2014 and April and June 2015 that, because no market price exists for imputation credits in the same manner as that for separately traded assets, dividend drop off studies must infer using ex-dividend price changes and econometric techniques the value attributed to imputation credits by investors. This is in contrast to simply observing or measuring the value attributed to imputation credits by investors via prices resulting from market transactions in imputation credits. Gray (for both SFG and Frontier) noted that we apply econometric techniques (that is, regression analysis) to observed market prices when estimating </w:t>
      </w:r>
      <w:r w:rsidRPr="00883125">
        <w:lastRenderedPageBreak/>
        <w:t>beta.</w:t>
      </w:r>
      <w:r w:rsidRPr="00883125">
        <w:rPr>
          <w:rStyle w:val="FootnoteReference"/>
        </w:rPr>
        <w:footnoteReference w:id="600"/>
      </w:r>
      <w:r w:rsidRPr="00883125">
        <w:t xml:space="preserve"> This is correct, but beta is not a measure of the value attributed to an asset by investors; for example, Gray's definition of beta (for SFG) is ‘the risk of the asset or firm in question relative to the average firm or asset’.</w:t>
      </w:r>
      <w:r w:rsidRPr="00883125">
        <w:rPr>
          <w:rStyle w:val="FootnoteReference"/>
        </w:rPr>
        <w:footnoteReference w:id="601"/>
      </w:r>
    </w:p>
    <w:p w:rsidR="001D37D5" w:rsidRPr="00883125" w:rsidRDefault="001D37D5" w:rsidP="001D37D5">
      <w:r w:rsidRPr="00883125">
        <w:t>A number of service providers also submitted, consistent with advice from Gray (for SFG), that we do not seek to adjust other rate of return parameters for personal costs.</w:t>
      </w:r>
      <w:r w:rsidRPr="00883125">
        <w:rPr>
          <w:rStyle w:val="FootnoteReference"/>
        </w:rPr>
        <w:footnoteReference w:id="602"/>
      </w:r>
      <w:r w:rsidRPr="00883125">
        <w:t xml:space="preserve"> They consider that the value of imputation credits will reflect transaction costs that are associated with redeeming imputation credits.</w:t>
      </w:r>
      <w:r w:rsidRPr="00883125">
        <w:rPr>
          <w:rStyle w:val="FootnoteReference"/>
        </w:rPr>
        <w:footnoteReference w:id="603"/>
      </w:r>
    </w:p>
    <w:p w:rsidR="001D37D5" w:rsidRPr="00883125" w:rsidRDefault="001D37D5" w:rsidP="001D37D5">
      <w:r w:rsidRPr="00883125">
        <w:t>However, this consideration did not change Handley’s view—which we accept—that the value of imputation credits should be estimated on a before-personal-tax and before-personal-costs basis:</w:t>
      </w:r>
      <w:r w:rsidRPr="00883125">
        <w:rPr>
          <w:rStyle w:val="FootnoteReference"/>
        </w:rPr>
        <w:footnoteReference w:id="604"/>
      </w:r>
    </w:p>
    <w:p w:rsidR="001D37D5" w:rsidRPr="00883125" w:rsidRDefault="001D37D5" w:rsidP="001D37D5">
      <w:pPr>
        <w:pStyle w:val="AERquote"/>
      </w:pPr>
      <w:r w:rsidRPr="00883125">
        <w:t xml:space="preserve">In other words, the per dollar value of an imputation credit </w:t>
      </w:r>
      <m:oMath>
        <m:r>
          <w:rPr>
            <w:rFonts w:ascii="Cambria Math" w:hAnsi="Cambria Math"/>
          </w:rPr>
          <m:t>γ</m:t>
        </m:r>
      </m:oMath>
      <w:r w:rsidRPr="00883125">
        <w:t xml:space="preserve"> gamma should be measured prior to any personal tax on the credit and prior to any personal costs associated with the receipt of the credit. This approach is also consistent with the standard approach to calculating a return in a classical tax system – you take the observed capital gain and the observed dividend without making any adjustment for personal taxes or personal costs associated with trading the share or receiving the dividend.</w:t>
      </w:r>
    </w:p>
    <w:p w:rsidR="001D37D5" w:rsidRPr="00883125" w:rsidRDefault="001D37D5" w:rsidP="001D37D5">
      <w:r w:rsidRPr="00883125">
        <w:t>That is, we take the observed distribution of $1 of dividends to yield $1 of value to investors. We do not take it to yield $1 of value minus personal taxes and personal costs associated with that dividend. Similarly, we take a $1 change in stock prices (capital gain) to yield $1 of value to investors. We do not take it to yield $1 of value minus personal taxes and personal costs associated with that capital gain.</w:t>
      </w:r>
    </w:p>
    <w:p w:rsidR="001D37D5" w:rsidRPr="00883125" w:rsidRDefault="001D37D5" w:rsidP="001D37D5">
      <w:r w:rsidRPr="00883125">
        <w:t>To explain how personal taxes influence market price/returns in the dividend drop off studies we present a simple example below. Dividend drop off studies work on a no arbitrage argument</w:t>
      </w:r>
      <w:r>
        <w:t>. In perfect capital with no transaction cost, no differential tax on dividends relative to capital gains and no risk, the theory of no arbitrage predicts an ex-</w:t>
      </w:r>
      <w:r>
        <w:lastRenderedPageBreak/>
        <w:t>dividend drop-off being equal to the face value of the dividend. A representative</w:t>
      </w:r>
      <w:r w:rsidRPr="00883125">
        <w:t xml:space="preserve"> investor should be indifferent between the two following strategies:</w:t>
      </w:r>
      <w:r w:rsidRPr="00883125">
        <w:rPr>
          <w:rStyle w:val="FootnoteReference"/>
        </w:rPr>
        <w:footnoteReference w:id="605"/>
      </w:r>
    </w:p>
    <w:p w:rsidR="001D37D5" w:rsidRPr="001D37D5" w:rsidRDefault="001D37D5" w:rsidP="001D37D5">
      <w:pPr>
        <w:pStyle w:val="AERbulletlistfirststyle"/>
      </w:pPr>
      <w:r w:rsidRPr="00883125">
        <w:t>Sell</w:t>
      </w:r>
      <w:r w:rsidRPr="001D37D5">
        <w:t>ing their stock the day before the shareholder is entitled to receive the dividend at the cum-dividend price (P</w:t>
      </w:r>
      <w:r w:rsidRPr="001D37D5">
        <w:rPr>
          <w:rStyle w:val="AERsubscript"/>
        </w:rPr>
        <w:t>cum-div</w:t>
      </w:r>
      <w:r w:rsidRPr="001D37D5">
        <w:t>). In this scenario the shareholder receives only the proceeds from the sale of the shares.</w:t>
      </w:r>
    </w:p>
    <w:p w:rsidR="001D37D5" w:rsidRPr="001D37D5" w:rsidRDefault="001D37D5" w:rsidP="001D37D5">
      <w:pPr>
        <w:pStyle w:val="AERbulletlistfirststyle"/>
      </w:pPr>
      <w:r w:rsidRPr="00883125">
        <w:t>Se</w:t>
      </w:r>
      <w:r w:rsidRPr="001D37D5">
        <w:t>lling their stock when the shareholder is entitled to receive the dividend at the ex-dividend price (P</w:t>
      </w:r>
      <w:r w:rsidRPr="001D37D5">
        <w:rPr>
          <w:rStyle w:val="AERsubscript"/>
        </w:rPr>
        <w:t>ex-div</w:t>
      </w:r>
      <w:r w:rsidRPr="001D37D5">
        <w:t>). In this scenario the shareholder receives both the dividend (D) and proceeds from the sale of the shares.</w:t>
      </w:r>
    </w:p>
    <w:p w:rsidR="001D37D5" w:rsidRPr="00883125" w:rsidRDefault="001D37D5" w:rsidP="001D37D5">
      <w:r w:rsidRPr="00883125">
        <w:t>An investor should be indifferent between the two strategies given that if one strategy is more profitable then arbitrage opportunities will exist. However, arbitrage opportunities will be eliminated as the buying pressure on the more profitable strategy combined with the selling pressure on less profitable strategy will result in an equilibrium outcome, where the two strategies yield the same return.</w:t>
      </w:r>
      <w:r>
        <w:t xml:space="preserve"> Note that </w:t>
      </w:r>
      <w:r w:rsidRPr="00883125">
        <w:t>investors care about their post-personal tax return and not their pre-personal tax return. What is important to investors is the return they get after paying their taxes and not what they receive before taxes.</w:t>
      </w:r>
    </w:p>
    <w:p w:rsidR="001D37D5" w:rsidRPr="00883125" w:rsidRDefault="001D37D5" w:rsidP="001D37D5">
      <w:r>
        <w:t xml:space="preserve">Where income and capital gains are taxed at the same rate, </w:t>
      </w:r>
      <w:r w:rsidRPr="00883125">
        <w:t>the investor should be indifferent between receiving the cum-dividend price or the ex-dividend price plus the dividend. I.e.</w:t>
      </w:r>
    </w:p>
    <w:p w:rsidR="001D37D5" w:rsidRPr="00883125" w:rsidRDefault="001D37D5" w:rsidP="001D37D5"/>
    <w:p w:rsidR="001D37D5" w:rsidRDefault="001D37D5" w:rsidP="001D37D5">
      <w:pPr>
        <w:pStyle w:val="AERbodytextcentre"/>
      </w:pPr>
      <w:r w:rsidRPr="00883125">
        <w:t>P</w:t>
      </w:r>
      <w:r w:rsidRPr="00B27BE5">
        <w:rPr>
          <w:rStyle w:val="AERsubscript"/>
        </w:rPr>
        <w:t>cum-div</w:t>
      </w:r>
      <w:r w:rsidRPr="00B27BE5">
        <w:t xml:space="preserve"> = P</w:t>
      </w:r>
      <w:r w:rsidRPr="00B27BE5">
        <w:rPr>
          <w:rStyle w:val="AERsubscript"/>
        </w:rPr>
        <w:t>ex-div</w:t>
      </w:r>
      <w:r w:rsidRPr="00B27BE5">
        <w:t xml:space="preserve"> + D</w:t>
      </w:r>
    </w:p>
    <w:p w:rsidR="001D37D5" w:rsidRPr="00B27BE5" w:rsidRDefault="001D37D5" w:rsidP="001D37D5"/>
    <w:p w:rsidR="001D37D5" w:rsidRPr="00883125" w:rsidRDefault="001D37D5" w:rsidP="001D37D5">
      <w:r>
        <w:t xml:space="preserve">More generally, </w:t>
      </w:r>
      <w:r w:rsidRPr="00883125">
        <w:t xml:space="preserve">the results </w:t>
      </w:r>
      <w:r>
        <w:t xml:space="preserve">of market studies </w:t>
      </w:r>
      <w:r w:rsidRPr="00883125">
        <w:t xml:space="preserve">are influenced by personal taxes and need to be interpreted in light of this. For our regulatory purposes the efficient costs that are imposed on the benchmark efficient firm is what matters. That is, the pre personal taxes and personal costs impact. Market parameter estimates that are influenced by personal tax and personal cost factors which do not correctly reflect the efficient post-tax costs faced by the benchmark efficient entity are not appropriate estimates under our post tax regulatory framework. </w:t>
      </w:r>
    </w:p>
    <w:p w:rsidR="001D37D5" w:rsidRPr="00883125" w:rsidRDefault="001D37D5" w:rsidP="001D37D5">
      <w:r w:rsidRPr="00883125">
        <w:t>To demonstrate assume an investor faces the following investment scenario:</w:t>
      </w:r>
    </w:p>
    <w:p w:rsidR="001D37D5" w:rsidRPr="00B27BE5" w:rsidRDefault="001D37D5" w:rsidP="001D37D5">
      <w:pPr>
        <w:pStyle w:val="AERbulletlistthirdstyle"/>
      </w:pPr>
      <w:r w:rsidRPr="00883125">
        <w:t>(P</w:t>
      </w:r>
      <w:r w:rsidRPr="00B27BE5">
        <w:rPr>
          <w:rStyle w:val="AERsubscript"/>
        </w:rPr>
        <w:t>cost</w:t>
      </w:r>
      <w:r w:rsidRPr="00B27BE5">
        <w:t>) Purchased share in 2010 for $10</w:t>
      </w:r>
    </w:p>
    <w:p w:rsidR="001D37D5" w:rsidRPr="00B27BE5" w:rsidRDefault="001D37D5" w:rsidP="001D37D5">
      <w:pPr>
        <w:pStyle w:val="AERbulletlistthirdstyle"/>
      </w:pPr>
      <w:r w:rsidRPr="00883125">
        <w:t>(P</w:t>
      </w:r>
      <w:r w:rsidRPr="00B27BE5">
        <w:rPr>
          <w:rStyle w:val="AERsubscript"/>
        </w:rPr>
        <w:t>cum-div</w:t>
      </w:r>
      <w:r w:rsidRPr="00B27BE5">
        <w:t>) Current cum dividend price in 2016 is $20</w:t>
      </w:r>
    </w:p>
    <w:p w:rsidR="001D37D5" w:rsidRPr="00B27BE5" w:rsidRDefault="001D37D5" w:rsidP="001D37D5">
      <w:pPr>
        <w:pStyle w:val="AERbulletlistthirdstyle"/>
      </w:pPr>
      <w:r w:rsidRPr="00883125">
        <w:t xml:space="preserve">(D) </w:t>
      </w:r>
      <w:r w:rsidRPr="00B27BE5">
        <w:t>2016 dividend is $1 assume fully unfranked</w:t>
      </w:r>
    </w:p>
    <w:p w:rsidR="001D37D5" w:rsidRPr="00B27BE5" w:rsidRDefault="001D37D5" w:rsidP="001D37D5">
      <w:pPr>
        <w:pStyle w:val="AERbulletlistthirdstyle"/>
      </w:pPr>
      <w:r w:rsidRPr="00883125">
        <w:lastRenderedPageBreak/>
        <w:t>(P</w:t>
      </w:r>
      <w:r w:rsidRPr="00B27BE5">
        <w:rPr>
          <w:rStyle w:val="AERsubscript"/>
        </w:rPr>
        <w:t>ex-div</w:t>
      </w:r>
      <w:r w:rsidRPr="00B27BE5">
        <w:t>) Ex-dividend price in 2016 is $19 (calculated as cum-div price minus dividend)</w:t>
      </w:r>
    </w:p>
    <w:p w:rsidR="001D37D5" w:rsidRPr="00B27BE5" w:rsidRDefault="001D37D5" w:rsidP="001D37D5">
      <w:pPr>
        <w:pStyle w:val="AERbulletlistthirdstyle"/>
      </w:pPr>
      <w:r w:rsidRPr="00883125">
        <w:t xml:space="preserve">(MTR) </w:t>
      </w:r>
      <w:r w:rsidRPr="00B27BE5">
        <w:t>Investors marginal tax rate = 47 %</w:t>
      </w:r>
    </w:p>
    <w:p w:rsidR="001D37D5" w:rsidRPr="00B27BE5" w:rsidRDefault="001D37D5" w:rsidP="001D37D5">
      <w:pPr>
        <w:pStyle w:val="AERbulletlistthirdstyle"/>
      </w:pPr>
      <w:r w:rsidRPr="00883125">
        <w:t>(CGT</w:t>
      </w:r>
      <w:r w:rsidRPr="00B27BE5">
        <w:rPr>
          <w:rStyle w:val="AERsubscript"/>
        </w:rPr>
        <w:t>discount</w:t>
      </w:r>
      <w:r w:rsidRPr="00B27BE5">
        <w:t>) capital gains discount (0.5 when shares held for more than 12 months, otherwise 1)</w:t>
      </w:r>
    </w:p>
    <w:p w:rsidR="001D37D5" w:rsidRPr="00B27BE5" w:rsidRDefault="001D37D5" w:rsidP="001D37D5">
      <w:pPr>
        <w:pStyle w:val="AERbulletlistthirdstyle"/>
      </w:pPr>
      <w:r w:rsidRPr="00883125">
        <w:t xml:space="preserve">For the time being it will </w:t>
      </w:r>
      <w:r w:rsidRPr="00B27BE5">
        <w:t>be assumed that there is one type of investor in the economy, however, this assumption will be relaxed.</w:t>
      </w:r>
    </w:p>
    <w:p w:rsidR="001D37D5" w:rsidRPr="00E1560E" w:rsidRDefault="001D37D5" w:rsidP="001D37D5">
      <w:pPr>
        <w:rPr>
          <w:rStyle w:val="AERbody"/>
        </w:rPr>
      </w:pPr>
      <w:r w:rsidRPr="00E1560E">
        <w:rPr>
          <w:rStyle w:val="AERbody"/>
        </w:rPr>
        <w:t>Under this scenario ex-dividend and cum-dividend returns are equal on a pre-personal tax basis:</w:t>
      </w:r>
    </w:p>
    <w:p w:rsidR="001D37D5" w:rsidRPr="00883125" w:rsidRDefault="001D37D5" w:rsidP="001D37D5">
      <w:pPr>
        <w:rPr>
          <w:rStyle w:val="AERbody"/>
        </w:rPr>
      </w:pPr>
    </w:p>
    <w:p w:rsidR="001D37D5" w:rsidRPr="00883125" w:rsidRDefault="001D37D5" w:rsidP="001D37D5">
      <w:pPr>
        <w:pStyle w:val="AERbodytextcentre"/>
      </w:pPr>
      <w:r w:rsidRPr="00883125">
        <w:t>P</w:t>
      </w:r>
      <w:r w:rsidRPr="00883125">
        <w:rPr>
          <w:rStyle w:val="AERsubscript"/>
        </w:rPr>
        <w:t>cum-div</w:t>
      </w:r>
      <w:r w:rsidRPr="00883125">
        <w:t xml:space="preserve"> = P</w:t>
      </w:r>
      <w:r w:rsidRPr="00883125">
        <w:rPr>
          <w:rStyle w:val="AERsubscript"/>
        </w:rPr>
        <w:t>ex-div</w:t>
      </w:r>
      <w:r w:rsidRPr="00883125">
        <w:t xml:space="preserve"> + D</w:t>
      </w:r>
    </w:p>
    <w:p w:rsidR="001D37D5" w:rsidRPr="00883125" w:rsidRDefault="001D37D5" w:rsidP="001D37D5">
      <w:pPr>
        <w:pStyle w:val="AERbodytextcentre"/>
      </w:pPr>
      <w:r w:rsidRPr="00883125">
        <w:t>20 = 19 +1</w:t>
      </w:r>
    </w:p>
    <w:p w:rsidR="001D37D5" w:rsidRPr="00B27BE5" w:rsidRDefault="001D37D5" w:rsidP="001D37D5">
      <w:pPr>
        <w:rPr>
          <w:rStyle w:val="AERbody"/>
        </w:rPr>
      </w:pPr>
    </w:p>
    <w:p w:rsidR="001D37D5" w:rsidRPr="00B27BE5" w:rsidRDefault="001D37D5" w:rsidP="001D37D5">
      <w:pPr>
        <w:rPr>
          <w:rStyle w:val="AERbody"/>
        </w:rPr>
      </w:pPr>
      <w:r w:rsidRPr="00B27BE5">
        <w:rPr>
          <w:rStyle w:val="AERbody"/>
        </w:rPr>
        <w:t>However, investors care about their post personal tax return and not their pre-personal tax returns. As a result, the investors post personal tax return if they sell cum-dividend is:</w:t>
      </w:r>
    </w:p>
    <w:p w:rsidR="001D37D5" w:rsidRPr="00B27BE5" w:rsidRDefault="001D37D5" w:rsidP="001D37D5">
      <w:pPr>
        <w:rPr>
          <w:rStyle w:val="AERbody"/>
        </w:rPr>
      </w:pPr>
    </w:p>
    <w:p w:rsidR="001D37D5" w:rsidRPr="00883125" w:rsidRDefault="001D37D5" w:rsidP="001D37D5">
      <w:pPr>
        <w:pStyle w:val="AERbodytextcentre"/>
      </w:pPr>
      <w:r w:rsidRPr="00883125">
        <w:t>Post Tax return = P</w:t>
      </w:r>
      <w:r w:rsidRPr="00883125">
        <w:rPr>
          <w:rStyle w:val="AERsubscript"/>
        </w:rPr>
        <w:t>cum-div</w:t>
      </w:r>
      <w:r w:rsidRPr="00883125">
        <w:t xml:space="preserve"> - Personal Tax (CGT)</w:t>
      </w:r>
    </w:p>
    <w:p w:rsidR="001D37D5" w:rsidRPr="00883125" w:rsidRDefault="001D37D5" w:rsidP="001D37D5">
      <w:pPr>
        <w:pStyle w:val="AERbodytextcentre"/>
      </w:pPr>
      <w:r w:rsidRPr="00883125">
        <w:t>Personal Tax (CGT) = (P</w:t>
      </w:r>
      <w:r w:rsidRPr="00883125">
        <w:rPr>
          <w:rStyle w:val="AERsubscript"/>
        </w:rPr>
        <w:t xml:space="preserve">cum-div </w:t>
      </w:r>
      <w:r w:rsidRPr="00883125">
        <w:t>- P</w:t>
      </w:r>
      <w:r w:rsidRPr="00883125">
        <w:rPr>
          <w:rStyle w:val="AERsubscript"/>
        </w:rPr>
        <w:t>cost</w:t>
      </w:r>
      <w:r w:rsidRPr="00883125">
        <w:t>) * MTR * CGT</w:t>
      </w:r>
      <w:r w:rsidRPr="00883125">
        <w:rPr>
          <w:rStyle w:val="AERsubscript"/>
        </w:rPr>
        <w:t>discount</w:t>
      </w:r>
    </w:p>
    <w:p w:rsidR="001D37D5" w:rsidRPr="00883125" w:rsidRDefault="001D37D5" w:rsidP="001D37D5">
      <w:pPr>
        <w:pStyle w:val="AERbodytextcentre"/>
      </w:pPr>
      <w:r w:rsidRPr="00883125">
        <w:t>Personal Tax Capital Gain = (20-10) * 0.5 * 0.47</w:t>
      </w:r>
    </w:p>
    <w:p w:rsidR="001D37D5" w:rsidRPr="00883125" w:rsidRDefault="001D37D5" w:rsidP="001D37D5">
      <w:pPr>
        <w:pStyle w:val="AERbodytextcentre"/>
      </w:pPr>
      <w:r w:rsidRPr="00883125">
        <w:t>Personal Tax Capital Gain = 2.35</w:t>
      </w:r>
    </w:p>
    <w:p w:rsidR="001D37D5" w:rsidRPr="00883125" w:rsidRDefault="001D37D5" w:rsidP="001D37D5">
      <w:pPr>
        <w:pStyle w:val="AERbodytextcentre"/>
      </w:pPr>
      <w:r w:rsidRPr="00883125">
        <w:t>Post Tax return = 20 - 2.35 = 17.65</w:t>
      </w:r>
    </w:p>
    <w:p w:rsidR="001D37D5" w:rsidRPr="00883125" w:rsidRDefault="001D37D5" w:rsidP="001D37D5"/>
    <w:p w:rsidR="001D37D5" w:rsidRPr="00883125" w:rsidRDefault="001D37D5" w:rsidP="001D37D5">
      <w:r w:rsidRPr="00883125">
        <w:t>The investors post personal tax return if they sell ex-dividend is:</w:t>
      </w:r>
    </w:p>
    <w:p w:rsidR="001D37D5" w:rsidRPr="00883125" w:rsidRDefault="001D37D5" w:rsidP="001D37D5"/>
    <w:p w:rsidR="001D37D5" w:rsidRPr="00883125" w:rsidRDefault="001D37D5" w:rsidP="001D37D5">
      <w:pPr>
        <w:pStyle w:val="AERbodytextcentre"/>
      </w:pPr>
      <w:r w:rsidRPr="00883125">
        <w:t>Post Tax return = P</w:t>
      </w:r>
      <w:r w:rsidRPr="00883125">
        <w:rPr>
          <w:rStyle w:val="AERsubscript"/>
        </w:rPr>
        <w:t>ex-div</w:t>
      </w:r>
      <w:r w:rsidRPr="00883125">
        <w:t xml:space="preserve"> + D - Personal Tax (CGT) - Personal Tax (Dividend)</w:t>
      </w:r>
    </w:p>
    <w:p w:rsidR="001D37D5" w:rsidRPr="00883125" w:rsidRDefault="001D37D5" w:rsidP="001D37D5">
      <w:pPr>
        <w:pStyle w:val="AERbodytextcentre"/>
      </w:pPr>
      <w:r w:rsidRPr="00883125">
        <w:t>Personal Tax (CGT) = (19-10) * 0.5 * 0.47 = 2.115</w:t>
      </w:r>
    </w:p>
    <w:p w:rsidR="001D37D5" w:rsidRPr="00883125" w:rsidRDefault="001D37D5" w:rsidP="001D37D5">
      <w:pPr>
        <w:pStyle w:val="AERbodytextcentre"/>
      </w:pPr>
      <w:r w:rsidRPr="00883125">
        <w:t>Personal Tax (Dividend) = 1 * 0.47 = 0.47</w:t>
      </w:r>
    </w:p>
    <w:p w:rsidR="001D37D5" w:rsidRPr="00883125" w:rsidRDefault="001D37D5" w:rsidP="001D37D5">
      <w:pPr>
        <w:pStyle w:val="AERbodytextcentre"/>
      </w:pPr>
      <w:r w:rsidRPr="00883125">
        <w:t>Total Tax = 2.115 + 0.47 = 2.585</w:t>
      </w:r>
    </w:p>
    <w:p w:rsidR="001D37D5" w:rsidRPr="00883125" w:rsidRDefault="001D37D5" w:rsidP="001D37D5">
      <w:pPr>
        <w:pStyle w:val="AERbodytextcentre"/>
      </w:pPr>
      <w:r w:rsidRPr="00883125">
        <w:t>Post Tax return = P</w:t>
      </w:r>
      <w:r w:rsidRPr="00883125">
        <w:rPr>
          <w:rStyle w:val="AERsubscript"/>
        </w:rPr>
        <w:t>ex-div</w:t>
      </w:r>
      <w:r w:rsidRPr="00883125">
        <w:t xml:space="preserve"> + D - Personal Tax (CGT) - Personal Tax (Dividend)</w:t>
      </w:r>
    </w:p>
    <w:p w:rsidR="001D37D5" w:rsidRPr="00883125" w:rsidRDefault="001D37D5" w:rsidP="001D37D5">
      <w:pPr>
        <w:pStyle w:val="AERbodytextcentre"/>
      </w:pPr>
      <w:r w:rsidRPr="00883125">
        <w:t>Post Tax return = 19 + 1 - 2.115 - 0.47 = 17.415</w:t>
      </w:r>
    </w:p>
    <w:p w:rsidR="001D37D5" w:rsidRPr="00883125" w:rsidRDefault="001D37D5" w:rsidP="001D37D5"/>
    <w:p w:rsidR="001D37D5" w:rsidRPr="00B27BE5" w:rsidRDefault="001D37D5" w:rsidP="001D37D5">
      <w:r w:rsidRPr="00883125">
        <w:lastRenderedPageBreak/>
        <w:t xml:space="preserve">As is evident on a post personal tax basis the investor is better off </w:t>
      </w:r>
      <w:r w:rsidRPr="00B27BE5">
        <w:t xml:space="preserve">by selling cum-dividend ($17.65) in contrast to selling ex-dividend ($17.415). Such a situation cannot exist in practice as arbitrage opportunities would exist. These arbitrage opportunities would increase </w:t>
      </w:r>
      <w:r>
        <w:t>supply</w:t>
      </w:r>
      <w:r w:rsidRPr="00B27BE5">
        <w:t xml:space="preserve"> for cum-dividend pushing </w:t>
      </w:r>
      <w:r>
        <w:t>down</w:t>
      </w:r>
      <w:r w:rsidRPr="00B27BE5">
        <w:t xml:space="preserve"> the cum-dividend price and increased </w:t>
      </w:r>
      <w:r>
        <w:t>demand for</w:t>
      </w:r>
      <w:r w:rsidRPr="00B27BE5">
        <w:t xml:space="preserve"> ex-dividend would push the ex-dividend price </w:t>
      </w:r>
      <w:r>
        <w:t>up</w:t>
      </w:r>
      <w:r w:rsidRPr="00B27BE5">
        <w:t>.</w:t>
      </w:r>
    </w:p>
    <w:p w:rsidR="001D37D5" w:rsidRPr="00B27BE5" w:rsidRDefault="001D37D5" w:rsidP="001D37D5">
      <w:r w:rsidRPr="00883125">
        <w:t>For</w:t>
      </w:r>
      <w:r w:rsidRPr="00B27BE5">
        <w:t xml:space="preserve"> no arbitrage opportunities to exist the post personal tax return must be the same cum dividend and ex-dividend</w:t>
      </w:r>
      <w:r>
        <w:t>,</w:t>
      </w:r>
      <w:r w:rsidRPr="00B27BE5">
        <w:t xml:space="preserve"> ignoring market volatility between cum-dividend price and ex-dividend price</w:t>
      </w:r>
      <w:r>
        <w:t xml:space="preserve"> for simplicity</w:t>
      </w:r>
      <w:r w:rsidRPr="00B27BE5">
        <w:t>. Therefore:</w:t>
      </w:r>
    </w:p>
    <w:p w:rsidR="001D37D5" w:rsidRPr="00883125" w:rsidRDefault="001D37D5" w:rsidP="001D37D5"/>
    <w:p w:rsidR="001D37D5" w:rsidRPr="00883125" w:rsidRDefault="001D37D5" w:rsidP="001D37D5">
      <w:pPr>
        <w:pStyle w:val="AERbodytextcentre"/>
      </w:pPr>
      <w:r w:rsidRPr="00883125">
        <w:t>Post Tax return cum div = Post Tax return ex div</w:t>
      </w:r>
    </w:p>
    <w:p w:rsidR="001D37D5" w:rsidRPr="00883125" w:rsidRDefault="001D37D5" w:rsidP="001D37D5">
      <w:pPr>
        <w:pStyle w:val="AERbodytextcentre"/>
      </w:pPr>
      <w:r w:rsidRPr="00883125">
        <w:t>P</w:t>
      </w:r>
      <w:r w:rsidRPr="00883125">
        <w:rPr>
          <w:rStyle w:val="AERsubscript"/>
        </w:rPr>
        <w:t>cum-div</w:t>
      </w:r>
      <w:r w:rsidRPr="00883125">
        <w:t xml:space="preserve"> - Personal Tax (CGT) = P</w:t>
      </w:r>
      <w:r w:rsidRPr="00883125">
        <w:rPr>
          <w:rStyle w:val="AERsubscript"/>
        </w:rPr>
        <w:t>ex-div</w:t>
      </w:r>
      <w:r w:rsidRPr="00883125">
        <w:t xml:space="preserve"> + D - Personal Tax (CGT) - Personal Tax (Dividend)</w:t>
      </w:r>
    </w:p>
    <w:p w:rsidR="001D37D5" w:rsidRPr="00883125" w:rsidRDefault="001D37D5" w:rsidP="001D37D5">
      <w:pPr>
        <w:pStyle w:val="AERbodytextcentre"/>
      </w:pPr>
      <w:r w:rsidRPr="00883125">
        <w:t>P</w:t>
      </w:r>
      <w:r w:rsidRPr="00883125">
        <w:rPr>
          <w:rStyle w:val="AERsubscript"/>
        </w:rPr>
        <w:t>cum-div</w:t>
      </w:r>
      <w:r w:rsidRPr="00883125">
        <w:t xml:space="preserve"> - (P</w:t>
      </w:r>
      <w:r w:rsidRPr="00883125">
        <w:rPr>
          <w:rStyle w:val="AERsubscript"/>
        </w:rPr>
        <w:t>cum-div</w:t>
      </w:r>
      <w:r w:rsidRPr="00883125">
        <w:t xml:space="preserve"> - P</w:t>
      </w:r>
      <w:r w:rsidRPr="00883125">
        <w:rPr>
          <w:rStyle w:val="AERsubscript"/>
        </w:rPr>
        <w:t>cost</w:t>
      </w:r>
      <w:r w:rsidRPr="00883125">
        <w:t>)* CGT</w:t>
      </w:r>
      <w:r w:rsidRPr="00883125">
        <w:rPr>
          <w:rStyle w:val="AERsubscript"/>
        </w:rPr>
        <w:t>discount</w:t>
      </w:r>
      <w:r w:rsidRPr="00883125">
        <w:t>*MTR = P</w:t>
      </w:r>
      <w:r w:rsidRPr="00883125">
        <w:rPr>
          <w:rStyle w:val="AERsubscript"/>
        </w:rPr>
        <w:t>ex-div</w:t>
      </w:r>
      <w:r w:rsidRPr="00883125">
        <w:t xml:space="preserve"> + D - (P</w:t>
      </w:r>
      <w:r w:rsidRPr="00883125">
        <w:rPr>
          <w:rStyle w:val="AERsubscript"/>
        </w:rPr>
        <w:t>ex-div</w:t>
      </w:r>
      <w:r w:rsidRPr="00883125">
        <w:t xml:space="preserve"> - P</w:t>
      </w:r>
      <w:r w:rsidRPr="00883125">
        <w:rPr>
          <w:rStyle w:val="AERsubscript"/>
        </w:rPr>
        <w:t>cost</w:t>
      </w:r>
      <w:r w:rsidRPr="00883125">
        <w:t>)* CGT</w:t>
      </w:r>
      <w:r w:rsidRPr="00883125">
        <w:rPr>
          <w:rStyle w:val="AERsubscript"/>
        </w:rPr>
        <w:t>discount</w:t>
      </w:r>
      <w:r w:rsidRPr="00883125">
        <w:t>*MTR - D*MTR</w:t>
      </w:r>
    </w:p>
    <w:p w:rsidR="001D37D5" w:rsidRPr="00883125" w:rsidRDefault="001D37D5" w:rsidP="001D37D5">
      <w:pPr>
        <w:pStyle w:val="AERbodytextcentre"/>
      </w:pPr>
      <w:r w:rsidRPr="00883125">
        <w:t>This is the equilibrium condition.</w:t>
      </w:r>
    </w:p>
    <w:p w:rsidR="001D37D5" w:rsidRPr="00883125" w:rsidRDefault="001D37D5" w:rsidP="001D37D5"/>
    <w:p w:rsidR="001D37D5" w:rsidRPr="00B27BE5" w:rsidRDefault="001D37D5" w:rsidP="001D37D5">
      <w:r w:rsidRPr="00883125">
        <w:t>Let: P</w:t>
      </w:r>
      <w:r w:rsidRPr="00B27BE5">
        <w:rPr>
          <w:rStyle w:val="AERsubscript"/>
        </w:rPr>
        <w:t xml:space="preserve">ex-div </w:t>
      </w:r>
      <w:r w:rsidRPr="00B27BE5">
        <w:t>= P</w:t>
      </w:r>
      <w:r w:rsidRPr="00B27BE5">
        <w:rPr>
          <w:rStyle w:val="AERsubscript"/>
        </w:rPr>
        <w:t>cum-div</w:t>
      </w:r>
      <w:r w:rsidRPr="00B27BE5">
        <w:t xml:space="preserve"> - xD where x is the market value of dividends implied by the dividend drop off studies. </w:t>
      </w:r>
      <w:r>
        <w:t xml:space="preserve">In this example, x is the dividend drop off ratio. </w:t>
      </w:r>
      <w:r w:rsidRPr="00B27BE5">
        <w:t xml:space="preserve">Also </w:t>
      </w:r>
      <w:r>
        <w:t xml:space="preserve">for simplicity, </w:t>
      </w:r>
      <w:r w:rsidRPr="00B27BE5">
        <w:t xml:space="preserve">assume the arbitrage opportunities only influence the ex-dividend price and not the cum-dividend price. With this assumption the equilibrium condition </w:t>
      </w:r>
      <w:r>
        <w:t>is</w:t>
      </w:r>
      <w:r w:rsidRPr="00B27BE5">
        <w:t xml:space="preserve"> as:</w:t>
      </w:r>
    </w:p>
    <w:p w:rsidR="001D37D5" w:rsidRPr="00883125" w:rsidRDefault="001D37D5" w:rsidP="001D37D5"/>
    <w:p w:rsidR="001D37D5" w:rsidRPr="00883125" w:rsidRDefault="001D37D5" w:rsidP="001D37D5">
      <w:pPr>
        <w:pStyle w:val="AERbodytextcentre"/>
      </w:pPr>
      <w:r w:rsidRPr="00883125">
        <w:t>P</w:t>
      </w:r>
      <w:r w:rsidRPr="00883125">
        <w:rPr>
          <w:rStyle w:val="AERsubscript"/>
        </w:rPr>
        <w:t>cum-div</w:t>
      </w:r>
      <w:r w:rsidRPr="00883125">
        <w:t xml:space="preserve"> - (P</w:t>
      </w:r>
      <w:r w:rsidRPr="00883125">
        <w:rPr>
          <w:rStyle w:val="AERsubscript"/>
        </w:rPr>
        <w:t>cum-div</w:t>
      </w:r>
      <w:r w:rsidRPr="00883125">
        <w:t xml:space="preserve"> - P</w:t>
      </w:r>
      <w:r w:rsidRPr="00883125">
        <w:rPr>
          <w:rStyle w:val="AERsubscript"/>
        </w:rPr>
        <w:t>cost</w:t>
      </w:r>
      <w:r w:rsidRPr="00883125">
        <w:t>)* CGT</w:t>
      </w:r>
      <w:r w:rsidRPr="00883125">
        <w:rPr>
          <w:rStyle w:val="AERsubscript"/>
        </w:rPr>
        <w:t>discount</w:t>
      </w:r>
      <w:r w:rsidRPr="00883125">
        <w:t>*MTR = P</w:t>
      </w:r>
      <w:r w:rsidRPr="00883125">
        <w:rPr>
          <w:rStyle w:val="AERsubscript"/>
        </w:rPr>
        <w:t>cum-div</w:t>
      </w:r>
      <w:r w:rsidRPr="00883125">
        <w:t xml:space="preserve"> - xD + D - (P</w:t>
      </w:r>
      <w:r w:rsidRPr="00883125">
        <w:rPr>
          <w:rStyle w:val="AERsubscript"/>
        </w:rPr>
        <w:t>cum-div</w:t>
      </w:r>
      <w:r w:rsidRPr="00883125">
        <w:t xml:space="preserve"> - xD - P</w:t>
      </w:r>
      <w:r w:rsidRPr="00883125">
        <w:rPr>
          <w:rStyle w:val="AERsubscript"/>
        </w:rPr>
        <w:t>cost</w:t>
      </w:r>
      <w:r w:rsidRPr="00883125">
        <w:t>)* CGT</w:t>
      </w:r>
      <w:r w:rsidRPr="00883125">
        <w:rPr>
          <w:rStyle w:val="AERsubscript"/>
        </w:rPr>
        <w:t>discount</w:t>
      </w:r>
      <w:r w:rsidRPr="00883125">
        <w:t>*MTR - D*MTR</w:t>
      </w:r>
    </w:p>
    <w:p w:rsidR="001D37D5" w:rsidRPr="00883125" w:rsidRDefault="001D37D5" w:rsidP="001D37D5"/>
    <w:p w:rsidR="001D37D5" w:rsidRPr="00B27BE5" w:rsidRDefault="001D37D5" w:rsidP="001D37D5">
      <w:r w:rsidRPr="00883125">
        <w:t>S</w:t>
      </w:r>
      <w:r w:rsidRPr="00B27BE5">
        <w:t>ubstituting in all the parameters into the formula and solving for D we get the following:</w:t>
      </w:r>
    </w:p>
    <w:p w:rsidR="001D37D5" w:rsidRPr="00883125" w:rsidRDefault="001D37D5" w:rsidP="001D37D5"/>
    <w:p w:rsidR="001D37D5" w:rsidRPr="00883125" w:rsidRDefault="001D37D5" w:rsidP="001D37D5">
      <w:pPr>
        <w:pStyle w:val="AERbodytextcentre"/>
      </w:pPr>
      <w:r w:rsidRPr="00883125">
        <w:t>20 - (20 - 10)* 0.5*0.47 = 20 - x + 1 - (20 - x - 10) * 0.5 * 0.47 - 0.47</w:t>
      </w:r>
    </w:p>
    <w:p w:rsidR="001D37D5" w:rsidRPr="00883125" w:rsidRDefault="001D37D5" w:rsidP="001D37D5">
      <w:pPr>
        <w:pStyle w:val="AERbodytextcentre"/>
      </w:pPr>
      <w:r w:rsidRPr="00883125">
        <w:t xml:space="preserve">17.65 = 21 - x - (10 - x) * 0.235 - 0.47 </w:t>
      </w:r>
    </w:p>
    <w:p w:rsidR="001D37D5" w:rsidRPr="00883125" w:rsidRDefault="001D37D5" w:rsidP="001D37D5">
      <w:pPr>
        <w:pStyle w:val="AERbodytextcentre"/>
      </w:pPr>
      <w:r w:rsidRPr="00883125">
        <w:t>X = 0.6928</w:t>
      </w:r>
    </w:p>
    <w:p w:rsidR="001D37D5" w:rsidRPr="00883125" w:rsidRDefault="001D37D5" w:rsidP="001D37D5"/>
    <w:p w:rsidR="001D37D5" w:rsidRPr="00883125" w:rsidRDefault="001D37D5" w:rsidP="001D37D5">
      <w:r w:rsidRPr="00883125">
        <w:t>As a result, for arbitrage opportunities to not exist the dollar face value dividend must be worth 69 cents in the dividend drop off study. In such a situation the following market prices will persist in the market:</w:t>
      </w:r>
    </w:p>
    <w:p w:rsidR="001D37D5" w:rsidRPr="00883125" w:rsidRDefault="001D37D5" w:rsidP="001D37D5"/>
    <w:p w:rsidR="001D37D5" w:rsidRPr="00883125" w:rsidRDefault="001D37D5" w:rsidP="001D37D5">
      <w:pPr>
        <w:pStyle w:val="AERbulletlistthirdstyle"/>
      </w:pPr>
      <w:r w:rsidRPr="00883125">
        <w:lastRenderedPageBreak/>
        <w:t>P</w:t>
      </w:r>
      <w:r w:rsidRPr="00883125">
        <w:rPr>
          <w:rStyle w:val="AERsubscript"/>
        </w:rPr>
        <w:t>cum-div</w:t>
      </w:r>
      <w:r w:rsidRPr="00883125">
        <w:t>: $20</w:t>
      </w:r>
    </w:p>
    <w:p w:rsidR="001D37D5" w:rsidRPr="00883125" w:rsidRDefault="001D37D5" w:rsidP="001D37D5">
      <w:pPr>
        <w:pStyle w:val="AERbulletlistthirdstyle"/>
      </w:pPr>
      <w:r w:rsidRPr="00883125">
        <w:t>D: Face value = $1, as per dividend drop off $0.6928</w:t>
      </w:r>
    </w:p>
    <w:p w:rsidR="001D37D5" w:rsidRPr="00883125" w:rsidRDefault="001D37D5" w:rsidP="001D37D5">
      <w:pPr>
        <w:pStyle w:val="AERbulletlistthirdstyle"/>
      </w:pPr>
      <w:r w:rsidRPr="00883125">
        <w:t>P</w:t>
      </w:r>
      <w:r w:rsidRPr="00883125">
        <w:rPr>
          <w:rStyle w:val="AERsubscript"/>
        </w:rPr>
        <w:t>ex-div</w:t>
      </w:r>
      <w:r w:rsidRPr="00883125">
        <w:t>: $19.3072</w:t>
      </w:r>
      <w:r w:rsidRPr="00883125">
        <w:rPr>
          <w:rStyle w:val="FootnoteReference"/>
        </w:rPr>
        <w:footnoteReference w:id="606"/>
      </w:r>
    </w:p>
    <w:p w:rsidR="001D37D5" w:rsidRPr="00883125" w:rsidRDefault="001D37D5" w:rsidP="001D37D5"/>
    <w:p w:rsidR="001D37D5" w:rsidRPr="00883125" w:rsidRDefault="001D37D5" w:rsidP="001D37D5">
      <w:r w:rsidRPr="00883125">
        <w:t>With these arbitrage free market parameters the investors post personal tax return is as follows:</w:t>
      </w:r>
    </w:p>
    <w:p w:rsidR="001D37D5" w:rsidRPr="00883125" w:rsidRDefault="001D37D5" w:rsidP="001D37D5"/>
    <w:p w:rsidR="001D37D5" w:rsidRPr="00883125" w:rsidRDefault="001D37D5" w:rsidP="001D37D5">
      <w:pPr>
        <w:pStyle w:val="AERbodytextcentre"/>
      </w:pPr>
      <w:r w:rsidRPr="00883125">
        <w:t>Post Tax return cum div = P</w:t>
      </w:r>
      <w:r w:rsidRPr="00883125">
        <w:rPr>
          <w:rStyle w:val="AERsubscript"/>
        </w:rPr>
        <w:t>cum-div</w:t>
      </w:r>
      <w:r w:rsidRPr="00883125">
        <w:t xml:space="preserve"> - Personal Tax (CGT)</w:t>
      </w:r>
    </w:p>
    <w:p w:rsidR="001D37D5" w:rsidRPr="00883125" w:rsidRDefault="001D37D5" w:rsidP="001D37D5">
      <w:pPr>
        <w:pStyle w:val="AERbodytextcentre"/>
      </w:pPr>
      <w:r w:rsidRPr="00883125">
        <w:t>Post Tax return cum div = 20 - 0.5 * 0.47 * (20-10)</w:t>
      </w:r>
    </w:p>
    <w:p w:rsidR="001D37D5" w:rsidRPr="00AC2168" w:rsidRDefault="001D37D5" w:rsidP="001D37D5">
      <w:pPr>
        <w:pStyle w:val="AERbodytextcentre"/>
      </w:pPr>
      <w:r w:rsidRPr="00AC2168">
        <w:t>Post Tax return cum div = 20 - 2.35 = 17.65</w:t>
      </w:r>
    </w:p>
    <w:p w:rsidR="001D37D5" w:rsidRPr="00883125" w:rsidRDefault="001D37D5" w:rsidP="001D37D5"/>
    <w:p w:rsidR="001D37D5" w:rsidRPr="00883125" w:rsidRDefault="001D37D5" w:rsidP="001D37D5">
      <w:pPr>
        <w:pStyle w:val="AERbodytextcentre"/>
      </w:pPr>
      <w:r w:rsidRPr="00883125">
        <w:t>Post Tax return ex div = P</w:t>
      </w:r>
      <w:r w:rsidRPr="00883125">
        <w:rPr>
          <w:rStyle w:val="AERsubscript"/>
        </w:rPr>
        <w:t>ex-div</w:t>
      </w:r>
      <w:r w:rsidRPr="00883125">
        <w:t xml:space="preserve"> + D - Personal Tax (CGT) - Personal Tax (Dividend)</w:t>
      </w:r>
    </w:p>
    <w:p w:rsidR="001D37D5" w:rsidRPr="00883125" w:rsidRDefault="001D37D5" w:rsidP="001D37D5">
      <w:pPr>
        <w:pStyle w:val="AERbodytextcentre"/>
      </w:pPr>
      <w:r w:rsidRPr="00883125">
        <w:t>Post Tax return ex div = 19.3072 + 1 - ((19.3072 - 10)*0.47*0.5) - 1*0.47</w:t>
      </w:r>
    </w:p>
    <w:p w:rsidR="001D37D5" w:rsidRPr="00883125" w:rsidRDefault="001D37D5" w:rsidP="001D37D5">
      <w:pPr>
        <w:pStyle w:val="AERbodytextcentre"/>
      </w:pPr>
      <w:r w:rsidRPr="00883125">
        <w:t xml:space="preserve">Post Tax return ex div = </w:t>
      </w:r>
      <w:r w:rsidRPr="00AC2168">
        <w:t>17.65</w:t>
      </w:r>
    </w:p>
    <w:p w:rsidR="001D37D5" w:rsidRPr="00883125" w:rsidRDefault="001D37D5" w:rsidP="001D37D5">
      <w:pPr>
        <w:rPr>
          <w:rStyle w:val="AERbody"/>
        </w:rPr>
      </w:pPr>
    </w:p>
    <w:p w:rsidR="001D37D5" w:rsidRPr="00CB38D8" w:rsidRDefault="001D37D5" w:rsidP="001D37D5">
      <w:pPr>
        <w:rPr>
          <w:rStyle w:val="AERbody"/>
        </w:rPr>
      </w:pPr>
      <w:r w:rsidRPr="00CB38D8">
        <w:rPr>
          <w:rStyle w:val="AERbody"/>
        </w:rPr>
        <w:t>As evident from above, the post-personal tax return cum dividend is equal to the post-personal tax return ex dividend. I.e. no arbitrage opportunities exist and the investor is indifferent between selling their share the day before they are entitled to receive the dividend and the next day when they are entitled to the dividend. This is ignoring the market volatility that may exist between the cum-div price and the ex-div price.</w:t>
      </w:r>
    </w:p>
    <w:p w:rsidR="001D37D5" w:rsidRPr="00CB38D8" w:rsidRDefault="001D37D5" w:rsidP="001D37D5">
      <w:pPr>
        <w:rPr>
          <w:rStyle w:val="AERbody"/>
        </w:rPr>
      </w:pPr>
      <w:r w:rsidRPr="00CB38D8">
        <w:rPr>
          <w:rStyle w:val="AERbody"/>
        </w:rPr>
        <w:t>As a result, the investor's pre-personal tax return is:</w:t>
      </w:r>
    </w:p>
    <w:p w:rsidR="001D37D5" w:rsidRPr="00B27BE5" w:rsidRDefault="001D37D5" w:rsidP="001D37D5">
      <w:pPr>
        <w:pStyle w:val="AERbulletlistthirdstyle"/>
        <w:rPr>
          <w:rStyle w:val="AERbody"/>
        </w:rPr>
      </w:pPr>
      <w:r w:rsidRPr="00883125">
        <w:rPr>
          <w:rStyle w:val="AERbody"/>
        </w:rPr>
        <w:t>$20 if they sold on the cum-dividend date</w:t>
      </w:r>
    </w:p>
    <w:p w:rsidR="001D37D5" w:rsidRPr="00B27BE5" w:rsidRDefault="001D37D5" w:rsidP="001D37D5">
      <w:pPr>
        <w:pStyle w:val="AERbulletlistthirdstyle"/>
        <w:rPr>
          <w:rStyle w:val="AERbody"/>
        </w:rPr>
      </w:pPr>
      <w:r w:rsidRPr="00883125">
        <w:rPr>
          <w:rStyle w:val="AERbody"/>
        </w:rPr>
        <w:t xml:space="preserve">$20.3072 </w:t>
      </w:r>
      <w:r w:rsidRPr="00B27BE5">
        <w:rPr>
          <w:rStyle w:val="AERbody"/>
        </w:rPr>
        <w:t>($19.3072 + $1) if they sold on the ex-dividend date</w:t>
      </w:r>
    </w:p>
    <w:p w:rsidR="001D37D5" w:rsidRPr="00883125" w:rsidRDefault="001D37D5" w:rsidP="001D37D5">
      <w:pPr>
        <w:rPr>
          <w:rStyle w:val="AERbody"/>
        </w:rPr>
      </w:pPr>
      <w:r w:rsidRPr="00883125">
        <w:rPr>
          <w:rStyle w:val="AERbody"/>
        </w:rPr>
        <w:t>The investor's post-personal tax return is:</w:t>
      </w:r>
    </w:p>
    <w:p w:rsidR="001D37D5" w:rsidRPr="00883125" w:rsidRDefault="001D37D5" w:rsidP="001D37D5">
      <w:pPr>
        <w:pStyle w:val="AERbulletlistthirdstyle"/>
        <w:rPr>
          <w:rStyle w:val="AERbody"/>
        </w:rPr>
      </w:pPr>
      <w:r w:rsidRPr="00883125">
        <w:rPr>
          <w:rStyle w:val="AERbody"/>
        </w:rPr>
        <w:t>$17.65 ($20 - $2.35) if they sold on the cum-dividend date</w:t>
      </w:r>
    </w:p>
    <w:p w:rsidR="001D37D5" w:rsidRPr="00883125" w:rsidRDefault="001D37D5" w:rsidP="001D37D5">
      <w:pPr>
        <w:pStyle w:val="AERbulletlistthirdstyle"/>
        <w:rPr>
          <w:rStyle w:val="AERbody"/>
        </w:rPr>
      </w:pPr>
      <w:r w:rsidRPr="00883125">
        <w:rPr>
          <w:rStyle w:val="AERbody"/>
        </w:rPr>
        <w:t>$17.65 ($20.3072 - $2.6572) if they sold on the ex-dividend date</w:t>
      </w:r>
    </w:p>
    <w:p w:rsidR="001D37D5" w:rsidRPr="00883125" w:rsidRDefault="001D37D5" w:rsidP="001D37D5">
      <w:r w:rsidRPr="00883125">
        <w:rPr>
          <w:rStyle w:val="AERbody"/>
        </w:rPr>
        <w:t xml:space="preserve">On a pre-personal tax basis, the investor values the dividend at $1. On a post-personal tax basis, the investor values the dividend at $0.53 ($1 - </w:t>
      </w:r>
      <w:r>
        <w:rPr>
          <w:rStyle w:val="AERbody"/>
        </w:rPr>
        <w:t>$</w:t>
      </w:r>
      <w:r w:rsidRPr="00883125">
        <w:rPr>
          <w:rStyle w:val="AERbody"/>
        </w:rPr>
        <w:t>1*0.47). The $0.</w:t>
      </w:r>
      <w:r w:rsidRPr="00883125">
        <w:t xml:space="preserve">6928 dividend value that is derived from dividend drop off studies is neither a pre-personal or post-personal value of the dividend. It is the difference between the cum-dividend and ex-dividend price, which is determined by the face value of the dividend and the </w:t>
      </w:r>
      <w:r w:rsidRPr="00883125">
        <w:lastRenderedPageBreak/>
        <w:t>relative difference in in the tax level on ordinary income (of which dividends are classed) and on capital gains. It is driven by investor's preference for capital gains over dividend income, as capital gains are taxed at a concessional rate relative to dividends assuming the shares are held for more than 12 months.</w:t>
      </w:r>
    </w:p>
    <w:p w:rsidR="001D37D5" w:rsidRPr="00883125" w:rsidRDefault="001D37D5" w:rsidP="001D37D5">
      <w:r w:rsidRPr="00883125">
        <w:t xml:space="preserve">As will be shown below, only when dividends and capital gains are taxed at the same rate will the dividend drop off studies yield a value of the dividend on a correct pre-personal tax basis (i.e. not impacted by differential personal taxes on dividends and capital gains). </w:t>
      </w:r>
    </w:p>
    <w:p w:rsidR="001D37D5" w:rsidRPr="00883125" w:rsidRDefault="001D37D5" w:rsidP="001D37D5">
      <w:pPr>
        <w:rPr>
          <w:rStyle w:val="AERbody"/>
        </w:rPr>
      </w:pPr>
      <w:r w:rsidRPr="00883125">
        <w:t xml:space="preserve">For regulatory purposes what matters is the investor's pre-personal tax value of dividends which is $1, which is equal to the cost of the dividend imposed on the firm (i.e. the post company tax cost). The AER uses the full face value of dividends in its estimation of the MRP (i.e. it assumes $1 of distributed dividend income has a post company tax value of $1 to investors). The AER does not use the </w:t>
      </w:r>
      <w:r>
        <w:t xml:space="preserve">market </w:t>
      </w:r>
      <w:r w:rsidRPr="00883125">
        <w:t>value of dividends from dividend drop off studies to estimate the MRP. To do so would be incorrect given this value is influenced by differential personal taxes on dividends and capital gains.</w:t>
      </w:r>
      <w:r w:rsidRPr="00883125">
        <w:rPr>
          <w:rStyle w:val="FootnoteReference"/>
        </w:rPr>
        <w:footnoteReference w:id="607"/>
      </w:r>
    </w:p>
    <w:p w:rsidR="001D37D5" w:rsidRPr="00883125" w:rsidRDefault="001D37D5" w:rsidP="001D37D5">
      <w:pPr>
        <w:rPr>
          <w:rStyle w:val="AERbody"/>
        </w:rPr>
      </w:pPr>
      <w:r w:rsidRPr="00883125">
        <w:rPr>
          <w:rStyle w:val="AERbody"/>
        </w:rPr>
        <w:t>Earlier an assumption was made that the investor's tax rate was 47 per cent and that investor purchased the</w:t>
      </w:r>
      <w:r>
        <w:rPr>
          <w:rStyle w:val="AERbody"/>
        </w:rPr>
        <w:t xml:space="preserve"> share</w:t>
      </w:r>
      <w:r w:rsidRPr="00883125">
        <w:rPr>
          <w:rStyle w:val="AERbody"/>
        </w:rPr>
        <w:t xml:space="preserve"> more than 12 months ago which allowed them to receive a 50 per cent discount on capital gains tax. We will now relax these assumptions and see how it changes the market value of the dividends in the dividend drop off study. As shown above, for post personal tax return to be equal </w:t>
      </w:r>
      <w:r>
        <w:rPr>
          <w:rStyle w:val="AERbody"/>
        </w:rPr>
        <w:t xml:space="preserve">between </w:t>
      </w:r>
      <w:r w:rsidRPr="00883125">
        <w:rPr>
          <w:rStyle w:val="AERbody"/>
        </w:rPr>
        <w:t>cum-dividend and ex-dividend the following condition must hold:</w:t>
      </w:r>
    </w:p>
    <w:p w:rsidR="001D37D5" w:rsidRPr="00883125" w:rsidRDefault="001D37D5" w:rsidP="001D37D5">
      <w:pPr>
        <w:rPr>
          <w:rStyle w:val="AERbody"/>
        </w:rPr>
      </w:pPr>
    </w:p>
    <w:p w:rsidR="001D37D5" w:rsidRPr="00883125" w:rsidRDefault="001D37D5" w:rsidP="001D37D5">
      <w:pPr>
        <w:pStyle w:val="AERbodytextcentre"/>
      </w:pPr>
      <w:r w:rsidRPr="00883125">
        <w:t>P</w:t>
      </w:r>
      <w:r w:rsidRPr="00883125">
        <w:rPr>
          <w:rStyle w:val="AERsubscript"/>
        </w:rPr>
        <w:t>cum-div</w:t>
      </w:r>
      <w:r w:rsidRPr="00883125">
        <w:t xml:space="preserve"> - (P</w:t>
      </w:r>
      <w:r w:rsidRPr="00883125">
        <w:rPr>
          <w:rStyle w:val="AERsubscript"/>
        </w:rPr>
        <w:t>cum-div</w:t>
      </w:r>
      <w:r w:rsidRPr="00883125">
        <w:t xml:space="preserve"> - P</w:t>
      </w:r>
      <w:r w:rsidRPr="00883125">
        <w:rPr>
          <w:rStyle w:val="AERsubscript"/>
        </w:rPr>
        <w:t>cost</w:t>
      </w:r>
      <w:r w:rsidRPr="00883125">
        <w:t>)* CGT</w:t>
      </w:r>
      <w:r w:rsidRPr="00883125">
        <w:rPr>
          <w:rStyle w:val="AERsubscript"/>
        </w:rPr>
        <w:t>discount</w:t>
      </w:r>
      <w:r w:rsidRPr="00883125">
        <w:t>*MTR = P</w:t>
      </w:r>
      <w:r w:rsidRPr="00883125">
        <w:rPr>
          <w:rStyle w:val="AERsubscript"/>
        </w:rPr>
        <w:t>cum-div</w:t>
      </w:r>
      <w:r w:rsidRPr="00883125">
        <w:t xml:space="preserve"> - xD + D - (P</w:t>
      </w:r>
      <w:r w:rsidRPr="00883125">
        <w:rPr>
          <w:rStyle w:val="AERsubscript"/>
        </w:rPr>
        <w:t>cum-div</w:t>
      </w:r>
      <w:r w:rsidRPr="00883125">
        <w:t xml:space="preserve"> - xD - P</w:t>
      </w:r>
      <w:r w:rsidRPr="00883125">
        <w:rPr>
          <w:rStyle w:val="AERsubscript"/>
        </w:rPr>
        <w:t>cost</w:t>
      </w:r>
      <w:r w:rsidRPr="00883125">
        <w:t>)* CGT</w:t>
      </w:r>
      <w:r w:rsidRPr="00883125">
        <w:rPr>
          <w:rStyle w:val="AERsubscript"/>
        </w:rPr>
        <w:t>discount</w:t>
      </w:r>
      <w:r w:rsidRPr="00883125">
        <w:t>*MTR - D*MTR</w:t>
      </w:r>
    </w:p>
    <w:p w:rsidR="001D37D5" w:rsidRPr="00883125" w:rsidRDefault="001D37D5" w:rsidP="001D37D5">
      <w:pPr>
        <w:pStyle w:val="AERbodytextcentre"/>
      </w:pPr>
      <w:r w:rsidRPr="00883125">
        <w:t>Solving for X the formula simplifies to:</w:t>
      </w:r>
    </w:p>
    <w:p w:rsidR="001D37D5" w:rsidRPr="00B27BE5" w:rsidRDefault="001D37D5" w:rsidP="001D37D5">
      <w:pPr>
        <w:pStyle w:val="AERbodytextcentre"/>
      </w:pPr>
      <m:oMathPara>
        <m:oMath>
          <m:r>
            <w:rPr>
              <w:rFonts w:ascii="Cambria Math" w:hAnsi="Cambria Math"/>
            </w:rPr>
            <m:t>X=</m:t>
          </m:r>
          <m:f>
            <m:fPr>
              <m:ctrlPr>
                <w:rPr>
                  <w:rFonts w:ascii="Cambria Math" w:hAnsi="Cambria Math"/>
                </w:rPr>
              </m:ctrlPr>
            </m:fPr>
            <m:num>
              <m:r>
                <w:rPr>
                  <w:rFonts w:ascii="Cambria Math" w:hAnsi="Cambria Math"/>
                </w:rPr>
                <m:t>1-MTR</m:t>
              </m:r>
            </m:num>
            <m:den>
              <m:r>
                <w:rPr>
                  <w:rFonts w:ascii="Cambria Math" w:hAnsi="Cambria Math"/>
                </w:rPr>
                <m:t>1-</m:t>
              </m:r>
              <m:sSub>
                <m:sSubPr>
                  <m:ctrlPr>
                    <w:rPr>
                      <w:rFonts w:ascii="Cambria Math" w:hAnsi="Cambria Math"/>
                      <w:i/>
                    </w:rPr>
                  </m:ctrlPr>
                </m:sSubPr>
                <m:e>
                  <m:r>
                    <w:rPr>
                      <w:rFonts w:ascii="Cambria Math" w:hAnsi="Cambria Math"/>
                    </w:rPr>
                    <m:t>CGT</m:t>
                  </m:r>
                </m:e>
                <m:sub>
                  <m:r>
                    <w:rPr>
                      <w:rFonts w:ascii="Cambria Math" w:hAnsi="Cambria Math"/>
                    </w:rPr>
                    <m:t>discount</m:t>
                  </m:r>
                </m:sub>
              </m:sSub>
              <m:r>
                <w:rPr>
                  <w:rFonts w:ascii="Cambria Math" w:hAnsi="Cambria Math"/>
                </w:rPr>
                <m:t>*MTR</m:t>
              </m:r>
            </m:den>
          </m:f>
        </m:oMath>
      </m:oMathPara>
    </w:p>
    <w:p w:rsidR="001D37D5" w:rsidRPr="00883125" w:rsidRDefault="001D37D5" w:rsidP="001D37D5">
      <w:pPr>
        <w:pStyle w:val="AERbodytextcentre"/>
        <w:rPr>
          <w:rStyle w:val="AERbody"/>
        </w:rPr>
      </w:pPr>
    </w:p>
    <w:p w:rsidR="001D37D5" w:rsidRPr="00883125" w:rsidRDefault="001D37D5" w:rsidP="001D37D5">
      <w:pPr>
        <w:rPr>
          <w:rStyle w:val="AERbody"/>
        </w:rPr>
      </w:pPr>
      <w:r w:rsidRPr="00883125">
        <w:rPr>
          <w:rStyle w:val="AERbody"/>
        </w:rPr>
        <w:t>This is consistent with the formula in the Elton and Gruber (1970) paper which defined ex-dividend behaviour as:</w:t>
      </w:r>
      <w:r w:rsidRPr="00883125">
        <w:rPr>
          <w:rStyle w:val="FootnoteReference"/>
        </w:rPr>
        <w:footnoteReference w:id="608"/>
      </w:r>
    </w:p>
    <w:p w:rsidR="001D37D5" w:rsidRPr="00883125" w:rsidRDefault="001D37D5" w:rsidP="001D37D5">
      <w:pPr>
        <w:rPr>
          <w:rStyle w:val="AERbody"/>
        </w:rPr>
      </w:pPr>
    </w:p>
    <w:p w:rsidR="001D37D5" w:rsidRPr="00883125" w:rsidRDefault="00F470C7" w:rsidP="001D37D5">
      <w:pPr>
        <w:rPr>
          <w:rStyle w:val="AERbody"/>
        </w:rPr>
      </w:pPr>
      <m:oMathPara>
        <m:oMath>
          <m:f>
            <m:fPr>
              <m:ctrlPr>
                <w:rPr>
                  <w:rFonts w:ascii="Cambria Math" w:hAnsi="Cambria Math"/>
                </w:rPr>
              </m:ctrlPr>
            </m:fPr>
            <m:num>
              <m:sSub>
                <m:sSubPr>
                  <m:ctrlPr>
                    <w:rPr>
                      <w:rFonts w:ascii="Cambria Math" w:hAnsi="Cambria Math"/>
                    </w:rPr>
                  </m:ctrlPr>
                </m:sSubPr>
                <m:e>
                  <m:r>
                    <m:rPr>
                      <m:sty m:val="p"/>
                    </m:rPr>
                    <w:rPr>
                      <w:rFonts w:ascii="Cambria Math" w:hAnsi="Cambria Math"/>
                    </w:rPr>
                    <m:t>P</m:t>
                  </m:r>
                </m:e>
                <m:sub>
                  <m:r>
                    <m:rPr>
                      <m:sty m:val="p"/>
                    </m:rPr>
                    <w:rPr>
                      <w:rStyle w:val="AERsubscript"/>
                      <w:rFonts w:ascii="Cambria Math" w:hAnsi="Cambria Math"/>
                    </w:rPr>
                    <m:t>cum-div</m:t>
                  </m:r>
                </m:sub>
              </m:sSub>
              <m:r>
                <m:rPr>
                  <m:sty m:val="p"/>
                </m:rPr>
                <w:rPr>
                  <w:rStyle w:val="AERsubscript"/>
                  <w:rFonts w:ascii="Cambria Math" w:hAnsi="Cambria Math"/>
                </w:rPr>
                <m:t xml:space="preserve">- </m:t>
              </m:r>
              <m:sSub>
                <m:sSubPr>
                  <m:ctrlPr>
                    <w:rPr>
                      <w:rFonts w:ascii="Cambria Math" w:hAnsi="Cambria Math"/>
                    </w:rPr>
                  </m:ctrlPr>
                </m:sSubPr>
                <m:e>
                  <m:r>
                    <m:rPr>
                      <m:sty m:val="p"/>
                    </m:rPr>
                    <w:rPr>
                      <w:rFonts w:ascii="Cambria Math" w:hAnsi="Cambria Math"/>
                    </w:rPr>
                    <m:t>P</m:t>
                  </m:r>
                </m:e>
                <m:sub>
                  <m:r>
                    <m:rPr>
                      <m:sty m:val="p"/>
                    </m:rPr>
                    <w:rPr>
                      <w:rStyle w:val="AERsubscript"/>
                      <w:rFonts w:ascii="Cambria Math" w:hAnsi="Cambria Math"/>
                    </w:rPr>
                    <m:t>ex-div</m:t>
                  </m:r>
                </m:sub>
              </m:sSub>
            </m:num>
            <m:den>
              <m:r>
                <w:rPr>
                  <w:rFonts w:ascii="Cambria Math" w:hAnsi="Cambria Math"/>
                </w:rPr>
                <m:t>D</m:t>
              </m:r>
            </m:den>
          </m:f>
          <m:r>
            <w:rPr>
              <w:rFonts w:ascii="Cambria Math" w:hAnsi="Cambria Math"/>
            </w:rPr>
            <m:t>=</m:t>
          </m:r>
          <m:f>
            <m:fPr>
              <m:ctrlPr>
                <w:rPr>
                  <w:rFonts w:ascii="Cambria Math" w:hAnsi="Cambria Math"/>
                </w:rPr>
              </m:ctrlPr>
            </m:fPr>
            <m:num>
              <m:r>
                <w:rPr>
                  <w:rFonts w:ascii="Cambria Math" w:hAnsi="Cambria Math"/>
                </w:rPr>
                <m:t>1-</m:t>
              </m:r>
              <m:sSub>
                <m:sSubPr>
                  <m:ctrlPr>
                    <w:rPr>
                      <w:rFonts w:ascii="Cambria Math" w:hAnsi="Cambria Math"/>
                    </w:rPr>
                  </m:ctrlPr>
                </m:sSubPr>
                <m:e>
                  <m:r>
                    <m:rPr>
                      <m:sty m:val="p"/>
                    </m:rPr>
                    <w:rPr>
                      <w:rFonts w:ascii="Cambria Math" w:hAnsi="Cambria Math"/>
                    </w:rPr>
                    <m:t>t</m:t>
                  </m:r>
                </m:e>
                <m:sub>
                  <m:r>
                    <m:rPr>
                      <m:sty m:val="p"/>
                    </m:rPr>
                    <w:rPr>
                      <w:rStyle w:val="AERsubscript"/>
                      <w:rFonts w:ascii="Cambria Math" w:hAnsi="Cambria Math"/>
                    </w:rPr>
                    <m:t>0</m:t>
                  </m:r>
                </m:sub>
              </m:sSub>
            </m:num>
            <m:den>
              <m:r>
                <w:rPr>
                  <w:rFonts w:ascii="Cambria Math" w:hAnsi="Cambria Math"/>
                </w:rPr>
                <m:t>1-</m:t>
              </m:r>
              <m:sSub>
                <m:sSubPr>
                  <m:ctrlPr>
                    <w:rPr>
                      <w:rFonts w:ascii="Cambria Math" w:hAnsi="Cambria Math"/>
                    </w:rPr>
                  </m:ctrlPr>
                </m:sSubPr>
                <m:e>
                  <m:r>
                    <m:rPr>
                      <m:sty m:val="p"/>
                    </m:rPr>
                    <w:rPr>
                      <w:rFonts w:ascii="Cambria Math" w:hAnsi="Cambria Math"/>
                    </w:rPr>
                    <m:t>t</m:t>
                  </m:r>
                </m:e>
                <m:sub>
                  <m:r>
                    <m:rPr>
                      <m:sty m:val="p"/>
                    </m:rPr>
                    <w:rPr>
                      <w:rStyle w:val="AERsubscript"/>
                      <w:rFonts w:ascii="Cambria Math" w:hAnsi="Cambria Math"/>
                    </w:rPr>
                    <m:t>c</m:t>
                  </m:r>
                </m:sub>
              </m:sSub>
            </m:den>
          </m:f>
        </m:oMath>
      </m:oMathPara>
    </w:p>
    <w:p w:rsidR="001D37D5" w:rsidRPr="00883125" w:rsidRDefault="001D37D5" w:rsidP="001D37D5">
      <w:pPr>
        <w:rPr>
          <w:rStyle w:val="AERbody"/>
        </w:rPr>
      </w:pPr>
    </w:p>
    <w:p w:rsidR="001D37D5" w:rsidRPr="00883125" w:rsidRDefault="001D37D5" w:rsidP="001D37D5">
      <w:pPr>
        <w:rPr>
          <w:rStyle w:val="AERbody"/>
        </w:rPr>
      </w:pPr>
      <w:r w:rsidRPr="00883125">
        <w:rPr>
          <w:rStyle w:val="AERbody"/>
        </w:rPr>
        <w:t xml:space="preserve">Where </w:t>
      </w:r>
      <w:r w:rsidRPr="00883125">
        <w:t>t</w:t>
      </w:r>
      <w:r w:rsidRPr="00883125">
        <w:rPr>
          <w:rStyle w:val="AERsubscript"/>
        </w:rPr>
        <w:t>0</w:t>
      </w:r>
      <w:r w:rsidRPr="00883125">
        <w:t xml:space="preserve"> is the tax rate of ordinary income and t</w:t>
      </w:r>
      <w:r w:rsidRPr="00883125">
        <w:rPr>
          <w:rStyle w:val="AERsubscript"/>
        </w:rPr>
        <w:t xml:space="preserve">0 </w:t>
      </w:r>
      <w:r w:rsidRPr="00883125">
        <w:t xml:space="preserve">is the capital gains tax rate. </w:t>
      </w:r>
    </w:p>
    <w:p w:rsidR="001D37D5" w:rsidRDefault="001D37D5" w:rsidP="001D37D5">
      <w:r>
        <w:t>Further, Lally generalises the dividend relationship to the following:</w:t>
      </w:r>
      <w:r>
        <w:rPr>
          <w:rStyle w:val="FootnoteReference"/>
        </w:rPr>
        <w:footnoteReference w:id="609"/>
      </w:r>
    </w:p>
    <w:p w:rsidR="001D37D5" w:rsidRDefault="001D37D5" w:rsidP="001D37D5"/>
    <w:p w:rsidR="001D37D5" w:rsidRPr="00883125" w:rsidRDefault="001D37D5" w:rsidP="001D37D5">
      <w:pPr>
        <w:rPr>
          <w:rStyle w:val="AERbody"/>
        </w:rPr>
      </w:pPr>
      <m:oMathPara>
        <m:oMath>
          <m:r>
            <w:rPr>
              <w:rFonts w:ascii="Cambria Math" w:hAnsi="Cambria Math"/>
            </w:rPr>
            <m:t>∆P= δD+δθ</m:t>
          </m:r>
          <m:d>
            <m:dPr>
              <m:ctrlPr>
                <w:rPr>
                  <w:rFonts w:ascii="Cambria Math" w:hAnsi="Cambria Math"/>
                  <w:i/>
                </w:rPr>
              </m:ctrlPr>
            </m:dPr>
            <m:e>
              <m:r>
                <w:rPr>
                  <w:rFonts w:ascii="Cambria Math" w:hAnsi="Cambria Math"/>
                </w:rPr>
                <m:t>IC</m:t>
              </m:r>
            </m:e>
          </m:d>
          <m:r>
            <w:rPr>
              <w:rFonts w:ascii="Cambria Math" w:hAnsi="Cambria Math"/>
            </w:rPr>
            <m:t>+ε</m:t>
          </m:r>
        </m:oMath>
      </m:oMathPara>
    </w:p>
    <w:p w:rsidR="001D37D5" w:rsidRDefault="001D37D5" w:rsidP="001D37D5"/>
    <w:p w:rsidR="001D37D5" w:rsidRDefault="001D37D5" w:rsidP="001D37D5">
      <w:r>
        <w:t xml:space="preserve">Where </w:t>
      </w:r>
      <m:oMath>
        <m:r>
          <w:rPr>
            <w:rFonts w:ascii="Cambria Math" w:hAnsi="Cambria Math"/>
          </w:rPr>
          <m:t>δ</m:t>
        </m:r>
      </m:oMath>
      <w:r>
        <w:t xml:space="preserve"> reflects the effect of the personal tax differential, risk, transaction costs and other frictions and </w:t>
      </w:r>
      <m:oMath>
        <m:r>
          <w:rPr>
            <w:rFonts w:ascii="Cambria Math" w:hAnsi="Cambria Math"/>
          </w:rPr>
          <m:t>ε</m:t>
        </m:r>
      </m:oMath>
      <w:r>
        <w:t xml:space="preserve"> reflects noise in the data.</w:t>
      </w:r>
      <w:r w:rsidRPr="002D2E1B">
        <w:rPr>
          <w:rStyle w:val="FootnoteReference"/>
        </w:rPr>
        <w:t xml:space="preserve"> </w:t>
      </w:r>
      <w:r>
        <w:rPr>
          <w:rStyle w:val="FootnoteReference"/>
        </w:rPr>
        <w:footnoteReference w:id="610"/>
      </w:r>
      <w:r>
        <w:rPr>
          <w:rStyle w:val="FootnoteReference"/>
        </w:rPr>
        <w:t xml:space="preserve"> </w:t>
      </w:r>
    </w:p>
    <w:p w:rsidR="001D37D5" w:rsidRPr="00883125" w:rsidRDefault="001D37D5" w:rsidP="001D37D5">
      <w:r w:rsidRPr="00883125">
        <w:t>Using different values for MTR (0%, 15%, 21%, 34.5%. 39% 47%) and CGT discount (50% if shares held for more than 12 months and 100% if shares held for less than 12 months)</w:t>
      </w:r>
      <w:r>
        <w:rPr>
          <w:rStyle w:val="FootnoteReference"/>
        </w:rPr>
        <w:footnoteReference w:id="611"/>
      </w:r>
      <w:r w:rsidRPr="00883125">
        <w:t xml:space="preserve"> the market value for the dividend in the dividend drop off study changes. As seen in the table below a lower tax rate results in a higher </w:t>
      </w:r>
      <w:r>
        <w:t xml:space="preserve">market </w:t>
      </w:r>
      <w:r w:rsidRPr="00883125">
        <w:t xml:space="preserve">value of dividend in the dividend drop off studies. This is due </w:t>
      </w:r>
      <w:r>
        <w:t xml:space="preserve">to </w:t>
      </w:r>
      <w:r w:rsidRPr="00883125">
        <w:t>the differential taxes being smaller at a lower MTR.</w:t>
      </w:r>
    </w:p>
    <w:p w:rsidR="001D37D5" w:rsidRPr="00883125" w:rsidRDefault="001D37D5" w:rsidP="001D37D5">
      <w:r>
        <w:t xml:space="preserve">The </w:t>
      </w:r>
      <w:r w:rsidRPr="00883125">
        <w:t xml:space="preserve">table </w:t>
      </w:r>
      <w:r>
        <w:t xml:space="preserve">also shows </w:t>
      </w:r>
      <w:r w:rsidRPr="00883125">
        <w:t>that when the stocks are held for less than 12 months and the CGT is taxed at the MTR rate rather than 50 per cent of the MTR, the dividends are worth one dollar in a dividend drop of study. This is because when the stocks are held for less than 12 months capital gains are taxed at the same rate as dividends. The same is also true for the 0 per cent tax rate when stocks are held for more than 12 months. In this situation dividend tax and capital gains tax is consistent at 0 per cent.</w:t>
      </w:r>
    </w:p>
    <w:p w:rsidR="001D37D5" w:rsidRPr="00883125" w:rsidRDefault="001D37D5" w:rsidP="001D37D5">
      <w:r w:rsidRPr="00883125">
        <w:t xml:space="preserve">As noted above, the difference between the cum-dividend price and ex-dividend price is driven by differential personal taxes on dividends and capital gains. Hence, </w:t>
      </w:r>
      <w:r>
        <w:t>only when</w:t>
      </w:r>
      <w:r w:rsidRPr="00883125">
        <w:t xml:space="preserve"> dividends and capital gains are taxed at the same rate, the drop off just represents the face value of the dividend. This is the value that is required for regulatory purposes and is the post company tax (pre-personal tax) value.</w:t>
      </w:r>
    </w:p>
    <w:p w:rsidR="001D37D5" w:rsidRPr="00B27BE5" w:rsidRDefault="001D37D5" w:rsidP="00961D0A">
      <w:pPr>
        <w:pStyle w:val="Caption"/>
      </w:pPr>
      <w:r w:rsidRPr="00883125">
        <w:lastRenderedPageBreak/>
        <w:t xml:space="preserve">Table </w:t>
      </w:r>
      <w:r w:rsidRPr="001D37D5">
        <w:fldChar w:fldCharType="begin"/>
      </w:r>
      <w:r>
        <w:instrText xml:space="preserve"> STYLEREF 1 \s </w:instrText>
      </w:r>
      <w:r w:rsidRPr="001D37D5">
        <w:fldChar w:fldCharType="separate"/>
      </w:r>
      <w:r w:rsidR="00A02D8C">
        <w:rPr>
          <w:noProof/>
        </w:rPr>
        <w:t>4</w:t>
      </w:r>
      <w:r w:rsidRPr="001D37D5">
        <w:fldChar w:fldCharType="end"/>
      </w:r>
      <w:r w:rsidRPr="00B27BE5">
        <w:noBreakHyphen/>
      </w:r>
      <w:r w:rsidRPr="001D37D5">
        <w:fldChar w:fldCharType="begin"/>
      </w:r>
      <w:r>
        <w:instrText xml:space="preserve"> SEQ Table \* ARABIC \s 1 </w:instrText>
      </w:r>
      <w:r w:rsidRPr="001D37D5">
        <w:fldChar w:fldCharType="separate"/>
      </w:r>
      <w:r w:rsidR="00A02D8C">
        <w:rPr>
          <w:noProof/>
        </w:rPr>
        <w:t>19</w:t>
      </w:r>
      <w:r w:rsidRPr="001D37D5">
        <w:fldChar w:fldCharType="end"/>
      </w:r>
      <w:r w:rsidRPr="00B27BE5">
        <w:tab/>
        <w:t xml:space="preserve">Dividend drop off ratio with varying </w:t>
      </w:r>
      <w:r>
        <w:t>tax rates</w:t>
      </w:r>
    </w:p>
    <w:tbl>
      <w:tblPr>
        <w:tblW w:w="4520" w:type="dxa"/>
        <w:tblInd w:w="93" w:type="dxa"/>
        <w:tblLook w:val="04A0" w:firstRow="1" w:lastRow="0" w:firstColumn="1" w:lastColumn="0" w:noHBand="0" w:noVBand="1"/>
      </w:tblPr>
      <w:tblGrid>
        <w:gridCol w:w="721"/>
        <w:gridCol w:w="1074"/>
        <w:gridCol w:w="2063"/>
        <w:gridCol w:w="1019"/>
      </w:tblGrid>
      <w:tr w:rsidR="001D37D5" w:rsidRPr="00CF5360" w:rsidTr="005E1FC3">
        <w:trPr>
          <w:trHeight w:val="300"/>
        </w:trPr>
        <w:tc>
          <w:tcPr>
            <w:tcW w:w="1560" w:type="dxa"/>
            <w:gridSpan w:val="2"/>
            <w:vMerge w:val="restart"/>
            <w:tcBorders>
              <w:top w:val="single" w:sz="4" w:space="0" w:color="auto"/>
              <w:left w:val="single" w:sz="4" w:space="0" w:color="auto"/>
              <w:bottom w:val="single" w:sz="4" w:space="0" w:color="auto"/>
              <w:right w:val="single" w:sz="4" w:space="0" w:color="auto"/>
            </w:tcBorders>
            <w:shd w:val="clear" w:color="000000" w:fill="FDE9D9"/>
            <w:noWrap/>
            <w:vAlign w:val="bottom"/>
            <w:hideMark/>
          </w:tcPr>
          <w:p w:rsidR="001D37D5" w:rsidRPr="00F1222E" w:rsidRDefault="001D37D5" w:rsidP="00247000">
            <w:pPr>
              <w:pStyle w:val="ListContinue2"/>
              <w:keepNext/>
            </w:pPr>
            <w:r w:rsidRPr="00F1222E">
              <w:t> </w:t>
            </w:r>
          </w:p>
        </w:tc>
        <w:tc>
          <w:tcPr>
            <w:tcW w:w="2960" w:type="dxa"/>
            <w:gridSpan w:val="2"/>
            <w:tcBorders>
              <w:top w:val="single" w:sz="4" w:space="0" w:color="auto"/>
              <w:left w:val="nil"/>
              <w:bottom w:val="single" w:sz="4" w:space="0" w:color="auto"/>
              <w:right w:val="single" w:sz="4" w:space="0" w:color="auto"/>
            </w:tcBorders>
            <w:shd w:val="clear" w:color="000000" w:fill="FDE9D9"/>
            <w:noWrap/>
            <w:vAlign w:val="bottom"/>
            <w:hideMark/>
          </w:tcPr>
          <w:p w:rsidR="001D37D5" w:rsidRPr="005764F6" w:rsidRDefault="001D37D5" w:rsidP="00247000">
            <w:pPr>
              <w:keepNext/>
            </w:pPr>
            <w:r w:rsidRPr="005764F6">
              <w:t>CGT</w:t>
            </w:r>
          </w:p>
        </w:tc>
      </w:tr>
      <w:tr w:rsidR="001D37D5" w:rsidRPr="00CF5360" w:rsidTr="005E1FC3">
        <w:trPr>
          <w:trHeight w:val="300"/>
        </w:trPr>
        <w:tc>
          <w:tcPr>
            <w:tcW w:w="1560" w:type="dxa"/>
            <w:gridSpan w:val="2"/>
            <w:vMerge/>
            <w:tcBorders>
              <w:top w:val="single" w:sz="4" w:space="0" w:color="auto"/>
              <w:left w:val="single" w:sz="4" w:space="0" w:color="auto"/>
              <w:bottom w:val="single" w:sz="4" w:space="0" w:color="auto"/>
              <w:right w:val="single" w:sz="4" w:space="0" w:color="auto"/>
            </w:tcBorders>
            <w:vAlign w:val="center"/>
            <w:hideMark/>
          </w:tcPr>
          <w:p w:rsidR="001D37D5" w:rsidRPr="00F1222E" w:rsidRDefault="001D37D5" w:rsidP="00247000">
            <w:pPr>
              <w:pStyle w:val="ListContinue2"/>
              <w:keepNext/>
            </w:pPr>
          </w:p>
        </w:tc>
        <w:tc>
          <w:tcPr>
            <w:tcW w:w="2063" w:type="dxa"/>
            <w:tcBorders>
              <w:top w:val="nil"/>
              <w:left w:val="nil"/>
              <w:bottom w:val="nil"/>
              <w:right w:val="single" w:sz="4" w:space="0" w:color="auto"/>
            </w:tcBorders>
            <w:shd w:val="clear" w:color="000000" w:fill="FDE9D9"/>
            <w:noWrap/>
            <w:vAlign w:val="bottom"/>
            <w:hideMark/>
          </w:tcPr>
          <w:p w:rsidR="001D37D5" w:rsidRPr="005764F6" w:rsidRDefault="001D37D5" w:rsidP="00247000">
            <w:pPr>
              <w:keepNext/>
            </w:pPr>
            <w:r w:rsidRPr="005764F6">
              <w:t>50%</w:t>
            </w:r>
          </w:p>
        </w:tc>
        <w:tc>
          <w:tcPr>
            <w:tcW w:w="897" w:type="dxa"/>
            <w:tcBorders>
              <w:top w:val="nil"/>
              <w:left w:val="nil"/>
              <w:bottom w:val="nil"/>
              <w:right w:val="single" w:sz="4" w:space="0" w:color="auto"/>
            </w:tcBorders>
            <w:shd w:val="clear" w:color="000000" w:fill="FDE9D9"/>
            <w:noWrap/>
            <w:vAlign w:val="bottom"/>
            <w:hideMark/>
          </w:tcPr>
          <w:p w:rsidR="001D37D5" w:rsidRPr="005764F6" w:rsidRDefault="001D37D5" w:rsidP="00247000">
            <w:pPr>
              <w:keepNext/>
            </w:pPr>
            <w:r w:rsidRPr="005764F6">
              <w:t>100%</w:t>
            </w:r>
          </w:p>
        </w:tc>
      </w:tr>
      <w:tr w:rsidR="001D37D5" w:rsidRPr="00CF5360" w:rsidTr="005E1FC3">
        <w:trPr>
          <w:trHeight w:val="300"/>
        </w:trPr>
        <w:tc>
          <w:tcPr>
            <w:tcW w:w="486" w:type="dxa"/>
            <w:vMerge w:val="restart"/>
            <w:tcBorders>
              <w:top w:val="nil"/>
              <w:left w:val="single" w:sz="4" w:space="0" w:color="auto"/>
              <w:bottom w:val="single" w:sz="4" w:space="0" w:color="auto"/>
              <w:right w:val="single" w:sz="4" w:space="0" w:color="auto"/>
            </w:tcBorders>
            <w:shd w:val="clear" w:color="000000" w:fill="FDE9D9"/>
            <w:noWrap/>
            <w:textDirection w:val="btLr"/>
            <w:vAlign w:val="center"/>
            <w:hideMark/>
          </w:tcPr>
          <w:p w:rsidR="001D37D5" w:rsidRPr="005764F6" w:rsidRDefault="001D37D5" w:rsidP="00247000">
            <w:pPr>
              <w:keepNext/>
            </w:pPr>
            <w:r w:rsidRPr="005764F6">
              <w:t>Tax Rate</w:t>
            </w:r>
          </w:p>
        </w:tc>
        <w:tc>
          <w:tcPr>
            <w:tcW w:w="1074" w:type="dxa"/>
            <w:tcBorders>
              <w:top w:val="nil"/>
              <w:left w:val="nil"/>
              <w:bottom w:val="single" w:sz="4" w:space="0" w:color="auto"/>
              <w:right w:val="single" w:sz="4" w:space="0" w:color="auto"/>
            </w:tcBorders>
            <w:shd w:val="clear" w:color="000000" w:fill="FDE9D9"/>
            <w:noWrap/>
            <w:vAlign w:val="bottom"/>
            <w:hideMark/>
          </w:tcPr>
          <w:p w:rsidR="001D37D5" w:rsidRPr="005764F6" w:rsidRDefault="001D37D5" w:rsidP="00247000">
            <w:pPr>
              <w:keepNext/>
            </w:pPr>
            <w:r w:rsidRPr="005764F6">
              <w:t>0%</w:t>
            </w:r>
          </w:p>
        </w:tc>
        <w:tc>
          <w:tcPr>
            <w:tcW w:w="2063" w:type="dxa"/>
            <w:tcBorders>
              <w:top w:val="single" w:sz="4" w:space="0" w:color="auto"/>
              <w:left w:val="nil"/>
              <w:bottom w:val="single" w:sz="4" w:space="0" w:color="auto"/>
              <w:right w:val="single" w:sz="4" w:space="0" w:color="auto"/>
            </w:tcBorders>
            <w:shd w:val="clear" w:color="auto" w:fill="auto"/>
            <w:noWrap/>
            <w:vAlign w:val="bottom"/>
            <w:hideMark/>
          </w:tcPr>
          <w:p w:rsidR="001D37D5" w:rsidRPr="00F1222E" w:rsidRDefault="001D37D5" w:rsidP="00247000">
            <w:pPr>
              <w:pStyle w:val="ListContinue2"/>
              <w:keepNext/>
            </w:pPr>
            <w:r w:rsidRPr="00F1222E">
              <w:t>1</w:t>
            </w:r>
          </w:p>
        </w:tc>
        <w:tc>
          <w:tcPr>
            <w:tcW w:w="897" w:type="dxa"/>
            <w:tcBorders>
              <w:top w:val="single" w:sz="4" w:space="0" w:color="auto"/>
              <w:left w:val="nil"/>
              <w:bottom w:val="single" w:sz="4" w:space="0" w:color="auto"/>
              <w:right w:val="single" w:sz="4" w:space="0" w:color="auto"/>
            </w:tcBorders>
            <w:shd w:val="clear" w:color="auto" w:fill="auto"/>
            <w:noWrap/>
            <w:vAlign w:val="bottom"/>
            <w:hideMark/>
          </w:tcPr>
          <w:p w:rsidR="001D37D5" w:rsidRPr="00F1222E" w:rsidRDefault="001D37D5" w:rsidP="00247000">
            <w:pPr>
              <w:pStyle w:val="ListContinue2"/>
              <w:keepNext/>
            </w:pPr>
            <w:r w:rsidRPr="00F1222E">
              <w:t>1</w:t>
            </w:r>
          </w:p>
        </w:tc>
      </w:tr>
      <w:tr w:rsidR="001D37D5" w:rsidRPr="00CF5360" w:rsidTr="005E1FC3">
        <w:trPr>
          <w:trHeight w:val="300"/>
        </w:trPr>
        <w:tc>
          <w:tcPr>
            <w:tcW w:w="486" w:type="dxa"/>
            <w:vMerge/>
            <w:tcBorders>
              <w:top w:val="nil"/>
              <w:left w:val="single" w:sz="4" w:space="0" w:color="auto"/>
              <w:bottom w:val="single" w:sz="4" w:space="0" w:color="auto"/>
              <w:right w:val="single" w:sz="4" w:space="0" w:color="auto"/>
            </w:tcBorders>
            <w:vAlign w:val="center"/>
            <w:hideMark/>
          </w:tcPr>
          <w:p w:rsidR="001D37D5" w:rsidRPr="00AC2168" w:rsidRDefault="001D37D5" w:rsidP="00247000">
            <w:pPr>
              <w:keepNext/>
            </w:pPr>
          </w:p>
        </w:tc>
        <w:tc>
          <w:tcPr>
            <w:tcW w:w="1074" w:type="dxa"/>
            <w:tcBorders>
              <w:top w:val="nil"/>
              <w:left w:val="nil"/>
              <w:bottom w:val="single" w:sz="4" w:space="0" w:color="auto"/>
              <w:right w:val="single" w:sz="4" w:space="0" w:color="auto"/>
            </w:tcBorders>
            <w:shd w:val="clear" w:color="000000" w:fill="FDE9D9"/>
            <w:noWrap/>
            <w:vAlign w:val="bottom"/>
            <w:hideMark/>
          </w:tcPr>
          <w:p w:rsidR="001D37D5" w:rsidRPr="005764F6" w:rsidRDefault="001D37D5" w:rsidP="00247000">
            <w:pPr>
              <w:keepNext/>
            </w:pPr>
            <w:r w:rsidRPr="005764F6">
              <w:t>15%</w:t>
            </w:r>
          </w:p>
        </w:tc>
        <w:tc>
          <w:tcPr>
            <w:tcW w:w="2063" w:type="dxa"/>
            <w:tcBorders>
              <w:top w:val="nil"/>
              <w:left w:val="nil"/>
              <w:bottom w:val="single" w:sz="4" w:space="0" w:color="auto"/>
              <w:right w:val="single" w:sz="4" w:space="0" w:color="auto"/>
            </w:tcBorders>
            <w:shd w:val="clear" w:color="auto" w:fill="auto"/>
            <w:noWrap/>
            <w:vAlign w:val="bottom"/>
            <w:hideMark/>
          </w:tcPr>
          <w:p w:rsidR="001D37D5" w:rsidRPr="00F1222E" w:rsidRDefault="001D37D5" w:rsidP="00247000">
            <w:pPr>
              <w:pStyle w:val="ListContinue2"/>
              <w:keepNext/>
            </w:pPr>
            <w:r w:rsidRPr="00F1222E">
              <w:t>0.9189</w:t>
            </w:r>
          </w:p>
        </w:tc>
        <w:tc>
          <w:tcPr>
            <w:tcW w:w="897" w:type="dxa"/>
            <w:tcBorders>
              <w:top w:val="nil"/>
              <w:left w:val="nil"/>
              <w:bottom w:val="single" w:sz="4" w:space="0" w:color="auto"/>
              <w:right w:val="single" w:sz="4" w:space="0" w:color="auto"/>
            </w:tcBorders>
            <w:shd w:val="clear" w:color="auto" w:fill="auto"/>
            <w:noWrap/>
            <w:vAlign w:val="bottom"/>
            <w:hideMark/>
          </w:tcPr>
          <w:p w:rsidR="001D37D5" w:rsidRPr="00F1222E" w:rsidRDefault="001D37D5" w:rsidP="00247000">
            <w:pPr>
              <w:pStyle w:val="ListContinue2"/>
              <w:keepNext/>
            </w:pPr>
            <w:r w:rsidRPr="00F1222E">
              <w:t>1</w:t>
            </w:r>
          </w:p>
        </w:tc>
      </w:tr>
      <w:tr w:rsidR="001D37D5" w:rsidRPr="00CF5360" w:rsidTr="005E1FC3">
        <w:trPr>
          <w:trHeight w:val="300"/>
        </w:trPr>
        <w:tc>
          <w:tcPr>
            <w:tcW w:w="486" w:type="dxa"/>
            <w:vMerge/>
            <w:tcBorders>
              <w:top w:val="nil"/>
              <w:left w:val="single" w:sz="4" w:space="0" w:color="auto"/>
              <w:bottom w:val="single" w:sz="4" w:space="0" w:color="auto"/>
              <w:right w:val="single" w:sz="4" w:space="0" w:color="auto"/>
            </w:tcBorders>
            <w:vAlign w:val="center"/>
            <w:hideMark/>
          </w:tcPr>
          <w:p w:rsidR="001D37D5" w:rsidRPr="00AC2168" w:rsidRDefault="001D37D5" w:rsidP="00247000">
            <w:pPr>
              <w:keepNext/>
            </w:pPr>
          </w:p>
        </w:tc>
        <w:tc>
          <w:tcPr>
            <w:tcW w:w="1074" w:type="dxa"/>
            <w:tcBorders>
              <w:top w:val="nil"/>
              <w:left w:val="nil"/>
              <w:bottom w:val="single" w:sz="4" w:space="0" w:color="auto"/>
              <w:right w:val="single" w:sz="4" w:space="0" w:color="auto"/>
            </w:tcBorders>
            <w:shd w:val="clear" w:color="000000" w:fill="FDE9D9"/>
            <w:noWrap/>
            <w:vAlign w:val="bottom"/>
            <w:hideMark/>
          </w:tcPr>
          <w:p w:rsidR="001D37D5" w:rsidRPr="005764F6" w:rsidRDefault="001D37D5" w:rsidP="00247000">
            <w:pPr>
              <w:keepNext/>
            </w:pPr>
            <w:r w:rsidRPr="005764F6">
              <w:t>21%</w:t>
            </w:r>
          </w:p>
        </w:tc>
        <w:tc>
          <w:tcPr>
            <w:tcW w:w="2063" w:type="dxa"/>
            <w:tcBorders>
              <w:top w:val="nil"/>
              <w:left w:val="nil"/>
              <w:bottom w:val="single" w:sz="4" w:space="0" w:color="auto"/>
              <w:right w:val="single" w:sz="4" w:space="0" w:color="auto"/>
            </w:tcBorders>
            <w:shd w:val="clear" w:color="auto" w:fill="auto"/>
            <w:noWrap/>
            <w:vAlign w:val="bottom"/>
            <w:hideMark/>
          </w:tcPr>
          <w:p w:rsidR="001D37D5" w:rsidRPr="00F1222E" w:rsidRDefault="001D37D5" w:rsidP="00247000">
            <w:pPr>
              <w:pStyle w:val="ListContinue2"/>
              <w:keepNext/>
            </w:pPr>
            <w:r w:rsidRPr="00F1222E">
              <w:t>0.8827</w:t>
            </w:r>
          </w:p>
        </w:tc>
        <w:tc>
          <w:tcPr>
            <w:tcW w:w="897" w:type="dxa"/>
            <w:tcBorders>
              <w:top w:val="nil"/>
              <w:left w:val="nil"/>
              <w:bottom w:val="single" w:sz="4" w:space="0" w:color="auto"/>
              <w:right w:val="single" w:sz="4" w:space="0" w:color="auto"/>
            </w:tcBorders>
            <w:shd w:val="clear" w:color="auto" w:fill="auto"/>
            <w:noWrap/>
            <w:vAlign w:val="bottom"/>
            <w:hideMark/>
          </w:tcPr>
          <w:p w:rsidR="001D37D5" w:rsidRPr="00F1222E" w:rsidRDefault="001D37D5" w:rsidP="00247000">
            <w:pPr>
              <w:pStyle w:val="ListContinue2"/>
              <w:keepNext/>
            </w:pPr>
            <w:r w:rsidRPr="00F1222E">
              <w:t>1</w:t>
            </w:r>
          </w:p>
        </w:tc>
      </w:tr>
      <w:tr w:rsidR="001D37D5" w:rsidRPr="00CF5360" w:rsidTr="005E1FC3">
        <w:trPr>
          <w:trHeight w:val="300"/>
        </w:trPr>
        <w:tc>
          <w:tcPr>
            <w:tcW w:w="486" w:type="dxa"/>
            <w:vMerge/>
            <w:tcBorders>
              <w:top w:val="nil"/>
              <w:left w:val="single" w:sz="4" w:space="0" w:color="auto"/>
              <w:bottom w:val="single" w:sz="4" w:space="0" w:color="auto"/>
              <w:right w:val="single" w:sz="4" w:space="0" w:color="auto"/>
            </w:tcBorders>
            <w:vAlign w:val="center"/>
            <w:hideMark/>
          </w:tcPr>
          <w:p w:rsidR="001D37D5" w:rsidRPr="00AC2168" w:rsidRDefault="001D37D5" w:rsidP="00247000">
            <w:pPr>
              <w:keepNext/>
            </w:pPr>
          </w:p>
        </w:tc>
        <w:tc>
          <w:tcPr>
            <w:tcW w:w="1074" w:type="dxa"/>
            <w:tcBorders>
              <w:top w:val="nil"/>
              <w:left w:val="nil"/>
              <w:bottom w:val="single" w:sz="4" w:space="0" w:color="auto"/>
              <w:right w:val="single" w:sz="4" w:space="0" w:color="auto"/>
            </w:tcBorders>
            <w:shd w:val="clear" w:color="000000" w:fill="FDE9D9"/>
            <w:noWrap/>
            <w:vAlign w:val="bottom"/>
            <w:hideMark/>
          </w:tcPr>
          <w:p w:rsidR="001D37D5" w:rsidRPr="005764F6" w:rsidRDefault="001D37D5" w:rsidP="00247000">
            <w:pPr>
              <w:keepNext/>
            </w:pPr>
            <w:r w:rsidRPr="005764F6">
              <w:t>34.50%</w:t>
            </w:r>
          </w:p>
        </w:tc>
        <w:tc>
          <w:tcPr>
            <w:tcW w:w="2063" w:type="dxa"/>
            <w:tcBorders>
              <w:top w:val="nil"/>
              <w:left w:val="nil"/>
              <w:bottom w:val="single" w:sz="4" w:space="0" w:color="auto"/>
              <w:right w:val="single" w:sz="4" w:space="0" w:color="auto"/>
            </w:tcBorders>
            <w:shd w:val="clear" w:color="auto" w:fill="auto"/>
            <w:noWrap/>
            <w:vAlign w:val="bottom"/>
            <w:hideMark/>
          </w:tcPr>
          <w:p w:rsidR="001D37D5" w:rsidRPr="00F1222E" w:rsidRDefault="001D37D5" w:rsidP="00247000">
            <w:pPr>
              <w:pStyle w:val="ListContinue2"/>
              <w:keepNext/>
            </w:pPr>
            <w:r w:rsidRPr="00F1222E">
              <w:t>0.7915</w:t>
            </w:r>
          </w:p>
        </w:tc>
        <w:tc>
          <w:tcPr>
            <w:tcW w:w="897" w:type="dxa"/>
            <w:tcBorders>
              <w:top w:val="nil"/>
              <w:left w:val="nil"/>
              <w:bottom w:val="single" w:sz="4" w:space="0" w:color="auto"/>
              <w:right w:val="single" w:sz="4" w:space="0" w:color="auto"/>
            </w:tcBorders>
            <w:shd w:val="clear" w:color="auto" w:fill="auto"/>
            <w:noWrap/>
            <w:vAlign w:val="bottom"/>
            <w:hideMark/>
          </w:tcPr>
          <w:p w:rsidR="001D37D5" w:rsidRPr="00F1222E" w:rsidRDefault="001D37D5" w:rsidP="00247000">
            <w:pPr>
              <w:pStyle w:val="ListContinue2"/>
              <w:keepNext/>
            </w:pPr>
            <w:r w:rsidRPr="00F1222E">
              <w:t>1</w:t>
            </w:r>
          </w:p>
        </w:tc>
      </w:tr>
      <w:tr w:rsidR="001D37D5" w:rsidRPr="00CF5360" w:rsidTr="005E1FC3">
        <w:trPr>
          <w:trHeight w:val="300"/>
        </w:trPr>
        <w:tc>
          <w:tcPr>
            <w:tcW w:w="486" w:type="dxa"/>
            <w:vMerge/>
            <w:tcBorders>
              <w:top w:val="nil"/>
              <w:left w:val="single" w:sz="4" w:space="0" w:color="auto"/>
              <w:bottom w:val="single" w:sz="4" w:space="0" w:color="auto"/>
              <w:right w:val="single" w:sz="4" w:space="0" w:color="auto"/>
            </w:tcBorders>
            <w:vAlign w:val="center"/>
            <w:hideMark/>
          </w:tcPr>
          <w:p w:rsidR="001D37D5" w:rsidRPr="00AC2168" w:rsidRDefault="001D37D5" w:rsidP="00247000">
            <w:pPr>
              <w:keepNext/>
            </w:pPr>
          </w:p>
        </w:tc>
        <w:tc>
          <w:tcPr>
            <w:tcW w:w="1074" w:type="dxa"/>
            <w:tcBorders>
              <w:top w:val="nil"/>
              <w:left w:val="nil"/>
              <w:bottom w:val="single" w:sz="4" w:space="0" w:color="auto"/>
              <w:right w:val="single" w:sz="4" w:space="0" w:color="auto"/>
            </w:tcBorders>
            <w:shd w:val="clear" w:color="000000" w:fill="FDE9D9"/>
            <w:noWrap/>
            <w:vAlign w:val="bottom"/>
            <w:hideMark/>
          </w:tcPr>
          <w:p w:rsidR="001D37D5" w:rsidRPr="005764F6" w:rsidRDefault="001D37D5" w:rsidP="00247000">
            <w:pPr>
              <w:keepNext/>
            </w:pPr>
            <w:r w:rsidRPr="005764F6">
              <w:t>39%</w:t>
            </w:r>
          </w:p>
        </w:tc>
        <w:tc>
          <w:tcPr>
            <w:tcW w:w="2063" w:type="dxa"/>
            <w:tcBorders>
              <w:top w:val="nil"/>
              <w:left w:val="nil"/>
              <w:bottom w:val="single" w:sz="4" w:space="0" w:color="auto"/>
              <w:right w:val="single" w:sz="4" w:space="0" w:color="auto"/>
            </w:tcBorders>
            <w:shd w:val="clear" w:color="auto" w:fill="auto"/>
            <w:noWrap/>
            <w:vAlign w:val="bottom"/>
            <w:hideMark/>
          </w:tcPr>
          <w:p w:rsidR="001D37D5" w:rsidRPr="00F1222E" w:rsidRDefault="001D37D5" w:rsidP="00247000">
            <w:pPr>
              <w:pStyle w:val="ListContinue2"/>
              <w:keepNext/>
            </w:pPr>
            <w:r w:rsidRPr="00F1222E">
              <w:t>0.7578</w:t>
            </w:r>
          </w:p>
        </w:tc>
        <w:tc>
          <w:tcPr>
            <w:tcW w:w="897" w:type="dxa"/>
            <w:tcBorders>
              <w:top w:val="nil"/>
              <w:left w:val="nil"/>
              <w:bottom w:val="single" w:sz="4" w:space="0" w:color="auto"/>
              <w:right w:val="single" w:sz="4" w:space="0" w:color="auto"/>
            </w:tcBorders>
            <w:shd w:val="clear" w:color="auto" w:fill="auto"/>
            <w:noWrap/>
            <w:vAlign w:val="bottom"/>
            <w:hideMark/>
          </w:tcPr>
          <w:p w:rsidR="001D37D5" w:rsidRPr="00F1222E" w:rsidRDefault="001D37D5" w:rsidP="00247000">
            <w:pPr>
              <w:pStyle w:val="ListContinue2"/>
              <w:keepNext/>
            </w:pPr>
            <w:r w:rsidRPr="00F1222E">
              <w:t>1</w:t>
            </w:r>
          </w:p>
        </w:tc>
      </w:tr>
      <w:tr w:rsidR="001D37D5" w:rsidRPr="00CF5360" w:rsidTr="005E1FC3">
        <w:trPr>
          <w:trHeight w:val="300"/>
        </w:trPr>
        <w:tc>
          <w:tcPr>
            <w:tcW w:w="486" w:type="dxa"/>
            <w:vMerge/>
            <w:tcBorders>
              <w:top w:val="nil"/>
              <w:left w:val="single" w:sz="4" w:space="0" w:color="auto"/>
              <w:bottom w:val="single" w:sz="4" w:space="0" w:color="auto"/>
              <w:right w:val="single" w:sz="4" w:space="0" w:color="auto"/>
            </w:tcBorders>
            <w:vAlign w:val="center"/>
            <w:hideMark/>
          </w:tcPr>
          <w:p w:rsidR="001D37D5" w:rsidRPr="00AC2168" w:rsidRDefault="001D37D5" w:rsidP="00247000">
            <w:pPr>
              <w:keepNext/>
            </w:pPr>
          </w:p>
        </w:tc>
        <w:tc>
          <w:tcPr>
            <w:tcW w:w="1074" w:type="dxa"/>
            <w:tcBorders>
              <w:top w:val="nil"/>
              <w:left w:val="nil"/>
              <w:bottom w:val="single" w:sz="4" w:space="0" w:color="auto"/>
              <w:right w:val="single" w:sz="4" w:space="0" w:color="auto"/>
            </w:tcBorders>
            <w:shd w:val="clear" w:color="000000" w:fill="FDE9D9"/>
            <w:noWrap/>
            <w:vAlign w:val="bottom"/>
            <w:hideMark/>
          </w:tcPr>
          <w:p w:rsidR="001D37D5" w:rsidRPr="005764F6" w:rsidRDefault="001D37D5" w:rsidP="00247000">
            <w:pPr>
              <w:keepNext/>
            </w:pPr>
            <w:r w:rsidRPr="005764F6">
              <w:t>47%</w:t>
            </w:r>
          </w:p>
        </w:tc>
        <w:tc>
          <w:tcPr>
            <w:tcW w:w="2063" w:type="dxa"/>
            <w:tcBorders>
              <w:top w:val="nil"/>
              <w:left w:val="nil"/>
              <w:bottom w:val="single" w:sz="4" w:space="0" w:color="auto"/>
              <w:right w:val="single" w:sz="4" w:space="0" w:color="auto"/>
            </w:tcBorders>
            <w:shd w:val="clear" w:color="auto" w:fill="auto"/>
            <w:noWrap/>
            <w:vAlign w:val="bottom"/>
            <w:hideMark/>
          </w:tcPr>
          <w:p w:rsidR="001D37D5" w:rsidRPr="00F1222E" w:rsidRDefault="001D37D5" w:rsidP="00247000">
            <w:pPr>
              <w:pStyle w:val="ListContinue2"/>
              <w:keepNext/>
            </w:pPr>
            <w:r w:rsidRPr="00F1222E">
              <w:t>0.6928</w:t>
            </w:r>
          </w:p>
        </w:tc>
        <w:tc>
          <w:tcPr>
            <w:tcW w:w="897" w:type="dxa"/>
            <w:tcBorders>
              <w:top w:val="nil"/>
              <w:left w:val="nil"/>
              <w:bottom w:val="single" w:sz="4" w:space="0" w:color="auto"/>
              <w:right w:val="single" w:sz="4" w:space="0" w:color="auto"/>
            </w:tcBorders>
            <w:shd w:val="clear" w:color="auto" w:fill="auto"/>
            <w:noWrap/>
            <w:vAlign w:val="bottom"/>
            <w:hideMark/>
          </w:tcPr>
          <w:p w:rsidR="001D37D5" w:rsidRPr="00F1222E" w:rsidRDefault="001D37D5" w:rsidP="00247000">
            <w:pPr>
              <w:pStyle w:val="ListContinue2"/>
              <w:keepNext/>
            </w:pPr>
            <w:r w:rsidRPr="00F1222E">
              <w:t>1</w:t>
            </w:r>
          </w:p>
        </w:tc>
      </w:tr>
    </w:tbl>
    <w:p w:rsidR="001D37D5" w:rsidRPr="00883125" w:rsidRDefault="001D37D5" w:rsidP="001D37D5">
      <w:r w:rsidRPr="00883125">
        <w:t xml:space="preserve">The example shows why estimates of the value of dividends (and imputation credits) </w:t>
      </w:r>
      <w:r>
        <w:t>from</w:t>
      </w:r>
      <w:r w:rsidRPr="00883125">
        <w:t xml:space="preserve"> market based studies </w:t>
      </w:r>
      <w:r>
        <w:t>are</w:t>
      </w:r>
      <w:r w:rsidRPr="00883125">
        <w:t xml:space="preserve"> influenced by personal tax factors and this is not appropriate in our regulatory context. Adjustment for the impact of differential personal taxation of income and capital gains must be made to the estimates from dividend drop off studies to ensure the</w:t>
      </w:r>
      <w:r>
        <w:t>ir</w:t>
      </w:r>
      <w:r w:rsidRPr="00883125">
        <w:t xml:space="preserve"> consisten</w:t>
      </w:r>
      <w:r>
        <w:t>cy</w:t>
      </w:r>
      <w:r w:rsidRPr="00883125">
        <w:t xml:space="preserve"> with our post tax framework.</w:t>
      </w:r>
    </w:p>
    <w:p w:rsidR="001D37D5" w:rsidRPr="00883125" w:rsidRDefault="001D37D5" w:rsidP="001D37D5">
      <w:r w:rsidRPr="00883125">
        <w:t>As is evident above, different investors have a different dividend drop off ratio and this is determined by many factors such as:</w:t>
      </w:r>
    </w:p>
    <w:p w:rsidR="001D37D5" w:rsidRPr="00B27BE5" w:rsidRDefault="001D37D5" w:rsidP="001D37D5">
      <w:pPr>
        <w:pStyle w:val="AERbulletlistthirdstyle"/>
      </w:pPr>
      <w:r w:rsidRPr="00883125">
        <w:t xml:space="preserve">Investor </w:t>
      </w:r>
      <w:r w:rsidRPr="00B27BE5">
        <w:t>marginal income tax rate</w:t>
      </w:r>
    </w:p>
    <w:p w:rsidR="001D37D5" w:rsidRDefault="001D37D5" w:rsidP="001D37D5">
      <w:pPr>
        <w:pStyle w:val="AERbulletlistthirdstyle"/>
      </w:pPr>
      <w:r w:rsidRPr="00883125">
        <w:t>Whether the investor held the share for more than 12 months</w:t>
      </w:r>
    </w:p>
    <w:p w:rsidR="001D37D5" w:rsidRPr="00B27BE5" w:rsidRDefault="001D37D5" w:rsidP="001D37D5">
      <w:pPr>
        <w:pStyle w:val="AERbulletlistthirdstyle"/>
      </w:pPr>
      <w:r>
        <w:t>Whether the investor is super fund or not</w:t>
      </w:r>
    </w:p>
    <w:p w:rsidR="001D37D5" w:rsidRPr="00B27BE5" w:rsidRDefault="001D37D5" w:rsidP="001D37D5">
      <w:pPr>
        <w:pStyle w:val="AERbulletlistthirdstyle"/>
      </w:pPr>
      <w:r w:rsidRPr="00883125">
        <w:t xml:space="preserve">Whether the investor is foreign and how foreign income is taxed </w:t>
      </w:r>
      <w:r w:rsidRPr="00B27BE5">
        <w:t>at their home country</w:t>
      </w:r>
    </w:p>
    <w:p w:rsidR="001D37D5" w:rsidRPr="00883125" w:rsidRDefault="001D37D5" w:rsidP="001D37D5">
      <w:pPr>
        <w:rPr>
          <w:rStyle w:val="AERbody"/>
        </w:rPr>
      </w:pPr>
      <w:r w:rsidRPr="00883125">
        <w:rPr>
          <w:rStyle w:val="AERbody"/>
        </w:rPr>
        <w:t>What determines the dividend drop off price in the market is based on who the marginal investors are around the ex-dividend dates. For instance, if only local investors with a marginal tax rate of 39% are trading around the ex-dividend date then the dividend drop off should be 0.7578 cents per dollar of face value of dividends. If there is a mixture of investors trading around the ex-dividend date then the drop off price will be determined by supply and demand on those days.</w:t>
      </w:r>
      <w:r>
        <w:rPr>
          <w:rStyle w:val="AERbody"/>
        </w:rPr>
        <w:t xml:space="preserve"> In real capital markets with multiple types of investors facing differential tax rates and where those investors may or may not be able to utilise franking credits, the resulting equilibrium is much more complex.</w:t>
      </w:r>
      <w:r>
        <w:rPr>
          <w:rStyle w:val="FootnoteReference"/>
        </w:rPr>
        <w:footnoteReference w:id="612"/>
      </w:r>
    </w:p>
    <w:p w:rsidR="001D37D5" w:rsidRPr="00883125" w:rsidRDefault="001D37D5" w:rsidP="001D37D5">
      <w:r w:rsidRPr="00883125">
        <w:lastRenderedPageBreak/>
        <w:t xml:space="preserve">In the analysis above we focused on the impact on cash (unfranked) dividends and ignored the effect of imputation credits. This was a simplifying assumption which should not distract from the fact that imputation credits are similarly impacted in market based studies by differential personal tax. </w:t>
      </w:r>
      <w:r>
        <w:t>The simple analysis can be extended to cover franked dividends.</w:t>
      </w:r>
      <w:r>
        <w:rPr>
          <w:rStyle w:val="FootnoteReference"/>
        </w:rPr>
        <w:footnoteReference w:id="613"/>
      </w:r>
      <w:r w:rsidRPr="00883125">
        <w:t xml:space="preserve"> Overall personal tax is levied on the grossed up dividend which is the </w:t>
      </w:r>
      <w:r>
        <w:t xml:space="preserve">face value of the cash </w:t>
      </w:r>
      <w:r w:rsidRPr="00883125">
        <w:t>dividend plus the face value of the attached imputation credit</w:t>
      </w:r>
      <w:r>
        <w:t xml:space="preserve"> that can be utilised</w:t>
      </w:r>
      <w:r w:rsidRPr="00883125">
        <w:t xml:space="preserve">, both of which are taxed as ordinary income. </w:t>
      </w:r>
    </w:p>
    <w:p w:rsidR="001D37D5" w:rsidRPr="00B27BE5" w:rsidRDefault="001D37D5" w:rsidP="001D37D5">
      <w:pPr>
        <w:rPr>
          <w:rStyle w:val="AERbody"/>
        </w:rPr>
      </w:pPr>
      <w:r>
        <w:rPr>
          <w:rStyle w:val="AERbody"/>
        </w:rPr>
        <w:t>Furthermore</w:t>
      </w:r>
      <w:r w:rsidRPr="00883125">
        <w:rPr>
          <w:rStyle w:val="AERbody"/>
        </w:rPr>
        <w:t xml:space="preserve">, the marginal investor's valuation is not relevant for the purposes of calculating the taxation building block. What is required is what proportion of the company tax is a prepayment of the investor's personal tax. For the taxation building block what matters is the value to all investors in aggregate and not the marginal investors that trade around the cum-dividend and ex-dividend dates. This would suggest that dividends drop off studies are not the best method for determining the gamma adjustment to the taxation building block. </w:t>
      </w:r>
    </w:p>
    <w:p w:rsidR="001D37D5" w:rsidRPr="00883125" w:rsidRDefault="001D37D5" w:rsidP="001D37D5">
      <w:r w:rsidRPr="00883125">
        <w:t xml:space="preserve">In the recent Tribunal decision, the Tribunal considered </w:t>
      </w:r>
      <w:r>
        <w:t>we were</w:t>
      </w:r>
      <w:r w:rsidRPr="00883125">
        <w:t xml:space="preserve"> being inconsistent with </w:t>
      </w:r>
      <w:r>
        <w:t>our</w:t>
      </w:r>
      <w:r w:rsidRPr="00883125">
        <w:t xml:space="preserve"> approach as other allowed rate of return parameters were determined by market prices which are influenced by personal taxes. </w:t>
      </w:r>
      <w:r>
        <w:t>We</w:t>
      </w:r>
      <w:r w:rsidRPr="00883125">
        <w:t xml:space="preserve"> do not agree. Other allowed rate of return parameters in the cost of equity and cost of debt are not influence by personal tax factors in a manner that results in estimates not being a genuine expected post tax returns. </w:t>
      </w:r>
    </w:p>
    <w:p w:rsidR="001D37D5" w:rsidRPr="00883125" w:rsidRDefault="001D37D5" w:rsidP="001D37D5">
      <w:r w:rsidRPr="00883125">
        <w:t xml:space="preserve">For instance, </w:t>
      </w:r>
      <w:r>
        <w:t xml:space="preserve">the returns derived from </w:t>
      </w:r>
      <w:r w:rsidRPr="00883125">
        <w:t>equity price</w:t>
      </w:r>
      <w:r>
        <w:t>s</w:t>
      </w:r>
      <w:r w:rsidRPr="00883125">
        <w:t xml:space="preserve"> is a post company tax (pre-personal tax) </w:t>
      </w:r>
      <w:r>
        <w:t>return</w:t>
      </w:r>
      <w:r w:rsidRPr="00883125">
        <w:t xml:space="preserve"> that is subject to capital gains tax when it is sold by an investor. This contrast to the cash dividends and imputation credits estimate</w:t>
      </w:r>
      <w:r>
        <w:t>s</w:t>
      </w:r>
      <w:r w:rsidRPr="00883125">
        <w:t xml:space="preserve"> from market based dividend drop off studies which are neither pre nor post-personal tax estimates of the value to investors. </w:t>
      </w:r>
    </w:p>
    <w:p w:rsidR="001D37D5" w:rsidRPr="00883125" w:rsidRDefault="001D37D5" w:rsidP="001D37D5">
      <w:r w:rsidRPr="00883125">
        <w:t>When calculating the MRP using historical data we use the face value of capital gains and dividends and not market value implied by dividend drop off studies. Likewise when calculating the MRP in the dividend growth model we discount the dividends at face value and not the value implied in the dividend drop off studies.</w:t>
      </w:r>
    </w:p>
    <w:p w:rsidR="001D37D5" w:rsidRPr="00883125" w:rsidRDefault="001D37D5" w:rsidP="001D37D5">
      <w:r w:rsidRPr="00883125">
        <w:t xml:space="preserve">Similarly, </w:t>
      </w:r>
      <w:r>
        <w:t>t</w:t>
      </w:r>
      <w:r w:rsidRPr="00883125">
        <w:t xml:space="preserve">he bond </w:t>
      </w:r>
      <w:r>
        <w:t xml:space="preserve">returns derived from bond market </w:t>
      </w:r>
      <w:r w:rsidRPr="00883125">
        <w:t xml:space="preserve">price </w:t>
      </w:r>
      <w:r>
        <w:t>are</w:t>
      </w:r>
      <w:r w:rsidRPr="00883125">
        <w:t xml:space="preserve"> a post company tax (pre-personal tax) </w:t>
      </w:r>
      <w:r>
        <w:t>returns</w:t>
      </w:r>
      <w:r w:rsidRPr="00883125">
        <w:t xml:space="preserve">. When </w:t>
      </w:r>
      <w:r>
        <w:t>we</w:t>
      </w:r>
      <w:r w:rsidRPr="00883125">
        <w:t xml:space="preserve"> or a third party service provider calculates the yield to maturity on bonds and government securities, the face value of coupons and the face value of the principal are used in the calculations. </w:t>
      </w:r>
    </w:p>
    <w:p w:rsidR="001D37D5" w:rsidRPr="00883125" w:rsidRDefault="001D37D5" w:rsidP="001D37D5">
      <w:r w:rsidRPr="00883125">
        <w:t xml:space="preserve">The above examples demonstrate why </w:t>
      </w:r>
      <w:r>
        <w:t>we</w:t>
      </w:r>
      <w:r w:rsidRPr="00883125">
        <w:t xml:space="preserve"> consider its approach to estimating gamma is consistent with how it estimates the rate of return parameters when estimating in the allowed rate of return for the benchmark efficient entity. This is further discussed in section </w:t>
      </w:r>
      <w:r w:rsidRPr="00883125">
        <w:fldChar w:fldCharType="begin"/>
      </w:r>
      <w:r w:rsidRPr="00883125">
        <w:instrText xml:space="preserve"> REF _Ref450300692 \r \h </w:instrText>
      </w:r>
      <w:r w:rsidRPr="00883125">
        <w:fldChar w:fldCharType="separate"/>
      </w:r>
      <w:r w:rsidR="00A02D8C">
        <w:t>A.8.2</w:t>
      </w:r>
      <w:r w:rsidRPr="00883125">
        <w:fldChar w:fldCharType="end"/>
      </w:r>
      <w:r w:rsidRPr="00883125">
        <w:t>.</w:t>
      </w:r>
    </w:p>
    <w:p w:rsidR="001D37D5" w:rsidRPr="00883125" w:rsidRDefault="001D37D5" w:rsidP="001D37D5">
      <w:r w:rsidRPr="00883125">
        <w:lastRenderedPageBreak/>
        <w:t xml:space="preserve">The above example shows that if market based dividend drop off studies are to be used to estimate </w:t>
      </w:r>
      <w:r>
        <w:t>the utilisation value</w:t>
      </w:r>
      <w:r w:rsidRPr="00883125">
        <w:t>, adjustments have to be made for the impact of personal tax and personal cost factors. However, for reasons outlined above this is not ideal. For estimating the taxation building block we want to know what proportion of corporate tax is a pre-payment of personal tax</w:t>
      </w:r>
      <w:r>
        <w:t xml:space="preserve"> (as this is the direct value investors will get from the reduction in their tax bill payable to the government, or via a rebate from the government)</w:t>
      </w:r>
      <w:r w:rsidRPr="00883125">
        <w:t xml:space="preserve">. We consider this is currently best estimated using the equity ownership approach. </w:t>
      </w:r>
    </w:p>
    <w:p w:rsidR="001D37D5" w:rsidRPr="00883125" w:rsidRDefault="001D37D5" w:rsidP="001D37D5">
      <w:r w:rsidRPr="00883125">
        <w:t>The analysis above ignored the impact of personal transaction costs but they similarly impact the share price drop ratio as differential personal taxes. As outlined above, local shareholders that have held shares for more than 12 months prefer a dollar of capital gains over a dollar of unfranked dividends on a pre-personal tax basis. This is due to capital gains being more valuable as they are taxed at a concessional tax rate relative to unfranked dividends. Similarly, investors value the cash flow that has lower personal transaction costs more than the cash flow that has higher personal transaction costs. For example, investor on personal cost basis might value dividends more than capital gains. This is due to investor having to pay brokerage fees in order to realise a capital gains while dividends are distributed without brokerage costs. However, personal transaction costs are not relevant in our regulatory context as they are not costs impost on the regulated business (i.e. they are irrelevant to the post tax return under the Officer WACC framework).</w:t>
      </w:r>
    </w:p>
    <w:p w:rsidR="001D37D5" w:rsidRPr="00883125" w:rsidRDefault="001D37D5" w:rsidP="001D37D5">
      <w:r w:rsidRPr="00883125">
        <w:t>The analysis above is based around dividend drop off studies but is equally applicable to alternative market value studies.</w:t>
      </w:r>
    </w:p>
    <w:p w:rsidR="001D37D5" w:rsidRPr="00883125" w:rsidRDefault="001D37D5" w:rsidP="001D37D5">
      <w:pPr>
        <w:pStyle w:val="Heading9"/>
      </w:pPr>
      <w:bookmarkStart w:id="279" w:name="_Ref415065117"/>
      <w:r w:rsidRPr="00883125">
        <w:t>Adjustment of estimates from implied market value studies</w:t>
      </w:r>
      <w:bookmarkEnd w:id="279"/>
    </w:p>
    <w:p w:rsidR="001D37D5" w:rsidRDefault="001D37D5" w:rsidP="001D37D5">
      <w:r w:rsidRPr="00883125">
        <w:t>Although not proposing this approach, a number of service providers submitted that estimates of the utilisation rate from implied market value studies can be adjusted to make them consistent with the before-personal-tax and before-personal-costs value of imputation credits.</w:t>
      </w:r>
      <w:r w:rsidRPr="00883125">
        <w:rPr>
          <w:rStyle w:val="FootnoteReference"/>
        </w:rPr>
        <w:footnoteReference w:id="614"/>
      </w:r>
      <w:r w:rsidRPr="00883125">
        <w:t xml:space="preserve"> </w:t>
      </w:r>
      <w:r>
        <w:t>However, the service providers do not propose this adjustment as they consider it to be unnecessary.</w:t>
      </w:r>
      <w:r w:rsidRPr="00311237">
        <w:rPr>
          <w:rStyle w:val="FootnoteReference"/>
        </w:rPr>
        <w:t xml:space="preserve"> </w:t>
      </w:r>
      <w:r w:rsidRPr="00883125">
        <w:rPr>
          <w:rStyle w:val="FootnoteReference"/>
        </w:rPr>
        <w:footnoteReference w:id="615"/>
      </w:r>
    </w:p>
    <w:p w:rsidR="001D37D5" w:rsidRPr="00883125" w:rsidRDefault="001D37D5" w:rsidP="001D37D5">
      <w:r>
        <w:lastRenderedPageBreak/>
        <w:t>W</w:t>
      </w:r>
      <w:r w:rsidRPr="00883125">
        <w:t xml:space="preserve">e do not consider that the relevant adjustment—proposed by Handley and Lally and discussed in section </w:t>
      </w:r>
      <w:r>
        <w:fldChar w:fldCharType="begin"/>
      </w:r>
      <w:r>
        <w:instrText xml:space="preserve"> REF _Ref451353895 \r \h </w:instrText>
      </w:r>
      <w:r>
        <w:fldChar w:fldCharType="separate"/>
      </w:r>
      <w:r w:rsidR="00A02D8C">
        <w:t>4.4</w:t>
      </w:r>
      <w:r>
        <w:fldChar w:fldCharType="end"/>
      </w:r>
      <w:r w:rsidRPr="00883125">
        <w:t>—will fully account for the potential effect of personal taxes and costs. This is because the proposed adjustment seeks to remove from the estimates of investors’ valuation of dividends and imputation credits the effect of factors that suggest that investors’ valuation of $1 of dividends is less than $1. However, according to Gray (for SFG), there are:</w:t>
      </w:r>
      <w:r w:rsidRPr="00883125">
        <w:rPr>
          <w:rStyle w:val="FootnoteReference"/>
        </w:rPr>
        <w:footnoteReference w:id="616"/>
      </w:r>
    </w:p>
    <w:p w:rsidR="001D37D5" w:rsidRPr="00883125" w:rsidRDefault="001D37D5" w:rsidP="001D37D5">
      <w:pPr>
        <w:pStyle w:val="AERquote"/>
      </w:pPr>
      <w:r w:rsidRPr="00883125">
        <w:t>…costs that reasonable, efficient investors would incur in relation to imputation credits, which do not apply to dividends or capital gains.</w:t>
      </w:r>
    </w:p>
    <w:p w:rsidR="001D37D5" w:rsidRPr="00883125" w:rsidRDefault="001D37D5" w:rsidP="001D37D5">
      <w:r w:rsidRPr="00883125">
        <w:t>Thus, Gray's view (for SFG) appears to be that there are factors which affect investors' valuation of imputation credits (as reflected in share prices) which do not affect investors' valuation of dividends.</w:t>
      </w:r>
      <w:r w:rsidRPr="00883125">
        <w:rPr>
          <w:rStyle w:val="FootnoteReference"/>
        </w:rPr>
        <w:footnoteReference w:id="617"/>
      </w:r>
      <w:r w:rsidRPr="00883125">
        <w:t xml:space="preserve"> Therefore, it does not appear that the proposed adjustment—which only addresses factors which affect both dividends and imputation credits—would exclude the effect of the factors identified by SFG as affecting just imputation credits.</w:t>
      </w:r>
    </w:p>
    <w:p w:rsidR="001D37D5" w:rsidRDefault="001D37D5" w:rsidP="001D37D5">
      <w:r w:rsidRPr="00883125">
        <w:t xml:space="preserve">As outlined above in section </w:t>
      </w:r>
      <w:r w:rsidRPr="00883125">
        <w:fldChar w:fldCharType="begin"/>
      </w:r>
      <w:r w:rsidRPr="00883125">
        <w:instrText xml:space="preserve"> REF _Ref435171205 \r \h </w:instrText>
      </w:r>
      <w:r w:rsidRPr="00883125">
        <w:fldChar w:fldCharType="separate"/>
      </w:r>
      <w:r w:rsidR="00A02D8C">
        <w:t>A.15.3</w:t>
      </w:r>
      <w:r w:rsidRPr="00883125">
        <w:fldChar w:fldCharType="end"/>
      </w:r>
      <w:r w:rsidRPr="00883125">
        <w:t>, the adjustment for the impact of differential personal taxes is equivalent for dividends and imputation credits. Therefore, if market value studies are to be used to estimate the utilisation value then at a minimum the adjustment proposed by Lally and Handley should be used.</w:t>
      </w:r>
    </w:p>
    <w:p w:rsidR="001D37D5" w:rsidRDefault="001D37D5" w:rsidP="001D37D5">
      <w:r>
        <w:t xml:space="preserve">Lally considered that the coefficient on imputation credits in dividend drop off studies is not </w:t>
      </w:r>
      <m:oMath>
        <m:r>
          <w:rPr>
            <w:rFonts w:ascii="Cambria Math" w:hAnsi="Cambria Math"/>
          </w:rPr>
          <m:t>θ</m:t>
        </m:r>
      </m:oMath>
      <w:r>
        <w:t xml:space="preserve"> but </w:t>
      </w:r>
      <m:oMath>
        <m:r>
          <w:rPr>
            <w:rFonts w:ascii="Cambria Math" w:hAnsi="Cambria Math"/>
          </w:rPr>
          <m:t>δθ</m:t>
        </m:r>
      </m:oMath>
      <w:r>
        <w:t>. Therefore the estimated value of imputation credits in the dividend drop off study must be divided by the estimate value of the cash dividend.</w:t>
      </w:r>
      <w:r w:rsidRPr="002D2E1B">
        <w:rPr>
          <w:rStyle w:val="FootnoteReference"/>
        </w:rPr>
        <w:t xml:space="preserve"> </w:t>
      </w:r>
      <w:r>
        <w:rPr>
          <w:rStyle w:val="FootnoteReference"/>
        </w:rPr>
        <w:footnoteReference w:id="618"/>
      </w:r>
    </w:p>
    <w:p w:rsidR="001D37D5" w:rsidRPr="00883125" w:rsidRDefault="001D37D5" w:rsidP="001D37D5">
      <w:pPr>
        <w:pStyle w:val="Heading9"/>
      </w:pPr>
      <w:bookmarkStart w:id="280" w:name="_Ref414624721"/>
      <w:r w:rsidRPr="00883125">
        <w:t>Limitations of SFG's dividend drop off study</w:t>
      </w:r>
      <w:bookmarkEnd w:id="280"/>
    </w:p>
    <w:p w:rsidR="001D37D5" w:rsidRPr="00883125" w:rsidRDefault="001D37D5" w:rsidP="001D37D5">
      <w:r w:rsidRPr="00883125">
        <w:t>A number of service providers submitted that ‘several of the general limitations [of implied market value studies identified] do not apply to the SFG study’.</w:t>
      </w:r>
      <w:r w:rsidRPr="00883125">
        <w:rPr>
          <w:rStyle w:val="FootnoteReference"/>
        </w:rPr>
        <w:footnoteReference w:id="619"/>
      </w:r>
      <w:r w:rsidRPr="00883125">
        <w:t xml:space="preserve"> Namely, the service providers consider that the SFG dividend drop off study does not produce nonsensical results and is not subject to problematic estimation methodologies.</w:t>
      </w:r>
      <w:r w:rsidRPr="00883125">
        <w:rPr>
          <w:rStyle w:val="FootnoteReference"/>
        </w:rPr>
        <w:footnoteReference w:id="620"/>
      </w:r>
      <w:r w:rsidRPr="00883125">
        <w:t xml:space="preserve"> The </w:t>
      </w:r>
      <w:r w:rsidRPr="00883125">
        <w:lastRenderedPageBreak/>
        <w:t xml:space="preserve">service providers consider </w:t>
      </w:r>
      <w:r>
        <w:t>we</w:t>
      </w:r>
      <w:r w:rsidRPr="00883125">
        <w:t xml:space="preserve"> ha</w:t>
      </w:r>
      <w:r>
        <w:t>ve</w:t>
      </w:r>
      <w:r w:rsidRPr="00883125">
        <w:t xml:space="preserve"> not assessed the SFG study as a standalone basis, rather they consider </w:t>
      </w:r>
      <w:r>
        <w:t>we</w:t>
      </w:r>
      <w:r w:rsidRPr="00883125">
        <w:t xml:space="preserve"> assess it together with all drop off studies.</w:t>
      </w:r>
      <w:r w:rsidRPr="00883125">
        <w:rPr>
          <w:rStyle w:val="FootnoteReference"/>
        </w:rPr>
        <w:footnoteReference w:id="621"/>
      </w:r>
      <w:r w:rsidRPr="00883125">
        <w:t xml:space="preserve"> </w:t>
      </w:r>
      <w:r>
        <w:t>We</w:t>
      </w:r>
      <w:r w:rsidRPr="00883125">
        <w:t xml:space="preserve"> do not agree and below we set out the limitations that we consider apply generally to implied market value studies and consider whether these apply to SFG’s dividend drop off study on a standalone basis. We conclude that there is reasonable evidence to suggest that several of the limitations do apply to SFG's dividend drop off study. There appears to be no information in the proposals lodged in 201</w:t>
      </w:r>
      <w:r>
        <w:t>6</w:t>
      </w:r>
      <w:r w:rsidRPr="00883125">
        <w:t xml:space="preserve"> or in Gray's June 201</w:t>
      </w:r>
      <w:r>
        <w:t>6</w:t>
      </w:r>
      <w:r w:rsidRPr="00883125">
        <w:t xml:space="preserve"> report (for Frontier),</w:t>
      </w:r>
      <w:r w:rsidRPr="00883125">
        <w:rPr>
          <w:rStyle w:val="FootnoteReference"/>
        </w:rPr>
        <w:footnoteReference w:id="622"/>
      </w:r>
      <w:r w:rsidRPr="00883125">
        <w:t xml:space="preserve"> to warrant us changing our view on any of the material below set out in our decisions released in </w:t>
      </w:r>
      <w:r>
        <w:t>October</w:t>
      </w:r>
      <w:r w:rsidRPr="00883125">
        <w:t xml:space="preserve"> and </w:t>
      </w:r>
      <w:r>
        <w:t xml:space="preserve">November </w:t>
      </w:r>
      <w:r w:rsidRPr="00883125">
        <w:t xml:space="preserve"> 2015.</w:t>
      </w:r>
    </w:p>
    <w:p w:rsidR="001D37D5" w:rsidRPr="00883125" w:rsidRDefault="001D37D5" w:rsidP="001D37D5">
      <w:pPr>
        <w:pStyle w:val="HeadingBoldBlue"/>
      </w:pPr>
      <w:r w:rsidRPr="00883125">
        <w:t>These studies can produce nonsensical estimates of the utilisation rate; that is, greater than one or less than zero.</w:t>
      </w:r>
    </w:p>
    <w:p w:rsidR="001D37D5" w:rsidRPr="00883125" w:rsidRDefault="001D37D5" w:rsidP="001D37D5">
      <w:r w:rsidRPr="00883125">
        <w:t>We accept that this limitation does not apply to SFG’s study. Its estimate of the utilisation rate is 0.35.</w:t>
      </w:r>
    </w:p>
    <w:p w:rsidR="001D37D5" w:rsidRPr="00883125" w:rsidRDefault="001D37D5" w:rsidP="001D37D5">
      <w:pPr>
        <w:pStyle w:val="HeadingBoldBlue"/>
      </w:pPr>
      <w:r w:rsidRPr="00883125">
        <w:t>The results of these studies can reflect factors, such as differential personal taxes and risk, which are not relevant to the utilisation rate.</w:t>
      </w:r>
    </w:p>
    <w:p w:rsidR="001D37D5" w:rsidRPr="00883125" w:rsidRDefault="001D37D5" w:rsidP="001D37D5">
      <w:r w:rsidRPr="00883125">
        <w:t>Both Handley and Lally advised that the results from SFG’s dividend drop off study reflect these factors.</w:t>
      </w:r>
      <w:r w:rsidRPr="00883125">
        <w:rPr>
          <w:rStyle w:val="FootnoteReference"/>
        </w:rPr>
        <w:footnoteReference w:id="623"/>
      </w:r>
      <w:r w:rsidRPr="00883125">
        <w:t xml:space="preserve"> A number of service providers themselves also acknowledged this elsewhere in their revised proposals:</w:t>
      </w:r>
      <w:r w:rsidRPr="00883125">
        <w:rPr>
          <w:rStyle w:val="FootnoteReference"/>
        </w:rPr>
        <w:footnoteReference w:id="624"/>
      </w:r>
    </w:p>
    <w:p w:rsidR="001D37D5" w:rsidRPr="00883125" w:rsidRDefault="001D37D5" w:rsidP="001D37D5">
      <w:pPr>
        <w:pStyle w:val="AERquote"/>
      </w:pPr>
      <w:r w:rsidRPr="00883125">
        <w:t xml:space="preserve">…even if the AER’s definition of theta were to be adopted, there is a relatively simple adjustment that can be made to estimates from market value studies to address this concern. As explained by Associate Professor Handley, this </w:t>
      </w:r>
      <w:r w:rsidRPr="00883125">
        <w:lastRenderedPageBreak/>
        <w:t>involves ‘grossing up’ the theta estimate from a market value study to reflect the effect of personal taxes and personal costs.</w:t>
      </w:r>
    </w:p>
    <w:p w:rsidR="001D37D5" w:rsidRPr="00883125" w:rsidRDefault="001D37D5" w:rsidP="001D37D5">
      <w:r w:rsidRPr="00883125">
        <w:t>Therefore, we conclude that this limitation does apply to SFG’s study.</w:t>
      </w:r>
    </w:p>
    <w:p w:rsidR="001D37D5" w:rsidRPr="00883125" w:rsidRDefault="001D37D5" w:rsidP="001D37D5">
      <w:r w:rsidRPr="00883125">
        <w:t xml:space="preserve">In section </w:t>
      </w:r>
      <w:r w:rsidRPr="00883125">
        <w:rPr>
          <w:rStyle w:val="AERtexthighlight"/>
        </w:rPr>
        <w:fldChar w:fldCharType="begin"/>
      </w:r>
      <w:r w:rsidRPr="00883125">
        <w:instrText xml:space="preserve"> REF _Ref435171205 \r \h </w:instrText>
      </w:r>
      <w:r w:rsidRPr="00883125">
        <w:rPr>
          <w:rStyle w:val="AERtexthighlight"/>
        </w:rPr>
      </w:r>
      <w:r w:rsidRPr="00883125">
        <w:rPr>
          <w:rStyle w:val="AERtexthighlight"/>
        </w:rPr>
        <w:fldChar w:fldCharType="separate"/>
      </w:r>
      <w:r w:rsidR="00A02D8C">
        <w:t>A.15.3</w:t>
      </w:r>
      <w:r w:rsidRPr="00883125">
        <w:rPr>
          <w:rStyle w:val="AERtexthighlight"/>
        </w:rPr>
        <w:fldChar w:fldCharType="end"/>
      </w:r>
      <w:r w:rsidRPr="00883125">
        <w:t xml:space="preserve"> we have also provided a worked example of how personal taxes influence market value of dividend and imputation credits in market studies.</w:t>
      </w:r>
    </w:p>
    <w:p w:rsidR="001D37D5" w:rsidRPr="00883125" w:rsidRDefault="001D37D5" w:rsidP="001D37D5">
      <w:pPr>
        <w:pStyle w:val="HeadingBoldBlue"/>
      </w:pPr>
      <w:r w:rsidRPr="00883125">
        <w:t>The results of these studies might not be reflective of the value of imputation credits to investors in the market as a whole.</w:t>
      </w:r>
    </w:p>
    <w:p w:rsidR="001D37D5" w:rsidRPr="00883125" w:rsidRDefault="001D37D5" w:rsidP="001D37D5">
      <w:r w:rsidRPr="00883125">
        <w:t>Gray’s response to this point (for SFG) was:</w:t>
      </w:r>
      <w:r w:rsidRPr="00883125">
        <w:rPr>
          <w:rStyle w:val="FootnoteReference"/>
        </w:rPr>
        <w:footnoteReference w:id="625"/>
      </w:r>
    </w:p>
    <w:p w:rsidR="001D37D5" w:rsidRPr="00883125" w:rsidRDefault="001D37D5" w:rsidP="001D37D5">
      <w:pPr>
        <w:pStyle w:val="AERquote"/>
      </w:pPr>
      <w:r w:rsidRPr="00883125">
        <w:t>The AER has previously argued that the increased trading volume that occurs around ex-dividend dates could potentially affect the estimates. I have previously responded to this point in great detail, explaining why, if anything, this additional trading would have the effect of increasing the estimate of theta.</w:t>
      </w:r>
    </w:p>
    <w:p w:rsidR="001D37D5" w:rsidRPr="00883125" w:rsidRDefault="001D37D5" w:rsidP="001D37D5">
      <w:pPr>
        <w:pStyle w:val="AERquote"/>
      </w:pPr>
      <w:r w:rsidRPr="00883125">
        <w:t>I have previously addressed this issue at pp. 31-32 of SFG (2014 Gamma) and at ENA (2013), Section 7.9, pp.119-123.</w:t>
      </w:r>
    </w:p>
    <w:p w:rsidR="001D37D5" w:rsidRPr="00883125" w:rsidRDefault="001D37D5" w:rsidP="001D37D5">
      <w:r w:rsidRPr="00883125">
        <w:t>The ENA (2013) report referred to by Gray (for SFG) was a response to our draft rate of return Guideline. Lally reviewed our draft Guideline and the ENA response. His conclusion was:</w:t>
      </w:r>
      <w:r w:rsidRPr="00883125">
        <w:rPr>
          <w:rStyle w:val="FootnoteReference"/>
        </w:rPr>
        <w:footnoteReference w:id="626"/>
      </w:r>
    </w:p>
    <w:p w:rsidR="001D37D5" w:rsidRPr="00883125" w:rsidRDefault="001D37D5" w:rsidP="001D37D5">
      <w:pPr>
        <w:pStyle w:val="AERquote"/>
      </w:pPr>
      <w:r w:rsidRPr="00883125">
        <w:t>The AER’s third approach to estimating [the utilisation rate] involves estimates derived from market prices (AER, 2013, pp. 133–134, 239–247). The AER does not consider that these estimates are useful for a number of reasons.</w:t>
      </w:r>
    </w:p>
    <w:p w:rsidR="001D37D5" w:rsidRPr="00883125" w:rsidRDefault="001D37D5" w:rsidP="001D37D5">
      <w:pPr>
        <w:pStyle w:val="AERquote"/>
      </w:pPr>
      <w:r w:rsidRPr="00883125">
        <w:t>…</w:t>
      </w:r>
    </w:p>
    <w:p w:rsidR="001D37D5" w:rsidRPr="00883125" w:rsidRDefault="001D37D5" w:rsidP="001D37D5">
      <w:pPr>
        <w:pStyle w:val="AERquote"/>
      </w:pPr>
      <w:r w:rsidRPr="00883125">
        <w:t>I concur with all of these concerns, and I have additional concerns about these studies or their interpretation.</w:t>
      </w:r>
    </w:p>
    <w:p w:rsidR="001D37D5" w:rsidRPr="00883125" w:rsidRDefault="001D37D5" w:rsidP="001D37D5">
      <w:r w:rsidRPr="00883125">
        <w:t>Regarding the particular limitation at hand, Lally noted:</w:t>
      </w:r>
      <w:r w:rsidRPr="00883125">
        <w:rPr>
          <w:rStyle w:val="FootnoteReference"/>
        </w:rPr>
        <w:footnoteReference w:id="627"/>
      </w:r>
    </w:p>
    <w:p w:rsidR="001D37D5" w:rsidRPr="00883125" w:rsidRDefault="001D37D5" w:rsidP="001D37D5">
      <w:pPr>
        <w:pStyle w:val="AERquote"/>
      </w:pPr>
      <w:r w:rsidRPr="00883125">
        <w:t>Tenthly, although the utilisation rate is a value-weighted average over all investors in the market, the use of market prices will produce an estimate that reflects the tax position, transactions costs and motives of those investors who transact at the relevant times (such as tax arbitrageurs) and these investors may be quite unrepresentative of the entire market.</w:t>
      </w:r>
    </w:p>
    <w:p w:rsidR="001D37D5" w:rsidRPr="00883125" w:rsidRDefault="001D37D5" w:rsidP="001D37D5">
      <w:r w:rsidRPr="00883125">
        <w:t>And on the effect of trading around the ex-dividend date, Lally noted:</w:t>
      </w:r>
      <w:r w:rsidRPr="00883125">
        <w:rPr>
          <w:rStyle w:val="FootnoteReference"/>
        </w:rPr>
        <w:footnoteReference w:id="628"/>
      </w:r>
    </w:p>
    <w:p w:rsidR="001D37D5" w:rsidRPr="00883125" w:rsidRDefault="001D37D5" w:rsidP="001D37D5">
      <w:pPr>
        <w:pStyle w:val="AERquote"/>
      </w:pPr>
      <w:r w:rsidRPr="00883125">
        <w:lastRenderedPageBreak/>
        <w:t>In respect of tax arbitrage around dividend ex-days, the ENA (2013, section 7.9) argues that this would lead to [the utilisation rate] being overestimated by such studies (because these arbitrageurs would tend to drive up the prices of shares with large imputation credits prior to ex-day in the course of buying them, and then depress them shortly afterwards in the course of selling them).  This point would be plausible if tax considerations fully explained ex-dividend day results.  However, as described above, this is not the case.</w:t>
      </w:r>
    </w:p>
    <w:p w:rsidR="001D37D5" w:rsidRPr="00883125" w:rsidRDefault="001D37D5" w:rsidP="001D37D5">
      <w:r w:rsidRPr="00883125">
        <w:t>Thus, Lally appeared unconvinced by the ENA’s views and provided no indication that SFG’s study (or any implied market value study) should necessarily be deemed free of this limitation.</w:t>
      </w:r>
    </w:p>
    <w:p w:rsidR="001D37D5" w:rsidRPr="00883125" w:rsidRDefault="001D37D5" w:rsidP="001D37D5">
      <w:r w:rsidRPr="00883125">
        <w:t>Handley also appeared unconvinced by the views of Gray (for SFG) in his 2014 report on this limitation, noting in his September 2014 report:</w:t>
      </w:r>
      <w:r w:rsidRPr="00883125">
        <w:rPr>
          <w:rStyle w:val="FootnoteReference"/>
        </w:rPr>
        <w:footnoteReference w:id="629"/>
      </w:r>
    </w:p>
    <w:p w:rsidR="001D37D5" w:rsidRPr="00883125" w:rsidRDefault="001D37D5" w:rsidP="001D37D5">
      <w:pPr>
        <w:pStyle w:val="AERquote"/>
      </w:pPr>
      <w:r w:rsidRPr="00883125">
        <w:t>…there remains a residual concern as to whether the composition of investors around the ex-dividend date is reflective of the composition of (long term) investors in the benchmark market who supply capital to firms (including to the benchmark efficient entity) and therefore whether the implied value of imputation credits around ex-dividend dates is representative of the value of imputation credits to the market as a whole.</w:t>
      </w:r>
    </w:p>
    <w:p w:rsidR="001D37D5" w:rsidRPr="00883125" w:rsidRDefault="001D37D5" w:rsidP="001D37D5">
      <w:r w:rsidRPr="00883125">
        <w:t>Handley reiterated this view in his April 2015 report.</w:t>
      </w:r>
      <w:r w:rsidRPr="00883125">
        <w:rPr>
          <w:rStyle w:val="FootnoteReference"/>
        </w:rPr>
        <w:footnoteReference w:id="630"/>
      </w:r>
    </w:p>
    <w:p w:rsidR="001D37D5" w:rsidRPr="00883125" w:rsidRDefault="001D37D5" w:rsidP="001D37D5">
      <w:r w:rsidRPr="00883125">
        <w:t>Finally, we note the South Australian Centre for Economic Studies recommended disregarding evidence from all dividend drop off studies due to this limitation entirely:</w:t>
      </w:r>
      <w:r w:rsidRPr="00883125">
        <w:rPr>
          <w:rStyle w:val="FootnoteReference"/>
        </w:rPr>
        <w:footnoteReference w:id="631"/>
      </w:r>
    </w:p>
    <w:p w:rsidR="001D37D5" w:rsidRPr="00883125" w:rsidRDefault="001D37D5" w:rsidP="001D37D5">
      <w:pPr>
        <w:pStyle w:val="AERquote"/>
      </w:pPr>
      <w:r w:rsidRPr="00883125">
        <w:t>The studies included by SFG consulting in their review of estimates for theta all appear to be of good quality and are undertaken in a manner which reflects the current best practice in the literature.</w:t>
      </w:r>
    </w:p>
    <w:p w:rsidR="001D37D5" w:rsidRPr="00883125" w:rsidRDefault="001D37D5" w:rsidP="001D37D5">
      <w:pPr>
        <w:pStyle w:val="AERquote"/>
      </w:pPr>
      <w:r w:rsidRPr="00883125">
        <w:t>However, purchase of stocks in any given period is dominated by a relatively small share of equity holders who engage in active trading equities. Overall ownership of equities, however, is dominated by those who trade infrequently. As such there is no reason to believe that the value placed on franking credits by active traders of equities is the same as that placed on franking credits by those who trade infrequently.</w:t>
      </w:r>
    </w:p>
    <w:p w:rsidR="001D37D5" w:rsidRPr="00883125" w:rsidRDefault="001D37D5" w:rsidP="001D37D5">
      <w:pPr>
        <w:pStyle w:val="AERquote"/>
      </w:pPr>
      <w:r w:rsidRPr="00883125">
        <w:t>On the third point, listed firms are also only part of the stock of Australian equity. Data from the ABS’s ‘Australian National Accounts: Financial Accounts’ indicates that as at June 2014 unlisted shares comprised 44.5 per cent of the total value of shares in private firms (rising to 49.7 per cent if equity in government non-financial corporations is included).</w:t>
      </w:r>
    </w:p>
    <w:p w:rsidR="001D37D5" w:rsidRPr="00883125" w:rsidRDefault="001D37D5" w:rsidP="001D37D5">
      <w:pPr>
        <w:pStyle w:val="AERquote"/>
      </w:pPr>
      <w:r w:rsidRPr="00883125">
        <w:lastRenderedPageBreak/>
        <w:t xml:space="preserve">Due to the unrepresentative nature of both traders in stock, and the ownership of listed stock, we believe that dropped dividend studies cannot be assumed to be informative about the value placed by median investor in the ‘benchmark efficient entity’. As such, </w:t>
      </w:r>
      <w:r w:rsidRPr="00883125">
        <w:rPr>
          <w:rStyle w:val="Strong"/>
        </w:rPr>
        <w:t>we recommend that estimates derived from dropped dividend studies be disregarded</w:t>
      </w:r>
      <w:r w:rsidRPr="00883125">
        <w:t>.</w:t>
      </w:r>
    </w:p>
    <w:p w:rsidR="001D37D5" w:rsidRPr="00883125" w:rsidRDefault="001D37D5" w:rsidP="001D37D5">
      <w:r w:rsidRPr="00883125">
        <w:t>We consider that there is sufficient evidence in the expert views quoted above to suggest that SFG's dividend drop off study is subject to this limitation.</w:t>
      </w:r>
    </w:p>
    <w:p w:rsidR="001D37D5" w:rsidRPr="00883125" w:rsidRDefault="001D37D5" w:rsidP="001D37D5">
      <w:r w:rsidRPr="00883125">
        <w:t xml:space="preserve">In section </w:t>
      </w:r>
      <w:r w:rsidRPr="00883125">
        <w:rPr>
          <w:rStyle w:val="AERtexthighlight"/>
        </w:rPr>
        <w:fldChar w:fldCharType="begin"/>
      </w:r>
      <w:r w:rsidRPr="00883125">
        <w:instrText xml:space="preserve"> REF _Ref435171205 \r \h </w:instrText>
      </w:r>
      <w:r w:rsidRPr="00883125">
        <w:rPr>
          <w:rStyle w:val="AERtexthighlight"/>
        </w:rPr>
      </w:r>
      <w:r w:rsidRPr="00883125">
        <w:rPr>
          <w:rStyle w:val="AERtexthighlight"/>
        </w:rPr>
        <w:fldChar w:fldCharType="separate"/>
      </w:r>
      <w:r w:rsidR="00A02D8C">
        <w:t>A.15.3</w:t>
      </w:r>
      <w:r w:rsidRPr="00883125">
        <w:rPr>
          <w:rStyle w:val="AERtexthighlight"/>
        </w:rPr>
        <w:fldChar w:fldCharType="end"/>
      </w:r>
      <w:r w:rsidRPr="00883125">
        <w:t xml:space="preserve"> it was outlined the dividend drop off ratio in market studies varies depending on the investor's marginal tax rate. Low (high) marginal tax rate investors have a higher (lower) dividend drop off ratio all else equal. The dividend drop off ratio that prevails in the market is determined by the marginal investor</w:t>
      </w:r>
      <w:r>
        <w:t>,</w:t>
      </w:r>
      <w:r w:rsidRPr="00883125">
        <w:t xml:space="preserve"> that trades around the ex-dividend date</w:t>
      </w:r>
      <w:r>
        <w:t>,</w:t>
      </w:r>
      <w:r w:rsidRPr="00883125">
        <w:t xml:space="preserve"> marginal tax rate. However, the marginal investor dividend drop off ratio is not relevant for estimating gamma in the regulatory context for two reasons:</w:t>
      </w:r>
    </w:p>
    <w:p w:rsidR="001D37D5" w:rsidRPr="001D37D5" w:rsidRDefault="001D37D5" w:rsidP="001D37D5">
      <w:pPr>
        <w:pStyle w:val="AERbulletlistfirststyle"/>
      </w:pPr>
      <w:r w:rsidRPr="00883125">
        <w:t xml:space="preserve">The purpose of gamma </w:t>
      </w:r>
      <w:r w:rsidRPr="001D37D5">
        <w:t>is to deduct the proportion of company tax is a pre-payment of personal tax from the allowed regulated revenues. In order to determine this proportion the analysis has to focus on the aggregate investors and not the marginal investors that trade around the ex-dividend date.</w:t>
      </w:r>
    </w:p>
    <w:p w:rsidR="001D37D5" w:rsidRPr="001D37D5" w:rsidRDefault="001D37D5" w:rsidP="001D37D5">
      <w:pPr>
        <w:pStyle w:val="AERbulletlistfirststyle"/>
      </w:pPr>
      <w:r w:rsidRPr="00883125">
        <w:t>This dividend drop off ratio is neither a pre-personal nor a post-persona tax measure of dividends</w:t>
      </w:r>
      <w:r w:rsidRPr="001D37D5">
        <w:t xml:space="preserve"> and imputation credits. It is just the change in the stock price between the cum and ex-dividend date which is determined by the size of the dividend, imputation credits and influenced by differential personal taxation of dividend/imputation credit and capital gains. This is further discussed in section </w:t>
      </w:r>
      <w:r w:rsidRPr="001D37D5">
        <w:rPr>
          <w:rStyle w:val="AERtexthighlight"/>
        </w:rPr>
        <w:fldChar w:fldCharType="begin"/>
      </w:r>
      <w:r w:rsidRPr="001D37D5">
        <w:instrText xml:space="preserve"> REF _Ref435171205 \r \h </w:instrText>
      </w:r>
      <w:r w:rsidRPr="001D37D5">
        <w:rPr>
          <w:rStyle w:val="AERtexthighlight"/>
        </w:rPr>
      </w:r>
      <w:r w:rsidRPr="001D37D5">
        <w:rPr>
          <w:rStyle w:val="AERtexthighlight"/>
        </w:rPr>
        <w:fldChar w:fldCharType="separate"/>
      </w:r>
      <w:r w:rsidR="00A02D8C">
        <w:t>A.15.3</w:t>
      </w:r>
      <w:r w:rsidRPr="001D37D5">
        <w:rPr>
          <w:rStyle w:val="AERtexthighlight"/>
        </w:rPr>
        <w:fldChar w:fldCharType="end"/>
      </w:r>
      <w:r w:rsidRPr="001D37D5">
        <w:t>.</w:t>
      </w:r>
    </w:p>
    <w:p w:rsidR="001D37D5" w:rsidRPr="00883125" w:rsidRDefault="001D37D5" w:rsidP="001D37D5">
      <w:pPr>
        <w:pStyle w:val="HeadingBoldBlue"/>
      </w:pPr>
      <w:r w:rsidRPr="00883125">
        <w:t>These studies can be data intensive and employ complex and sometimes problematic estimation methodologies.</w:t>
      </w:r>
    </w:p>
    <w:p w:rsidR="001D37D5" w:rsidRPr="00883125" w:rsidRDefault="001D37D5" w:rsidP="001D37D5">
      <w:r w:rsidRPr="00883125">
        <w:t>We consider the idea that the SFG dividend drop off study is data intensive is evident in pages 4 to 14 of the 2011 version of that study and section 3 of the updated 2013 version.</w:t>
      </w:r>
      <w:r w:rsidRPr="00883125">
        <w:rPr>
          <w:rStyle w:val="FootnoteReference"/>
        </w:rPr>
        <w:footnoteReference w:id="632"/>
      </w:r>
    </w:p>
    <w:p w:rsidR="001D37D5" w:rsidRPr="00883125" w:rsidRDefault="001D37D5" w:rsidP="001D37D5">
      <w:r w:rsidRPr="00883125">
        <w:t xml:space="preserve">Regarding whether the SFG study employs a complex and potentially problematic estimation methodology, we have regard to the views on dividend drop off studies expressed by academics and other regulators. A wide selection of these views is set out in section </w:t>
      </w:r>
      <w:r w:rsidRPr="00883125">
        <w:fldChar w:fldCharType="begin"/>
      </w:r>
      <w:r w:rsidRPr="00883125">
        <w:instrText xml:space="preserve"> REF _Ref414619467 \r \h </w:instrText>
      </w:r>
      <w:r w:rsidRPr="00883125">
        <w:fldChar w:fldCharType="separate"/>
      </w:r>
      <w:r w:rsidR="00A02D8C">
        <w:t>0</w:t>
      </w:r>
      <w:r w:rsidRPr="00883125">
        <w:fldChar w:fldCharType="end"/>
      </w:r>
      <w:r w:rsidRPr="00883125">
        <w:t xml:space="preserve"> below. All but one of these views were expressed subsequent to SFG's dividend drop off study. It is not clear why experts would continue to canvass the methodological issues associated with dividend drop off studies in general if SFG's dividend drop off study overcame these issues. This notwithstanding, we also have </w:t>
      </w:r>
      <w:r w:rsidRPr="00883125">
        <w:lastRenderedPageBreak/>
        <w:t>regard to the Tribunal's acceptance of the results from SFG's dividend drop off study in 2011.</w:t>
      </w:r>
    </w:p>
    <w:p w:rsidR="001D37D5" w:rsidRPr="00883125" w:rsidRDefault="001D37D5" w:rsidP="001D37D5">
      <w:r w:rsidRPr="00883125">
        <w:t>Therefore, we consider that there is evidence both for and against the idea that this limitation applies to SFG's dividend drop off study.</w:t>
      </w:r>
    </w:p>
    <w:p w:rsidR="001D37D5" w:rsidRPr="00883125" w:rsidRDefault="001D37D5" w:rsidP="001D37D5">
      <w:r w:rsidRPr="00883125">
        <w:t>It is only the value of the combined package of dividends and imputation credits that can be observed in the market, and there is no consensus among experts on how to separate the value to the market of dividends from the value to the market of imputation credits.</w:t>
      </w:r>
    </w:p>
    <w:p w:rsidR="001D37D5" w:rsidRDefault="001D37D5" w:rsidP="001D37D5">
      <w:r w:rsidRPr="00883125">
        <w:t>Firstly, we note that it is strictly incorrect to say that the value of the combined package of dividends and imputation credits can be 'observed'. The service providers support this by quoting Gray that empirical evidence provides a very clear and consistent view of the combined value of credit and dividend.</w:t>
      </w:r>
      <w:r w:rsidRPr="00883125">
        <w:rPr>
          <w:rStyle w:val="FootnoteReference"/>
        </w:rPr>
        <w:footnoteReference w:id="633"/>
      </w:r>
      <w:r w:rsidRPr="00883125">
        <w:t xml:space="preserve"> This is because this value is actually estimated based on assumptions about what the ex-dividend price change represents. In any case, because imputation credits are only ever distributed with franked dividends, all dividend drop off studies must make this allocation/separation. Therefore this limitation applies to SFG's dividend drop off study. </w:t>
      </w:r>
      <w:bookmarkStart w:id="281" w:name="_Ref402180002"/>
      <w:bookmarkStart w:id="282" w:name="_Ref414619467"/>
    </w:p>
    <w:p w:rsidR="001D37D5" w:rsidRPr="00B27BE5" w:rsidRDefault="001D37D5" w:rsidP="001D37D5">
      <w:pPr>
        <w:pStyle w:val="Heading9"/>
      </w:pPr>
      <w:r w:rsidRPr="00883125">
        <w:t>The views of academics and other regulators</w:t>
      </w:r>
      <w:bookmarkEnd w:id="281"/>
      <w:r w:rsidRPr="00883125">
        <w:t xml:space="preserve"> on dividend drop off studies</w:t>
      </w:r>
      <w:bookmarkEnd w:id="282"/>
    </w:p>
    <w:p w:rsidR="001D37D5" w:rsidRPr="00883125" w:rsidRDefault="001D37D5" w:rsidP="001D37D5">
      <w:pPr>
        <w:numPr>
          <w:ilvl w:val="0"/>
          <w:numId w:val="24"/>
        </w:numPr>
      </w:pPr>
      <w:r w:rsidRPr="00883125">
        <w:t>A number of academics and regulators have recognised the limitations of dividend drop off studies. Moreover, many of these concerns continue to be expressed even after the first version of SFG's dividend drop off study in 2011 (which was relied upon by the Tribunal in the Energex matter), and the 2013 update of that study (which was relied upon in service providers' current proposals).</w:t>
      </w:r>
      <w:r w:rsidRPr="00883125">
        <w:rPr>
          <w:rStyle w:val="FootnoteReference"/>
        </w:rPr>
        <w:footnoteReference w:id="634"/>
      </w:r>
      <w:r w:rsidRPr="00883125">
        <w:t xml:space="preserve"> The comments of academics and other regulators support the lesser reliance we place on SFG's dividend drop off study in estimating the utilisation rate. </w:t>
      </w:r>
    </w:p>
    <w:p w:rsidR="001D37D5" w:rsidRPr="00883125" w:rsidRDefault="001D37D5" w:rsidP="001D37D5">
      <w:pPr>
        <w:numPr>
          <w:ilvl w:val="0"/>
          <w:numId w:val="24"/>
        </w:numPr>
      </w:pPr>
      <w:r w:rsidRPr="00883125">
        <w:t>Some academics have identified a number of practical and methodological issues:</w:t>
      </w:r>
    </w:p>
    <w:p w:rsidR="001D37D5" w:rsidRPr="001D37D5" w:rsidRDefault="001D37D5" w:rsidP="00247000">
      <w:pPr>
        <w:pStyle w:val="AERbulletlistfirststyle"/>
        <w:keepNext/>
      </w:pPr>
      <w:r w:rsidRPr="00883125">
        <w:lastRenderedPageBreak/>
        <w:t>Cannavan, Finn and Gray (2004):</w:t>
      </w:r>
      <w:r w:rsidRPr="001D37D5">
        <w:rPr>
          <w:rStyle w:val="FootnoteReference"/>
        </w:rPr>
        <w:footnoteReference w:id="635"/>
      </w:r>
    </w:p>
    <w:p w:rsidR="001D37D5" w:rsidRPr="00883125" w:rsidRDefault="001D37D5" w:rsidP="00247000">
      <w:pPr>
        <w:pStyle w:val="AERquote"/>
        <w:keepNext/>
      </w:pPr>
      <w:r w:rsidRPr="00883125">
        <w:t>…it is unlikely that the traditional ex-dividend day drop-off methodology will be able to separately identify the value of cash dividends and imputation credits.</w:t>
      </w:r>
    </w:p>
    <w:p w:rsidR="001D37D5" w:rsidRPr="001D37D5" w:rsidRDefault="001D37D5" w:rsidP="001D37D5">
      <w:pPr>
        <w:pStyle w:val="AERbulletlistfirststyle"/>
      </w:pPr>
      <w:r w:rsidRPr="00883125">
        <w:t>Siau, Sault and Warren (2013):</w:t>
      </w:r>
      <w:r w:rsidRPr="001D37D5">
        <w:rPr>
          <w:rStyle w:val="FootnoteReference"/>
        </w:rPr>
        <w:footnoteReference w:id="636"/>
      </w:r>
    </w:p>
    <w:p w:rsidR="001D37D5" w:rsidRPr="00883125" w:rsidRDefault="001D37D5" w:rsidP="001D37D5">
      <w:pPr>
        <w:pStyle w:val="AERquote"/>
      </w:pPr>
      <w:r w:rsidRPr="00883125">
        <w:t xml:space="preserve">Despite a large number of studies, the market value of imputation credits remains broadly disputed (see, for example, Gray and Hall, 2006; Lally, 2008; Partington and Truong, 2008; Gray, 2008). The majority of empirical studies have drawn inferences by focusing on the pricing of dividend distributions. This includes analysis of stock price declines around ex-dividend dates (‘ex-dividend drop-off studies’); and comparative pricing of instruments that differ only in their dividend and imputation entitlements. These studies are subject to a number of issues, such as imprecise estimates that may be influenced by the presence of short-term traders arbitraging dividends and limited samples in the case of comparative studies. </w:t>
      </w:r>
    </w:p>
    <w:p w:rsidR="001D37D5" w:rsidRPr="00883125" w:rsidRDefault="001D37D5" w:rsidP="001D37D5">
      <w:pPr>
        <w:pStyle w:val="AERquote"/>
      </w:pPr>
      <w:r w:rsidRPr="00883125">
        <w:t>…</w:t>
      </w:r>
    </w:p>
    <w:p w:rsidR="001D37D5" w:rsidRPr="00883125" w:rsidRDefault="001D37D5" w:rsidP="001D37D5">
      <w:pPr>
        <w:pStyle w:val="AERquote"/>
      </w:pPr>
      <w:r w:rsidRPr="00883125">
        <w:t>The variability of estimates joins with issues over design to cast some doubt over estimates for the market value of imputation credits arising from drop-off studies. A key methodological issue is that price movements around ex-dividend events encapsulate not only the tax differential effect, but may also reflect the presence of traders seeking to arbitrage dividends and noise associated with trading activity around ex-dividend dates. Drop-off ratios can be distorted by the need to compensate traders for transaction costs (Eades, Hess, and Kim ,1984); Lakonishok and Vermaelen, 1986; Karpoff and Walkling, 1988, 1990; Bali and Francis, 2011); or the risk involved (Fedenia and Grammatikos, 1993; Grammatikos, 1989; Heath and Jarrow, 1988; Michaely and Vila, 1995). Transaction costs may be substantial, and can drive the drop-off ratio below one (Kalay 1982, 1984; Boyd and Jagannathan, 1994). Market microstructure effects may also complicate estimation of market value, as discrete tick sizes can bias drop-off ratios downwards (Dubofsky, 1992; Bali and Hite, 1998).</w:t>
      </w:r>
    </w:p>
    <w:p w:rsidR="001D37D5" w:rsidRPr="00883125" w:rsidRDefault="001D37D5" w:rsidP="001D37D5">
      <w:pPr>
        <w:pStyle w:val="AERquote"/>
      </w:pPr>
      <w:r w:rsidRPr="00883125">
        <w:t xml:space="preserve">A further key methodological issue is the difficulty in attributing the observed drop-off value between cash dividends and imputation credits. Dempsey and Partington (2008) nominate this identification problem as a serious limitation of ex-dividend drop-off studies. Drop-off studies are afflicted by multicollinearity issues. Cannavan et al. (2004) and Bellamy and Gray (2006) reveal that imputation credits are nearly perfectly collinear with their respective cash dividends. This is exacerbated by corporate tax rates being almost constant and partially-franked dividends being the exception rather than the norm. Gray </w:t>
      </w:r>
      <w:r w:rsidRPr="00883125">
        <w:lastRenderedPageBreak/>
        <w:t>(2008) points out that the value attributed to imputation credits is conditional on the assumed value on cash dividends by design, to the extent that they are supplementary components within a single package. This notion is reinforced by evidence of offsetting variation in the value attributed to dividends and imputation credits across samples (see Bellamy and Gray, 2006; Gray, 2008).</w:t>
      </w:r>
    </w:p>
    <w:p w:rsidR="001D37D5" w:rsidRPr="001D37D5" w:rsidRDefault="001D37D5" w:rsidP="001D37D5">
      <w:pPr>
        <w:pStyle w:val="AERbulletlistfirststyle"/>
      </w:pPr>
      <w:r w:rsidRPr="00883125">
        <w:t>McKenzie and Partington (2013):</w:t>
      </w:r>
      <w:r w:rsidRPr="001D37D5">
        <w:rPr>
          <w:rStyle w:val="FootnoteReference"/>
        </w:rPr>
        <w:footnoteReference w:id="637"/>
      </w:r>
    </w:p>
    <w:p w:rsidR="001D37D5" w:rsidRPr="00883125" w:rsidRDefault="001D37D5" w:rsidP="001D37D5">
      <w:pPr>
        <w:pStyle w:val="AERquote"/>
      </w:pPr>
      <w:r w:rsidRPr="00883125">
        <w:t>For over fifty years, academics have been trying to satisfactorily measure the market value of dividends. So far we have not reached a generally agreed consensus on the value or the method of measurement, which indicates the difficulty of the task. Thus, the basic task of measuring the package value of dividends and franking credits is a major challenge.</w:t>
      </w:r>
    </w:p>
    <w:p w:rsidR="001D37D5" w:rsidRPr="00883125" w:rsidRDefault="001D37D5" w:rsidP="001D37D5">
      <w:pPr>
        <w:pStyle w:val="AERquote"/>
      </w:pPr>
      <w:r w:rsidRPr="00883125">
        <w:t>It is well understood that the market value of the package of dividends and franking credits mixes together not just dividends and credits, but the effects of income and capital gains taxes, transactions costs, discounting for time and risk and possibly market microstructure effects as well. This leads to what we call the allocation problem. That is how we attribute the value consequence of these effects between the value of dividends and the value of franking credits. All methods of splitting up the package value of dividends and franking credit involve an explicit or implicit allocation. The problem with allocations is that by their nature they are arbitrary. Thus, separating out the estimated value of the franking credits is also a major challenge.</w:t>
      </w:r>
    </w:p>
    <w:p w:rsidR="001D37D5" w:rsidRPr="00883125" w:rsidRDefault="001D37D5" w:rsidP="001D37D5">
      <w:pPr>
        <w:pStyle w:val="AERquote"/>
      </w:pPr>
      <w:r w:rsidRPr="00883125">
        <w:t>One approach to the estimation of the value of dividends and franking credits is to measure the price drop when the stock goes ex-dividend. It is on the basis of [SFG's dividend drop off study] that theta was taken to be 0.35 and hence the value of gamma is given by 0.7 x 0.35, which rounded up furnishes a value of 0.25 or 25%.</w:t>
      </w:r>
    </w:p>
    <w:p w:rsidR="001D37D5" w:rsidRPr="00883125" w:rsidRDefault="001D37D5" w:rsidP="001D37D5">
      <w:pPr>
        <w:pStyle w:val="AERquote"/>
      </w:pPr>
      <w:r w:rsidRPr="00883125">
        <w:t xml:space="preserve">We have several problems with this estimate of gamma. First, given the difficulties in estimating theta, the estimate of theta and hence gamma should not be based on one study, or on one method. Rather, it should be triangulated across multiple studies and multiple methods. In particular the estimate of theta should not just be reliant on ex-dividend studies, which are afflicted with many problems. This issue is discussed extensively in McKenzie and Partington (2010). In this paper, we argue that it is very unlikely that an accurate and reliable estimate of the value of franking credits will come out of a traditional ex-dividend study due to a number of problems including the extremely noisy data (it is not unusual to have a price movement up or down of more than twenty times the dividend on the ex-dividend day). Results are also sensitive to data filtering, the choice of estimation method and whether the ex-dividend day price is measured at the open or close of trading. Biased results can also arise from market microstructure effects such as bid-ask bounce. There are also abnormal volumes and abnormal returns about the ex-dividend day, which clearly </w:t>
      </w:r>
      <w:r w:rsidRPr="00883125">
        <w:lastRenderedPageBreak/>
        <w:t xml:space="preserve">indicate that trading is abnormal about the ex-dividend date. Consequently, it is an open question whether an ex-dividend study gives a dividend and franking credit valuation that reflects the clientele of investors normally holding the stock. Finally, there are conceptual and econometric problems. For example, </w:t>
      </w:r>
      <w:r w:rsidR="009C18DC" w:rsidRPr="00883125">
        <w:t>multicollinearity</w:t>
      </w:r>
      <w:r w:rsidRPr="00883125">
        <w:t xml:space="preserve"> in the regression equation used to separate the value of the dividends and franking credits. Reflecting the inaccuracy of the ex-dividend method and associated regression technique, the standard errors of the estimates from the regression equations are typically quite large.</w:t>
      </w:r>
    </w:p>
    <w:p w:rsidR="001D37D5" w:rsidRPr="001D37D5" w:rsidRDefault="001D37D5" w:rsidP="001D37D5">
      <w:pPr>
        <w:pStyle w:val="AERbulletlistfirststyle"/>
      </w:pPr>
      <w:r w:rsidRPr="00883125">
        <w:t>Lally (2013):</w:t>
      </w:r>
      <w:r w:rsidRPr="001D37D5">
        <w:rPr>
          <w:rStyle w:val="FootnoteReference"/>
        </w:rPr>
        <w:footnoteReference w:id="638"/>
      </w:r>
    </w:p>
    <w:p w:rsidR="001D37D5" w:rsidRPr="00883125" w:rsidRDefault="001D37D5" w:rsidP="001D37D5">
      <w:pPr>
        <w:pStyle w:val="AERquote"/>
      </w:pPr>
      <w:r w:rsidRPr="00883125">
        <w:t xml:space="preserve">The AER’s third approach to estimating </w:t>
      </w:r>
      <w:r w:rsidRPr="00883125">
        <w:rPr>
          <w:rStyle w:val="AERtextitalic"/>
        </w:rPr>
        <w:t>U</w:t>
      </w:r>
      <w:r w:rsidRPr="00883125">
        <w:t xml:space="preserve"> involves estimates derived from market prices (AER, 2013, pp. 133–134, 239–247).  The AER does not consider that these estimates are useful for a number of reasons.  In respect of dividend drop-off studies, these include evidence that trading activity around dividend ex-days is abnormal, that correction is required for market movements, and the sensitivity of results to data, outliers and model choices.  More generally these problems include the difficulties in separating the values of franking credits and dividends in these studies, the wide range of empirical results from such studies, the possibility of bias from ‘bid-ask bounce, and the exposure of such estimates to the tax circumstances and transactions costs of tax arbitrageurs.  Many of these problems are manifest in high standard errors on the estimates of the coefficients.</w:t>
      </w:r>
    </w:p>
    <w:p w:rsidR="001D37D5" w:rsidRPr="00883125" w:rsidRDefault="001D37D5" w:rsidP="001D37D5">
      <w:pPr>
        <w:pStyle w:val="AERquote"/>
      </w:pPr>
      <w:r w:rsidRPr="00883125">
        <w:t>I concur with all of these concerns, and I have additional concerns about these studies or their interpretation.</w:t>
      </w:r>
    </w:p>
    <w:p w:rsidR="001D37D5" w:rsidRPr="00883125" w:rsidRDefault="001D37D5" w:rsidP="001D37D5">
      <w:r w:rsidRPr="00883125">
        <w:t>Other academics have focussed on the specific issue of whether dividend drop off studies produce results that are reflective of investors in the market as a whole:</w:t>
      </w:r>
    </w:p>
    <w:p w:rsidR="001D37D5" w:rsidRPr="001D37D5" w:rsidRDefault="001D37D5" w:rsidP="001D37D5">
      <w:pPr>
        <w:pStyle w:val="AERbulletlistfirststyle"/>
      </w:pPr>
      <w:r w:rsidRPr="00883125">
        <w:t>Handley (2014):</w:t>
      </w:r>
      <w:r w:rsidRPr="001D37D5">
        <w:rPr>
          <w:rStyle w:val="FootnoteReference"/>
        </w:rPr>
        <w:footnoteReference w:id="639"/>
      </w:r>
    </w:p>
    <w:p w:rsidR="001D37D5" w:rsidRPr="00883125" w:rsidRDefault="001D37D5" w:rsidP="001D37D5">
      <w:pPr>
        <w:pStyle w:val="AERquote"/>
      </w:pPr>
      <w:r w:rsidRPr="00883125">
        <w:t>The second issue also concerns the correct interpretation of the regression coefficient – but at a more fundamental level. Adjusting the coefficient to remove the impact of differential personal taxes and risk gives us the (after-company-before-personal-tax) value of a dollar of imputation credits but the question is value to whom? In other words, there remains a residual concern as to whether the composition of investors around the ex-dividend date is reflective of the composition of (long term) investors in the benchmark market who supply capital to firms (including to the benchmark efficient entity) and therefore whether the implied value of imputation credits around ex-dividend dates is representative of the value of imputation credits to the market as a whole.</w:t>
      </w:r>
    </w:p>
    <w:p w:rsidR="001D37D5" w:rsidRPr="001D37D5" w:rsidRDefault="001D37D5" w:rsidP="00247000">
      <w:pPr>
        <w:pStyle w:val="AERbulletlistfirststyle"/>
        <w:keepNext/>
      </w:pPr>
      <w:r w:rsidRPr="00883125">
        <w:lastRenderedPageBreak/>
        <w:t>South Australian Centre for Economic Studies (2015):</w:t>
      </w:r>
      <w:r w:rsidRPr="001D37D5">
        <w:rPr>
          <w:rStyle w:val="FootnoteReference"/>
        </w:rPr>
        <w:footnoteReference w:id="640"/>
      </w:r>
    </w:p>
    <w:p w:rsidR="001D37D5" w:rsidRPr="00883125" w:rsidRDefault="001D37D5" w:rsidP="00247000">
      <w:pPr>
        <w:pStyle w:val="AERquote"/>
        <w:keepNext/>
      </w:pPr>
      <w:r w:rsidRPr="00883125">
        <w:t>In order for a dividend drop-off study to provide useful evidence of the value of franking credits to a representative owner of equity three conditions need to be met:</w:t>
      </w:r>
    </w:p>
    <w:p w:rsidR="001D37D5" w:rsidRPr="00883125" w:rsidRDefault="001D37D5" w:rsidP="001D37D5">
      <w:pPr>
        <w:pStyle w:val="AERquotebullet1"/>
      </w:pPr>
      <w:r w:rsidRPr="00883125">
        <w:t>the studies being drawn on need to be of high quality;</w:t>
      </w:r>
    </w:p>
    <w:p w:rsidR="001D37D5" w:rsidRPr="00883125" w:rsidRDefault="001D37D5" w:rsidP="001D37D5">
      <w:pPr>
        <w:pStyle w:val="AERquotebullet1"/>
      </w:pPr>
      <w:r w:rsidRPr="00883125">
        <w:t>the equity holders who buy shares in the period after dividends are issued need to be representative of the whole class of equity holders; and</w:t>
      </w:r>
    </w:p>
    <w:p w:rsidR="001D37D5" w:rsidRPr="00883125" w:rsidRDefault="001D37D5" w:rsidP="001D37D5">
      <w:pPr>
        <w:pStyle w:val="AERquotebullet1"/>
      </w:pPr>
      <w:r w:rsidRPr="00883125">
        <w:t>the equity for which data is drawn on for the dividend drop off study needs to be representative of the overall stock of equity in the Australian economy</w:t>
      </w:r>
    </w:p>
    <w:p w:rsidR="001D37D5" w:rsidRPr="00883125" w:rsidRDefault="001D37D5" w:rsidP="001D37D5">
      <w:pPr>
        <w:pStyle w:val="AERquote"/>
      </w:pPr>
      <w:r w:rsidRPr="00883125">
        <w:t>We would contend that only the first of these three conditions is definitely met.</w:t>
      </w:r>
    </w:p>
    <w:p w:rsidR="001D37D5" w:rsidRPr="00883125" w:rsidRDefault="001D37D5" w:rsidP="001D37D5">
      <w:pPr>
        <w:pStyle w:val="AERquote"/>
      </w:pPr>
      <w:r w:rsidRPr="00883125">
        <w:t>The studies included by SFG consulting in their review of estimates for theta all appear to be of good quality and are undertaken in a manner which reflects the current best practice in the literature.</w:t>
      </w:r>
    </w:p>
    <w:p w:rsidR="001D37D5" w:rsidRPr="00883125" w:rsidRDefault="001D37D5" w:rsidP="001D37D5">
      <w:pPr>
        <w:pStyle w:val="AERquote"/>
      </w:pPr>
      <w:r w:rsidRPr="00883125">
        <w:t>However, purchase of stocks in any given period is dominated by a relatively small share of equity holders who engage in active trading equities. Overall ownership of equities, however, is dominated by those who trade infrequently. As such there is no reason to believe that the value placed on franking credits by active traders of equities is the same as that placed on franking credits by those who trade infrequently.</w:t>
      </w:r>
    </w:p>
    <w:p w:rsidR="001D37D5" w:rsidRPr="00883125" w:rsidRDefault="001D37D5" w:rsidP="001D37D5">
      <w:pPr>
        <w:pStyle w:val="AERquote"/>
      </w:pPr>
      <w:r w:rsidRPr="00883125">
        <w:t>On the third point, listed firms are also only part of the stock of Australian equity. Data from the ABS’s ‘Australian National Accounts: Financial Accounts’ indicates that as at June 2014 unlisted shares comprised 44.5 per cent of the total value of shares in private firms (rising to 49.7 per cent if equity in government non-financial corporations is included).</w:t>
      </w:r>
    </w:p>
    <w:p w:rsidR="001D37D5" w:rsidRPr="00883125" w:rsidRDefault="001D37D5" w:rsidP="001D37D5">
      <w:pPr>
        <w:pStyle w:val="AERquote"/>
      </w:pPr>
      <w:r w:rsidRPr="00883125">
        <w:t xml:space="preserve">Due to the unrepresentative nature of both traders in stock, and the ownership of listed stock, we believe that dropped dividend studies cannot be assumed to be informative about the value placed by median investor in the ‘benchmark efficient entity’. As such, </w:t>
      </w:r>
      <w:r w:rsidRPr="00883125">
        <w:rPr>
          <w:rStyle w:val="Strong"/>
        </w:rPr>
        <w:t>we recommend that estimates derived from dropped dividend studies be disregarded</w:t>
      </w:r>
      <w:r w:rsidRPr="00883125">
        <w:t>.</w:t>
      </w:r>
    </w:p>
    <w:p w:rsidR="001D37D5" w:rsidRPr="00883125" w:rsidRDefault="001D37D5" w:rsidP="001D37D5">
      <w:r w:rsidRPr="00883125">
        <w:t>The limitations identified have been recognised by other regulators and reflected in their respective approaches to determining the utilisation rate:</w:t>
      </w:r>
    </w:p>
    <w:p w:rsidR="001D37D5" w:rsidRPr="001D37D5" w:rsidRDefault="001D37D5" w:rsidP="001D37D5">
      <w:pPr>
        <w:pStyle w:val="AERbulletlistfirststyle"/>
      </w:pPr>
      <w:r w:rsidRPr="00883125">
        <w:t>QCA (2014):</w:t>
      </w:r>
      <w:r w:rsidRPr="001D37D5">
        <w:rPr>
          <w:rStyle w:val="FootnoteReference"/>
        </w:rPr>
        <w:footnoteReference w:id="641"/>
      </w:r>
    </w:p>
    <w:p w:rsidR="001D37D5" w:rsidRPr="00883125" w:rsidRDefault="001D37D5" w:rsidP="001D37D5">
      <w:pPr>
        <w:pStyle w:val="AERquote"/>
      </w:pPr>
      <w:r w:rsidRPr="00883125">
        <w:t xml:space="preserve">Given the concerns identified, the QCA does not prefer an estimate of 0.35 for the utilisation rate. The estimate is the result from only one study from one class of evidence, and this class of evidence suffers from serious conceptual </w:t>
      </w:r>
      <w:r w:rsidRPr="00883125">
        <w:lastRenderedPageBreak/>
        <w:t>and empirical limitations. Therefore, the QCA has assessed and given more weight to alternative approaches to estimate the utilisation rate.</w:t>
      </w:r>
    </w:p>
    <w:p w:rsidR="001D37D5" w:rsidRPr="001D37D5" w:rsidRDefault="001D37D5" w:rsidP="001D37D5">
      <w:pPr>
        <w:pStyle w:val="AERbulletlistfirststyle"/>
      </w:pPr>
      <w:r w:rsidRPr="00883125">
        <w:t>The ERA, which until the publication of a revised draft Guideline in November 2014 preferred the use of dividend drop off studies, stated:</w:t>
      </w:r>
      <w:r w:rsidRPr="001D37D5">
        <w:rPr>
          <w:rStyle w:val="FootnoteReference"/>
        </w:rPr>
        <w:footnoteReference w:id="642"/>
      </w:r>
    </w:p>
    <w:p w:rsidR="001D37D5" w:rsidRPr="00883125" w:rsidRDefault="001D37D5" w:rsidP="001D37D5">
      <w:pPr>
        <w:pStyle w:val="AERquote"/>
      </w:pPr>
      <w:r w:rsidRPr="00883125">
        <w:t>…dividend drop-off studies are known to suffer from a variety of estimation issues that result in the estimated value of theta being vulnerable to the dividend sample, parametric form of the regression equation and regression technique used. As a consequence, the Authority is of the view that it is more appropriate to use a range of dividend drop-off studies.</w:t>
      </w:r>
    </w:p>
    <w:p w:rsidR="001D37D5" w:rsidRPr="00373BE8" w:rsidRDefault="001D37D5" w:rsidP="001D37D5">
      <w:pPr>
        <w:pStyle w:val="Heading8"/>
      </w:pPr>
      <w:bookmarkStart w:id="283" w:name="_Ref403481482"/>
      <w:bookmarkStart w:id="284" w:name="_Toc433449226"/>
      <w:bookmarkStart w:id="285" w:name="_Toc451938317"/>
      <w:r w:rsidRPr="00373BE8">
        <w:t>Revised consideration of the conceptual goalposts approach</w:t>
      </w:r>
      <w:bookmarkEnd w:id="283"/>
      <w:bookmarkEnd w:id="284"/>
      <w:bookmarkEnd w:id="285"/>
    </w:p>
    <w:p w:rsidR="001D37D5" w:rsidRPr="00373BE8" w:rsidRDefault="001D37D5" w:rsidP="001D37D5">
      <w:pPr>
        <w:numPr>
          <w:ilvl w:val="0"/>
          <w:numId w:val="24"/>
        </w:numPr>
      </w:pPr>
      <w:r w:rsidRPr="00373BE8">
        <w:t>We placed a degree of reliance upon the conceptual goalposts approach when coming to an estimate for the utilisation rate in the Guideline. However, we do not rely on the conceptual goalposts approach in this final decision. This is mainly to be consistent with Handley's advice on the conceptual framework, which we have accepted in making this final decision. Further, we do not consider this to be a significant departure from the Guideline given we placed only limited reliance on the conceptual goalposts approach in the Guideline.</w:t>
      </w:r>
      <w:r w:rsidRPr="00373BE8" w:rsidDel="007E6C35">
        <w:t xml:space="preserve"> </w:t>
      </w:r>
      <w:r w:rsidRPr="00373BE8">
        <w:t>We note we do not consider Lally's support of the conceptual goal posts approach, upon which we do not rely, supports the proposition that our conceptual analysis is confused and unsafe.</w:t>
      </w:r>
      <w:r w:rsidRPr="00373BE8">
        <w:rPr>
          <w:rStyle w:val="FootnoteReference"/>
        </w:rPr>
        <w:footnoteReference w:id="643"/>
      </w:r>
      <w:r w:rsidRPr="00373BE8">
        <w:t xml:space="preserve"> We also note the preference for Handley's advice over Lally's is to the benefit of the service providers as it results in a lower estimate of the value for imputation credits than would have been the case had we followed Lally's advice on this issue. Our revised consideration of the approach is set out in this section.</w:t>
      </w:r>
    </w:p>
    <w:p w:rsidR="001D37D5" w:rsidRPr="00373BE8" w:rsidRDefault="001D37D5" w:rsidP="001D37D5">
      <w:pPr>
        <w:pStyle w:val="Heading9"/>
      </w:pPr>
      <w:r w:rsidRPr="00373BE8">
        <w:t>Description of the approach</w:t>
      </w:r>
    </w:p>
    <w:p w:rsidR="001D37D5" w:rsidRPr="00373BE8" w:rsidRDefault="001D37D5" w:rsidP="001D37D5">
      <w:pPr>
        <w:numPr>
          <w:ilvl w:val="0"/>
          <w:numId w:val="24"/>
        </w:numPr>
      </w:pPr>
      <w:r w:rsidRPr="00373BE8">
        <w:t>The conceptual goalposts approach to informing estimates of the utilisation rate is based on a test devised by Lally to consider the 'reasonableness' of such estimates. To explain the approach, however, we must first explain some theoretical aspects of the modelling framework that we employ. The starting point for a CAPM is a given set of assets and a given set of investors who hold them.</w:t>
      </w:r>
      <w:r w:rsidRPr="00373BE8">
        <w:rPr>
          <w:rStyle w:val="FootnoteReference"/>
        </w:rPr>
        <w:footnoteReference w:id="644"/>
      </w:r>
      <w:r w:rsidRPr="00373BE8">
        <w:t xml:space="preserve"> In the Officer CAPM, the given set of assets is the domestic market and Lally considered that the given set of </w:t>
      </w:r>
      <w:r w:rsidRPr="00373BE8">
        <w:lastRenderedPageBreak/>
        <w:t>investors is domestic investors; that is, the domestic market is assumed to be 'fully segmented' from international markets.</w:t>
      </w:r>
      <w:r w:rsidRPr="00373BE8">
        <w:rPr>
          <w:rStyle w:val="FootnoteReference"/>
        </w:rPr>
        <w:footnoteReference w:id="645"/>
      </w:r>
    </w:p>
    <w:p w:rsidR="001D37D5" w:rsidRPr="00373BE8" w:rsidRDefault="001D37D5" w:rsidP="001D37D5">
      <w:pPr>
        <w:numPr>
          <w:ilvl w:val="0"/>
          <w:numId w:val="24"/>
        </w:numPr>
      </w:pPr>
      <w:r w:rsidRPr="00373BE8">
        <w:t>Lally considered it paramount to estimate the utilisation rate consistently with the underlying theoretical framework:</w:t>
      </w:r>
      <w:r w:rsidRPr="00373BE8">
        <w:rPr>
          <w:rStyle w:val="FootnoteReference"/>
        </w:rPr>
        <w:footnoteReference w:id="646"/>
      </w:r>
    </w:p>
    <w:p w:rsidR="001D37D5" w:rsidRPr="00373BE8" w:rsidRDefault="001D37D5" w:rsidP="001D37D5">
      <w:pPr>
        <w:pStyle w:val="AERquote"/>
      </w:pPr>
      <w:r w:rsidRPr="00373BE8">
        <w:t xml:space="preserve">In my view, the most important requirements in selecting a methodology for estimating </w:t>
      </w:r>
      <w:r w:rsidRPr="00373BE8">
        <w:rPr>
          <w:rStyle w:val="AERtextitalic"/>
        </w:rPr>
        <w:t>U</w:t>
      </w:r>
      <w:r w:rsidRPr="00373BE8">
        <w:t xml:space="preserve"> [the utilisation rate] are that the estimate be consistent with the definition of </w:t>
      </w:r>
      <w:r w:rsidRPr="00373BE8">
        <w:rPr>
          <w:rStyle w:val="AERtextitalic"/>
        </w:rPr>
        <w:t>U</w:t>
      </w:r>
      <w:r w:rsidRPr="00373BE8">
        <w:t>, as a value-weighted average over the utilisation rates of all investors who are relevant to the Officer CAPM, that the parameter estimate is likely to give rise to an estimated cost of equity from the Officer model that lies within the bounds arising from either complete segmentation or complete integration of equity markets, and that the estimate is reasonably precise.</w:t>
      </w:r>
    </w:p>
    <w:p w:rsidR="001D37D5" w:rsidRPr="00373BE8" w:rsidRDefault="001D37D5" w:rsidP="001D37D5">
      <w:pPr>
        <w:numPr>
          <w:ilvl w:val="0"/>
          <w:numId w:val="24"/>
        </w:numPr>
      </w:pPr>
      <w:r w:rsidRPr="00373BE8">
        <w:t>The importance of theoretical consistency led Lally to recommend that the optimal estimate of the utilisation rate is 1, on these conceptual grounds:</w:t>
      </w:r>
      <w:r w:rsidRPr="00373BE8">
        <w:rPr>
          <w:rStyle w:val="FootnoteReference"/>
        </w:rPr>
        <w:footnoteReference w:id="647"/>
      </w:r>
    </w:p>
    <w:p w:rsidR="001D37D5" w:rsidRPr="00373BE8" w:rsidRDefault="001D37D5" w:rsidP="001D37D5">
      <w:pPr>
        <w:pStyle w:val="AERquote"/>
      </w:pPr>
      <w:r w:rsidRPr="00373BE8">
        <w:t xml:space="preserve">In respect of </w:t>
      </w:r>
      <w:r w:rsidRPr="00373BE8">
        <w:rPr>
          <w:rStyle w:val="AERtextitalic"/>
        </w:rPr>
        <w:t>U</w:t>
      </w:r>
      <w:r w:rsidRPr="00373BE8">
        <w:t>, there are five possible approaches to estimating it. The first of these arises from the definition of the parameter as a weighted average across all investors; coupled with ignoring foreigners (consistent with the Officer CAPM), this yields an estimate of 1 (the utilisation rate of local investors).</w:t>
      </w:r>
    </w:p>
    <w:p w:rsidR="001D37D5" w:rsidRPr="00373BE8" w:rsidRDefault="001D37D5" w:rsidP="001D37D5">
      <w:pPr>
        <w:pStyle w:val="AERquote"/>
      </w:pPr>
      <w:r w:rsidRPr="00373BE8">
        <w:t>…</w:t>
      </w:r>
    </w:p>
    <w:p w:rsidR="001D37D5" w:rsidRPr="00373BE8" w:rsidRDefault="001D37D5" w:rsidP="001D37D5">
      <w:pPr>
        <w:pStyle w:val="AERquote"/>
      </w:pPr>
      <w:r w:rsidRPr="00373BE8">
        <w:t>Using the three criteria described above, my preferred estimate is 1 from the first approach…</w:t>
      </w:r>
    </w:p>
    <w:p w:rsidR="001D37D5" w:rsidRPr="00373BE8" w:rsidRDefault="001D37D5" w:rsidP="001D37D5">
      <w:pPr>
        <w:numPr>
          <w:ilvl w:val="0"/>
          <w:numId w:val="24"/>
        </w:numPr>
      </w:pPr>
      <w:r w:rsidRPr="00373BE8">
        <w:t>An alternative to the 'domestic' Officer CAPM is an international CAPM, whereby the relevant set of assets is all assets in the world and the relevant set of investors is all investors in the world; that is, the domestic market is assumed to be 'fully integrated' with international markets.  Using this model would require inputs based on international benchmarks, including a utilisation rate of 0 because the proportion of global investors eligible to make use of domestic imputation credits  is close to zero.</w:t>
      </w:r>
    </w:p>
    <w:p w:rsidR="001D37D5" w:rsidRPr="00373BE8" w:rsidRDefault="001D37D5" w:rsidP="001D37D5">
      <w:pPr>
        <w:numPr>
          <w:ilvl w:val="0"/>
          <w:numId w:val="24"/>
        </w:numPr>
      </w:pPr>
      <w:r w:rsidRPr="00373BE8">
        <w:t>Both in the Guideline and in this final decision, we propose an approach to estimating the utilisation rate that recognises foreign investors to the extent that they invest in the Australian market. Thus, our approach sits between the alternative positions of Lally's interpretation of the Officer framework (where only domestic investors are recognised) and an international framework. This was recognised by Lally:</w:t>
      </w:r>
      <w:r w:rsidRPr="00373BE8">
        <w:rPr>
          <w:rStyle w:val="FootnoteReference"/>
        </w:rPr>
        <w:footnoteReference w:id="648"/>
      </w:r>
    </w:p>
    <w:p w:rsidR="001D37D5" w:rsidRPr="00373BE8" w:rsidRDefault="001D37D5" w:rsidP="001D37D5">
      <w:pPr>
        <w:pStyle w:val="AERquote"/>
      </w:pPr>
      <w:r w:rsidRPr="00373BE8">
        <w:t xml:space="preserve">The AER (2013, section 8.3.1, page 120) also includes foreign investors to the extent that they invest in the Australian market, to reflect the empirical reality of their existence. However this involves use of a model (the Officer CAPM) that </w:t>
      </w:r>
      <w:r w:rsidRPr="00373BE8">
        <w:lastRenderedPageBreak/>
        <w:t>assumes that national markets for risky assets are segmented along with the definition for a parameter (</w:t>
      </w:r>
      <w:r w:rsidRPr="00373BE8">
        <w:rPr>
          <w:rStyle w:val="AERtextitalic"/>
        </w:rPr>
        <w:t>U</w:t>
      </w:r>
      <w:r w:rsidRPr="00373BE8">
        <w:t>) that is inconsistent with this model.</w:t>
      </w:r>
    </w:p>
    <w:p w:rsidR="001D37D5" w:rsidRPr="00373BE8" w:rsidRDefault="001D37D5" w:rsidP="001D37D5">
      <w:pPr>
        <w:numPr>
          <w:ilvl w:val="0"/>
          <w:numId w:val="24"/>
        </w:numPr>
      </w:pPr>
      <w:r w:rsidRPr="00373BE8">
        <w:t>Lally considered the overarching concern is whether the inconsistency between input parameters and model definitions might produce an unreasonable outcome. That is, even if the individual components are each justified in isolation, the combination might produce an overall result that is no longer reasonable:</w:t>
      </w:r>
      <w:r w:rsidRPr="00373BE8">
        <w:rPr>
          <w:rStyle w:val="FootnoteReference"/>
        </w:rPr>
        <w:footnoteReference w:id="649"/>
      </w:r>
      <w:r w:rsidRPr="00373BE8">
        <w:t xml:space="preserve"> </w:t>
      </w:r>
    </w:p>
    <w:p w:rsidR="001D37D5" w:rsidRPr="00373BE8" w:rsidRDefault="001D37D5" w:rsidP="001D37D5">
      <w:pPr>
        <w:pStyle w:val="AERquote"/>
      </w:pPr>
      <w:r w:rsidRPr="00373BE8">
        <w:t xml:space="preserve">The Officer (1994) CAPM implicitly assumes that national markets for risky assets are completely segmented, in the sense that investors are precluded from purchasing foreign risky assets. However, most estimates of </w:t>
      </w:r>
      <w:r w:rsidRPr="00373BE8">
        <w:rPr>
          <w:rStyle w:val="AERtextitalic"/>
        </w:rPr>
        <w:t>U</w:t>
      </w:r>
      <w:r w:rsidRPr="00373BE8">
        <w:t xml:space="preserve"> reflect the presence of foreign investors. Consequently the potential for economically unreasonable estimates of the cost of equity arises, i.e., values that lie outside range of those arising under complete segmentation and complete integration of national markets for risky assets. In this event the partial recognition of foreign investors would effectively constitute cherry-picking that maximises the revenue or price cap, i.e., ignoring foreign investors when it is favourable to regulated firms (choosing the CAPM) and also estimating </w:t>
      </w:r>
      <w:r w:rsidRPr="00373BE8">
        <w:rPr>
          <w:rStyle w:val="AERtextitalic"/>
        </w:rPr>
        <w:t>U</w:t>
      </w:r>
      <w:r w:rsidRPr="00373BE8">
        <w:t xml:space="preserve"> by a methodology that reflects the presence of these investors when it is also favourable to regulated firms. We therefore assess whether various estimates of </w:t>
      </w:r>
      <w:r w:rsidRPr="00373BE8">
        <w:rPr>
          <w:rStyle w:val="AERtextitalic"/>
        </w:rPr>
        <w:t>U</w:t>
      </w:r>
      <w:r w:rsidRPr="00373BE8">
        <w:t xml:space="preserve"> lead to this outcome.</w:t>
      </w:r>
    </w:p>
    <w:p w:rsidR="001D37D5" w:rsidRPr="00373BE8" w:rsidRDefault="001D37D5" w:rsidP="001D37D5">
      <w:pPr>
        <w:pStyle w:val="AERquote"/>
      </w:pPr>
      <w:r w:rsidRPr="00373BE8">
        <w:t>To do so it is necessary to consider the implications for the cost of equity of complete integration and complete segmentation of national markets for risky assets.</w:t>
      </w:r>
    </w:p>
    <w:p w:rsidR="001D37D5" w:rsidRPr="00373BE8" w:rsidRDefault="001D37D5" w:rsidP="001D37D5">
      <w:pPr>
        <w:numPr>
          <w:ilvl w:val="0"/>
          <w:numId w:val="24"/>
        </w:numPr>
      </w:pPr>
      <w:r w:rsidRPr="00373BE8">
        <w:t>Lally pointed out that, while there is some uncertainty about the return on equity in a partial integration scenario, it must lie within two boundaries. At one end, there is the return on equity that would be required if the domestic market was fully segmented from international markets. At the other extreme is the return on equity if the capital market was fully integrated with international markets. To assess whether the approach in the draft Guideline passed this test, Lally estimated for the average Australian firm:</w:t>
      </w:r>
      <w:r w:rsidRPr="00373BE8">
        <w:rPr>
          <w:rStyle w:val="FootnoteReference"/>
        </w:rPr>
        <w:footnoteReference w:id="650"/>
      </w:r>
      <w:r w:rsidRPr="00373BE8">
        <w:t xml:space="preserve"> </w:t>
      </w:r>
    </w:p>
    <w:p w:rsidR="001D37D5" w:rsidRPr="00373BE8" w:rsidRDefault="001D37D5" w:rsidP="001D37D5">
      <w:pPr>
        <w:pStyle w:val="AERbulletlistfirststyle"/>
      </w:pPr>
      <w:r w:rsidRPr="00373BE8">
        <w:t>The return on equity under segmentation, using a domestic-only (segmented) CAPM populated with domestic parameters. That is, a market risk premium for a segmented Australian market, an equity beta relative to the Australian market, and a utilisation rate of 1.</w:t>
      </w:r>
    </w:p>
    <w:p w:rsidR="001D37D5" w:rsidRPr="00373BE8" w:rsidRDefault="001D37D5" w:rsidP="001D37D5">
      <w:pPr>
        <w:pStyle w:val="AERbulletlistfirststyle"/>
      </w:pPr>
      <w:r w:rsidRPr="00373BE8">
        <w:t>The return on equity under integration, using an international CAPM (based on Solnik, 1974) populated with global parameters. That is, using a market risk premium for an integrated (global) market, an equity beta relative to the global market and a utilisation rate of 0.</w:t>
      </w:r>
    </w:p>
    <w:p w:rsidR="001D37D5" w:rsidRPr="00373BE8" w:rsidRDefault="001D37D5" w:rsidP="001D37D5">
      <w:pPr>
        <w:pStyle w:val="AERbulletlistfirststyle"/>
      </w:pPr>
      <w:r w:rsidRPr="00373BE8">
        <w:t xml:space="preserve">The return on equity using a segmented (Officer) CAPM, populated with parameters that accord with our 'partially integrated' market definition. That is, a </w:t>
      </w:r>
      <w:r w:rsidRPr="00373BE8">
        <w:lastRenderedPageBreak/>
        <w:t xml:space="preserve">market risk premium and an equity beta that reflect the domestic market, but recognising foreign investors to the extent that they invest in the domestic (Australian) market. </w:t>
      </w:r>
    </w:p>
    <w:p w:rsidR="001D37D5" w:rsidRPr="00373BE8" w:rsidRDefault="001D37D5" w:rsidP="001D37D5">
      <w:pPr>
        <w:numPr>
          <w:ilvl w:val="0"/>
          <w:numId w:val="24"/>
        </w:numPr>
      </w:pPr>
      <w:r w:rsidRPr="00373BE8">
        <w:t>Lally's aim was to ascertain what utilisation rates under the third scenario will result in a return on equity that lies between the two 'goalposts' represented by the return on equity from the first two scenarios (full segmentation and full integration). This is how Lally presented the results of this assessment:</w:t>
      </w:r>
      <w:r w:rsidRPr="00373BE8">
        <w:rPr>
          <w:rStyle w:val="FootnoteReference"/>
        </w:rPr>
        <w:footnoteReference w:id="651"/>
      </w:r>
      <w:r w:rsidRPr="00373BE8">
        <w:t xml:space="preserve"> </w:t>
      </w:r>
    </w:p>
    <w:p w:rsidR="001D37D5" w:rsidRPr="00373BE8" w:rsidRDefault="001D37D5" w:rsidP="001D37D5">
      <w:pPr>
        <w:pStyle w:val="AERquote"/>
      </w:pPr>
      <w:r w:rsidRPr="00373BE8">
        <w:t xml:space="preserve">In summary, in the face of an inconsistency between the use of the Officer model (which assumes that national equity markets are segmented) and an estimate of the utilisation rate on imputation credits that is less than 1 (which reflects the presence of foreign investors), a minimum requirement is that the results from this approach should lie within the bounds arising from complete segmentation of national equity markets and complete integration (to ensure that the cost of capital results are consistent with some scenario regarding segmentation or integration).  However, estimates of </w:t>
      </w:r>
      <w:r w:rsidRPr="00373BE8">
        <w:rPr>
          <w:rStyle w:val="AERtextitalic"/>
        </w:rPr>
        <w:t>U</w:t>
      </w:r>
      <w:r w:rsidRPr="00373BE8">
        <w:t xml:space="preserve"> that are significantly less than 1 fail this test in virtually every case examined, and are therefore deficient. In effect, combining Officer’s CAPM with a utilisation rate that is significantly less than 1 constitutes a defacto form of cherry-picking of parameter values and models that maximises the price or revenue cap for regulated businesses. By contrast, if the Officer model were combined with a utilisation rate on imputation credits of 1, or close to it, the test described here would be satisfied in most cases. All of this suggests that, if the Officer model is used, the only sensible estimate of the utilisation rate is at or close to 1.</w:t>
      </w:r>
    </w:p>
    <w:p w:rsidR="001D37D5" w:rsidRPr="00373BE8" w:rsidRDefault="001D37D5" w:rsidP="001D37D5">
      <w:pPr>
        <w:numPr>
          <w:ilvl w:val="0"/>
          <w:numId w:val="24"/>
        </w:numPr>
      </w:pPr>
      <w:r w:rsidRPr="00373BE8">
        <w:t>This analysis contributes to Lally's conclusion that the utilisation rate should be 1 or close to it. To refine this estimate, we undertook further analysis using the approach set out by Lally. This indicated that utilisation rates between 0.8 and 1 generate a reasonable return on equity (that is, one that lies between the goalposts) in the majority of permutation scenarios.  Further, when interpreting this sensitivity analysis, it is also relevant to consider whether each particular scenario has arisen from an extreme permutation—that is, if the individual parameters are all at their highest (or lowest) possible values. Such a scenario is much less likely than a permutation where most of the parameters are at their expected values. A utilisation rate of 0.6 or below generates very few return on equity results that are reasonable (between the goalposts), and these all arise at extreme permutations.</w:t>
      </w:r>
    </w:p>
    <w:p w:rsidR="001D37D5" w:rsidRPr="00373BE8" w:rsidRDefault="001D37D5" w:rsidP="001D37D5">
      <w:pPr>
        <w:numPr>
          <w:ilvl w:val="0"/>
          <w:numId w:val="24"/>
        </w:numPr>
      </w:pPr>
      <w:r w:rsidRPr="00373BE8">
        <w:t>In conclusion, in the Guideline we considered that the conceptual goalposts approach supported an estimate of the utilisation rate in the range 0.8 to 1. We considered also that it suggested that a utilisation rate of 0.6 or below was unreasonable.</w:t>
      </w:r>
    </w:p>
    <w:p w:rsidR="001D37D5" w:rsidRPr="00373BE8" w:rsidRDefault="001D37D5" w:rsidP="00247000">
      <w:pPr>
        <w:pStyle w:val="Heading9"/>
        <w:keepNext/>
      </w:pPr>
      <w:r w:rsidRPr="00373BE8">
        <w:lastRenderedPageBreak/>
        <w:t>Advice received since the Guideline</w:t>
      </w:r>
    </w:p>
    <w:p w:rsidR="001D37D5" w:rsidRPr="00373BE8" w:rsidRDefault="001D37D5" w:rsidP="00247000">
      <w:pPr>
        <w:keepNext/>
        <w:numPr>
          <w:ilvl w:val="0"/>
          <w:numId w:val="24"/>
        </w:numPr>
      </w:pPr>
      <w:r w:rsidRPr="00373BE8">
        <w:t>In advice received since the Guideline's publication, Handley advised that he does not consider the conceptual goalposts approach to be a reasonable approach to estimating the utilisation rate:</w:t>
      </w:r>
      <w:r w:rsidRPr="00373BE8">
        <w:rPr>
          <w:rStyle w:val="FootnoteReference"/>
        </w:rPr>
        <w:footnoteReference w:id="652"/>
      </w:r>
    </w:p>
    <w:p w:rsidR="001D37D5" w:rsidRPr="00373BE8" w:rsidRDefault="001D37D5" w:rsidP="001D37D5">
      <w:pPr>
        <w:pStyle w:val="AERquote"/>
      </w:pPr>
      <w:r w:rsidRPr="00373BE8">
        <w:t>I do not consider the conceptual goalpost approach to be a reasonable approach to estimation as first, it is motivated by a faulty premise – that the CAPM suggested by Officer implicitly assumes that national markets for risky assets are completely segmented in the sense that all domestic assets are held by domestic investors only and all foreign assets are held by foreign investors only – and second, that it seeks to sure up one uncertain estimate by reference to two other estimates (the “goalposts”) which themselves are subject to substantial uncertainty.</w:t>
      </w:r>
    </w:p>
    <w:p w:rsidR="001D37D5" w:rsidRPr="00373BE8" w:rsidRDefault="001D37D5" w:rsidP="001D37D5">
      <w:pPr>
        <w:numPr>
          <w:ilvl w:val="0"/>
          <w:numId w:val="24"/>
        </w:numPr>
      </w:pPr>
      <w:r w:rsidRPr="00373BE8">
        <w:t>Handley expanded on his first point elsewhere in his advice:</w:t>
      </w:r>
      <w:r w:rsidRPr="00373BE8">
        <w:rPr>
          <w:rStyle w:val="FootnoteReference"/>
        </w:rPr>
        <w:footnoteReference w:id="653"/>
      </w:r>
    </w:p>
    <w:p w:rsidR="001D37D5" w:rsidRPr="00373BE8" w:rsidRDefault="001D37D5" w:rsidP="001D37D5">
      <w:pPr>
        <w:pStyle w:val="AERquote"/>
      </w:pPr>
      <w:r w:rsidRPr="00373BE8">
        <w:t xml:space="preserve">Lally (2013) adopts an unnecessarily narrow interpretation of segmentation in suggesting that foreign investors should be excluded completely. But once you choose a proxy for the market portfolio you define not only the set of assets that are relevant for pricing purposes but you also define the set of investors that are relevant for pricing purposes – in other words, it is a joint assumption. Lally’s suggestion that we include the full set of </w:t>
      </w:r>
      <w:r w:rsidRPr="00373BE8">
        <w:rPr>
          <w:rStyle w:val="AERtextitalic"/>
        </w:rPr>
        <w:t>n</w:t>
      </w:r>
      <w:r w:rsidRPr="00373BE8">
        <w:t xml:space="preserve"> assets but only a subset of the of </w:t>
      </w:r>
      <w:r w:rsidRPr="00373BE8">
        <w:rPr>
          <w:rStyle w:val="AERtextitalic"/>
        </w:rPr>
        <w:t>m</w:t>
      </w:r>
      <w:r w:rsidRPr="00373BE8">
        <w:t xml:space="preserve"> investors not only contradicts the starting point of the CAPM but also does not accord with the reality that foreign investors are present in and influence the pricing of assets in the domestic market. This notion of (complete) segmentation – that only domestic assets are held by domestic investors – is an assumption of Lally but is not an assumption of the CAPM.</w:t>
      </w:r>
    </w:p>
    <w:p w:rsidR="001D37D5" w:rsidRPr="00373BE8" w:rsidRDefault="001D37D5" w:rsidP="001D37D5">
      <w:pPr>
        <w:numPr>
          <w:ilvl w:val="0"/>
          <w:numId w:val="24"/>
        </w:numPr>
      </w:pPr>
      <w:r w:rsidRPr="00373BE8">
        <w:t>Thus, Handley's first point is that he does not consider the return on equity yielded by a domestic CAPM that ignores foreign investors to be a reasonable goalpost against which to assess the return on equity yielded by our approach. Handley's second point appears to accord closely with his view that estimation of the utilisation rate and the value of imputation credits is imprecise.</w:t>
      </w:r>
      <w:r w:rsidRPr="00373BE8">
        <w:rPr>
          <w:rStyle w:val="FootnoteReference"/>
        </w:rPr>
        <w:footnoteReference w:id="654"/>
      </w:r>
    </w:p>
    <w:p w:rsidR="001D37D5" w:rsidRDefault="001D37D5" w:rsidP="001D37D5">
      <w:r w:rsidRPr="00373BE8">
        <w:t>Gray (for SFG) also raised concerns with the approach, and a number of these have been responded to by Lally.</w:t>
      </w:r>
      <w:r w:rsidRPr="00373BE8">
        <w:rPr>
          <w:rStyle w:val="FootnoteReference"/>
        </w:rPr>
        <w:footnoteReference w:id="655"/>
      </w:r>
    </w:p>
    <w:p w:rsidR="001D37D5" w:rsidRPr="00373BE8" w:rsidRDefault="001D37D5" w:rsidP="001D37D5"/>
    <w:sectPr w:rsidR="001D37D5" w:rsidRPr="00373BE8" w:rsidSect="00CF42AA">
      <w:headerReference w:type="default" r:id="rId21"/>
      <w:footerReference w:type="even" r:id="rId22"/>
      <w:footerReference w:type="first" r:id="rId23"/>
      <w:pgSz w:w="11906" w:h="16838" w:code="9"/>
      <w:pgMar w:top="1440" w:right="1700" w:bottom="1582" w:left="1729" w:header="720" w:footer="0" w:gutter="0"/>
      <w:pgNumType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1FC3" w:rsidRPr="00290C63" w:rsidRDefault="005E1FC3" w:rsidP="00290C63">
      <w:r>
        <w:separator/>
      </w:r>
    </w:p>
    <w:p w:rsidR="005E1FC3" w:rsidRDefault="005E1FC3"/>
  </w:endnote>
  <w:endnote w:type="continuationSeparator" w:id="0">
    <w:p w:rsidR="005E1FC3" w:rsidRPr="00290C63" w:rsidRDefault="005E1FC3" w:rsidP="00290C63">
      <w:r>
        <w:continuationSeparator/>
      </w:r>
    </w:p>
    <w:p w:rsidR="005E1FC3" w:rsidRDefault="005E1FC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0"/>
    <w:family w:val="swiss"/>
    <w:pitch w:val="variable"/>
    <w:sig w:usb0="002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FC3" w:rsidRPr="00290C63" w:rsidRDefault="005E1FC3"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5E1FC3" w:rsidRDefault="005E1FC3"/>
  <w:p w:rsidR="005E1FC3" w:rsidRDefault="005E1FC3"/>
  <w:p w:rsidR="005E1FC3" w:rsidRDefault="005E1FC3"/>
  <w:p w:rsidR="005E1FC3" w:rsidRDefault="005E1FC3"/>
  <w:p w:rsidR="005E1FC3" w:rsidRDefault="005E1FC3"/>
  <w:p w:rsidR="005E1FC3" w:rsidRDefault="005E1FC3"/>
  <w:p w:rsidR="005E1FC3" w:rsidRDefault="005E1FC3"/>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4299774"/>
      <w:docPartObj>
        <w:docPartGallery w:val="Page Numbers (Bottom of Page)"/>
        <w:docPartUnique/>
      </w:docPartObj>
    </w:sdtPr>
    <w:sdtEndPr>
      <w:rPr>
        <w:noProof/>
        <w:szCs w:val="16"/>
      </w:rPr>
    </w:sdtEndPr>
    <w:sdtContent>
      <w:p w:rsidR="005E1FC3" w:rsidRPr="009B6F84" w:rsidRDefault="005E1FC3">
        <w:pPr>
          <w:pStyle w:val="Footer"/>
          <w:rPr>
            <w:sz w:val="20"/>
          </w:rPr>
        </w:pPr>
        <w:r>
          <w:fldChar w:fldCharType="begin"/>
        </w:r>
        <w:r>
          <w:instrText xml:space="preserve"> PAGE   \* MERGEFORMAT </w:instrText>
        </w:r>
        <w:r>
          <w:fldChar w:fldCharType="separate"/>
        </w:r>
        <w:r w:rsidR="00F470C7">
          <w:rPr>
            <w:noProof/>
          </w:rPr>
          <w:t>4-0</w:t>
        </w:r>
        <w:r>
          <w:rPr>
            <w:noProof/>
          </w:rPr>
          <w:fldChar w:fldCharType="end"/>
        </w:r>
        <w:r>
          <w:rPr>
            <w:noProof/>
          </w:rPr>
          <w:t xml:space="preserve">  </w:t>
        </w:r>
        <w:r w:rsidRPr="008F78AD">
          <w:t>Attachment 4 – Value of imputation credits</w:t>
        </w:r>
        <w:r>
          <w:t xml:space="preserve"> </w:t>
        </w:r>
        <w:r w:rsidRPr="004523B2">
          <w:t xml:space="preserve">| </w:t>
        </w:r>
        <w:r>
          <w:t>AusNet Services distribution determination final decision</w:t>
        </w:r>
        <w:r w:rsidRPr="004523B2">
          <w:t xml:space="preserve"> 201</w:t>
        </w:r>
        <w:r>
          <w:t>6</w:t>
        </w:r>
        <w:r w:rsidRPr="004523B2">
          <w:t>–</w:t>
        </w:r>
        <w:r>
          <w:t>20</w:t>
        </w:r>
      </w:p>
    </w:sdtContent>
  </w:sdt>
  <w:p w:rsidR="005E1FC3" w:rsidRDefault="005E1FC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FC3" w:rsidRPr="00290C63" w:rsidRDefault="005E1FC3"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5E1FC3" w:rsidRDefault="005E1FC3">
    <w:pPr>
      <w:pStyle w:val="Footer"/>
    </w:pPr>
  </w:p>
  <w:p w:rsidR="005E1FC3" w:rsidRDefault="005E1FC3"/>
  <w:p w:rsidR="005E1FC3" w:rsidRDefault="005E1FC3"/>
  <w:p w:rsidR="005E1FC3" w:rsidRDefault="005E1FC3"/>
  <w:p w:rsidR="005E1FC3" w:rsidRDefault="005E1FC3"/>
  <w:p w:rsidR="005E1FC3" w:rsidRDefault="005E1FC3"/>
  <w:p w:rsidR="005E1FC3" w:rsidRDefault="005E1FC3"/>
  <w:p w:rsidR="005E1FC3" w:rsidRDefault="005E1FC3"/>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19438659"/>
      <w:docPartObj>
        <w:docPartGallery w:val="Page Numbers (Bottom of Page)"/>
        <w:docPartUnique/>
      </w:docPartObj>
    </w:sdtPr>
    <w:sdtEndPr/>
    <w:sdtContent>
      <w:p w:rsidR="005E1FC3" w:rsidRPr="00824CC8" w:rsidRDefault="005E1FC3" w:rsidP="005E1FC3">
        <w:pPr>
          <w:pStyle w:val="Footer"/>
        </w:pPr>
        <w:r w:rsidRPr="00824CC8">
          <w:fldChar w:fldCharType="begin"/>
        </w:r>
        <w:r w:rsidRPr="00824CC8">
          <w:instrText xml:space="preserve"> PAGE   \* MERGEFORMAT </w:instrText>
        </w:r>
        <w:r w:rsidRPr="00824CC8">
          <w:fldChar w:fldCharType="separate"/>
        </w:r>
        <w:r>
          <w:rPr>
            <w:noProof/>
          </w:rPr>
          <w:t>4-76</w:t>
        </w:r>
        <w:r w:rsidRPr="00824CC8">
          <w:fldChar w:fldCharType="end"/>
        </w:r>
        <w:r w:rsidRPr="00824CC8">
          <w:tab/>
        </w:r>
        <w:r>
          <w:t xml:space="preserve">                                              </w:t>
        </w:r>
        <w:r w:rsidRPr="000A7330">
          <w:rPr>
            <w:rStyle w:val="AERbody"/>
          </w:rPr>
          <w:t xml:space="preserve">Attachment </w:t>
        </w:r>
        <w:r>
          <w:rPr>
            <w:rStyle w:val="AERbody"/>
          </w:rPr>
          <w:t>4: Value of imputation credits</w:t>
        </w:r>
        <w:r w:rsidRPr="00305E37">
          <w:rPr>
            <w:rStyle w:val="AERbody"/>
          </w:rPr>
          <w:t xml:space="preserve"> | Ausgrid draft decision</w:t>
        </w:r>
      </w:p>
    </w:sdtContent>
  </w:sdt>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FC3" w:rsidRPr="00C97C1E" w:rsidRDefault="005E1FC3" w:rsidP="005E1FC3">
    <w:pPr>
      <w:pStyle w:val="Footer"/>
    </w:pPr>
    <w:r w:rsidRPr="00C97C1E">
      <w:fldChar w:fldCharType="begin"/>
    </w:r>
    <w:r w:rsidRPr="00C97C1E">
      <w:instrText xml:space="preserve"> PAGE   \* MERGEFORMAT </w:instrText>
    </w:r>
    <w:r w:rsidRPr="00C97C1E">
      <w:fldChar w:fldCharType="separate"/>
    </w:r>
    <w:r w:rsidR="00F470C7">
      <w:rPr>
        <w:noProof/>
      </w:rPr>
      <w:t>4-175</w:t>
    </w:r>
    <w:r w:rsidRPr="00C97C1E">
      <w:fldChar w:fldCharType="end"/>
    </w:r>
    <w:r w:rsidRPr="008303AA">
      <w:t xml:space="preserve">  </w:t>
    </w:r>
    <w:r w:rsidRPr="008F78AD">
      <w:t>Attachment 4 – Value of imputation credits</w:t>
    </w:r>
    <w:r>
      <w:t xml:space="preserve"> </w:t>
    </w:r>
    <w:r w:rsidRPr="004523B2">
      <w:t xml:space="preserve">| </w:t>
    </w:r>
    <w:r>
      <w:t>AusNet Services distribution determination final decision</w:t>
    </w:r>
    <w:r w:rsidRPr="004523B2">
      <w:t xml:space="preserve"> 201</w:t>
    </w:r>
    <w:r>
      <w:t>6</w:t>
    </w:r>
    <w:r w:rsidRPr="004523B2">
      <w:t>–</w:t>
    </w:r>
    <w:r>
      <w:t>20</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FC3" w:rsidRPr="00290C63" w:rsidRDefault="005E1FC3"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5E1FC3" w:rsidRDefault="005E1FC3"/>
  <w:p w:rsidR="005E1FC3" w:rsidRDefault="005E1FC3"/>
  <w:p w:rsidR="005E1FC3" w:rsidRDefault="005E1FC3"/>
  <w:p w:rsidR="005E1FC3" w:rsidRDefault="005E1FC3"/>
  <w:p w:rsidR="005E1FC3" w:rsidRDefault="005E1FC3"/>
  <w:p w:rsidR="005E1FC3" w:rsidRDefault="005E1FC3"/>
  <w:p w:rsidR="005E1FC3" w:rsidRDefault="005E1FC3"/>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FC3" w:rsidRPr="00290C63" w:rsidRDefault="005E1FC3"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5E1FC3" w:rsidRDefault="005E1FC3">
    <w:pPr>
      <w:pStyle w:val="Footer"/>
    </w:pPr>
  </w:p>
  <w:p w:rsidR="005E1FC3" w:rsidRDefault="005E1FC3"/>
  <w:p w:rsidR="005E1FC3" w:rsidRDefault="005E1FC3"/>
  <w:p w:rsidR="005E1FC3" w:rsidRDefault="005E1FC3"/>
  <w:p w:rsidR="005E1FC3" w:rsidRDefault="005E1FC3"/>
  <w:p w:rsidR="005E1FC3" w:rsidRDefault="005E1FC3"/>
  <w:p w:rsidR="005E1FC3" w:rsidRDefault="005E1FC3"/>
  <w:p w:rsidR="005E1FC3" w:rsidRDefault="005E1FC3"/>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1FC3" w:rsidRPr="00290C63" w:rsidRDefault="005E1FC3" w:rsidP="00290C63">
      <w:r>
        <w:separator/>
      </w:r>
    </w:p>
    <w:p w:rsidR="005E1FC3" w:rsidRDefault="005E1FC3"/>
  </w:footnote>
  <w:footnote w:type="continuationSeparator" w:id="0">
    <w:p w:rsidR="005E1FC3" w:rsidRPr="00290C63" w:rsidRDefault="005E1FC3" w:rsidP="00290C63">
      <w:r>
        <w:continuationSeparator/>
      </w:r>
    </w:p>
    <w:p w:rsidR="005E1FC3" w:rsidRDefault="005E1FC3"/>
  </w:footnote>
  <w:footnote w:id="1">
    <w:p w:rsidR="005E1FC3" w:rsidRDefault="005E1FC3" w:rsidP="001D37D5">
      <w:pPr>
        <w:pStyle w:val="FootnoteText"/>
      </w:pPr>
      <w:r>
        <w:rPr>
          <w:rStyle w:val="FootnoteReference"/>
        </w:rPr>
        <w:footnoteRef/>
      </w:r>
      <w:r>
        <w:t xml:space="preserve"> </w:t>
      </w:r>
      <w:r>
        <w:tab/>
      </w:r>
      <w:r w:rsidRPr="00890E69">
        <w:rPr>
          <w:rStyle w:val="AERtextitalic"/>
        </w:rPr>
        <w:t>Income Tax Assessment Act 1997</w:t>
      </w:r>
      <w:r>
        <w:t>, parts 3–6.</w:t>
      </w:r>
    </w:p>
  </w:footnote>
  <w:footnote w:id="2">
    <w:p w:rsidR="005E1FC3" w:rsidRDefault="005E1FC3" w:rsidP="001D37D5">
      <w:pPr>
        <w:pStyle w:val="FootnoteText"/>
      </w:pPr>
      <w:r>
        <w:rPr>
          <w:rStyle w:val="FootnoteReference"/>
        </w:rPr>
        <w:footnoteRef/>
      </w:r>
      <w:r>
        <w:t xml:space="preserve"> </w:t>
      </w:r>
      <w:r>
        <w:tab/>
        <w:t>While the return on equity is not reduced to take into account the value of imputation credits, we note our estimate of the market risk premium (MRP) does consider the value we use for imputation credits to ensure it reflects the value to investors in the domestic Australian market inclusive of credits.</w:t>
      </w:r>
    </w:p>
  </w:footnote>
  <w:footnote w:id="3">
    <w:p w:rsidR="005E1FC3" w:rsidRDefault="005E1FC3" w:rsidP="001D37D5">
      <w:pPr>
        <w:pStyle w:val="FootnoteText"/>
      </w:pPr>
      <w:r>
        <w:rPr>
          <w:rStyle w:val="FootnoteReference"/>
        </w:rPr>
        <w:footnoteRef/>
      </w:r>
      <w:r>
        <w:t xml:space="preserve"> </w:t>
      </w:r>
      <w:r>
        <w:tab/>
        <w:t>NER, cll. 6.4.3(a)(4), 6.4.3(b)(4), 6.5.3, 6A.5.4(a)(4), 6A.5.4(b)(4), 6A.6.4; NGR, rr. 76(c), 87A.</w:t>
      </w:r>
    </w:p>
  </w:footnote>
  <w:footnote w:id="4">
    <w:p w:rsidR="005E1FC3" w:rsidRDefault="005E1FC3" w:rsidP="001D37D5">
      <w:pPr>
        <w:pStyle w:val="FootnoteText"/>
      </w:pPr>
      <w:r>
        <w:rPr>
          <w:rStyle w:val="FootnoteReference"/>
        </w:rPr>
        <w:footnoteRef/>
      </w:r>
      <w:r>
        <w:t xml:space="preserve"> </w:t>
      </w:r>
      <w:r>
        <w:tab/>
        <w:t xml:space="preserve">See section </w:t>
      </w:r>
      <w:r>
        <w:fldChar w:fldCharType="begin"/>
      </w:r>
      <w:r>
        <w:instrText xml:space="preserve"> REF _Ref414621676 \r \h </w:instrText>
      </w:r>
      <w:r>
        <w:fldChar w:fldCharType="separate"/>
      </w:r>
      <w:r>
        <w:t>A.1</w:t>
      </w:r>
      <w:r>
        <w:fldChar w:fldCharType="end"/>
      </w:r>
      <w:r>
        <w:t xml:space="preserve"> of appendix A.</w:t>
      </w:r>
    </w:p>
  </w:footnote>
  <w:footnote w:id="5">
    <w:p w:rsidR="005E1FC3" w:rsidRDefault="005E1FC3" w:rsidP="001D37D5">
      <w:pPr>
        <w:pStyle w:val="FootnoteText"/>
      </w:pPr>
      <w:r>
        <w:rPr>
          <w:rStyle w:val="FootnoteReference"/>
        </w:rPr>
        <w:footnoteRef/>
      </w:r>
      <w:r>
        <w:t xml:space="preserve"> </w:t>
      </w:r>
      <w:r>
        <w:tab/>
        <w:t xml:space="preserve">The value of imputation credits must be between 0 and 1 because receiving an imputation credit cannot make an investor worse off, nor would an investor value an imputation credit more than its face value. </w:t>
      </w:r>
    </w:p>
  </w:footnote>
  <w:footnote w:id="6">
    <w:p w:rsidR="005E1FC3" w:rsidRDefault="005E1FC3" w:rsidP="001D37D5">
      <w:pPr>
        <w:pStyle w:val="FootnoteText"/>
      </w:pPr>
      <w:r>
        <w:rPr>
          <w:rStyle w:val="FootnoteReference"/>
        </w:rPr>
        <w:footnoteRef/>
      </w:r>
      <w:r>
        <w:t xml:space="preserve"> </w:t>
      </w:r>
      <w:r>
        <w:tab/>
        <w:t xml:space="preserve">The Officer framework is discussed in detail in section </w:t>
      </w:r>
      <w:r>
        <w:fldChar w:fldCharType="begin"/>
      </w:r>
      <w:r>
        <w:instrText xml:space="preserve"> REF _Ref400965182 \r \h </w:instrText>
      </w:r>
      <w:r>
        <w:fldChar w:fldCharType="separate"/>
      </w:r>
      <w:r>
        <w:t>A.6</w:t>
      </w:r>
      <w:r>
        <w:fldChar w:fldCharType="end"/>
      </w:r>
      <w:r>
        <w:t>.</w:t>
      </w:r>
    </w:p>
  </w:footnote>
  <w:footnote w:id="7">
    <w:p w:rsidR="005E1FC3" w:rsidRDefault="005E1FC3" w:rsidP="001D37D5">
      <w:pPr>
        <w:pStyle w:val="FootnoteText"/>
      </w:pPr>
      <w:r>
        <w:rPr>
          <w:rStyle w:val="FootnoteReference"/>
        </w:rPr>
        <w:footnoteRef/>
      </w:r>
      <w:r>
        <w:t xml:space="preserve"> </w:t>
      </w:r>
      <w:r>
        <w:tab/>
      </w:r>
      <w:r w:rsidRPr="00484B0E">
        <w:t>This means one dollar of claimed imputation credits has a post (company) tax value of one dollar to investors before personal taxes and personal transaction costs.</w:t>
      </w:r>
    </w:p>
  </w:footnote>
  <w:footnote w:id="8">
    <w:p w:rsidR="005E1FC3" w:rsidRDefault="005E1FC3" w:rsidP="001D37D5">
      <w:pPr>
        <w:pStyle w:val="FootnoteText"/>
      </w:pPr>
      <w:r>
        <w:rPr>
          <w:rStyle w:val="FootnoteReference"/>
        </w:rPr>
        <w:footnoteRef/>
      </w:r>
      <w:r>
        <w:t xml:space="preserve"> </w:t>
      </w:r>
      <w:r>
        <w:tab/>
        <w:t xml:space="preserve">In finance, the consistency principle requires that the definition of the cash flows in the numerator of a net present value (NPV) calculation must match the definition of the discount rate (or rate of return / cost of capital) in the denominator of the calculation (see </w:t>
      </w:r>
      <w:r w:rsidRPr="005A04E5">
        <w:t>Peirson, Brown, Easton, Howard</w:t>
      </w:r>
      <w:r>
        <w:t>,</w:t>
      </w:r>
      <w:r w:rsidRPr="005A04E5">
        <w:t xml:space="preserve"> Pinder, </w:t>
      </w:r>
      <w:r w:rsidRPr="0069770C">
        <w:rPr>
          <w:rStyle w:val="AERtextitalic"/>
        </w:rPr>
        <w:t>Business Finance</w:t>
      </w:r>
      <w:r w:rsidRPr="005A04E5">
        <w:t xml:space="preserve">, McGraw-Hill, </w:t>
      </w:r>
      <w:r>
        <w:t>Ed. 10</w:t>
      </w:r>
      <w:r w:rsidRPr="005A04E5">
        <w:t>,</w:t>
      </w:r>
      <w:r>
        <w:t xml:space="preserve"> 2009, p. 427). By maintaining this consistency principle, we provide a benchmark efficient entity with an </w:t>
      </w:r>
      <w:r w:rsidRPr="008C5136">
        <w:t>ex ante total return (inclusive of the value of imputation credits) commensurate with the efficient financing costs of a benchmark efficient entity.</w:t>
      </w:r>
    </w:p>
  </w:footnote>
  <w:footnote w:id="9">
    <w:p w:rsidR="005E1FC3" w:rsidRDefault="005E1FC3" w:rsidP="001D37D5">
      <w:pPr>
        <w:pStyle w:val="FootnoteText"/>
      </w:pPr>
      <w:r>
        <w:rPr>
          <w:rStyle w:val="FootnoteReference"/>
        </w:rPr>
        <w:footnoteRef/>
      </w:r>
      <w:r>
        <w:t xml:space="preserve"> </w:t>
      </w:r>
      <w:r>
        <w:tab/>
        <w:t xml:space="preserve">These sub-parameters are discussed further in section </w:t>
      </w:r>
      <w:r>
        <w:fldChar w:fldCharType="begin"/>
      </w:r>
      <w:r>
        <w:instrText xml:space="preserve"> REF _Ref451464892 \r \h </w:instrText>
      </w:r>
      <w:r>
        <w:fldChar w:fldCharType="separate"/>
      </w:r>
      <w:r>
        <w:t>4.4</w:t>
      </w:r>
      <w:r>
        <w:fldChar w:fldCharType="end"/>
      </w:r>
      <w:r>
        <w:t>.</w:t>
      </w:r>
    </w:p>
  </w:footnote>
  <w:footnote w:id="10">
    <w:p w:rsidR="005E1FC3" w:rsidRDefault="005E1FC3" w:rsidP="001D37D5">
      <w:pPr>
        <w:pStyle w:val="FootnoteText"/>
      </w:pPr>
      <w:r>
        <w:rPr>
          <w:rStyle w:val="FootnoteReference"/>
        </w:rPr>
        <w:footnoteRef/>
      </w:r>
      <w:r>
        <w:t xml:space="preserve"> </w:t>
      </w:r>
      <w:r>
        <w:tab/>
      </w:r>
      <w:r w:rsidRPr="00883125">
        <w:t xml:space="preserve">In this decision we use the terms </w:t>
      </w:r>
      <w:r>
        <w:t xml:space="preserve">theta, </w:t>
      </w:r>
      <w:r w:rsidRPr="00883125">
        <w:t>utilisation value and utilisation rate interchangeably to mean the same thing.</w:t>
      </w:r>
    </w:p>
  </w:footnote>
  <w:footnote w:id="11">
    <w:p w:rsidR="005E1FC3" w:rsidRDefault="005E1FC3" w:rsidP="001D37D5">
      <w:pPr>
        <w:pStyle w:val="FootnoteText"/>
      </w:pPr>
      <w:r>
        <w:rPr>
          <w:rStyle w:val="FootnoteReference"/>
        </w:rPr>
        <w:footnoteRef/>
      </w:r>
      <w:r>
        <w:t xml:space="preserve"> </w:t>
      </w:r>
      <w:r>
        <w:tab/>
        <w:t>For example, see</w:t>
      </w:r>
      <w:r w:rsidRPr="00A62662">
        <w:t xml:space="preserve"> </w:t>
      </w:r>
      <w:r>
        <w:t xml:space="preserve">Australian Competition Tribunal, </w:t>
      </w:r>
      <w:r w:rsidRPr="005772E3">
        <w:rPr>
          <w:rStyle w:val="AERtextitalic"/>
        </w:rPr>
        <w:t>Applications by Public Interest Advocacy Centre Ltd and Ausgrid [2016] ACompT 1</w:t>
      </w:r>
      <w:r>
        <w:t>, 26 February 2016, para 1(c).</w:t>
      </w:r>
    </w:p>
  </w:footnote>
  <w:footnote w:id="12">
    <w:p w:rsidR="005E1FC3" w:rsidRPr="009516BF" w:rsidRDefault="005E1FC3" w:rsidP="001D37D5">
      <w:pPr>
        <w:pStyle w:val="FootnoteText"/>
      </w:pPr>
      <w:r>
        <w:rPr>
          <w:rStyle w:val="FootnoteReference"/>
        </w:rPr>
        <w:footnoteRef/>
      </w:r>
      <w:r>
        <w:t xml:space="preserve"> </w:t>
      </w:r>
      <w:r>
        <w:tab/>
      </w:r>
      <w:r w:rsidRPr="005764F6">
        <w:t xml:space="preserve">United Energy, </w:t>
      </w:r>
      <w:r w:rsidRPr="00583683">
        <w:rPr>
          <w:rStyle w:val="AERtextitalic"/>
        </w:rPr>
        <w:t>Submission on AER preliminary determination - Submission on gamma</w:t>
      </w:r>
      <w:r w:rsidRPr="005764F6">
        <w:t xml:space="preserve">, 26 April 2016; CitiPower/Powercor, </w:t>
      </w:r>
      <w:r w:rsidRPr="00583683">
        <w:rPr>
          <w:rStyle w:val="AERtextitalic"/>
        </w:rPr>
        <w:t>Submission on implications of recent Australian Competition Tribunal Decision</w:t>
      </w:r>
      <w:r w:rsidRPr="005764F6">
        <w:t xml:space="preserve">, 18 April 2016; ActewAGL, </w:t>
      </w:r>
      <w:r w:rsidRPr="00583683">
        <w:rPr>
          <w:rStyle w:val="AERtextitalic"/>
        </w:rPr>
        <w:t>Implication of recent Tribunal decisions for final decision and updates to the allowed rate of return and forecast inflation estimate</w:t>
      </w:r>
      <w:r w:rsidRPr="005764F6">
        <w:t>, 12 May 2016.</w:t>
      </w:r>
    </w:p>
  </w:footnote>
  <w:footnote w:id="13">
    <w:p w:rsidR="005E1FC3" w:rsidRDefault="005E1FC3" w:rsidP="001D37D5">
      <w:pPr>
        <w:pStyle w:val="FootnoteText"/>
      </w:pPr>
      <w:r>
        <w:rPr>
          <w:rStyle w:val="FootnoteReference"/>
        </w:rPr>
        <w:footnoteRef/>
      </w:r>
      <w:r>
        <w:t xml:space="preserve"> </w:t>
      </w:r>
      <w:r>
        <w:tab/>
        <w:t>CitiPower and Powercor's submission covers most of the issues raised in United Energy's submission. See CitiPower and Powercor, CitiPower and Powercor 2016-2020 distribution determinations—Submission on implications of recent Australian Competition Tribunal decisions, 18 April 2016.</w:t>
      </w:r>
    </w:p>
  </w:footnote>
  <w:footnote w:id="14">
    <w:p w:rsidR="005E1FC3" w:rsidRDefault="005E1FC3" w:rsidP="001D37D5">
      <w:pPr>
        <w:pStyle w:val="FootnoteText"/>
      </w:pPr>
      <w:r>
        <w:rPr>
          <w:rStyle w:val="FootnoteReference"/>
        </w:rPr>
        <w:footnoteRef/>
      </w:r>
      <w:r>
        <w:t xml:space="preserve"> </w:t>
      </w:r>
      <w:r>
        <w:tab/>
      </w:r>
      <w:r w:rsidRPr="009A6FC1">
        <w:t>Lally, Gamma and the ACT Decision, May 2016.</w:t>
      </w:r>
    </w:p>
  </w:footnote>
  <w:footnote w:id="15">
    <w:p w:rsidR="005E1FC3" w:rsidRDefault="005E1FC3" w:rsidP="001D37D5">
      <w:pPr>
        <w:pStyle w:val="FootnoteText"/>
      </w:pPr>
      <w:r>
        <w:rPr>
          <w:rStyle w:val="FootnoteReference"/>
        </w:rPr>
        <w:footnoteRef/>
      </w:r>
      <w:r>
        <w:t xml:space="preserve"> </w:t>
      </w:r>
      <w:r>
        <w:tab/>
      </w:r>
      <w:r w:rsidRPr="009A6FC1">
        <w:t>Lally, Gamma and the ACT Decision, May 2016, pp. 18–20.</w:t>
      </w:r>
    </w:p>
  </w:footnote>
  <w:footnote w:id="16">
    <w:p w:rsidR="005E1FC3" w:rsidRDefault="005E1FC3" w:rsidP="001D37D5">
      <w:pPr>
        <w:pStyle w:val="FootnoteText"/>
      </w:pPr>
      <w:r>
        <w:rPr>
          <w:rStyle w:val="FootnoteReference"/>
        </w:rPr>
        <w:footnoteRef/>
      </w:r>
      <w:r>
        <w:t xml:space="preserve"> </w:t>
      </w:r>
      <w:r>
        <w:tab/>
      </w:r>
      <w:r w:rsidRPr="00297495">
        <w:t xml:space="preserve">Lally, </w:t>
      </w:r>
      <w:r w:rsidRPr="005764F6">
        <w:rPr>
          <w:rStyle w:val="AERtextitalic"/>
        </w:rPr>
        <w:t>Gamma and the ACT Decision</w:t>
      </w:r>
      <w:r w:rsidRPr="00297495">
        <w:t xml:space="preserve">, May 2016, p. </w:t>
      </w:r>
      <w:r>
        <w:t>5</w:t>
      </w:r>
      <w:r w:rsidRPr="00297495">
        <w:t>.</w:t>
      </w:r>
    </w:p>
  </w:footnote>
  <w:footnote w:id="17">
    <w:p w:rsidR="005E1FC3" w:rsidRDefault="005E1FC3" w:rsidP="001D37D5">
      <w:pPr>
        <w:pStyle w:val="FootnoteText"/>
      </w:pPr>
      <w:r>
        <w:rPr>
          <w:rStyle w:val="FootnoteReference"/>
        </w:rPr>
        <w:footnoteRef/>
      </w:r>
      <w:r>
        <w:t xml:space="preserve"> </w:t>
      </w:r>
      <w:r>
        <w:tab/>
      </w:r>
      <w:r w:rsidRPr="009A6FC1">
        <w:t>Lally, Gamma and the ACT Decision, May 2016, p. 22.</w:t>
      </w:r>
    </w:p>
  </w:footnote>
  <w:footnote w:id="18">
    <w:p w:rsidR="005E1FC3" w:rsidRDefault="005E1FC3" w:rsidP="001D37D5">
      <w:pPr>
        <w:pStyle w:val="FootnoteText"/>
      </w:pPr>
      <w:r>
        <w:rPr>
          <w:rStyle w:val="FootnoteReference"/>
        </w:rPr>
        <w:footnoteRef/>
      </w:r>
      <w:r>
        <w:t xml:space="preserve"> </w:t>
      </w:r>
      <w:r>
        <w:tab/>
      </w:r>
      <w:r w:rsidRPr="009A6FC1">
        <w:t>Australian Competition Tribunal, Application by Public Interest Advocacy Centre Ltd and Ausgrid [2016] ACompT 1, 26 February 2016, paras. 1048, 1090 and 1095.</w:t>
      </w:r>
    </w:p>
  </w:footnote>
  <w:footnote w:id="19">
    <w:p w:rsidR="005E1FC3" w:rsidRDefault="005E1FC3" w:rsidP="001D37D5">
      <w:pPr>
        <w:pStyle w:val="FootnoteText"/>
      </w:pPr>
      <w:r>
        <w:rPr>
          <w:rStyle w:val="FootnoteReference"/>
        </w:rPr>
        <w:footnoteRef/>
      </w:r>
      <w:r>
        <w:t xml:space="preserve"> </w:t>
      </w:r>
      <w:r>
        <w:tab/>
      </w:r>
      <w:r w:rsidRPr="009A6FC1">
        <w:t>Lally, Gamma and the ACT Decision, May 2016, p. 20.</w:t>
      </w:r>
    </w:p>
  </w:footnote>
  <w:footnote w:id="20">
    <w:p w:rsidR="005E1FC3" w:rsidRDefault="005E1FC3" w:rsidP="001D37D5">
      <w:pPr>
        <w:pStyle w:val="FootnoteText"/>
      </w:pPr>
      <w:r>
        <w:rPr>
          <w:rStyle w:val="FootnoteReference"/>
        </w:rPr>
        <w:footnoteRef/>
      </w:r>
      <w:r>
        <w:t xml:space="preserve"> </w:t>
      </w:r>
      <w:r>
        <w:tab/>
        <w:t xml:space="preserve">See </w:t>
      </w:r>
      <w:r w:rsidRPr="001B2D3D">
        <w:t xml:space="preserve">Lally, </w:t>
      </w:r>
      <w:r w:rsidRPr="005764F6">
        <w:rPr>
          <w:rStyle w:val="AERtextitalic"/>
        </w:rPr>
        <w:t>Gamma and the ACT Decision</w:t>
      </w:r>
      <w:r>
        <w:t>, May 2016, pp. 24–26</w:t>
      </w:r>
      <w:r w:rsidRPr="001B2D3D">
        <w:t>.</w:t>
      </w:r>
    </w:p>
  </w:footnote>
  <w:footnote w:id="21">
    <w:p w:rsidR="005E1FC3" w:rsidRDefault="005E1FC3" w:rsidP="001D37D5">
      <w:pPr>
        <w:pStyle w:val="FootnoteText"/>
      </w:pPr>
      <w:r>
        <w:rPr>
          <w:rStyle w:val="FootnoteReference"/>
        </w:rPr>
        <w:footnoteRef/>
      </w:r>
      <w:r>
        <w:t xml:space="preserve"> </w:t>
      </w:r>
      <w:r>
        <w:tab/>
      </w:r>
      <w:r w:rsidRPr="00714353">
        <w:t xml:space="preserve">This is because, in principle, the distribution rate is a firm specific parameter and the utilisation rate is a market wide parameter. </w:t>
      </w:r>
      <w:r>
        <w:t xml:space="preserve">See </w:t>
      </w:r>
      <w:r w:rsidRPr="00E0166D">
        <w:t xml:space="preserve">Lally, </w:t>
      </w:r>
      <w:r w:rsidRPr="005764F6">
        <w:rPr>
          <w:rStyle w:val="AERtextitalic"/>
        </w:rPr>
        <w:t>Gamma and the ACT Decision</w:t>
      </w:r>
      <w:r>
        <w:t>, May 2016, p. 25</w:t>
      </w:r>
      <w:r w:rsidRPr="00E0166D">
        <w:t>.</w:t>
      </w:r>
    </w:p>
  </w:footnote>
  <w:footnote w:id="22">
    <w:p w:rsidR="005E1FC3" w:rsidRDefault="005E1FC3" w:rsidP="001D37D5">
      <w:pPr>
        <w:pStyle w:val="FootnoteText"/>
      </w:pPr>
      <w:r>
        <w:rPr>
          <w:rStyle w:val="FootnoteReference"/>
        </w:rPr>
        <w:footnoteRef/>
      </w:r>
      <w:r>
        <w:t xml:space="preserve"> </w:t>
      </w:r>
      <w:r>
        <w:tab/>
      </w:r>
      <w:r w:rsidRPr="00E0166D">
        <w:t xml:space="preserve">Lally, </w:t>
      </w:r>
      <w:r w:rsidRPr="00886601">
        <w:rPr>
          <w:rStyle w:val="AERtextitalic"/>
        </w:rPr>
        <w:t>Gamma and the ACT Decision</w:t>
      </w:r>
      <w:r>
        <w:t>, May 2016, p. 4–6</w:t>
      </w:r>
      <w:r w:rsidRPr="00E0166D">
        <w:t>.</w:t>
      </w:r>
    </w:p>
  </w:footnote>
  <w:footnote w:id="23">
    <w:p w:rsidR="005E1FC3" w:rsidRDefault="005E1FC3" w:rsidP="001D37D5">
      <w:pPr>
        <w:pStyle w:val="FootnoteText"/>
      </w:pPr>
      <w:r>
        <w:rPr>
          <w:rStyle w:val="FootnoteReference"/>
        </w:rPr>
        <w:footnoteRef/>
      </w:r>
      <w:r>
        <w:t xml:space="preserve"> </w:t>
      </w:r>
      <w:r>
        <w:tab/>
      </w:r>
      <w:r w:rsidRPr="00F14413">
        <w:t xml:space="preserve">Lally, </w:t>
      </w:r>
      <w:r w:rsidRPr="005764F6">
        <w:rPr>
          <w:rStyle w:val="AERtextitalic"/>
        </w:rPr>
        <w:t>Gamma and the ACT Decision</w:t>
      </w:r>
      <w:r w:rsidRPr="00F14413">
        <w:t>, May 2016, p</w:t>
      </w:r>
      <w:r>
        <w:t>p. 3–6</w:t>
      </w:r>
      <w:r w:rsidRPr="00F14413">
        <w:t>.</w:t>
      </w:r>
    </w:p>
  </w:footnote>
  <w:footnote w:id="24">
    <w:p w:rsidR="005E1FC3" w:rsidRDefault="005E1FC3" w:rsidP="001D37D5">
      <w:pPr>
        <w:pStyle w:val="FootnoteText"/>
      </w:pPr>
      <w:r>
        <w:rPr>
          <w:rStyle w:val="FootnoteReference"/>
        </w:rPr>
        <w:footnoteRef/>
      </w:r>
      <w:r>
        <w:t xml:space="preserve"> </w:t>
      </w:r>
      <w:r>
        <w:tab/>
      </w:r>
      <w:r w:rsidRPr="005764F6">
        <w:t xml:space="preserve">Lally, </w:t>
      </w:r>
      <w:r w:rsidRPr="00583683">
        <w:rPr>
          <w:rStyle w:val="AERtextitalic"/>
        </w:rPr>
        <w:t>Gamma and the ACT Decision</w:t>
      </w:r>
      <w:r w:rsidRPr="005764F6">
        <w:t>, May 2016, p. 20.</w:t>
      </w:r>
    </w:p>
  </w:footnote>
  <w:footnote w:id="25">
    <w:p w:rsidR="005E1FC3" w:rsidRDefault="005E1FC3" w:rsidP="001D37D5">
      <w:pPr>
        <w:pStyle w:val="FootnoteText"/>
      </w:pPr>
      <w:r>
        <w:rPr>
          <w:rStyle w:val="FootnoteReference"/>
        </w:rPr>
        <w:footnoteRef/>
      </w:r>
      <w:r>
        <w:t xml:space="preserve"> </w:t>
      </w:r>
      <w:r>
        <w:tab/>
      </w:r>
      <w:r w:rsidRPr="005764F6">
        <w:t xml:space="preserve">Lally, </w:t>
      </w:r>
      <w:r w:rsidRPr="00583683">
        <w:rPr>
          <w:rStyle w:val="AERtextitalic"/>
        </w:rPr>
        <w:t>Gamma and the ACT Decision</w:t>
      </w:r>
      <w:r w:rsidRPr="005764F6">
        <w:t>, May 2016, pp. 19, 30.</w:t>
      </w:r>
    </w:p>
  </w:footnote>
  <w:footnote w:id="26">
    <w:p w:rsidR="005E1FC3" w:rsidRDefault="005E1FC3" w:rsidP="001D37D5">
      <w:pPr>
        <w:pStyle w:val="FootnoteText"/>
      </w:pPr>
      <w:r>
        <w:rPr>
          <w:rStyle w:val="FootnoteReference"/>
        </w:rPr>
        <w:footnoteRef/>
      </w:r>
      <w:r>
        <w:t xml:space="preserve"> </w:t>
      </w:r>
      <w:r>
        <w:tab/>
      </w:r>
      <w:r w:rsidRPr="005764F6">
        <w:t xml:space="preserve">Lally, </w:t>
      </w:r>
      <w:r w:rsidRPr="00583683">
        <w:rPr>
          <w:rStyle w:val="AERtextitalic"/>
        </w:rPr>
        <w:t>Gamma and the ACT Decision</w:t>
      </w:r>
      <w:r w:rsidRPr="005764F6">
        <w:t xml:space="preserve">, May 2016, p. 20. </w:t>
      </w:r>
      <w:r w:rsidRPr="00583683">
        <w:t>We note Lally considered the 0.45 from our previous decisions in his report. However, his analysis would hold with respect to our updated estimate from taxations statistics of 0.48.</w:t>
      </w:r>
    </w:p>
  </w:footnote>
  <w:footnote w:id="27">
    <w:p w:rsidR="005E1FC3" w:rsidRDefault="005E1FC3" w:rsidP="001D37D5">
      <w:pPr>
        <w:pStyle w:val="FootnoteText"/>
      </w:pPr>
      <w:r>
        <w:rPr>
          <w:rStyle w:val="FootnoteReference"/>
        </w:rPr>
        <w:footnoteRef/>
      </w:r>
      <w:r>
        <w:t xml:space="preserve"> </w:t>
      </w:r>
      <w:r>
        <w:tab/>
        <w:t xml:space="preserve">This relies on cumulative distribution rate based on FAB data being used which matches to the 0.48 tax statistic. </w:t>
      </w:r>
    </w:p>
  </w:footnote>
  <w:footnote w:id="28">
    <w:p w:rsidR="005E1FC3" w:rsidRDefault="005E1FC3" w:rsidP="001D37D5">
      <w:pPr>
        <w:pStyle w:val="FootnoteText"/>
      </w:pPr>
      <w:r>
        <w:rPr>
          <w:rStyle w:val="FootnoteReference"/>
        </w:rPr>
        <w:footnoteRef/>
      </w:r>
      <w:r>
        <w:t xml:space="preserve"> </w:t>
      </w:r>
      <w:r>
        <w:tab/>
        <w:t>This relies on cumulative distribution rate based on FAB data being used which matches to the 0.48 tax statistic.</w:t>
      </w:r>
    </w:p>
  </w:footnote>
  <w:footnote w:id="29">
    <w:p w:rsidR="005E1FC3" w:rsidRDefault="005E1FC3" w:rsidP="001D37D5">
      <w:pPr>
        <w:pStyle w:val="FootnoteText"/>
      </w:pPr>
      <w:r>
        <w:rPr>
          <w:rStyle w:val="FootnoteReference"/>
        </w:rPr>
        <w:footnoteRef/>
      </w:r>
      <w:r>
        <w:t xml:space="preserve"> </w:t>
      </w:r>
      <w:r>
        <w:tab/>
        <w:t>This relies on the distribution rate of the top 20 firms. Lally considers that financial statements are more reliable to estimate the distribution rate that ATO data.</w:t>
      </w:r>
    </w:p>
  </w:footnote>
  <w:footnote w:id="30">
    <w:p w:rsidR="005E1FC3" w:rsidRDefault="005E1FC3" w:rsidP="001D37D5">
      <w:pPr>
        <w:pStyle w:val="FootnoteText"/>
      </w:pPr>
      <w:r>
        <w:rPr>
          <w:rStyle w:val="FootnoteReference"/>
        </w:rPr>
        <w:footnoteRef/>
      </w:r>
      <w:r>
        <w:t xml:space="preserve"> </w:t>
      </w:r>
      <w:r>
        <w:tab/>
        <w:t>We note even if the FAB data is reliable and therefore we can use an estimate a of the  utilisation rate of around 0.48 (with uncertainty around it), the 0.48 point estimate still gives an estimate of 0.4 when combined with Lally preferred estimate of the distribution rate for the efficient benchmark entity of 0.83.</w:t>
      </w:r>
    </w:p>
  </w:footnote>
  <w:footnote w:id="31">
    <w:p w:rsidR="005E1FC3" w:rsidRDefault="005E1FC3" w:rsidP="001D37D5">
      <w:pPr>
        <w:pStyle w:val="FootnoteText"/>
      </w:pPr>
      <w:r>
        <w:rPr>
          <w:rStyle w:val="FootnoteReference"/>
        </w:rPr>
        <w:footnoteRef/>
      </w:r>
      <w:r>
        <w:t xml:space="preserve"> </w:t>
      </w:r>
      <w:r>
        <w:tab/>
      </w:r>
      <w:r w:rsidRPr="004E65F8">
        <w:t>N. Hathaway, Imputation credit redemption ATO data 1988–2011: Where have all the credits gone?, September 2013</w:t>
      </w:r>
      <w:r>
        <w:t>.</w:t>
      </w:r>
    </w:p>
  </w:footnote>
  <w:footnote w:id="32">
    <w:p w:rsidR="005E1FC3" w:rsidRPr="00AB0B17" w:rsidRDefault="005E1FC3" w:rsidP="001D37D5">
      <w:pPr>
        <w:pStyle w:val="FootnoteText"/>
      </w:pPr>
      <w:r>
        <w:rPr>
          <w:rStyle w:val="FootnoteReference"/>
        </w:rPr>
        <w:footnoteRef/>
      </w:r>
      <w:r>
        <w:t xml:space="preserve"> </w:t>
      </w:r>
      <w:r>
        <w:tab/>
      </w:r>
      <w:r w:rsidRPr="004E65F8">
        <w:t>N. Hathaway, Imputation credit redemption ATO data 1988–2011: Where have all the credits gone?, September 2013.</w:t>
      </w:r>
    </w:p>
  </w:footnote>
  <w:footnote w:id="33">
    <w:p w:rsidR="005E1FC3" w:rsidRDefault="005E1FC3" w:rsidP="001D37D5">
      <w:pPr>
        <w:pStyle w:val="FootnoteText"/>
      </w:pPr>
      <w:r>
        <w:rPr>
          <w:rStyle w:val="FootnoteReference"/>
        </w:rPr>
        <w:footnoteRef/>
      </w:r>
      <w:r>
        <w:t xml:space="preserve"> </w:t>
      </w:r>
      <w:r>
        <w:tab/>
      </w:r>
      <w:r w:rsidRPr="005764F6">
        <w:t xml:space="preserve">Lally, </w:t>
      </w:r>
      <w:r w:rsidRPr="00583683">
        <w:rPr>
          <w:rStyle w:val="AERtextitalic"/>
        </w:rPr>
        <w:t>Gamma and the ACT Decision</w:t>
      </w:r>
      <w:r>
        <w:t xml:space="preserve">, </w:t>
      </w:r>
      <w:r w:rsidRPr="005764F6">
        <w:t>May 2016, p. 29.</w:t>
      </w:r>
    </w:p>
  </w:footnote>
  <w:footnote w:id="34">
    <w:p w:rsidR="005E1FC3" w:rsidRDefault="005E1FC3" w:rsidP="001D37D5">
      <w:pPr>
        <w:pStyle w:val="FootnoteText"/>
      </w:pPr>
      <w:r>
        <w:rPr>
          <w:rStyle w:val="FootnoteReference"/>
        </w:rPr>
        <w:footnoteRef/>
      </w:r>
      <w:r>
        <w:t xml:space="preserve"> </w:t>
      </w:r>
      <w:r>
        <w:tab/>
      </w:r>
      <w:r w:rsidRPr="005764F6">
        <w:t xml:space="preserve">Lally, </w:t>
      </w:r>
      <w:r w:rsidRPr="00583683">
        <w:rPr>
          <w:rStyle w:val="AERtextitalic"/>
        </w:rPr>
        <w:t>Gamma and the ACT Decision</w:t>
      </w:r>
      <w:r>
        <w:t xml:space="preserve">, </w:t>
      </w:r>
      <w:r w:rsidRPr="005764F6">
        <w:t>May 2016, p. 26.</w:t>
      </w:r>
    </w:p>
  </w:footnote>
  <w:footnote w:id="35">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Also see AER, </w:t>
      </w:r>
      <w:r w:rsidRPr="00E82D06">
        <w:rPr>
          <w:rStyle w:val="AERtextitalic"/>
        </w:rPr>
        <w:t>Draft decision: Australian Gas Networks access arrangement 2016 to 2021—Attachment 4: Value of imputation credits</w:t>
      </w:r>
      <w:r>
        <w:t xml:space="preserve">, November 2015. </w:t>
      </w:r>
      <w:r w:rsidRPr="00F641BE">
        <w:t xml:space="preserve">In </w:t>
      </w:r>
      <w:r>
        <w:t>our</w:t>
      </w:r>
      <w:r w:rsidRPr="00F641BE">
        <w:t xml:space="preserve"> </w:t>
      </w:r>
      <w:r>
        <w:t xml:space="preserve">recent </w:t>
      </w:r>
      <w:r w:rsidRPr="00F641BE">
        <w:t>decisions, we broadly maintained the approach we set out in the Guideline, although a re-examination of the evidence resulted in us choosing a value for imputation credits of 0.4.</w:t>
      </w:r>
    </w:p>
  </w:footnote>
  <w:footnote w:id="36">
    <w:p w:rsidR="005E1FC3" w:rsidRDefault="005E1FC3" w:rsidP="001D37D5">
      <w:pPr>
        <w:pStyle w:val="FootnoteText"/>
      </w:pPr>
      <w:r>
        <w:rPr>
          <w:rStyle w:val="FootnoteReference"/>
        </w:rPr>
        <w:footnoteRef/>
      </w:r>
      <w:r>
        <w:t xml:space="preserve"> </w:t>
      </w:r>
      <w:r>
        <w:tab/>
        <w:t xml:space="preserve">AusNet Electricity Services, </w:t>
      </w:r>
      <w:r w:rsidRPr="005764F6">
        <w:rPr>
          <w:rStyle w:val="AERtextitalic"/>
        </w:rPr>
        <w:t>Revised Regulatory Proposal</w:t>
      </w:r>
      <w:r>
        <w:t>, January 2016, p. 7-107.</w:t>
      </w:r>
      <w:r w:rsidRPr="00577F31">
        <w:t xml:space="preserve"> </w:t>
      </w:r>
      <w:r w:rsidRPr="00883125">
        <w:t xml:space="preserve">This is consistent with </w:t>
      </w:r>
      <w:r>
        <w:t>its</w:t>
      </w:r>
      <w:r w:rsidRPr="00883125">
        <w:t xml:space="preserve"> initial proposal and the value in its current access arrangement</w:t>
      </w:r>
      <w:r>
        <w:t>.</w:t>
      </w:r>
    </w:p>
  </w:footnote>
  <w:footnote w:id="37">
    <w:p w:rsidR="005E1FC3" w:rsidRDefault="005E1FC3" w:rsidP="001D37D5">
      <w:pPr>
        <w:pStyle w:val="FootnoteText"/>
      </w:pPr>
      <w:r>
        <w:rPr>
          <w:rStyle w:val="FootnoteReference"/>
        </w:rPr>
        <w:footnoteRef/>
      </w:r>
      <w:r>
        <w:t xml:space="preserve"> </w:t>
      </w:r>
      <w:r>
        <w:tab/>
        <w:t xml:space="preserve">Frontier Economics, </w:t>
      </w:r>
      <w:r>
        <w:rPr>
          <w:rStyle w:val="AERtextitalic"/>
        </w:rPr>
        <w:t>The appropriate use of tax statistics when estimating gamma</w:t>
      </w:r>
      <w:r>
        <w:t>, January 2016, p. 30.</w:t>
      </w:r>
    </w:p>
  </w:footnote>
  <w:footnote w:id="38">
    <w:p w:rsidR="005E1FC3" w:rsidRDefault="005E1FC3" w:rsidP="001D37D5">
      <w:pPr>
        <w:pStyle w:val="FootnoteText"/>
      </w:pPr>
      <w:r>
        <w:rPr>
          <w:rStyle w:val="FootnoteReference"/>
        </w:rPr>
        <w:footnoteRef/>
      </w:r>
      <w:r>
        <w:t xml:space="preserve"> </w:t>
      </w:r>
      <w:r>
        <w:tab/>
        <w:t xml:space="preserve">SFG, </w:t>
      </w:r>
      <w:r w:rsidRPr="002B2BAB">
        <w:rPr>
          <w:rStyle w:val="AERtextitalic"/>
        </w:rPr>
        <w:t>Updated dividend drop-off estimate of theta</w:t>
      </w:r>
      <w:r>
        <w:rPr>
          <w:rStyle w:val="AERtextitalic"/>
        </w:rPr>
        <w:t>: Report for the Energy Networks Association</w:t>
      </w:r>
      <w:r>
        <w:t>, 7 </w:t>
      </w:r>
      <w:r w:rsidRPr="00B86472">
        <w:t>June 2013.</w:t>
      </w:r>
      <w:r>
        <w:t xml:space="preserve"> Dividend drop off studies are explained in section </w:t>
      </w:r>
      <w:r>
        <w:fldChar w:fldCharType="begin"/>
      </w:r>
      <w:r>
        <w:instrText xml:space="preserve"> REF _Ref402791521 \r \h </w:instrText>
      </w:r>
      <w:r>
        <w:fldChar w:fldCharType="separate"/>
      </w:r>
      <w:r>
        <w:t>A.15.1</w:t>
      </w:r>
      <w:r>
        <w:fldChar w:fldCharType="end"/>
      </w:r>
      <w:r>
        <w:t>.</w:t>
      </w:r>
    </w:p>
  </w:footnote>
  <w:footnote w:id="39">
    <w:p w:rsidR="005E1FC3" w:rsidRDefault="005E1FC3" w:rsidP="001D37D5">
      <w:pPr>
        <w:pStyle w:val="FootnoteText"/>
      </w:pPr>
      <w:r>
        <w:rPr>
          <w:rStyle w:val="FootnoteReference"/>
        </w:rPr>
        <w:footnoteRef/>
      </w:r>
      <w:r>
        <w:t xml:space="preserve"> </w:t>
      </w:r>
      <w:r>
        <w:tab/>
        <w:t xml:space="preserve">These service providers are: </w:t>
      </w:r>
      <w:r w:rsidRPr="00577F31">
        <w:t>ActewAGL, Ausgrid, Directlink, Endeavour Energy, Essential Energy, Jemena Gas Networks (JGN), TransGrid, SA Power Networks, Energex, Ergon Energy, AusNet Services, CitiPower, Powercor, Jemena Electricity Networks (JEN), ActewAGL Distribution, Australian Gas Networks, and APT Pipeline (NT) Pty Ltd (APTNT)</w:t>
      </w:r>
      <w:r>
        <w:t>.</w:t>
      </w:r>
    </w:p>
  </w:footnote>
  <w:footnote w:id="40">
    <w:p w:rsidR="005E1FC3" w:rsidRDefault="005E1FC3" w:rsidP="001D37D5">
      <w:pPr>
        <w:pStyle w:val="FootnoteText"/>
      </w:pPr>
      <w:r>
        <w:rPr>
          <w:rStyle w:val="FootnoteReference"/>
        </w:rPr>
        <w:footnoteRef/>
      </w:r>
      <w:r>
        <w:t xml:space="preserve"> </w:t>
      </w:r>
      <w:r>
        <w:tab/>
        <w:t xml:space="preserve">Frontier Economics, </w:t>
      </w:r>
      <w:r w:rsidRPr="00692859">
        <w:rPr>
          <w:rStyle w:val="AERtextitalic"/>
        </w:rPr>
        <w:t>The appropriate use of tax statistics when estimating gamma</w:t>
      </w:r>
      <w:r>
        <w:t xml:space="preserve">, January 2016; Frontier Economics, </w:t>
      </w:r>
      <w:r w:rsidRPr="00D14DE4">
        <w:rPr>
          <w:rStyle w:val="AERtextitalic"/>
        </w:rPr>
        <w:t>An appropriate regulatory estimate of gamma</w:t>
      </w:r>
      <w:r>
        <w:t xml:space="preserve">, June 2015; NERA Economic Consulting, </w:t>
      </w:r>
      <w:r w:rsidRPr="005764F6">
        <w:rPr>
          <w:rStyle w:val="AERtextitalic"/>
        </w:rPr>
        <w:t>Estimating Distribution and Redemption Rates: Response to the AER's Final Decisions for the NSW and ACT Electricity Distributors, and for Jemena Gas Networks</w:t>
      </w:r>
      <w:r>
        <w:t>, June 2015.</w:t>
      </w:r>
    </w:p>
  </w:footnote>
  <w:footnote w:id="41">
    <w:p w:rsidR="005E1FC3" w:rsidRDefault="005E1FC3" w:rsidP="001D37D5">
      <w:pPr>
        <w:pStyle w:val="FootnoteText"/>
      </w:pPr>
      <w:r>
        <w:rPr>
          <w:rStyle w:val="FootnoteReference"/>
        </w:rPr>
        <w:footnoteRef/>
      </w:r>
      <w:r>
        <w:t xml:space="preserve"> </w:t>
      </w:r>
      <w:r>
        <w:tab/>
        <w:t>NER, cll. 6.5.3, 6A.6.4; NGR, r. 87A.</w:t>
      </w:r>
    </w:p>
  </w:footnote>
  <w:footnote w:id="42">
    <w:p w:rsidR="005E1FC3" w:rsidRDefault="005E1FC3" w:rsidP="001D37D5">
      <w:pPr>
        <w:pStyle w:val="FootnoteText"/>
      </w:pPr>
      <w:r>
        <w:rPr>
          <w:rStyle w:val="FootnoteReference"/>
        </w:rPr>
        <w:footnoteRef/>
      </w:r>
      <w:r>
        <w:t xml:space="preserve"> </w:t>
      </w:r>
      <w:r>
        <w:tab/>
        <w:t>NER, cll. 6.5.2(d)(2), 6A.6.2(d)(2); NGR, r. 87(4)(b).</w:t>
      </w:r>
    </w:p>
  </w:footnote>
  <w:footnote w:id="43">
    <w:p w:rsidR="005E1FC3" w:rsidRDefault="005E1FC3" w:rsidP="001D37D5">
      <w:pPr>
        <w:pStyle w:val="FootnoteText"/>
      </w:pPr>
      <w:r>
        <w:rPr>
          <w:rStyle w:val="FootnoteReference"/>
        </w:rPr>
        <w:footnoteRef/>
      </w:r>
      <w:r>
        <w:t xml:space="preserve"> </w:t>
      </w:r>
      <w:r>
        <w:tab/>
      </w:r>
      <w:r w:rsidRPr="00800E44">
        <w:t xml:space="preserve">R. Officer, 'The cost of capital of a company under an imputation system', </w:t>
      </w:r>
      <w:r>
        <w:rPr>
          <w:rStyle w:val="AERtextitalic"/>
        </w:rPr>
        <w:t>Accounting and f</w:t>
      </w:r>
      <w:r w:rsidRPr="00800E44">
        <w:rPr>
          <w:rStyle w:val="AERtextitalic"/>
        </w:rPr>
        <w:t>inance</w:t>
      </w:r>
      <w:r w:rsidRPr="00800E44">
        <w:t>, vol. 34(1), May 1994,</w:t>
      </w:r>
      <w:r>
        <w:t xml:space="preserve"> </w:t>
      </w:r>
      <w:r w:rsidRPr="00800E44">
        <w:t>pp. 1–17.</w:t>
      </w:r>
    </w:p>
  </w:footnote>
  <w:footnote w:id="44">
    <w:p w:rsidR="005E1FC3" w:rsidRDefault="005E1FC3" w:rsidP="001D37D5">
      <w:pPr>
        <w:pStyle w:val="FootnoteText"/>
      </w:pPr>
      <w:r>
        <w:rPr>
          <w:rStyle w:val="FootnoteReference"/>
        </w:rPr>
        <w:footnoteRef/>
      </w:r>
      <w:r>
        <w:t xml:space="preserve"> </w:t>
      </w:r>
      <w:r>
        <w:tab/>
      </w:r>
      <w:r w:rsidRPr="00800E44">
        <w:t xml:space="preserve">R. Officer, 'The cost of capital of a company under an imputation system', </w:t>
      </w:r>
      <w:r>
        <w:rPr>
          <w:rStyle w:val="AERtextitalic"/>
        </w:rPr>
        <w:t>Accounting and f</w:t>
      </w:r>
      <w:r w:rsidRPr="00800E44">
        <w:rPr>
          <w:rStyle w:val="AERtextitalic"/>
        </w:rPr>
        <w:t>inance</w:t>
      </w:r>
      <w:r w:rsidRPr="00800E44">
        <w:t>, vol. 34(1), May 1994,</w:t>
      </w:r>
      <w:r>
        <w:t xml:space="preserve"> equation 2</w:t>
      </w:r>
      <w:r w:rsidRPr="00800E44">
        <w:t>.</w:t>
      </w:r>
    </w:p>
  </w:footnote>
  <w:footnote w:id="45">
    <w:p w:rsidR="005E1FC3" w:rsidRDefault="005E1FC3" w:rsidP="001D37D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pp. 7–8.</w:t>
      </w:r>
    </w:p>
  </w:footnote>
  <w:footnote w:id="46">
    <w:p w:rsidR="005E1FC3" w:rsidRDefault="005E1FC3" w:rsidP="001D37D5">
      <w:pPr>
        <w:pStyle w:val="FootnoteText"/>
      </w:pPr>
      <w:r>
        <w:rPr>
          <w:rStyle w:val="FootnoteReference"/>
        </w:rPr>
        <w:footnoteRef/>
      </w:r>
      <w:r>
        <w:t xml:space="preserve"> </w:t>
      </w:r>
      <w:r>
        <w:tab/>
        <w:t xml:space="preserve">SFG, </w:t>
      </w:r>
      <w:r w:rsidRPr="007C38AD">
        <w:rPr>
          <w:rStyle w:val="AERtextitalic"/>
        </w:rPr>
        <w:t>Response to submissions on rule change proposals, Report for the AEMC</w:t>
      </w:r>
      <w:r>
        <w:t>, 5 November 2012, para. 2.</w:t>
      </w:r>
    </w:p>
  </w:footnote>
  <w:footnote w:id="47">
    <w:p w:rsidR="005E1FC3" w:rsidRDefault="005E1FC3" w:rsidP="001D37D5">
      <w:pPr>
        <w:pStyle w:val="FootnoteText"/>
      </w:pPr>
      <w:r>
        <w:rPr>
          <w:rStyle w:val="FootnoteReference"/>
        </w:rPr>
        <w:footnoteRef/>
      </w:r>
      <w:r>
        <w:t xml:space="preserve"> </w:t>
      </w:r>
      <w:r>
        <w:tab/>
        <w:t xml:space="preserve">ENA, </w:t>
      </w:r>
      <w:r>
        <w:rPr>
          <w:rStyle w:val="AERtextitalic"/>
        </w:rPr>
        <w:t>Response to the D</w:t>
      </w:r>
      <w:r w:rsidRPr="0006219D">
        <w:rPr>
          <w:rStyle w:val="AERtextitalic"/>
        </w:rPr>
        <w:t xml:space="preserve">raft </w:t>
      </w:r>
      <w:r>
        <w:rPr>
          <w:rStyle w:val="AERtextitalic"/>
        </w:rPr>
        <w:t>R</w:t>
      </w:r>
      <w:r w:rsidRPr="0006219D">
        <w:rPr>
          <w:rStyle w:val="AERtextitalic"/>
        </w:rPr>
        <w:t xml:space="preserve">ate of </w:t>
      </w:r>
      <w:r>
        <w:rPr>
          <w:rStyle w:val="AERtextitalic"/>
        </w:rPr>
        <w:t>R</w:t>
      </w:r>
      <w:r w:rsidRPr="0006219D">
        <w:rPr>
          <w:rStyle w:val="AERtextitalic"/>
        </w:rPr>
        <w:t xml:space="preserve">eturn </w:t>
      </w:r>
      <w:r>
        <w:rPr>
          <w:rStyle w:val="AERtextitalic"/>
        </w:rPr>
        <w:t>G</w:t>
      </w:r>
      <w:r w:rsidRPr="0006219D">
        <w:rPr>
          <w:rStyle w:val="AERtextitalic"/>
        </w:rPr>
        <w:t>uideline of the Australian Energy Regulator</w:t>
      </w:r>
      <w:r>
        <w:t xml:space="preserve">, 11 October 2013, p. 49. </w:t>
      </w:r>
    </w:p>
  </w:footnote>
  <w:footnote w:id="48">
    <w:p w:rsidR="005E1FC3" w:rsidRDefault="005E1FC3" w:rsidP="001D37D5">
      <w:pPr>
        <w:pStyle w:val="FootnoteText"/>
      </w:pPr>
      <w:r>
        <w:rPr>
          <w:rStyle w:val="FootnoteReference"/>
        </w:rPr>
        <w:footnoteRef/>
      </w:r>
      <w:r>
        <w:t xml:space="preserve"> </w:t>
      </w:r>
      <w:r>
        <w:tab/>
        <w:t>NER, cll. 6.5.2, 6A.6.2;</w:t>
      </w:r>
      <w:r w:rsidRPr="0042735A">
        <w:t xml:space="preserve"> </w:t>
      </w:r>
      <w:r>
        <w:t>NGR, r. 87.</w:t>
      </w:r>
    </w:p>
  </w:footnote>
  <w:footnote w:id="49">
    <w:p w:rsidR="005E1FC3" w:rsidRDefault="005E1FC3" w:rsidP="001D37D5">
      <w:pPr>
        <w:pStyle w:val="FootnoteText"/>
      </w:pPr>
      <w:r>
        <w:rPr>
          <w:rStyle w:val="FootnoteReference"/>
        </w:rPr>
        <w:footnoteRef/>
      </w:r>
      <w:r>
        <w:t xml:space="preserve"> </w:t>
      </w:r>
      <w:r>
        <w:tab/>
        <w:t xml:space="preserve">For a detailed discussion of the Officer framework, see: </w:t>
      </w:r>
      <w:r w:rsidRPr="00582678">
        <w:t xml:space="preserve">J. Handley, </w:t>
      </w:r>
      <w:r w:rsidRPr="00582678">
        <w:rPr>
          <w:rStyle w:val="AERtextitalic"/>
        </w:rPr>
        <w:t>Report prepared for the Australian Energy Regulator: Advice on the value of imputation credits</w:t>
      </w:r>
      <w:r w:rsidRPr="00582678">
        <w:t>, 29 September 2014</w:t>
      </w:r>
      <w:r>
        <w:t>, pp. 7–12.</w:t>
      </w:r>
    </w:p>
  </w:footnote>
  <w:footnote w:id="50">
    <w:p w:rsidR="005E1FC3" w:rsidRDefault="005E1FC3" w:rsidP="001D37D5">
      <w:pPr>
        <w:pStyle w:val="FootnoteText"/>
      </w:pPr>
      <w:r>
        <w:rPr>
          <w:rStyle w:val="FootnoteReference"/>
        </w:rPr>
        <w:footnoteRef/>
      </w:r>
      <w:r>
        <w:tab/>
        <w:t>NEL, s. 16(1)(a); NGL, s. 28(1)(a).</w:t>
      </w:r>
    </w:p>
  </w:footnote>
  <w:footnote w:id="51">
    <w:p w:rsidR="005E1FC3" w:rsidRDefault="005E1FC3" w:rsidP="001D37D5">
      <w:pPr>
        <w:pStyle w:val="FootnoteText"/>
      </w:pPr>
      <w:r>
        <w:rPr>
          <w:rStyle w:val="FootnoteReference"/>
        </w:rPr>
        <w:footnoteRef/>
      </w:r>
      <w:r>
        <w:t xml:space="preserve"> </w:t>
      </w:r>
      <w:r>
        <w:tab/>
        <w:t>Although the term 'personal' is used, we note that classes of investors other than individual persons can value imputation credits (for example, superannuation funds and charities). Therefore, an alternative characterisation might be 'before-investor-tax' and 'before-investor-costs'.</w:t>
      </w:r>
    </w:p>
  </w:footnote>
  <w:footnote w:id="52">
    <w:p w:rsidR="005E1FC3" w:rsidRDefault="005E1FC3" w:rsidP="001D37D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5.</w:t>
      </w:r>
    </w:p>
  </w:footnote>
  <w:footnote w:id="53">
    <w:p w:rsidR="005E1FC3" w:rsidRDefault="005E1FC3" w:rsidP="001D37D5">
      <w:pPr>
        <w:pStyle w:val="FootnoteText"/>
      </w:pPr>
      <w:r>
        <w:rPr>
          <w:rStyle w:val="FootnoteReference"/>
        </w:rPr>
        <w:footnoteRef/>
      </w:r>
      <w:r>
        <w:tab/>
        <w:t>NEL, s. 16(1)(a); NGL, s. 28(1)(a).</w:t>
      </w:r>
    </w:p>
  </w:footnote>
  <w:footnote w:id="54">
    <w:p w:rsidR="005E1FC3" w:rsidRDefault="005E1FC3" w:rsidP="001D37D5">
      <w:pPr>
        <w:pStyle w:val="FootnoteText"/>
      </w:pPr>
      <w:r>
        <w:rPr>
          <w:rStyle w:val="FootnoteReference"/>
        </w:rPr>
        <w:footnoteRef/>
      </w:r>
      <w:r>
        <w:t xml:space="preserve"> </w:t>
      </w:r>
      <w:r>
        <w:tab/>
        <w:t>NEL, s. 16(2)(a)(i); NGL, s. 28(2)(a)(i).</w:t>
      </w:r>
    </w:p>
  </w:footnote>
  <w:footnote w:id="55">
    <w:p w:rsidR="005E1FC3" w:rsidRDefault="005E1FC3" w:rsidP="001D37D5">
      <w:pPr>
        <w:pStyle w:val="FootnoteText"/>
      </w:pPr>
      <w:r>
        <w:rPr>
          <w:rStyle w:val="FootnoteReference"/>
        </w:rPr>
        <w:footnoteRef/>
      </w:r>
      <w:r>
        <w:t xml:space="preserve"> </w:t>
      </w:r>
      <w:r>
        <w:tab/>
        <w:t>NEL, ss. 7A(2)–(7); NGL, ss. 24(2)–(7).</w:t>
      </w:r>
    </w:p>
  </w:footnote>
  <w:footnote w:id="56">
    <w:p w:rsidR="005E1FC3" w:rsidRDefault="005E1FC3" w:rsidP="001D37D5">
      <w:pPr>
        <w:pStyle w:val="FootnoteText"/>
      </w:pPr>
      <w:r>
        <w:rPr>
          <w:rStyle w:val="FootnoteReference"/>
        </w:rPr>
        <w:footnoteRef/>
      </w:r>
      <w:r>
        <w:t xml:space="preserve"> </w:t>
      </w:r>
      <w:r>
        <w:tab/>
        <w:t xml:space="preserve">The requirements to make and publish the Guideline are set out in: NER, cls. 6.5.2(m) and 6A.6.2(m); NGR, r. 87(13). </w:t>
      </w:r>
      <w:r w:rsidRPr="004B0617">
        <w:t xml:space="preserve">The </w:t>
      </w:r>
      <w:r>
        <w:t>Guideline</w:t>
      </w:r>
      <w:r w:rsidRPr="004B0617">
        <w:t xml:space="preserve"> is available at: </w:t>
      </w:r>
      <w:r w:rsidRPr="00F8556F">
        <w:t>http://www.aer.gov.au/node/18859</w:t>
      </w:r>
      <w:r>
        <w:t>.</w:t>
      </w:r>
    </w:p>
  </w:footnote>
  <w:footnote w:id="57">
    <w:p w:rsidR="005E1FC3" w:rsidRDefault="005E1FC3" w:rsidP="001D37D5">
      <w:pPr>
        <w:pStyle w:val="FootnoteText"/>
      </w:pPr>
      <w:r>
        <w:rPr>
          <w:rStyle w:val="FootnoteReference"/>
        </w:rPr>
        <w:footnoteRef/>
      </w:r>
      <w:r>
        <w:t xml:space="preserve"> </w:t>
      </w:r>
      <w:r>
        <w:tab/>
        <w:t>NER, cll. 6.5.2(n</w:t>
      </w:r>
      <w:r w:rsidRPr="0090536E">
        <w:t>)</w:t>
      </w:r>
      <w:r>
        <w:t>,</w:t>
      </w:r>
      <w:r w:rsidRPr="0090536E">
        <w:t xml:space="preserve"> </w:t>
      </w:r>
      <w:r>
        <w:t>6A.6.2(n); NGR, r. 87(14).</w:t>
      </w:r>
    </w:p>
  </w:footnote>
  <w:footnote w:id="58">
    <w:p w:rsidR="005E1FC3" w:rsidRDefault="005E1FC3" w:rsidP="001D37D5">
      <w:pPr>
        <w:pStyle w:val="FootnoteText"/>
      </w:pPr>
      <w:r>
        <w:rPr>
          <w:rStyle w:val="FootnoteReference"/>
        </w:rPr>
        <w:footnoteRef/>
      </w:r>
      <w:r>
        <w:t xml:space="preserve"> </w:t>
      </w:r>
      <w:r>
        <w:tab/>
        <w:t xml:space="preserve">NER, cll. </w:t>
      </w:r>
      <w:r w:rsidRPr="001E5B06">
        <w:t>6.5.2(n)</w:t>
      </w:r>
      <w:r>
        <w:t>(2), 6.A.6.2(n)(2); NGR, r. 87(14)(b).</w:t>
      </w:r>
    </w:p>
  </w:footnote>
  <w:footnote w:id="59">
    <w:p w:rsidR="005E1FC3" w:rsidRDefault="005E1FC3" w:rsidP="001D37D5">
      <w:pPr>
        <w:pStyle w:val="FootnoteText"/>
      </w:pPr>
      <w:r>
        <w:rPr>
          <w:rStyle w:val="FootnoteReference"/>
        </w:rPr>
        <w:footnoteRef/>
      </w:r>
      <w:r>
        <w:t xml:space="preserve"> </w:t>
      </w:r>
      <w:r>
        <w:tab/>
        <w:t>NER, cll. 6.2.8(c), 6A.2.3(c); NGR, r. 87(18).</w:t>
      </w:r>
    </w:p>
  </w:footnote>
  <w:footnote w:id="60">
    <w:p w:rsidR="005E1FC3" w:rsidRDefault="005E1FC3" w:rsidP="001D37D5">
      <w:pPr>
        <w:pStyle w:val="FootnoteText"/>
      </w:pPr>
      <w:r>
        <w:rPr>
          <w:rStyle w:val="FootnoteReference"/>
        </w:rPr>
        <w:footnoteRef/>
      </w:r>
      <w:r>
        <w:t xml:space="preserve"> </w:t>
      </w:r>
      <w:r>
        <w:tab/>
        <w:t xml:space="preserve">NER, ss. </w:t>
      </w:r>
      <w:r w:rsidRPr="00A609E3">
        <w:t>S6.1.3</w:t>
      </w:r>
      <w:r>
        <w:t>(9)–(9B), S6A.1.3(4)(vi),(4A)–(4C); NGR, r. 72(1)(g).</w:t>
      </w:r>
    </w:p>
  </w:footnote>
  <w:footnote w:id="61">
    <w:p w:rsidR="005E1FC3" w:rsidRDefault="005E1FC3" w:rsidP="001D37D5">
      <w:pPr>
        <w:pStyle w:val="FootnoteText"/>
      </w:pPr>
      <w:r>
        <w:rPr>
          <w:rStyle w:val="FootnoteReference"/>
        </w:rPr>
        <w:footnoteRef/>
      </w:r>
      <w:r>
        <w:t xml:space="preserve"> </w:t>
      </w:r>
      <w:r>
        <w:tab/>
      </w:r>
      <w:r w:rsidRPr="007646B1">
        <w:t xml:space="preserve">AER, </w:t>
      </w:r>
      <w:r w:rsidRPr="007646B1">
        <w:rPr>
          <w:rStyle w:val="AERtextitalic"/>
        </w:rPr>
        <w:t xml:space="preserve">Better </w:t>
      </w:r>
      <w:r>
        <w:rPr>
          <w:rStyle w:val="AERtextitalic"/>
        </w:rPr>
        <w:t>Regulation:</w:t>
      </w:r>
      <w:r w:rsidRPr="007646B1">
        <w:rPr>
          <w:rStyle w:val="AERtextitalic"/>
        </w:rPr>
        <w:t xml:space="preserve"> </w:t>
      </w:r>
      <w:r>
        <w:rPr>
          <w:rStyle w:val="AERtextitalic"/>
        </w:rPr>
        <w:t>R</w:t>
      </w:r>
      <w:r w:rsidRPr="007646B1">
        <w:rPr>
          <w:rStyle w:val="AERtextitalic"/>
        </w:rPr>
        <w:t>ate</w:t>
      </w:r>
      <w:r>
        <w:rPr>
          <w:rStyle w:val="AERtextitalic"/>
        </w:rPr>
        <w:t xml:space="preserve"> of Return Guideline</w:t>
      </w:r>
      <w:r w:rsidRPr="007646B1">
        <w:t>, December 2013</w:t>
      </w:r>
      <w:r>
        <w:t>, p. 8.</w:t>
      </w:r>
    </w:p>
  </w:footnote>
  <w:footnote w:id="62">
    <w:p w:rsidR="005E1FC3" w:rsidRDefault="005E1FC3" w:rsidP="001D37D5">
      <w:pPr>
        <w:pStyle w:val="FootnoteText"/>
      </w:pPr>
      <w:r>
        <w:rPr>
          <w:rStyle w:val="FootnoteReference"/>
        </w:rPr>
        <w:footnoteRef/>
      </w:r>
      <w:r>
        <w:t xml:space="preserve"> </w:t>
      </w:r>
      <w:r>
        <w:tab/>
        <w:t xml:space="preserve">CCP, </w:t>
      </w:r>
      <w:r w:rsidRPr="00CD06D5">
        <w:rPr>
          <w:rStyle w:val="AERtextitalic"/>
        </w:rPr>
        <w:t>Responding to NSW draft determinations and revised proposals from electricity distribution networks</w:t>
      </w:r>
      <w:r>
        <w:t>, February 2015, pp. 48–49.</w:t>
      </w:r>
    </w:p>
  </w:footnote>
  <w:footnote w:id="63">
    <w:p w:rsidR="005E1FC3" w:rsidRDefault="005E1FC3" w:rsidP="001D37D5">
      <w:pPr>
        <w:pStyle w:val="FootnoteText"/>
      </w:pPr>
      <w:r>
        <w:rPr>
          <w:rStyle w:val="FootnoteReference"/>
        </w:rPr>
        <w:footnoteRef/>
      </w:r>
      <w:r>
        <w:t xml:space="preserve"> </w:t>
      </w:r>
      <w:r>
        <w:tab/>
        <w:t xml:space="preserve">CCP, </w:t>
      </w:r>
      <w:r w:rsidRPr="00CD06D5">
        <w:rPr>
          <w:rStyle w:val="AERtextitalic"/>
        </w:rPr>
        <w:t>Responding to NSW draft determinations and revised proposals from electricity distribution networks</w:t>
      </w:r>
      <w:r>
        <w:t>, February 2015, p. 49.</w:t>
      </w:r>
    </w:p>
  </w:footnote>
  <w:footnote w:id="64">
    <w:p w:rsidR="005E1FC3" w:rsidRDefault="005E1FC3" w:rsidP="001D37D5">
      <w:pPr>
        <w:pStyle w:val="FootnoteText"/>
      </w:pPr>
      <w:r>
        <w:rPr>
          <w:rStyle w:val="FootnoteReference"/>
        </w:rPr>
        <w:footnoteRef/>
      </w:r>
      <w:r>
        <w:t xml:space="preserve"> </w:t>
      </w:r>
      <w:r>
        <w:tab/>
        <w:t>NER, cll. 6.5.2(d)(2), 6A.6.2(d)(2); NGR, r. 87(4)(b).</w:t>
      </w:r>
    </w:p>
  </w:footnote>
  <w:footnote w:id="65">
    <w:p w:rsidR="005E1FC3" w:rsidRDefault="005E1FC3" w:rsidP="001D37D5">
      <w:pPr>
        <w:pStyle w:val="FootnoteText"/>
      </w:pPr>
      <w:r>
        <w:rPr>
          <w:rStyle w:val="FootnoteReference"/>
        </w:rPr>
        <w:footnoteRef/>
      </w:r>
      <w:r>
        <w:t xml:space="preserve"> </w:t>
      </w:r>
      <w:r>
        <w:tab/>
      </w:r>
      <w:r w:rsidRPr="00582678">
        <w:t xml:space="preserve">M. Lally, </w:t>
      </w:r>
      <w:r w:rsidRPr="00582678">
        <w:rPr>
          <w:rStyle w:val="AERtextitalic"/>
        </w:rPr>
        <w:t>The estimation of gamma</w:t>
      </w:r>
      <w:r w:rsidRPr="00582678">
        <w:t>, 23 November 2013</w:t>
      </w:r>
      <w:r>
        <w:t>.</w:t>
      </w:r>
    </w:p>
  </w:footnote>
  <w:footnote w:id="66">
    <w:p w:rsidR="005E1FC3" w:rsidRDefault="005E1FC3" w:rsidP="001D37D5">
      <w:pPr>
        <w:pStyle w:val="FootnoteText"/>
      </w:pPr>
      <w:r>
        <w:rPr>
          <w:rStyle w:val="FootnoteReference"/>
        </w:rPr>
        <w:footnoteRef/>
      </w:r>
      <w:r>
        <w:t xml:space="preserve"> </w:t>
      </w:r>
      <w:r>
        <w:tab/>
      </w:r>
      <w:r w:rsidRPr="00583683">
        <w:t xml:space="preserve">J. Handley, </w:t>
      </w:r>
      <w:r w:rsidRPr="00583683">
        <w:rPr>
          <w:rStyle w:val="AERtextitalic"/>
        </w:rPr>
        <w:t>Report prepared for the Australian Energy Regulator: Advice on the value of imputation credits</w:t>
      </w:r>
      <w:r w:rsidRPr="00583683">
        <w:t xml:space="preserve">, 29 September 2014; J. Handley, </w:t>
      </w:r>
      <w:r w:rsidRPr="00583683">
        <w:rPr>
          <w:rStyle w:val="AERtextitalic"/>
        </w:rPr>
        <w:t>Report prepared for the Australian Energy Regulator: Further advice on the value of imputation credits</w:t>
      </w:r>
      <w:r w:rsidRPr="00583683">
        <w:t xml:space="preserve">, 16 April 2015. J. Handley, </w:t>
      </w:r>
      <w:r w:rsidRPr="00583683">
        <w:rPr>
          <w:rStyle w:val="AERtextitalic"/>
        </w:rPr>
        <w:t>Report prepared for the Australian Energy Regulator: Advice on the NERA report 'Estimating distribution and redemption rates from taxation statistics'</w:t>
      </w:r>
      <w:r w:rsidRPr="00583683">
        <w:t xml:space="preserve">, 20 May 2015. Lally, </w:t>
      </w:r>
      <w:r w:rsidRPr="00583683">
        <w:rPr>
          <w:rStyle w:val="AERtextitalic"/>
        </w:rPr>
        <w:t>Gamma and the ACT decision</w:t>
      </w:r>
      <w:r w:rsidRPr="005764F6">
        <w:t>, May 2016.</w:t>
      </w:r>
    </w:p>
  </w:footnote>
  <w:footnote w:id="67">
    <w:p w:rsidR="005E1FC3" w:rsidRDefault="005E1FC3" w:rsidP="001D37D5">
      <w:pPr>
        <w:pStyle w:val="FootnoteText"/>
      </w:pPr>
      <w:r>
        <w:rPr>
          <w:rStyle w:val="FootnoteReference"/>
        </w:rPr>
        <w:footnoteRef/>
      </w:r>
      <w:r>
        <w:t xml:space="preserve"> </w:t>
      </w:r>
      <w:r>
        <w:tab/>
        <w:t xml:space="preserve">SFG, </w:t>
      </w:r>
      <w:r w:rsidRPr="00C014CC">
        <w:rPr>
          <w:rStyle w:val="AERtextitalic"/>
        </w:rPr>
        <w:t>An appropriate regulatory estimate of gamma</w:t>
      </w:r>
      <w:r>
        <w:t xml:space="preserve">, 21 May 2014; SFG, </w:t>
      </w:r>
      <w:r>
        <w:rPr>
          <w:rStyle w:val="AERtextitalic"/>
        </w:rPr>
        <w:t>Estimating gamma for regulatory purposes</w:t>
      </w:r>
      <w:r>
        <w:t xml:space="preserve">, 6 February 2015; Frontier Economics, </w:t>
      </w:r>
      <w:r w:rsidRPr="00D14DE4">
        <w:rPr>
          <w:rStyle w:val="AERtextitalic"/>
        </w:rPr>
        <w:t>An appropriate regulatory estimate of gamma</w:t>
      </w:r>
      <w:r>
        <w:t xml:space="preserve">, June 2015; Frontier, </w:t>
      </w:r>
      <w:r>
        <w:rPr>
          <w:i/>
        </w:rPr>
        <w:t xml:space="preserve">The appropriate use of tax statistics when estimating gamma, </w:t>
      </w:r>
      <w:r>
        <w:t>January 2016.</w:t>
      </w:r>
    </w:p>
  </w:footnote>
  <w:footnote w:id="68">
    <w:p w:rsidR="005E1FC3" w:rsidRDefault="005E1FC3" w:rsidP="001D37D5">
      <w:pPr>
        <w:pStyle w:val="FootnoteText"/>
      </w:pPr>
      <w:r>
        <w:rPr>
          <w:rStyle w:val="FootnoteReference"/>
        </w:rPr>
        <w:footnoteRef/>
      </w:r>
      <w:r>
        <w:t xml:space="preserve"> </w:t>
      </w:r>
      <w:r>
        <w:tab/>
        <w:t xml:space="preserve">NERA, </w:t>
      </w:r>
      <w:r w:rsidRPr="00C26A14">
        <w:rPr>
          <w:rStyle w:val="AERtextitalic"/>
        </w:rPr>
        <w:t>Estimating distribution and redemption rates from taxation statistics</w:t>
      </w:r>
      <w:r>
        <w:t xml:space="preserve">, March 2015. NERA, </w:t>
      </w:r>
      <w:r w:rsidRPr="00906B59">
        <w:rPr>
          <w:rStyle w:val="AERtextitalic"/>
        </w:rPr>
        <w:t>Do imputation credits lower the cost of equity? Cross-sectional tests</w:t>
      </w:r>
      <w:r>
        <w:t xml:space="preserve">, April 2015. NERA, </w:t>
      </w:r>
      <w:r w:rsidRPr="00D54762">
        <w:rPr>
          <w:rStyle w:val="AERtextitalic"/>
        </w:rPr>
        <w:t>Estimating distribution and redemption rates: Response to the AER's final decisions for the NSW and ACT electricity distributors, and for Jemena Gas Networks</w:t>
      </w:r>
      <w:r>
        <w:t>, June 2015.</w:t>
      </w:r>
    </w:p>
  </w:footnote>
  <w:footnote w:id="69">
    <w:p w:rsidR="005E1FC3" w:rsidRDefault="005E1FC3" w:rsidP="001D37D5">
      <w:pPr>
        <w:pStyle w:val="FootnoteText"/>
      </w:pPr>
      <w:r>
        <w:rPr>
          <w:rStyle w:val="FootnoteReference"/>
        </w:rPr>
        <w:footnoteRef/>
      </w:r>
      <w:r>
        <w:t xml:space="preserve"> </w:t>
      </w:r>
      <w:r>
        <w:tab/>
        <w:t xml:space="preserve">M. Lally, </w:t>
      </w:r>
      <w:r w:rsidRPr="002519FD">
        <w:rPr>
          <w:rStyle w:val="AERtextitalic"/>
        </w:rPr>
        <w:t>Estimating gamma</w:t>
      </w:r>
      <w:r>
        <w:t xml:space="preserve">, 25 November 2013. M. Lally, </w:t>
      </w:r>
      <w:r w:rsidRPr="008916E4">
        <w:rPr>
          <w:rStyle w:val="AERtextitalic"/>
        </w:rPr>
        <w:t>Review of submissions to the QCA on the MRP, risk-free rate and gamma</w:t>
      </w:r>
      <w:r>
        <w:t>, 12 March 2014.</w:t>
      </w:r>
    </w:p>
  </w:footnote>
  <w:footnote w:id="70">
    <w:p w:rsidR="005E1FC3" w:rsidRDefault="005E1FC3" w:rsidP="001D37D5">
      <w:pPr>
        <w:pStyle w:val="FootnoteText"/>
      </w:pPr>
      <w:r>
        <w:rPr>
          <w:rStyle w:val="FootnoteReference"/>
        </w:rPr>
        <w:footnoteRef/>
      </w:r>
      <w:r>
        <w:t xml:space="preserve"> </w:t>
      </w:r>
      <w:r>
        <w:tab/>
        <w:t xml:space="preserve">M. McKenzie and G. Partington, </w:t>
      </w:r>
      <w:r w:rsidRPr="00523EF7">
        <w:rPr>
          <w:rStyle w:val="AERtextitalic"/>
        </w:rPr>
        <w:t>Report to the Queensland Resources Council: Review of Aurizon Network’s draft access undertaking</w:t>
      </w:r>
      <w:r>
        <w:t>, 5 October 2013.</w:t>
      </w:r>
    </w:p>
  </w:footnote>
  <w:footnote w:id="71">
    <w:p w:rsidR="005E1FC3" w:rsidRDefault="005E1FC3" w:rsidP="001D37D5">
      <w:pPr>
        <w:pStyle w:val="FootnoteText"/>
      </w:pPr>
      <w:r>
        <w:rPr>
          <w:rStyle w:val="FootnoteReference"/>
        </w:rPr>
        <w:footnoteRef/>
      </w:r>
      <w:r>
        <w:t xml:space="preserve"> </w:t>
      </w:r>
      <w:r>
        <w:tab/>
      </w:r>
      <w:r w:rsidRPr="00DF6BAC">
        <w:t xml:space="preserve">N. Hathaway, </w:t>
      </w:r>
      <w:r w:rsidRPr="00DF6BAC">
        <w:rPr>
          <w:rStyle w:val="AERtextitalic"/>
        </w:rPr>
        <w:t>Imputation credit redemption ATO data 1988–2011: Where have all the credits gone?</w:t>
      </w:r>
      <w:r w:rsidRPr="00DF6BAC">
        <w:t>, September 2013.</w:t>
      </w:r>
    </w:p>
  </w:footnote>
  <w:footnote w:id="72">
    <w:p w:rsidR="005E1FC3" w:rsidRDefault="005E1FC3" w:rsidP="001D37D5">
      <w:pPr>
        <w:pStyle w:val="FootnoteText"/>
      </w:pPr>
      <w:r>
        <w:rPr>
          <w:rStyle w:val="FootnoteReference"/>
        </w:rPr>
        <w:footnoteRef/>
      </w:r>
      <w:r>
        <w:t xml:space="preserve"> </w:t>
      </w:r>
      <w:r>
        <w:tab/>
      </w:r>
      <w:r w:rsidRPr="00DF6BAC">
        <w:t xml:space="preserve">NERA, </w:t>
      </w:r>
      <w:r w:rsidRPr="00DF6BAC">
        <w:rPr>
          <w:rStyle w:val="AERtextitalic"/>
        </w:rPr>
        <w:t>The payout ratio: A report for the Energy Networks Association</w:t>
      </w:r>
      <w:r w:rsidRPr="00DF6BAC">
        <w:t>, June 2013.</w:t>
      </w:r>
    </w:p>
  </w:footnote>
  <w:footnote w:id="73">
    <w:p w:rsidR="005E1FC3" w:rsidRDefault="005E1FC3" w:rsidP="001D37D5">
      <w:pPr>
        <w:pStyle w:val="FootnoteText"/>
      </w:pPr>
      <w:r>
        <w:rPr>
          <w:rStyle w:val="FootnoteReference"/>
        </w:rPr>
        <w:footnoteRef/>
      </w:r>
      <w:r>
        <w:t xml:space="preserve"> </w:t>
      </w:r>
      <w:r>
        <w:tab/>
        <w:t xml:space="preserve">See sections </w:t>
      </w:r>
      <w:r>
        <w:fldChar w:fldCharType="begin"/>
      </w:r>
      <w:r>
        <w:instrText xml:space="preserve"> REF _Ref414621676 \r \h </w:instrText>
      </w:r>
      <w:r>
        <w:fldChar w:fldCharType="separate"/>
      </w:r>
      <w:r>
        <w:t>A.1</w:t>
      </w:r>
      <w:r>
        <w:fldChar w:fldCharType="end"/>
      </w:r>
      <w:r>
        <w:t xml:space="preserve"> and </w:t>
      </w:r>
      <w:r>
        <w:fldChar w:fldCharType="begin"/>
      </w:r>
      <w:r>
        <w:instrText xml:space="preserve"> REF _Ref414621875 \r \h </w:instrText>
      </w:r>
      <w:r>
        <w:fldChar w:fldCharType="separate"/>
      </w:r>
      <w:r>
        <w:t>A.2</w:t>
      </w:r>
      <w:r>
        <w:fldChar w:fldCharType="end"/>
      </w:r>
      <w:r>
        <w:t xml:space="preserve"> of appendix A.</w:t>
      </w:r>
    </w:p>
  </w:footnote>
  <w:footnote w:id="74">
    <w:p w:rsidR="005E1FC3" w:rsidRDefault="005E1FC3" w:rsidP="001D37D5">
      <w:pPr>
        <w:pStyle w:val="FootnoteText"/>
      </w:pPr>
      <w:r>
        <w:rPr>
          <w:rStyle w:val="FootnoteReference"/>
        </w:rPr>
        <w:footnoteRef/>
      </w:r>
      <w:r>
        <w:t xml:space="preserve"> </w:t>
      </w:r>
      <w:r>
        <w:tab/>
        <w:t xml:space="preserve">See section </w:t>
      </w:r>
      <w:r>
        <w:fldChar w:fldCharType="begin"/>
      </w:r>
      <w:r>
        <w:instrText xml:space="preserve"> REF _Ref415144114 \r \h </w:instrText>
      </w:r>
      <w:r>
        <w:fldChar w:fldCharType="separate"/>
      </w:r>
      <w:r>
        <w:t>A.5</w:t>
      </w:r>
      <w:r>
        <w:fldChar w:fldCharType="end"/>
      </w:r>
      <w:r>
        <w:t xml:space="preserve"> of appendix A.</w:t>
      </w:r>
    </w:p>
  </w:footnote>
  <w:footnote w:id="75">
    <w:p w:rsidR="005E1FC3" w:rsidRDefault="005E1FC3" w:rsidP="001D37D5">
      <w:pPr>
        <w:pStyle w:val="FootnoteText"/>
      </w:pPr>
      <w:r>
        <w:rPr>
          <w:rStyle w:val="FootnoteReference"/>
        </w:rPr>
        <w:footnoteRef/>
      </w:r>
      <w:r>
        <w:t xml:space="preserve"> </w:t>
      </w:r>
      <w:r>
        <w:tab/>
        <w:t xml:space="preserve">See sections </w:t>
      </w:r>
      <w:r>
        <w:fldChar w:fldCharType="begin"/>
      </w:r>
      <w:r>
        <w:instrText xml:space="preserve"> REF _Ref416802130 \r \h </w:instrText>
      </w:r>
      <w:r>
        <w:fldChar w:fldCharType="separate"/>
      </w:r>
      <w:r>
        <w:t>4.3.1</w:t>
      </w:r>
      <w:r>
        <w:fldChar w:fldCharType="end"/>
      </w:r>
      <w:r>
        <w:t xml:space="preserve"> and </w:t>
      </w:r>
      <w:r>
        <w:fldChar w:fldCharType="begin"/>
      </w:r>
      <w:r>
        <w:instrText xml:space="preserve"> REF _Ref400965182 \r \h </w:instrText>
      </w:r>
      <w:r>
        <w:fldChar w:fldCharType="separate"/>
      </w:r>
      <w:r>
        <w:t>A.6</w:t>
      </w:r>
      <w:r>
        <w:fldChar w:fldCharType="end"/>
      </w:r>
      <w:r>
        <w:t xml:space="preserve"> of appendix A. </w:t>
      </w:r>
    </w:p>
  </w:footnote>
  <w:footnote w:id="76">
    <w:p w:rsidR="005E1FC3" w:rsidRDefault="005E1FC3" w:rsidP="001D37D5">
      <w:pPr>
        <w:pStyle w:val="FootnoteText"/>
      </w:pPr>
      <w:r>
        <w:rPr>
          <w:rStyle w:val="FootnoteReference"/>
        </w:rPr>
        <w:footnoteRef/>
      </w:r>
      <w:r>
        <w:t xml:space="preserve"> </w:t>
      </w:r>
      <w:r>
        <w:tab/>
        <w:t xml:space="preserve">Assuming retained imputation credits have no value. See section </w:t>
      </w:r>
      <w:r>
        <w:fldChar w:fldCharType="begin"/>
      </w:r>
      <w:r>
        <w:instrText xml:space="preserve"> REF _Ref400965182 \r \h </w:instrText>
      </w:r>
      <w:r>
        <w:fldChar w:fldCharType="separate"/>
      </w:r>
      <w:r>
        <w:t>A.6</w:t>
      </w:r>
      <w:r>
        <w:fldChar w:fldCharType="end"/>
      </w:r>
      <w:r>
        <w:t xml:space="preserve"> of appendix A.</w:t>
      </w:r>
    </w:p>
  </w:footnote>
  <w:footnote w:id="77">
    <w:p w:rsidR="005E1FC3" w:rsidRDefault="005E1FC3" w:rsidP="001D37D5">
      <w:pPr>
        <w:pStyle w:val="FootnoteText"/>
      </w:pPr>
      <w:r>
        <w:rPr>
          <w:rStyle w:val="FootnoteReference"/>
        </w:rPr>
        <w:footnoteRef/>
      </w:r>
      <w:r>
        <w:t xml:space="preserve"> </w:t>
      </w:r>
      <w:r>
        <w:tab/>
      </w:r>
      <w:r w:rsidRPr="00AB4156">
        <w:t xml:space="preserve">Lally, </w:t>
      </w:r>
      <w:r w:rsidRPr="005764F6">
        <w:rPr>
          <w:rStyle w:val="AERtextitalic"/>
        </w:rPr>
        <w:t>Gamma and the ACT Decision</w:t>
      </w:r>
      <w:r>
        <w:t>, May 2016, p. 29</w:t>
      </w:r>
      <w:r w:rsidRPr="00AB4156">
        <w:t>.</w:t>
      </w:r>
    </w:p>
  </w:footnote>
  <w:footnote w:id="78">
    <w:p w:rsidR="005E1FC3" w:rsidRDefault="005E1FC3" w:rsidP="001D37D5">
      <w:pPr>
        <w:pStyle w:val="FootnoteText"/>
      </w:pPr>
      <w:r>
        <w:rPr>
          <w:rStyle w:val="FootnoteReference"/>
        </w:rPr>
        <w:footnoteRef/>
      </w:r>
      <w:r>
        <w:t xml:space="preserve"> </w:t>
      </w:r>
      <w:r>
        <w:tab/>
        <w:t xml:space="preserve">See section </w:t>
      </w:r>
      <w:r>
        <w:fldChar w:fldCharType="begin"/>
      </w:r>
      <w:r>
        <w:instrText xml:space="preserve"> REF _Ref451240526 \r \h </w:instrText>
      </w:r>
      <w:r>
        <w:fldChar w:fldCharType="separate"/>
      </w:r>
      <w:r>
        <w:t>4.4</w:t>
      </w:r>
      <w:r>
        <w:fldChar w:fldCharType="end"/>
      </w:r>
      <w:r>
        <w:t>.</w:t>
      </w:r>
    </w:p>
  </w:footnote>
  <w:footnote w:id="79">
    <w:p w:rsidR="005E1FC3" w:rsidRDefault="005E1FC3" w:rsidP="001D37D5">
      <w:pPr>
        <w:pStyle w:val="FootnoteText"/>
      </w:pPr>
      <w:r>
        <w:rPr>
          <w:rStyle w:val="FootnoteReference"/>
        </w:rPr>
        <w:footnoteRef/>
      </w:r>
      <w:r>
        <w:t xml:space="preserve"> </w:t>
      </w:r>
      <w:r>
        <w:tab/>
        <w:t xml:space="preserve">See section </w:t>
      </w:r>
      <w:r>
        <w:fldChar w:fldCharType="begin"/>
      </w:r>
      <w:r>
        <w:instrText xml:space="preserve"> REF _Ref451240541 \r \h </w:instrText>
      </w:r>
      <w:r>
        <w:fldChar w:fldCharType="separate"/>
      </w:r>
      <w:r>
        <w:t>4.4</w:t>
      </w:r>
      <w:r>
        <w:fldChar w:fldCharType="end"/>
      </w:r>
      <w:r>
        <w:t>.</w:t>
      </w:r>
    </w:p>
  </w:footnote>
  <w:footnote w:id="80">
    <w:p w:rsidR="005E1FC3" w:rsidRDefault="005E1FC3" w:rsidP="001D37D5">
      <w:pPr>
        <w:pStyle w:val="FootnoteText"/>
      </w:pPr>
      <w:r>
        <w:rPr>
          <w:rStyle w:val="FootnoteReference"/>
        </w:rPr>
        <w:footnoteRef/>
      </w:r>
      <w:r>
        <w:t xml:space="preserve"> </w:t>
      </w:r>
      <w:r>
        <w:tab/>
        <w:t xml:space="preserve">See section </w:t>
      </w:r>
      <w:r>
        <w:fldChar w:fldCharType="begin"/>
      </w:r>
      <w:r>
        <w:instrText xml:space="preserve"> REF _Ref451240553 \r \h </w:instrText>
      </w:r>
      <w:r>
        <w:fldChar w:fldCharType="separate"/>
      </w:r>
      <w:r>
        <w:t>4.4</w:t>
      </w:r>
      <w:r>
        <w:fldChar w:fldCharType="end"/>
      </w:r>
      <w:r>
        <w:t>.</w:t>
      </w:r>
    </w:p>
  </w:footnote>
  <w:footnote w:id="81">
    <w:p w:rsidR="005E1FC3" w:rsidRDefault="005E1FC3" w:rsidP="001D37D5">
      <w:pPr>
        <w:pStyle w:val="FootnoteText"/>
      </w:pPr>
      <w:r>
        <w:rPr>
          <w:rStyle w:val="FootnoteReference"/>
        </w:rPr>
        <w:footnoteRef/>
      </w:r>
      <w:r>
        <w:t xml:space="preserve"> </w:t>
      </w:r>
      <w:r>
        <w:tab/>
      </w:r>
      <w:r w:rsidRPr="005764F6">
        <w:t xml:space="preserve">Lally, </w:t>
      </w:r>
      <w:r w:rsidRPr="00583683">
        <w:rPr>
          <w:rStyle w:val="AERtextitalic"/>
        </w:rPr>
        <w:t>Gamma and the ACT Decision</w:t>
      </w:r>
      <w:r w:rsidRPr="005764F6">
        <w:t>, May 2016, pp. 4–5.</w:t>
      </w:r>
    </w:p>
  </w:footnote>
  <w:footnote w:id="82">
    <w:p w:rsidR="005E1FC3" w:rsidRDefault="005E1FC3" w:rsidP="001D37D5">
      <w:pPr>
        <w:pStyle w:val="FootnoteText"/>
      </w:pPr>
      <w:r>
        <w:rPr>
          <w:rStyle w:val="FootnoteReference"/>
        </w:rPr>
        <w:footnoteRef/>
      </w:r>
      <w:r>
        <w:t xml:space="preserve"> </w:t>
      </w:r>
      <w:r>
        <w:tab/>
      </w:r>
      <w:r w:rsidRPr="00DE7959">
        <w:t>Rather, they measure the dividend drop off ratio which is influenced</w:t>
      </w:r>
      <w:r>
        <w:t xml:space="preserve"> by personal tax factors. This i</w:t>
      </w:r>
      <w:r w:rsidRPr="00DE7959">
        <w:t>s not appropriate given our post (corporate) tax regulatory framework based on Officer's 1994 paper</w:t>
      </w:r>
      <w:r>
        <w:t xml:space="preserve"> (see </w:t>
      </w:r>
      <w:r w:rsidRPr="00800E44">
        <w:t xml:space="preserve">R. Officer, 'The cost of capital of a company under an imputation system', </w:t>
      </w:r>
      <w:r>
        <w:rPr>
          <w:rStyle w:val="AERtextitalic"/>
        </w:rPr>
        <w:t>Accounting and f</w:t>
      </w:r>
      <w:r w:rsidRPr="00800E44">
        <w:rPr>
          <w:rStyle w:val="AERtextitalic"/>
        </w:rPr>
        <w:t>inance</w:t>
      </w:r>
      <w:r w:rsidRPr="00800E44">
        <w:t>, vol. 34(1), May 1994</w:t>
      </w:r>
      <w:r>
        <w:t>)</w:t>
      </w:r>
      <w:r w:rsidRPr="00DE7959">
        <w:t>.</w:t>
      </w:r>
    </w:p>
  </w:footnote>
  <w:footnote w:id="83">
    <w:p w:rsidR="005E1FC3" w:rsidRDefault="005E1FC3" w:rsidP="001D37D5">
      <w:pPr>
        <w:pStyle w:val="FootnoteText"/>
      </w:pPr>
      <w:r>
        <w:rPr>
          <w:rStyle w:val="FootnoteReference"/>
        </w:rPr>
        <w:footnoteRef/>
      </w:r>
      <w:r>
        <w:t xml:space="preserve"> </w:t>
      </w:r>
      <w:r>
        <w:tab/>
        <w:t xml:space="preserve">For instance, some experts advocate use of evidence on just listed companies and their investors because this is considered to be more reflective of the benchmark efficient entity and its investors, and/or this is consistent with the use of evidence from just listed companies when estimating the market risk premium. We note that Lally, in his latest report, recommends that the distribution rate should be set with reference to the financial reports of the top 20 listed companies (as he considers this is most representative of the firm specific distribution rate for a benchmark efficient entity) and the utilisation rate should be set with reference to all equity (as he considers this likely the best estimate of the economy wide theta value) (see </w:t>
      </w:r>
      <w:r w:rsidRPr="00BD34F4">
        <w:t xml:space="preserve">Lally, </w:t>
      </w:r>
      <w:r w:rsidRPr="005764F6">
        <w:rPr>
          <w:rStyle w:val="AERtextitalic"/>
        </w:rPr>
        <w:t>Gamma and the ACT Decision</w:t>
      </w:r>
      <w:r>
        <w:t xml:space="preserve">, May 2016, pp. 4–6). See section </w:t>
      </w:r>
      <w:r>
        <w:fldChar w:fldCharType="begin"/>
      </w:r>
      <w:r>
        <w:instrText xml:space="preserve"> REF _Ref401048631 \r \h </w:instrText>
      </w:r>
      <w:r>
        <w:fldChar w:fldCharType="separate"/>
      </w:r>
      <w:r>
        <w:t>A.9.1</w:t>
      </w:r>
      <w:r>
        <w:fldChar w:fldCharType="end"/>
      </w:r>
      <w:r>
        <w:t xml:space="preserve"> of appendix A for more discussion. </w:t>
      </w:r>
    </w:p>
  </w:footnote>
  <w:footnote w:id="84">
    <w:p w:rsidR="005E1FC3" w:rsidRDefault="005E1FC3" w:rsidP="001D37D5">
      <w:pPr>
        <w:pStyle w:val="FootnoteText"/>
      </w:pPr>
      <w:r>
        <w:rPr>
          <w:rStyle w:val="FootnoteReference"/>
        </w:rPr>
        <w:footnoteRef/>
      </w:r>
      <w:r>
        <w:t xml:space="preserve"> </w:t>
      </w:r>
      <w:r>
        <w:tab/>
      </w:r>
      <w:r w:rsidRPr="00874F27">
        <w:t xml:space="preserve">J. Handley, </w:t>
      </w:r>
      <w:r w:rsidRPr="00874F27">
        <w:rPr>
          <w:rStyle w:val="AERtextitalic"/>
        </w:rPr>
        <w:t>Report prepared for the Australian Energy Regulator: Advice on the value of imputation credits</w:t>
      </w:r>
      <w:r w:rsidRPr="00874F27">
        <w:t>, 29 September 2014</w:t>
      </w:r>
      <w:r>
        <w:t>, p. 31</w:t>
      </w:r>
      <w:r w:rsidRPr="00874F27">
        <w:t>.</w:t>
      </w:r>
    </w:p>
  </w:footnote>
  <w:footnote w:id="85">
    <w:p w:rsidR="005E1FC3" w:rsidRDefault="005E1FC3" w:rsidP="001D37D5">
      <w:pPr>
        <w:pStyle w:val="FootnoteText"/>
      </w:pPr>
      <w:r>
        <w:rPr>
          <w:rStyle w:val="FootnoteReference"/>
        </w:rPr>
        <w:footnoteRef/>
      </w:r>
      <w:r>
        <w:t xml:space="preserve"> </w:t>
      </w:r>
      <w:r>
        <w:tab/>
      </w:r>
      <w:r w:rsidRPr="00582678">
        <w:t xml:space="preserve">M. Lally, </w:t>
      </w:r>
      <w:r w:rsidRPr="00582678">
        <w:rPr>
          <w:rStyle w:val="AERtextitalic"/>
        </w:rPr>
        <w:t>The estimation of gamma</w:t>
      </w:r>
      <w:r w:rsidRPr="00582678">
        <w:t>, 23 November 2013</w:t>
      </w:r>
      <w:r>
        <w:t>, p. 4</w:t>
      </w:r>
      <w:r w:rsidRPr="00582678">
        <w:t>.</w:t>
      </w:r>
      <w:r>
        <w:t xml:space="preserve"> Lally's recommendation of a utilisation rate of 1 is based on his consideration that, because we use a domestic rate of return framework, we should assume that all investors in the market are domestic (and therefore eligible to make full use of imputation credits).</w:t>
      </w:r>
    </w:p>
  </w:footnote>
  <w:footnote w:id="86">
    <w:p w:rsidR="005E1FC3" w:rsidRDefault="005E1FC3" w:rsidP="001D37D5">
      <w:pPr>
        <w:pStyle w:val="FootnoteText"/>
      </w:pPr>
      <w:r>
        <w:rPr>
          <w:rStyle w:val="FootnoteReference"/>
        </w:rPr>
        <w:footnoteRef/>
      </w:r>
      <w:r>
        <w:t xml:space="preserve"> </w:t>
      </w:r>
      <w:r>
        <w:tab/>
      </w:r>
      <w:r w:rsidRPr="00874F27">
        <w:t xml:space="preserve">J. Handley, </w:t>
      </w:r>
      <w:r w:rsidRPr="00874F27">
        <w:rPr>
          <w:rStyle w:val="AERtextitalic"/>
        </w:rPr>
        <w:t>Report prepared for the Australian Energy Regulator: Advice on the value of imputation credits</w:t>
      </w:r>
      <w:r w:rsidRPr="00874F27">
        <w:t>, 29 September 2014</w:t>
      </w:r>
      <w:r>
        <w:t>, p. 3</w:t>
      </w:r>
      <w:r w:rsidRPr="00874F27">
        <w:t>.</w:t>
      </w:r>
    </w:p>
  </w:footnote>
  <w:footnote w:id="87">
    <w:p w:rsidR="005E1FC3" w:rsidRDefault="005E1FC3" w:rsidP="001D37D5">
      <w:pPr>
        <w:pStyle w:val="FootnoteText"/>
      </w:pPr>
      <w:r>
        <w:rPr>
          <w:rStyle w:val="FootnoteReference"/>
        </w:rPr>
        <w:footnoteRef/>
      </w:r>
      <w:r>
        <w:t xml:space="preserve"> </w:t>
      </w:r>
      <w:r>
        <w:tab/>
      </w:r>
      <w:r w:rsidRPr="005942A6">
        <w:t xml:space="preserve">Lally, </w:t>
      </w:r>
      <w:r w:rsidRPr="005764F6">
        <w:rPr>
          <w:rStyle w:val="AERtextitalic"/>
        </w:rPr>
        <w:t>Gamma and the ACT Decision</w:t>
      </w:r>
      <w:r w:rsidRPr="005942A6">
        <w:t xml:space="preserve">, </w:t>
      </w:r>
      <w:r>
        <w:t>May 2016, pp. 3–6</w:t>
      </w:r>
      <w:r w:rsidRPr="005942A6">
        <w:t>.</w:t>
      </w:r>
    </w:p>
  </w:footnote>
  <w:footnote w:id="88">
    <w:p w:rsidR="005E1FC3" w:rsidRDefault="005E1FC3" w:rsidP="001D37D5">
      <w:pPr>
        <w:pStyle w:val="FootnoteText"/>
      </w:pPr>
      <w:r>
        <w:rPr>
          <w:rStyle w:val="FootnoteReference"/>
        </w:rPr>
        <w:footnoteRef/>
      </w:r>
      <w:r>
        <w:t xml:space="preserve"> </w:t>
      </w:r>
      <w:r>
        <w:tab/>
      </w:r>
      <w:r w:rsidRPr="00874F27">
        <w:t xml:space="preserve">J. Handley, </w:t>
      </w:r>
      <w:r w:rsidRPr="00874F27">
        <w:rPr>
          <w:rStyle w:val="AERtextitalic"/>
        </w:rPr>
        <w:t>Report prepared for the Australian Energy Regulator: Advice on the value of imputation credits</w:t>
      </w:r>
      <w:r w:rsidRPr="00874F27">
        <w:t>, 29 September 2014</w:t>
      </w:r>
      <w:r>
        <w:t>, p. 32</w:t>
      </w:r>
      <w:r w:rsidRPr="00874F27">
        <w:t>.</w:t>
      </w:r>
      <w:r>
        <w:t xml:space="preserve"> M. McKenzie and G. Partington, </w:t>
      </w:r>
      <w:r w:rsidRPr="00523EF7">
        <w:rPr>
          <w:rStyle w:val="AERtextitalic"/>
        </w:rPr>
        <w:t>Report to the Queensland Resources Council: Review of Aurizon Network’s draft access undertaking</w:t>
      </w:r>
      <w:r>
        <w:t xml:space="preserve">, 5 October 2013, pp. 31–35. See also section </w:t>
      </w:r>
      <w:r>
        <w:fldChar w:fldCharType="begin"/>
      </w:r>
      <w:r>
        <w:instrText xml:space="preserve"> REF _Ref414621676 \r \h </w:instrText>
      </w:r>
      <w:r>
        <w:fldChar w:fldCharType="separate"/>
      </w:r>
      <w:r>
        <w:t>A.1</w:t>
      </w:r>
      <w:r>
        <w:fldChar w:fldCharType="end"/>
      </w:r>
      <w:r>
        <w:t xml:space="preserve"> of appendix A.</w:t>
      </w:r>
    </w:p>
  </w:footnote>
  <w:footnote w:id="89">
    <w:p w:rsidR="005E1FC3" w:rsidRDefault="005E1FC3" w:rsidP="001D37D5">
      <w:pPr>
        <w:pStyle w:val="FootnoteText"/>
      </w:pPr>
      <w:r>
        <w:rPr>
          <w:rStyle w:val="FootnoteReference"/>
        </w:rPr>
        <w:footnoteRef/>
      </w:r>
      <w:r>
        <w:t xml:space="preserve"> </w:t>
      </w:r>
      <w:r>
        <w:tab/>
      </w:r>
      <w:r w:rsidRPr="00874F27">
        <w:t xml:space="preserve">J. Handley, </w:t>
      </w:r>
      <w:r w:rsidRPr="00874F27">
        <w:rPr>
          <w:rStyle w:val="AERtextitalic"/>
        </w:rPr>
        <w:t>Report prepared for the Australian Energy Regulator: Advice on the value of imputation credits</w:t>
      </w:r>
      <w:r w:rsidRPr="00874F27">
        <w:t>, 29 September 2014</w:t>
      </w:r>
      <w:r>
        <w:t>, p. 32</w:t>
      </w:r>
      <w:r w:rsidRPr="00874F27">
        <w:t>.</w:t>
      </w:r>
    </w:p>
  </w:footnote>
  <w:footnote w:id="90">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5–6, 24–25, 28.</w:t>
      </w:r>
    </w:p>
  </w:footnote>
  <w:footnote w:id="91">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xml:space="preserve">, May 2016, pp. 4–6, 18, 25. In making this choice, Lally considered there is </w:t>
      </w:r>
      <w:r w:rsidRPr="0035206C">
        <w:t>a trade-off between statistical reliability (</w:t>
      </w:r>
      <w:r>
        <w:t xml:space="preserve">which is </w:t>
      </w:r>
      <w:r w:rsidRPr="0035206C">
        <w:t xml:space="preserve">greater </w:t>
      </w:r>
      <w:r>
        <w:t xml:space="preserve">if </w:t>
      </w:r>
      <w:r w:rsidRPr="0035206C">
        <w:t>a market-wide estimate</w:t>
      </w:r>
      <w:r>
        <w:t xml:space="preserve"> is used</w:t>
      </w:r>
      <w:r w:rsidRPr="0035206C">
        <w:t>) versus potential bias (</w:t>
      </w:r>
      <w:r>
        <w:t>worse from a sector-wide estimate</w:t>
      </w:r>
      <w:r w:rsidRPr="0035206C">
        <w:t>).</w:t>
      </w:r>
      <w:r>
        <w:t xml:space="preserve"> Lally discussed various issues with using firm-specific data, industry averages and market-wide data to estimate the distribution rate.</w:t>
      </w:r>
    </w:p>
  </w:footnote>
  <w:footnote w:id="92">
    <w:p w:rsidR="005E1FC3" w:rsidRDefault="005E1FC3" w:rsidP="001D37D5">
      <w:pPr>
        <w:pStyle w:val="FootnoteText"/>
      </w:pPr>
      <w:r>
        <w:rPr>
          <w:rStyle w:val="FootnoteReference"/>
        </w:rPr>
        <w:footnoteRef/>
      </w:r>
      <w:r>
        <w:t xml:space="preserve"> </w:t>
      </w:r>
      <w:r>
        <w:tab/>
        <w:t xml:space="preserve">Note that our estimates of the distribution rate for listed equity come from ATO data on public companies. Handley advised that it is not strictly correct to refer to ATO data on public companies as data on listed companies. This is because the ATO definition of a public company includes but is not limited to listed companies. However, Handley also advised that referring to the public company data as relating to listed companies is suitable for our purpose. </w:t>
      </w:r>
      <w:r w:rsidRPr="00874F27">
        <w:t xml:space="preserve">J. Handley, </w:t>
      </w:r>
      <w:r w:rsidRPr="00874F27">
        <w:rPr>
          <w:rStyle w:val="AERtextitalic"/>
        </w:rPr>
        <w:t xml:space="preserve">Report prepared for the Australian Energy Regulator: </w:t>
      </w:r>
      <w:r>
        <w:rPr>
          <w:rStyle w:val="AERtextitalic"/>
        </w:rPr>
        <w:t>Further a</w:t>
      </w:r>
      <w:r w:rsidRPr="00874F27">
        <w:rPr>
          <w:rStyle w:val="AERtextitalic"/>
        </w:rPr>
        <w:t>dvice on the value of imputation credits</w:t>
      </w:r>
      <w:r w:rsidRPr="00874F27">
        <w:t xml:space="preserve">, </w:t>
      </w:r>
      <w:r>
        <w:t>16 April 2015, footnote 26</w:t>
      </w:r>
      <w:r w:rsidRPr="00874F27">
        <w:t>.</w:t>
      </w:r>
    </w:p>
  </w:footnote>
  <w:footnote w:id="93">
    <w:p w:rsidR="005E1FC3" w:rsidRDefault="005E1FC3" w:rsidP="001D37D5">
      <w:pPr>
        <w:pStyle w:val="FootnoteText"/>
      </w:pPr>
      <w:r>
        <w:rPr>
          <w:rStyle w:val="FootnoteReference"/>
        </w:rPr>
        <w:footnoteRef/>
      </w:r>
      <w:r>
        <w:t xml:space="preserve"> </w:t>
      </w:r>
      <w:r>
        <w:tab/>
        <w:t>Lally recommends a gamma estimate of at least 0.5 which is based on a distribution rate of at least 0.83 and a utilisation rate of 0.6. See:</w:t>
      </w:r>
      <w:r w:rsidRPr="004B7D28">
        <w:t xml:space="preserve"> </w:t>
      </w:r>
      <w:r w:rsidRPr="00712BC2">
        <w:t xml:space="preserve">M. Lally, </w:t>
      </w:r>
      <w:r>
        <w:rPr>
          <w:rStyle w:val="AERtextitalic"/>
        </w:rPr>
        <w:t>Gamma and the ACT Decision</w:t>
      </w:r>
      <w:r>
        <w:t>, May 2016, p. 6.</w:t>
      </w:r>
    </w:p>
  </w:footnote>
  <w:footnote w:id="94">
    <w:p w:rsidR="005E1FC3" w:rsidRDefault="005E1FC3" w:rsidP="001D37D5">
      <w:pPr>
        <w:pStyle w:val="FootnoteText"/>
      </w:pPr>
      <w:r>
        <w:rPr>
          <w:rStyle w:val="FootnoteReference"/>
        </w:rPr>
        <w:footnoteRef/>
      </w:r>
      <w:r>
        <w:t xml:space="preserve"> </w:t>
      </w:r>
      <w:r>
        <w:tab/>
        <w:t>Although implied market value studies produce estimates below 0.3 and above 0.5, we place less reliance on these studies.</w:t>
      </w:r>
    </w:p>
  </w:footnote>
  <w:footnote w:id="95">
    <w:p w:rsidR="005E1FC3" w:rsidRDefault="005E1FC3" w:rsidP="001D37D5">
      <w:pPr>
        <w:pStyle w:val="FootnoteText"/>
      </w:pPr>
      <w:r>
        <w:rPr>
          <w:rStyle w:val="FootnoteReference"/>
        </w:rPr>
        <w:footnoteRef/>
      </w:r>
      <w:r>
        <w:t xml:space="preserve"> </w:t>
      </w:r>
      <w:r>
        <w:tab/>
        <w:t xml:space="preserve">For example, </w:t>
      </w:r>
      <w:r w:rsidRPr="00883125">
        <w:t>Handley and Lally advised that other classes of evidence are more valuable.</w:t>
      </w:r>
      <w:r w:rsidRPr="00E405F1">
        <w:t xml:space="preserve"> </w:t>
      </w:r>
      <w:r>
        <w:t xml:space="preserve">Handley considers that the equity ownership approach and tax statistics are more important to estimating the utilisation rate than implied market value studies: </w:t>
      </w:r>
      <w:r w:rsidRPr="00582678">
        <w:t xml:space="preserve">J. Handley, </w:t>
      </w:r>
      <w:r w:rsidRPr="00582678">
        <w:rPr>
          <w:rStyle w:val="AERtextitalic"/>
        </w:rPr>
        <w:t>Report prepared for the Australian Energy Regulator: Advice on the value of imputation credits</w:t>
      </w:r>
      <w:r w:rsidRPr="00582678">
        <w:t>, 29 September 2014</w:t>
      </w:r>
      <w:r>
        <w:t>, p. 31</w:t>
      </w:r>
      <w:r w:rsidRPr="00582678">
        <w:t>.</w:t>
      </w:r>
      <w:r>
        <w:t xml:space="preserve"> Lally prefers an estimate of the utilisation rate from the equity ownership approach to one from implied market value studies: </w:t>
      </w:r>
      <w:r w:rsidRPr="00582678">
        <w:t xml:space="preserve">M. Lally, </w:t>
      </w:r>
      <w:r w:rsidRPr="00582678">
        <w:rPr>
          <w:rStyle w:val="AERtextitalic"/>
        </w:rPr>
        <w:t>The estimation of gamma</w:t>
      </w:r>
      <w:r w:rsidRPr="00582678">
        <w:t>, 23 November 2013</w:t>
      </w:r>
      <w:r>
        <w:t>, p. 4</w:t>
      </w:r>
      <w:r w:rsidRPr="00582678">
        <w:t>.</w:t>
      </w:r>
      <w:r>
        <w:t xml:space="preserve"> We discuss the different approaches to estimating the utilisation rate in more detail in section </w:t>
      </w:r>
      <w:r>
        <w:fldChar w:fldCharType="begin"/>
      </w:r>
      <w:r>
        <w:instrText xml:space="preserve"> REF _Ref450761230 \r \h </w:instrText>
      </w:r>
      <w:r>
        <w:fldChar w:fldCharType="separate"/>
      </w:r>
      <w:r>
        <w:t>4.4.1</w:t>
      </w:r>
      <w:r>
        <w:fldChar w:fldCharType="end"/>
      </w:r>
      <w:r>
        <w:t xml:space="preserve">. Also, </w:t>
      </w:r>
      <w:r w:rsidRPr="00883125">
        <w:t xml:space="preserve">McKenzie and Partington's report for the Queensland Resources Council </w:t>
      </w:r>
      <w:r>
        <w:t xml:space="preserve">also </w:t>
      </w:r>
      <w:r w:rsidRPr="00883125">
        <w:t>suggested that it is reasonable to have regard to other classes of evidence</w:t>
      </w:r>
      <w:r>
        <w:t xml:space="preserve">. McKenzie and Partington describe the approach to estimating the utilisation rate in our draft rate of return Guideline, which relied on evidence other than implied market value studies, as making a 'reasonable case' for the estimate adopted in that document; M. McKenzie and G. Partington, </w:t>
      </w:r>
      <w:r w:rsidRPr="00523EF7">
        <w:rPr>
          <w:rStyle w:val="AERtextitalic"/>
        </w:rPr>
        <w:t>Report to the Queensland Resources Council: Review of Aurizon Network’s draft access undertaking</w:t>
      </w:r>
      <w:r>
        <w:t>, 5 October 2013, p. 32.</w:t>
      </w:r>
    </w:p>
  </w:footnote>
  <w:footnote w:id="96">
    <w:p w:rsidR="005E1FC3" w:rsidRDefault="005E1FC3" w:rsidP="001D37D5">
      <w:pPr>
        <w:pStyle w:val="FootnoteText"/>
      </w:pPr>
      <w:r>
        <w:rPr>
          <w:rStyle w:val="FootnoteReference"/>
        </w:rPr>
        <w:footnoteRef/>
      </w:r>
      <w:r>
        <w:t xml:space="preserve"> </w:t>
      </w:r>
      <w:r>
        <w:tab/>
        <w:t xml:space="preserve">SA Centre for Economic Studies suggested this in a </w:t>
      </w:r>
      <w:r w:rsidRPr="00883125">
        <w:t>report for the South Australian Council of Social Service</w:t>
      </w:r>
      <w:r>
        <w:t>.</w:t>
      </w:r>
      <w:r w:rsidRPr="00883125">
        <w:t xml:space="preserve"> </w:t>
      </w:r>
      <w:r>
        <w:t xml:space="preserve">See SA Centre for Economic Studies (2015), </w:t>
      </w:r>
      <w:r>
        <w:rPr>
          <w:rStyle w:val="AERtextitalic"/>
        </w:rPr>
        <w:t>Independent e</w:t>
      </w:r>
      <w:r w:rsidRPr="00253C46">
        <w:rPr>
          <w:rStyle w:val="AERtextitalic"/>
        </w:rPr>
        <w:t>stimate of the WACC for SA Power Networks 2015 to 2020</w:t>
      </w:r>
      <w:r>
        <w:rPr>
          <w:rStyle w:val="AERtextitalic"/>
        </w:rPr>
        <w:t xml:space="preserve">: </w:t>
      </w:r>
      <w:r w:rsidRPr="00EB47DF">
        <w:rPr>
          <w:rStyle w:val="AERtextitalic"/>
        </w:rPr>
        <w:t>Report commissioned by the</w:t>
      </w:r>
      <w:r>
        <w:rPr>
          <w:rStyle w:val="AERtextitalic"/>
        </w:rPr>
        <w:t xml:space="preserve"> SA</w:t>
      </w:r>
      <w:r w:rsidRPr="00EB47DF">
        <w:rPr>
          <w:rStyle w:val="AERtextitalic"/>
        </w:rPr>
        <w:t xml:space="preserve"> Council of Social Services</w:t>
      </w:r>
      <w:r>
        <w:t>, January 2015, p. 17.</w:t>
      </w:r>
    </w:p>
  </w:footnote>
  <w:footnote w:id="97">
    <w:p w:rsidR="005E1FC3" w:rsidRDefault="005E1FC3" w:rsidP="001D37D5">
      <w:pPr>
        <w:pStyle w:val="FootnoteText"/>
      </w:pPr>
      <w:r>
        <w:rPr>
          <w:rStyle w:val="FootnoteReference"/>
        </w:rPr>
        <w:footnoteRef/>
      </w:r>
      <w:r>
        <w:t xml:space="preserve"> </w:t>
      </w:r>
      <w:r>
        <w:tab/>
      </w:r>
      <w:r w:rsidRPr="00CE62A1">
        <w:t xml:space="preserve">R. Officer, 'The cost of capital of a company under an imputation system', </w:t>
      </w:r>
      <w:r w:rsidRPr="00CE62A1">
        <w:rPr>
          <w:rStyle w:val="AERtextitalic"/>
        </w:rPr>
        <w:t>Accounting and finance</w:t>
      </w:r>
      <w:r w:rsidRPr="00CE62A1">
        <w:t>, vol. 34(1), May 1994, pg</w:t>
      </w:r>
      <w:r w:rsidRPr="005764F6">
        <w:t>. </w:t>
      </w:r>
      <w:r w:rsidRPr="00CE62A1">
        <w:t>8.</w:t>
      </w:r>
    </w:p>
  </w:footnote>
  <w:footnote w:id="98">
    <w:p w:rsidR="005E1FC3" w:rsidRDefault="005E1FC3" w:rsidP="001D37D5">
      <w:pPr>
        <w:pStyle w:val="FootnoteText"/>
      </w:pPr>
      <w:r>
        <w:rPr>
          <w:rStyle w:val="FootnoteReference"/>
        </w:rPr>
        <w:footnoteRef/>
      </w:r>
      <w:r>
        <w:t xml:space="preserve"> </w:t>
      </w:r>
      <w:r>
        <w:tab/>
        <w:t xml:space="preserve">We note that there may be a very small diminution in value from face value due to the time value of money. However, we consider this immaterial for the reasons discussed in section </w:t>
      </w:r>
      <w:r>
        <w:fldChar w:fldCharType="begin"/>
      </w:r>
      <w:r>
        <w:instrText xml:space="preserve"> REF _Ref414099389 \r \h </w:instrText>
      </w:r>
      <w:r>
        <w:fldChar w:fldCharType="separate"/>
      </w:r>
      <w:r>
        <w:t>A.8.3</w:t>
      </w:r>
      <w:r>
        <w:fldChar w:fldCharType="end"/>
      </w:r>
      <w:r>
        <w:t>.</w:t>
      </w:r>
    </w:p>
  </w:footnote>
  <w:footnote w:id="99">
    <w:p w:rsidR="005E1FC3" w:rsidRDefault="005E1FC3" w:rsidP="001D37D5">
      <w:pPr>
        <w:pStyle w:val="FootnoteText"/>
      </w:pPr>
      <w:r>
        <w:rPr>
          <w:rStyle w:val="FootnoteReference"/>
        </w:rPr>
        <w:footnoteRef/>
      </w:r>
      <w:r>
        <w:t xml:space="preserve"> </w:t>
      </w:r>
      <w:r>
        <w:tab/>
        <w:t>In the Guideline we referred to the distribution rate as the 'payout ratio'. We have in this decision adopted 'distribution rate' as we consider this to be the more commonly used terminology. In the Guideline and this decision we attach the same meaning to these two different ways of describing the parameter. Note also that the distribution rate is referred to as the 'access fraction' in the Monkhouse framework.</w:t>
      </w:r>
    </w:p>
  </w:footnote>
  <w:footnote w:id="100">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6.</w:t>
      </w:r>
    </w:p>
  </w:footnote>
  <w:footnote w:id="101">
    <w:p w:rsidR="005E1FC3" w:rsidRDefault="005E1FC3" w:rsidP="001D37D5">
      <w:pPr>
        <w:pStyle w:val="FootnoteText"/>
      </w:pPr>
      <w:r>
        <w:rPr>
          <w:rStyle w:val="FootnoteReference"/>
        </w:rPr>
        <w:footnoteRef/>
      </w:r>
      <w:r>
        <w:t xml:space="preserve"> </w:t>
      </w:r>
      <w:r>
        <w:tab/>
        <w:t xml:space="preserve">We discuss the cumulative payout approach and alternative approaches to estimating the distribution rate in </w:t>
      </w:r>
      <w:r w:rsidRPr="007F4E38">
        <w:t>section</w:t>
      </w:r>
      <w:r>
        <w:t xml:space="preserve"> </w:t>
      </w:r>
      <w:r>
        <w:fldChar w:fldCharType="begin"/>
      </w:r>
      <w:r>
        <w:instrText xml:space="preserve"> REF _Ref401133206 \r \h </w:instrText>
      </w:r>
      <w:r>
        <w:fldChar w:fldCharType="separate"/>
      </w:r>
      <w:r>
        <w:t>A.10</w:t>
      </w:r>
      <w:r>
        <w:fldChar w:fldCharType="end"/>
      </w:r>
      <w:r w:rsidRPr="007F4E38">
        <w:t xml:space="preserve"> of </w:t>
      </w:r>
      <w:r>
        <w:t>appendix A.</w:t>
      </w:r>
    </w:p>
  </w:footnote>
  <w:footnote w:id="102">
    <w:p w:rsidR="005E1FC3" w:rsidRDefault="005E1FC3" w:rsidP="001D37D5">
      <w:pPr>
        <w:pStyle w:val="FootnoteText"/>
      </w:pPr>
      <w:r>
        <w:rPr>
          <w:rStyle w:val="FootnoteReference"/>
        </w:rPr>
        <w:footnoteRef/>
      </w:r>
      <w:r>
        <w:t xml:space="preserve"> </w:t>
      </w:r>
      <w:r>
        <w:tab/>
        <w:t xml:space="preserve">SFG, </w:t>
      </w:r>
      <w:r w:rsidRPr="00C014CC">
        <w:rPr>
          <w:rStyle w:val="AERtextitalic"/>
        </w:rPr>
        <w:t>An appropriate regulatory estimate of gamma</w:t>
      </w:r>
      <w:r>
        <w:t xml:space="preserve">, 21 May 2014, paras. 84–92; </w:t>
      </w:r>
      <w:r w:rsidRPr="00874F27">
        <w:t xml:space="preserve">J. Handley, </w:t>
      </w:r>
      <w:r w:rsidRPr="00874F27">
        <w:rPr>
          <w:rStyle w:val="AERtextitalic"/>
        </w:rPr>
        <w:t>Report prepared for the Australian Energy Regulator: Advice on the value of imputation credits</w:t>
      </w:r>
      <w:r w:rsidRPr="00874F27">
        <w:t>, 29 September 2014</w:t>
      </w:r>
      <w:r>
        <w:t xml:space="preserve">, p. 25–30; M. McKenzie and G. Partington, </w:t>
      </w:r>
      <w:r w:rsidRPr="00523EF7">
        <w:rPr>
          <w:rStyle w:val="AERtextitalic"/>
        </w:rPr>
        <w:t>Report to the Queensland Resources Council: Review of Aurizon Network’s draft access undertaking</w:t>
      </w:r>
      <w:r>
        <w:t>, 5 October 2013, p. 31.</w:t>
      </w:r>
    </w:p>
  </w:footnote>
  <w:footnote w:id="103">
    <w:p w:rsidR="005E1FC3" w:rsidRDefault="005E1FC3" w:rsidP="001D37D5">
      <w:pPr>
        <w:pStyle w:val="FootnoteText"/>
      </w:pPr>
      <w:r>
        <w:rPr>
          <w:rStyle w:val="FootnoteReference"/>
        </w:rPr>
        <w:footnoteRef/>
      </w:r>
      <w:r>
        <w:t xml:space="preserve"> </w:t>
      </w:r>
      <w:r>
        <w:tab/>
      </w:r>
      <w:r w:rsidRPr="00DF6BAC">
        <w:t xml:space="preserve">NERA, </w:t>
      </w:r>
      <w:r w:rsidRPr="00DF6BAC">
        <w:rPr>
          <w:rStyle w:val="AERtextitalic"/>
        </w:rPr>
        <w:t>The payout ratio: A report for the Energy Networks Association</w:t>
      </w:r>
      <w:r w:rsidRPr="00DF6BAC">
        <w:t>, June 2013.</w:t>
      </w:r>
    </w:p>
  </w:footnote>
  <w:footnote w:id="104">
    <w:p w:rsidR="005E1FC3" w:rsidRDefault="005E1FC3" w:rsidP="001D37D5">
      <w:pPr>
        <w:pStyle w:val="FootnoteText"/>
      </w:pPr>
      <w:r>
        <w:rPr>
          <w:rStyle w:val="FootnoteReference"/>
        </w:rPr>
        <w:footnoteRef/>
      </w:r>
      <w:r>
        <w:t xml:space="preserve"> </w:t>
      </w:r>
      <w:r>
        <w:tab/>
      </w:r>
      <w:r w:rsidRPr="00DF6BAC">
        <w:t xml:space="preserve">N. Hathaway, </w:t>
      </w:r>
      <w:r w:rsidRPr="00DF6BAC">
        <w:rPr>
          <w:rStyle w:val="AERtextitalic"/>
        </w:rPr>
        <w:t>Imputation credit redemption ATO data 1988–2011: Where have all the credits gone?</w:t>
      </w:r>
      <w:r w:rsidRPr="00DF6BAC">
        <w:t>, September 2013.</w:t>
      </w:r>
    </w:p>
  </w:footnote>
  <w:footnote w:id="105">
    <w:p w:rsidR="005E1FC3" w:rsidRDefault="005E1FC3" w:rsidP="001D37D5">
      <w:pPr>
        <w:pStyle w:val="FootnoteText"/>
      </w:pPr>
      <w:r>
        <w:rPr>
          <w:rStyle w:val="FootnoteReference"/>
        </w:rPr>
        <w:footnoteRef/>
      </w:r>
      <w:r>
        <w:t xml:space="preserve"> </w:t>
      </w:r>
      <w:r>
        <w:tab/>
        <w:t xml:space="preserve">We discuss this updated analysis in section </w:t>
      </w:r>
      <w:r>
        <w:fldChar w:fldCharType="begin"/>
      </w:r>
      <w:r>
        <w:instrText xml:space="preserve"> REF _Ref401133206 \r \h </w:instrText>
      </w:r>
      <w:r>
        <w:fldChar w:fldCharType="separate"/>
      </w:r>
      <w:r>
        <w:t>A.10</w:t>
      </w:r>
      <w:r>
        <w:fldChar w:fldCharType="end"/>
      </w:r>
      <w:r>
        <w:t xml:space="preserve"> of appendix A. NERA, </w:t>
      </w:r>
      <w:r w:rsidRPr="001763FD">
        <w:rPr>
          <w:rStyle w:val="AERtextitalic"/>
        </w:rPr>
        <w:t>Estimating distribution and redemption rates from taxation statistics</w:t>
      </w:r>
      <w:r>
        <w:t xml:space="preserve">, March 2015. J. Handley, </w:t>
      </w:r>
      <w:r w:rsidRPr="005B7CF2">
        <w:rPr>
          <w:rStyle w:val="AERtextitalic"/>
        </w:rPr>
        <w:t>Report prepared for the Australian Energy Regulator: Advice on the NERA report 'Estimating distribution and redemption rates from taxation statistics'</w:t>
      </w:r>
      <w:r>
        <w:t xml:space="preserve">, 20 May 2015. </w:t>
      </w:r>
    </w:p>
  </w:footnote>
  <w:footnote w:id="106">
    <w:p w:rsidR="005E1FC3" w:rsidRDefault="005E1FC3" w:rsidP="001D37D5">
      <w:pPr>
        <w:pStyle w:val="FootnoteText"/>
      </w:pPr>
      <w:r>
        <w:rPr>
          <w:rStyle w:val="FootnoteReference"/>
        </w:rPr>
        <w:footnoteRef/>
      </w:r>
      <w:r>
        <w:t xml:space="preserve"> </w:t>
      </w:r>
      <w:r>
        <w:tab/>
        <w:t xml:space="preserve">Frontier Economics, </w:t>
      </w:r>
      <w:r w:rsidRPr="005764F6">
        <w:rPr>
          <w:rStyle w:val="AERtextitalic"/>
        </w:rPr>
        <w:t>The appropriate use of tax statistics when estimating gamma</w:t>
      </w:r>
      <w:r>
        <w:t>, January 2016, pp. 7, 18-19.</w:t>
      </w:r>
    </w:p>
  </w:footnote>
  <w:footnote w:id="107">
    <w:p w:rsidR="005E1FC3" w:rsidRDefault="005E1FC3" w:rsidP="001D37D5">
      <w:pPr>
        <w:pStyle w:val="FootnoteText"/>
      </w:pPr>
      <w:r>
        <w:rPr>
          <w:rStyle w:val="FootnoteReference"/>
        </w:rPr>
        <w:footnoteRef/>
      </w:r>
      <w:r>
        <w:t xml:space="preserve"> </w:t>
      </w:r>
      <w:r>
        <w:tab/>
        <w:t xml:space="preserve">Frontier Economics, </w:t>
      </w:r>
      <w:r w:rsidRPr="005764F6">
        <w:rPr>
          <w:rStyle w:val="AERtextitalic"/>
        </w:rPr>
        <w:t>The appropriate use of tax statistics when estimating gamma</w:t>
      </w:r>
      <w:r>
        <w:t>, January 2016, p. 7.</w:t>
      </w:r>
    </w:p>
  </w:footnote>
  <w:footnote w:id="108">
    <w:p w:rsidR="005E1FC3" w:rsidRDefault="005E1FC3" w:rsidP="001D37D5">
      <w:pPr>
        <w:pStyle w:val="FootnoteText"/>
      </w:pPr>
      <w:r>
        <w:rPr>
          <w:rStyle w:val="FootnoteReference"/>
        </w:rPr>
        <w:footnoteRef/>
      </w:r>
      <w:r>
        <w:t xml:space="preserve"> </w:t>
      </w:r>
      <w:r>
        <w:tab/>
      </w:r>
      <w:r w:rsidRPr="00874F27">
        <w:t xml:space="preserve">J. Handley, </w:t>
      </w:r>
      <w:r w:rsidRPr="00874F27">
        <w:rPr>
          <w:rStyle w:val="AERtextitalic"/>
        </w:rPr>
        <w:t>Report prepared for the Australian Energy Regulator: Advice on the value of imputation credits</w:t>
      </w:r>
      <w:r w:rsidRPr="00874F27">
        <w:t>, 29 September 2014</w:t>
      </w:r>
      <w:r>
        <w:t>, pp. 28–29</w:t>
      </w:r>
      <w:r w:rsidRPr="00874F27">
        <w:t>.</w:t>
      </w:r>
    </w:p>
  </w:footnote>
  <w:footnote w:id="109">
    <w:p w:rsidR="005E1FC3" w:rsidRDefault="005E1FC3" w:rsidP="001D37D5">
      <w:pPr>
        <w:pStyle w:val="FootnoteText"/>
      </w:pPr>
      <w:r>
        <w:rPr>
          <w:rStyle w:val="FootnoteReference"/>
        </w:rPr>
        <w:footnoteRef/>
      </w:r>
      <w:r>
        <w:t xml:space="preserve"> </w:t>
      </w:r>
      <w:r>
        <w:tab/>
        <w:t xml:space="preserve">See section </w:t>
      </w:r>
      <w:r>
        <w:fldChar w:fldCharType="begin"/>
      </w:r>
      <w:r>
        <w:instrText xml:space="preserve"> REF _Ref401133206 \r \h </w:instrText>
      </w:r>
      <w:r>
        <w:fldChar w:fldCharType="separate"/>
      </w:r>
      <w:r>
        <w:t>A.10</w:t>
      </w:r>
      <w:r>
        <w:fldChar w:fldCharType="end"/>
      </w:r>
      <w:r>
        <w:t xml:space="preserve"> for more detail.</w:t>
      </w:r>
    </w:p>
  </w:footnote>
  <w:footnote w:id="110">
    <w:p w:rsidR="005E1FC3" w:rsidRDefault="005E1FC3" w:rsidP="001D37D5">
      <w:pPr>
        <w:pStyle w:val="FootnoteText"/>
      </w:pPr>
      <w:r>
        <w:rPr>
          <w:rStyle w:val="FootnoteReference"/>
        </w:rPr>
        <w:footnoteRef/>
      </w:r>
      <w:r>
        <w:t xml:space="preserve"> </w:t>
      </w:r>
      <w:r>
        <w:tab/>
        <w:t xml:space="preserve">We discuss this updated analysis in section </w:t>
      </w:r>
      <w:r>
        <w:fldChar w:fldCharType="begin"/>
      </w:r>
      <w:r>
        <w:instrText xml:space="preserve"> REF _Ref401133206 \r \h </w:instrText>
      </w:r>
      <w:r>
        <w:fldChar w:fldCharType="separate"/>
      </w:r>
      <w:r>
        <w:t>A.10</w:t>
      </w:r>
      <w:r>
        <w:fldChar w:fldCharType="end"/>
      </w:r>
      <w:r>
        <w:t xml:space="preserve"> of appendix A. </w:t>
      </w:r>
    </w:p>
  </w:footnote>
  <w:footnote w:id="111">
    <w:p w:rsidR="005E1FC3" w:rsidRDefault="005E1FC3" w:rsidP="001D37D5">
      <w:pPr>
        <w:pStyle w:val="FootnoteText"/>
      </w:pPr>
      <w:r>
        <w:rPr>
          <w:rStyle w:val="FootnoteReference"/>
        </w:rPr>
        <w:footnoteRef/>
      </w:r>
      <w:r>
        <w:t xml:space="preserve"> </w:t>
      </w:r>
      <w:r>
        <w:tab/>
        <w:t xml:space="preserve">See </w:t>
      </w:r>
      <w:r w:rsidRPr="00712BC2">
        <w:t xml:space="preserve">M. Lally, </w:t>
      </w:r>
      <w:r>
        <w:rPr>
          <w:rStyle w:val="AERtextitalic"/>
        </w:rPr>
        <w:t>Gamma and the ACT Decision</w:t>
      </w:r>
      <w:r>
        <w:t>, May 2016, pp. 24–25.</w:t>
      </w:r>
    </w:p>
  </w:footnote>
  <w:footnote w:id="112">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26, 28–29.</w:t>
      </w:r>
    </w:p>
  </w:footnote>
  <w:footnote w:id="113">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25–26, 28–29.</w:t>
      </w:r>
    </w:p>
  </w:footnote>
  <w:footnote w:id="114">
    <w:p w:rsidR="005E1FC3" w:rsidRDefault="005E1FC3" w:rsidP="001D37D5">
      <w:pPr>
        <w:pStyle w:val="FootnoteText"/>
      </w:pPr>
      <w:r>
        <w:rPr>
          <w:rStyle w:val="FootnoteReference"/>
        </w:rPr>
        <w:footnoteRef/>
      </w:r>
      <w:r>
        <w:t xml:space="preserve"> </w:t>
      </w:r>
      <w:r>
        <w:tab/>
      </w:r>
      <w:r w:rsidRPr="005764F6">
        <w:rPr>
          <w:rStyle w:val="FootnoteReference"/>
          <w:vertAlign w:val="baseline"/>
        </w:rPr>
        <w:t xml:space="preserve">Lally's view on this issue appears consistent with the views of Gray. See Frontier Economics, </w:t>
      </w:r>
      <w:r w:rsidRPr="00CE62A1">
        <w:rPr>
          <w:rStyle w:val="AERtextitalic"/>
        </w:rPr>
        <w:t>An appropriate regulatory estimate of gamma</w:t>
      </w:r>
      <w:r w:rsidRPr="005764F6">
        <w:rPr>
          <w:rStyle w:val="FootnoteReference"/>
          <w:vertAlign w:val="baseline"/>
        </w:rPr>
        <w:t>, June 2015, pp. 12–13.</w:t>
      </w:r>
    </w:p>
  </w:footnote>
  <w:footnote w:id="115">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5–6, 24–26, 29.</w:t>
      </w:r>
      <w:r w:rsidRPr="00FF2881">
        <w:rPr>
          <w:rStyle w:val="FootnoteReference"/>
        </w:rPr>
        <w:t xml:space="preserve">. </w:t>
      </w:r>
    </w:p>
  </w:footnote>
  <w:footnote w:id="116">
    <w:p w:rsidR="005E1FC3" w:rsidRDefault="005E1FC3" w:rsidP="001D37D5">
      <w:pPr>
        <w:pStyle w:val="FootnoteText"/>
      </w:pPr>
      <w:r>
        <w:rPr>
          <w:rStyle w:val="FootnoteReference"/>
        </w:rPr>
        <w:footnoteRef/>
      </w:r>
      <w:r>
        <w:t xml:space="preserve"> </w:t>
      </w:r>
      <w:r>
        <w:tab/>
      </w:r>
      <w:r w:rsidRPr="00883125">
        <w:t xml:space="preserve">In this decision we use the terms </w:t>
      </w:r>
      <w:r>
        <w:t xml:space="preserve">theta, </w:t>
      </w:r>
      <w:r w:rsidRPr="00883125">
        <w:t>utilisation value and utilisation rate interchangeably to mean the same thing.</w:t>
      </w:r>
    </w:p>
  </w:footnote>
  <w:footnote w:id="117">
    <w:p w:rsidR="005E1FC3" w:rsidRDefault="005E1FC3" w:rsidP="001D37D5">
      <w:pPr>
        <w:pStyle w:val="FootnoteText"/>
      </w:pPr>
      <w:r>
        <w:rPr>
          <w:rStyle w:val="FootnoteReference"/>
        </w:rPr>
        <w:footnoteRef/>
      </w:r>
      <w:r>
        <w:t xml:space="preserve"> </w:t>
      </w:r>
      <w:r>
        <w:tab/>
        <w:t xml:space="preserve">This is the return to eligible investors before administrative costs, personal taxes and diversification costs. Handley advises that this is the desired basis for the utilisation rate. We discuss this further in section </w:t>
      </w:r>
      <w:r>
        <w:fldChar w:fldCharType="begin"/>
      </w:r>
      <w:r>
        <w:instrText xml:space="preserve"> REF _Ref401748758 \r \h </w:instrText>
      </w:r>
      <w:r>
        <w:fldChar w:fldCharType="separate"/>
      </w:r>
      <w:r>
        <w:t>A.8.1</w:t>
      </w:r>
      <w:r>
        <w:fldChar w:fldCharType="end"/>
      </w:r>
      <w:r>
        <w:t xml:space="preserve"> of appendix A.</w:t>
      </w:r>
    </w:p>
  </w:footnote>
  <w:footnote w:id="118">
    <w:p w:rsidR="005E1FC3" w:rsidRDefault="005E1FC3" w:rsidP="001D37D5">
      <w:pPr>
        <w:pStyle w:val="FootnoteText"/>
      </w:pPr>
      <w:r>
        <w:rPr>
          <w:rStyle w:val="FootnoteReference"/>
        </w:rPr>
        <w:footnoteRef/>
      </w:r>
      <w:r>
        <w:t xml:space="preserve"> </w:t>
      </w:r>
      <w:r>
        <w:tab/>
      </w:r>
      <w:r w:rsidRPr="00800E44">
        <w:t xml:space="preserve">R. Officer, 'The cost of capital of a company under an imputation system', </w:t>
      </w:r>
      <w:r>
        <w:rPr>
          <w:rStyle w:val="AERtextitalic"/>
        </w:rPr>
        <w:t>Accounting and f</w:t>
      </w:r>
      <w:r w:rsidRPr="00800E44">
        <w:rPr>
          <w:rStyle w:val="AERtextitalic"/>
        </w:rPr>
        <w:t>inance</w:t>
      </w:r>
      <w:r w:rsidRPr="00800E44">
        <w:t>, vol. 34(1), May 1994</w:t>
      </w:r>
      <w:r>
        <w:t>.</w:t>
      </w:r>
    </w:p>
  </w:footnote>
  <w:footnote w:id="119">
    <w:p w:rsidR="005E1FC3" w:rsidRDefault="005E1FC3" w:rsidP="001D37D5">
      <w:pPr>
        <w:pStyle w:val="FootnoteText"/>
      </w:pPr>
      <w:r>
        <w:rPr>
          <w:rStyle w:val="FootnoteReference"/>
        </w:rPr>
        <w:footnoteRef/>
      </w:r>
      <w:r>
        <w:t xml:space="preserve"> </w:t>
      </w:r>
      <w:r>
        <w:tab/>
        <w:t xml:space="preserve">Personal tax is levied on the gross dividend which is the sum of the face value of the franked dividend and the face </w:t>
      </w:r>
      <w:r w:rsidR="009C18DC">
        <w:t>value</w:t>
      </w:r>
      <w:r>
        <w:t xml:space="preserve"> of the imputation credit.</w:t>
      </w:r>
    </w:p>
  </w:footnote>
  <w:footnote w:id="120">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22.</w:t>
      </w:r>
    </w:p>
  </w:footnote>
  <w:footnote w:id="121">
    <w:p w:rsidR="005E1FC3" w:rsidRDefault="005E1FC3" w:rsidP="001D37D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xml:space="preserve">, p. 31; </w:t>
      </w:r>
      <w:r w:rsidRPr="00582678">
        <w:t xml:space="preserve">M. Lally, </w:t>
      </w:r>
      <w:r w:rsidRPr="00582678">
        <w:rPr>
          <w:rStyle w:val="AERtextitalic"/>
        </w:rPr>
        <w:t>The estimation of gamma</w:t>
      </w:r>
      <w:r w:rsidRPr="00582678">
        <w:t>, 23 November 2013</w:t>
      </w:r>
      <w:r>
        <w:t xml:space="preserve">, p. 4; M. McKenzie and G. Partington, </w:t>
      </w:r>
      <w:r w:rsidRPr="00523EF7">
        <w:rPr>
          <w:rStyle w:val="AERtextitalic"/>
        </w:rPr>
        <w:t>Report to the Queensland Resources Council: Review of Aurizon Network’s draft access undertaking</w:t>
      </w:r>
      <w:r>
        <w:t>, 5 October 2013, p. 32.</w:t>
      </w:r>
    </w:p>
  </w:footnote>
  <w:footnote w:id="122">
    <w:p w:rsidR="005E1FC3" w:rsidRDefault="005E1FC3" w:rsidP="001D37D5">
      <w:pPr>
        <w:pStyle w:val="FootnoteText"/>
      </w:pPr>
      <w:r>
        <w:rPr>
          <w:rStyle w:val="FootnoteReference"/>
        </w:rPr>
        <w:footnoteRef/>
      </w:r>
      <w:r>
        <w:t xml:space="preserve"> </w:t>
      </w:r>
      <w:r>
        <w:tab/>
        <w:t xml:space="preserve">We have also considered these approaches and the evidence they employ against the criteria used to assess evidence on the allowed rate of return. See section </w:t>
      </w:r>
      <w:r>
        <w:fldChar w:fldCharType="begin"/>
      </w:r>
      <w:r>
        <w:instrText xml:space="preserve"> REF _Ref403481535 \r \h </w:instrText>
      </w:r>
      <w:r>
        <w:fldChar w:fldCharType="separate"/>
      </w:r>
      <w:r>
        <w:t>A.11</w:t>
      </w:r>
      <w:r>
        <w:fldChar w:fldCharType="end"/>
      </w:r>
      <w:r>
        <w:t xml:space="preserve"> of appendix A.</w:t>
      </w:r>
    </w:p>
  </w:footnote>
  <w:footnote w:id="123">
    <w:p w:rsidR="005E1FC3" w:rsidRDefault="005E1FC3" w:rsidP="001D37D5">
      <w:pPr>
        <w:pStyle w:val="FootnoteText"/>
      </w:pPr>
      <w:r>
        <w:rPr>
          <w:rStyle w:val="FootnoteReference"/>
        </w:rPr>
        <w:footnoteRef/>
      </w:r>
      <w:r>
        <w:t xml:space="preserve"> </w:t>
      </w:r>
      <w:r>
        <w:tab/>
        <w:t xml:space="preserve">Specifically, we use data from </w:t>
      </w:r>
      <w:r w:rsidRPr="0061054A">
        <w:t>Australian National Accounts:</w:t>
      </w:r>
      <w:r>
        <w:t xml:space="preserve"> Finance and Wealth </w:t>
      </w:r>
      <w:r w:rsidRPr="0061054A">
        <w:t>(ABS cat. 5232.0)</w:t>
      </w:r>
      <w:r>
        <w:t>.</w:t>
      </w:r>
    </w:p>
  </w:footnote>
  <w:footnote w:id="124">
    <w:p w:rsidR="005E1FC3" w:rsidRDefault="005E1FC3" w:rsidP="001D37D5">
      <w:pPr>
        <w:pStyle w:val="FootnoteText"/>
      </w:pPr>
      <w:r>
        <w:rPr>
          <w:rStyle w:val="FootnoteReference"/>
        </w:rPr>
        <w:footnoteRef/>
      </w:r>
      <w:r>
        <w:t xml:space="preserve"> </w:t>
      </w:r>
      <w:r>
        <w:tab/>
      </w:r>
      <w:r w:rsidRPr="00CE62A1">
        <w:t xml:space="preserve">Australian Competition Tribunal, </w:t>
      </w:r>
      <w:r w:rsidRPr="00CE62A1">
        <w:rPr>
          <w:rStyle w:val="AERtextitalic"/>
        </w:rPr>
        <w:t>Application by Public Interest Advocacy Centre Ltd and Ausgrid [2016] ACompT 1</w:t>
      </w:r>
      <w:r w:rsidRPr="00CE62A1">
        <w:t>, 26 February 2016, paras. 1048.</w:t>
      </w:r>
    </w:p>
  </w:footnote>
  <w:footnote w:id="125">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23.</w:t>
      </w:r>
    </w:p>
  </w:footnote>
  <w:footnote w:id="126">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17.</w:t>
      </w:r>
    </w:p>
  </w:footnote>
  <w:footnote w:id="127">
    <w:p w:rsidR="005E1FC3" w:rsidRDefault="005E1FC3" w:rsidP="001D37D5">
      <w:pPr>
        <w:pStyle w:val="FootnoteText"/>
      </w:pPr>
      <w:r>
        <w:rPr>
          <w:rStyle w:val="FootnoteReference"/>
        </w:rPr>
        <w:footnoteRef/>
      </w:r>
      <w:r>
        <w:t xml:space="preserve"> </w:t>
      </w:r>
      <w:r>
        <w:tab/>
        <w:t xml:space="preserve">These statistics are available at: </w:t>
      </w:r>
      <w:r w:rsidRPr="00611553">
        <w:t>https://www.ato.gov.au/About-ATO/Research-and-statistics/Taxation-statistics/</w:t>
      </w:r>
      <w:r>
        <w:t>. Accessed 9 April 2015.</w:t>
      </w:r>
    </w:p>
  </w:footnote>
  <w:footnote w:id="128">
    <w:p w:rsidR="005E1FC3" w:rsidRDefault="005E1FC3" w:rsidP="001D37D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p. 31.</w:t>
      </w:r>
    </w:p>
  </w:footnote>
  <w:footnote w:id="129">
    <w:p w:rsidR="005E1FC3" w:rsidRDefault="005E1FC3" w:rsidP="001D37D5">
      <w:pPr>
        <w:pStyle w:val="FootnoteText"/>
      </w:pPr>
      <w:r>
        <w:rPr>
          <w:rStyle w:val="FootnoteReference"/>
        </w:rPr>
        <w:footnoteRef/>
      </w:r>
      <w:r>
        <w:t xml:space="preserve"> </w:t>
      </w:r>
      <w:r>
        <w:tab/>
      </w:r>
      <w:r w:rsidRPr="00582678">
        <w:t xml:space="preserve">M. Lally, </w:t>
      </w:r>
      <w:r w:rsidRPr="00582678">
        <w:rPr>
          <w:rStyle w:val="AERtextitalic"/>
        </w:rPr>
        <w:t>The estimation of gamma</w:t>
      </w:r>
      <w:r w:rsidRPr="00582678">
        <w:t>, 23 November 2013</w:t>
      </w:r>
      <w:r>
        <w:t xml:space="preserve">, p. 4. Also see </w:t>
      </w:r>
      <w:r w:rsidRPr="00712BC2">
        <w:t xml:space="preserve">M. Lally, </w:t>
      </w:r>
      <w:r>
        <w:rPr>
          <w:rStyle w:val="AERtextitalic"/>
        </w:rPr>
        <w:t>Gamma and the ACT Decision</w:t>
      </w:r>
      <w:r>
        <w:t>, May 2016, p. 4–5.</w:t>
      </w:r>
    </w:p>
  </w:footnote>
  <w:footnote w:id="130">
    <w:p w:rsidR="005E1FC3" w:rsidRDefault="005E1FC3" w:rsidP="001D37D5">
      <w:pPr>
        <w:pStyle w:val="FootnoteText"/>
      </w:pPr>
      <w:r>
        <w:rPr>
          <w:rStyle w:val="FootnoteReference"/>
        </w:rPr>
        <w:footnoteRef/>
      </w:r>
      <w:r>
        <w:t xml:space="preserve"> </w:t>
      </w:r>
      <w:r>
        <w:tab/>
      </w:r>
      <w:r w:rsidRPr="00582678">
        <w:t xml:space="preserve">M. Lally, </w:t>
      </w:r>
      <w:r w:rsidRPr="00582678">
        <w:rPr>
          <w:rStyle w:val="AERtextitalic"/>
        </w:rPr>
        <w:t>The estimation of gamma</w:t>
      </w:r>
      <w:r>
        <w:t>, 25</w:t>
      </w:r>
      <w:r w:rsidRPr="00582678">
        <w:t xml:space="preserve"> November 2013</w:t>
      </w:r>
      <w:r>
        <w:t xml:space="preserve">, p. 4. Also see </w:t>
      </w:r>
      <w:r w:rsidRPr="00712BC2">
        <w:t xml:space="preserve">M. Lally, </w:t>
      </w:r>
      <w:r>
        <w:rPr>
          <w:rStyle w:val="AERtextitalic"/>
        </w:rPr>
        <w:t>Gamma and the ACT Decision</w:t>
      </w:r>
      <w:r>
        <w:t>, May 2016, p. 4–5.</w:t>
      </w:r>
    </w:p>
  </w:footnote>
  <w:footnote w:id="131">
    <w:p w:rsidR="005E1FC3" w:rsidRDefault="005E1FC3" w:rsidP="001D37D5">
      <w:pPr>
        <w:pStyle w:val="FootnoteText"/>
      </w:pPr>
      <w:r>
        <w:rPr>
          <w:rStyle w:val="FootnoteReference"/>
        </w:rPr>
        <w:footnoteRef/>
      </w:r>
      <w:r>
        <w:t xml:space="preserve"> </w:t>
      </w:r>
      <w:r>
        <w:tab/>
      </w:r>
      <w:r w:rsidRPr="00DF6BAC">
        <w:t xml:space="preserve">N. Hathaway, </w:t>
      </w:r>
      <w:r w:rsidRPr="00DF6BAC">
        <w:rPr>
          <w:rStyle w:val="AERtextitalic"/>
        </w:rPr>
        <w:t>Imputation credit redemption ATO data 1988–2011: Where have all the credits gone?</w:t>
      </w:r>
      <w:r>
        <w:t>, September 2013, paras. 9 and 99–100.</w:t>
      </w:r>
    </w:p>
  </w:footnote>
  <w:footnote w:id="132">
    <w:p w:rsidR="005E1FC3" w:rsidRDefault="005E1FC3" w:rsidP="001D37D5">
      <w:pPr>
        <w:pStyle w:val="FootnoteText"/>
      </w:pPr>
      <w:r>
        <w:rPr>
          <w:rStyle w:val="FootnoteReference"/>
        </w:rPr>
        <w:footnoteRef/>
      </w:r>
      <w:r>
        <w:t xml:space="preserve"> </w:t>
      </w:r>
      <w:r>
        <w:tab/>
      </w:r>
      <w:r w:rsidRPr="00293592">
        <w:t xml:space="preserve">That is, statistics are published on the refunds to 'endorsed income tax-exempt entities and deductible gift recipients', but it is not clear whether this covers refunds to other entities entitled to a refund of </w:t>
      </w:r>
      <w:r>
        <w:t>imputation</w:t>
      </w:r>
      <w:r w:rsidRPr="00293592">
        <w:t xml:space="preserve"> </w:t>
      </w:r>
      <w:r>
        <w:t>credits. Such entities include</w:t>
      </w:r>
      <w:r w:rsidRPr="00293592">
        <w:t xml:space="preserve"> public fund</w:t>
      </w:r>
      <w:r>
        <w:t>s</w:t>
      </w:r>
      <w:r w:rsidRPr="00293592">
        <w:t xml:space="preserve"> declared by the Treasurer to be a</w:t>
      </w:r>
      <w:r>
        <w:t xml:space="preserve"> developing country relief fund and</w:t>
      </w:r>
      <w:r w:rsidRPr="00293592">
        <w:t xml:space="preserve"> exempt institution</w:t>
      </w:r>
      <w:r>
        <w:t>s that are</w:t>
      </w:r>
      <w:r w:rsidRPr="00293592">
        <w:t xml:space="preserve"> eligible for a refund under </w:t>
      </w:r>
      <w:r>
        <w:t>the regulations</w:t>
      </w:r>
      <w:r w:rsidRPr="00293592">
        <w:t>.</w:t>
      </w:r>
      <w:r>
        <w:t xml:space="preserve"> See: </w:t>
      </w:r>
      <w:r w:rsidRPr="00057D4F">
        <w:t>https://www.ato.gov.au/Non-profit/Franking-credits/In-detail/FAQs/Refund-of-franking-credits--endorsed-entities---FAQs/?page=3</w:t>
      </w:r>
      <w:r>
        <w:t>. Accessed 9 April 2015.</w:t>
      </w:r>
    </w:p>
  </w:footnote>
  <w:footnote w:id="133">
    <w:p w:rsidR="005E1FC3" w:rsidRDefault="005E1FC3" w:rsidP="001D37D5">
      <w:pPr>
        <w:pStyle w:val="FootnoteText"/>
      </w:pPr>
      <w:r>
        <w:rPr>
          <w:rStyle w:val="FootnoteReference"/>
        </w:rPr>
        <w:footnoteRef/>
      </w:r>
      <w:r>
        <w:t xml:space="preserve"> </w:t>
      </w:r>
      <w:r>
        <w:tab/>
        <w:t xml:space="preserve">We discuss this issue further in section </w:t>
      </w:r>
      <w:r>
        <w:fldChar w:fldCharType="begin"/>
      </w:r>
      <w:r>
        <w:instrText xml:space="preserve"> REF _Ref401048631 \r \h </w:instrText>
      </w:r>
      <w:r>
        <w:fldChar w:fldCharType="separate"/>
      </w:r>
      <w:r>
        <w:t>A.9.1</w:t>
      </w:r>
      <w:r>
        <w:fldChar w:fldCharType="end"/>
      </w:r>
      <w:r>
        <w:t xml:space="preserve"> of appendix A.</w:t>
      </w:r>
    </w:p>
  </w:footnote>
  <w:footnote w:id="134">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19-20, 26, 30.</w:t>
      </w:r>
    </w:p>
  </w:footnote>
  <w:footnote w:id="135">
    <w:p w:rsidR="005E1FC3" w:rsidRDefault="005E1FC3" w:rsidP="001D37D5">
      <w:pPr>
        <w:pStyle w:val="FootnoteText"/>
      </w:pPr>
      <w:r>
        <w:rPr>
          <w:rStyle w:val="FootnoteReference"/>
        </w:rPr>
        <w:footnoteRef/>
      </w:r>
      <w:r>
        <w:t xml:space="preserve"> </w:t>
      </w:r>
      <w:r>
        <w:tab/>
      </w:r>
      <w:r w:rsidRPr="00DF6BAC">
        <w:t xml:space="preserve">N. Hathaway, </w:t>
      </w:r>
      <w:r w:rsidRPr="00DF6BAC">
        <w:rPr>
          <w:rStyle w:val="AERtextitalic"/>
        </w:rPr>
        <w:t>Imputation credit redemption ATO data 1988–2011: Where have all the credits gone?</w:t>
      </w:r>
      <w:r>
        <w:t>, September 2013.</w:t>
      </w:r>
    </w:p>
  </w:footnote>
  <w:footnote w:id="136">
    <w:p w:rsidR="005E1FC3" w:rsidRDefault="005E1FC3" w:rsidP="001D37D5">
      <w:pPr>
        <w:pStyle w:val="FootnoteText"/>
      </w:pPr>
      <w:r>
        <w:rPr>
          <w:rStyle w:val="FootnoteReference"/>
        </w:rPr>
        <w:footnoteRef/>
      </w:r>
      <w:r>
        <w:t xml:space="preserve"> </w:t>
      </w:r>
      <w:r>
        <w:tab/>
      </w:r>
      <w:r w:rsidRPr="00DF6BAC">
        <w:t xml:space="preserve">N. Hathaway, </w:t>
      </w:r>
      <w:r w:rsidRPr="00DF6BAC">
        <w:rPr>
          <w:rStyle w:val="AERtextitalic"/>
        </w:rPr>
        <w:t>Imputation credit redemption ATO data 1988–2011: Where have all the credits gone?</w:t>
      </w:r>
      <w:r>
        <w:t>, September 2013, para. 32.</w:t>
      </w:r>
    </w:p>
  </w:footnote>
  <w:footnote w:id="137">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5, 25.</w:t>
      </w:r>
    </w:p>
  </w:footnote>
  <w:footnote w:id="138">
    <w:p w:rsidR="005E1FC3" w:rsidRDefault="005E1FC3" w:rsidP="001D37D5">
      <w:pPr>
        <w:pStyle w:val="FootnoteText"/>
      </w:pPr>
      <w:r>
        <w:rPr>
          <w:rStyle w:val="FootnoteReference"/>
        </w:rPr>
        <w:footnoteRef/>
      </w:r>
      <w:r>
        <w:t xml:space="preserve"> </w:t>
      </w:r>
      <w:r>
        <w:tab/>
        <w:t xml:space="preserve">NERA, </w:t>
      </w:r>
      <w:r w:rsidRPr="001763FD">
        <w:rPr>
          <w:rStyle w:val="AERtextitalic"/>
        </w:rPr>
        <w:t>Estimating distribution and redemption rates from taxation statistics</w:t>
      </w:r>
      <w:r>
        <w:t>, March 2015.</w:t>
      </w:r>
    </w:p>
  </w:footnote>
  <w:footnote w:id="139">
    <w:p w:rsidR="005E1FC3" w:rsidRDefault="005E1FC3" w:rsidP="001D37D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p. 31.</w:t>
      </w:r>
    </w:p>
  </w:footnote>
  <w:footnote w:id="140">
    <w:p w:rsidR="005E1FC3" w:rsidRDefault="005E1FC3" w:rsidP="001D37D5">
      <w:pPr>
        <w:pStyle w:val="FootnoteText"/>
      </w:pPr>
      <w:r>
        <w:rPr>
          <w:rStyle w:val="FootnoteReference"/>
        </w:rPr>
        <w:footnoteRef/>
      </w:r>
      <w:r>
        <w:t xml:space="preserve"> </w:t>
      </w:r>
      <w:r>
        <w:tab/>
      </w:r>
      <w:r w:rsidRPr="00582678">
        <w:t xml:space="preserve">M. Lally, </w:t>
      </w:r>
      <w:r w:rsidRPr="00582678">
        <w:rPr>
          <w:rStyle w:val="AERtextitalic"/>
        </w:rPr>
        <w:t>The estimation of gamma</w:t>
      </w:r>
      <w:r w:rsidRPr="00582678">
        <w:t>, 23 November 2013</w:t>
      </w:r>
      <w:r>
        <w:t>, p. 4.</w:t>
      </w:r>
    </w:p>
  </w:footnote>
  <w:footnote w:id="141">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4–5.</w:t>
      </w:r>
    </w:p>
  </w:footnote>
  <w:footnote w:id="142">
    <w:p w:rsidR="005E1FC3" w:rsidRDefault="005E1FC3" w:rsidP="001D37D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xml:space="preserve">, p. 44; A. Ainsworth, G. Partington and G. Warren, </w:t>
      </w:r>
      <w:r w:rsidRPr="00814197">
        <w:rPr>
          <w:rStyle w:val="AERtextitalic"/>
        </w:rPr>
        <w:t>Do franking credits matter? Exploring the financial implications of dividend imputation</w:t>
      </w:r>
      <w:r>
        <w:t>, May 2015, p. 18.</w:t>
      </w:r>
    </w:p>
  </w:footnote>
  <w:footnote w:id="143">
    <w:p w:rsidR="005E1FC3" w:rsidRDefault="005E1FC3" w:rsidP="001D37D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xml:space="preserve">, p. 44; A. Ainsworth, G. Partington and G. Warren, </w:t>
      </w:r>
      <w:r w:rsidRPr="00814197">
        <w:rPr>
          <w:rStyle w:val="AERtextitalic"/>
        </w:rPr>
        <w:t>Do franking credits matter? Exploring the financial implications of dividend imputation</w:t>
      </w:r>
      <w:r>
        <w:t>, May 2015, p. 18.</w:t>
      </w:r>
    </w:p>
  </w:footnote>
  <w:footnote w:id="144">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22.</w:t>
      </w:r>
    </w:p>
  </w:footnote>
  <w:footnote w:id="145">
    <w:p w:rsidR="005E1FC3" w:rsidRDefault="005E1FC3" w:rsidP="001D37D5">
      <w:pPr>
        <w:pStyle w:val="FootnoteText"/>
      </w:pPr>
      <w:r>
        <w:rPr>
          <w:rStyle w:val="FootnoteReference"/>
        </w:rPr>
        <w:footnoteRef/>
      </w:r>
      <w:r>
        <w:t xml:space="preserve"> </w:t>
      </w:r>
      <w:r>
        <w:tab/>
        <w:t xml:space="preserve">SFG, </w:t>
      </w:r>
      <w:r w:rsidRPr="00C014CC">
        <w:rPr>
          <w:rStyle w:val="AERtextitalic"/>
        </w:rPr>
        <w:t>An appropriate regulatory estimate of gamma</w:t>
      </w:r>
      <w:r>
        <w:t>, 21 May 2014, paras. 17 and 20.</w:t>
      </w:r>
    </w:p>
  </w:footnote>
  <w:footnote w:id="146">
    <w:p w:rsidR="005E1FC3" w:rsidRDefault="005E1FC3" w:rsidP="001D37D5">
      <w:pPr>
        <w:pStyle w:val="FootnoteText"/>
      </w:pPr>
      <w:r>
        <w:rPr>
          <w:rStyle w:val="FootnoteReference"/>
        </w:rPr>
        <w:footnoteRef/>
      </w:r>
      <w:r>
        <w:t xml:space="preserve"> </w:t>
      </w:r>
      <w:r>
        <w:tab/>
        <w:t xml:space="preserve">Economic Regulation Authority, </w:t>
      </w:r>
      <w:r w:rsidRPr="00D5068A">
        <w:rPr>
          <w:rStyle w:val="AERtextitalic"/>
        </w:rPr>
        <w:t xml:space="preserve">Explanatory </w:t>
      </w:r>
      <w:r>
        <w:rPr>
          <w:rStyle w:val="AERtextitalic"/>
        </w:rPr>
        <w:t>S</w:t>
      </w:r>
      <w:r w:rsidRPr="00D5068A">
        <w:rPr>
          <w:rStyle w:val="AERtextitalic"/>
        </w:rPr>
        <w:t xml:space="preserve">tatement for the </w:t>
      </w:r>
      <w:r>
        <w:rPr>
          <w:rStyle w:val="AERtextitalic"/>
        </w:rPr>
        <w:t>R</w:t>
      </w:r>
      <w:r w:rsidRPr="00D5068A">
        <w:rPr>
          <w:rStyle w:val="AERtextitalic"/>
        </w:rPr>
        <w:t xml:space="preserve">ate of </w:t>
      </w:r>
      <w:r>
        <w:rPr>
          <w:rStyle w:val="AERtextitalic"/>
        </w:rPr>
        <w:t>R</w:t>
      </w:r>
      <w:r w:rsidRPr="00D5068A">
        <w:rPr>
          <w:rStyle w:val="AERtextitalic"/>
        </w:rPr>
        <w:t xml:space="preserve">eturn </w:t>
      </w:r>
      <w:r>
        <w:rPr>
          <w:rStyle w:val="AERtextitalic"/>
        </w:rPr>
        <w:t>G</w:t>
      </w:r>
      <w:r w:rsidRPr="00D5068A">
        <w:rPr>
          <w:rStyle w:val="AERtextitalic"/>
        </w:rPr>
        <w:t>uidelines</w:t>
      </w:r>
      <w:r>
        <w:t>, 13 December 2013, para. 921.</w:t>
      </w:r>
    </w:p>
  </w:footnote>
  <w:footnote w:id="147">
    <w:p w:rsidR="005E1FC3" w:rsidRDefault="005E1FC3" w:rsidP="001D37D5">
      <w:pPr>
        <w:pStyle w:val="FootnoteText"/>
      </w:pPr>
      <w:r>
        <w:rPr>
          <w:rStyle w:val="FootnoteReference"/>
        </w:rPr>
        <w:footnoteRef/>
      </w:r>
      <w:r>
        <w:t xml:space="preserve"> </w:t>
      </w:r>
      <w:r>
        <w:tab/>
      </w:r>
      <w:r w:rsidRPr="00582678">
        <w:t xml:space="preserve">M. Lally, </w:t>
      </w:r>
      <w:r w:rsidRPr="00582678">
        <w:rPr>
          <w:rStyle w:val="AERtextitalic"/>
        </w:rPr>
        <w:t>The estimation of gamma</w:t>
      </w:r>
      <w:r w:rsidRPr="00582678">
        <w:t>, 23 November 2013</w:t>
      </w:r>
      <w:r>
        <w:t>, pp. 20–30.</w:t>
      </w:r>
    </w:p>
  </w:footnote>
  <w:footnote w:id="148">
    <w:p w:rsidR="005E1FC3" w:rsidRDefault="005E1FC3" w:rsidP="001D37D5">
      <w:pPr>
        <w:pStyle w:val="FootnoteText"/>
      </w:pPr>
      <w:r>
        <w:rPr>
          <w:rStyle w:val="FootnoteReference"/>
        </w:rPr>
        <w:footnoteRef/>
      </w:r>
      <w:r>
        <w:t xml:space="preserve"> </w:t>
      </w:r>
      <w:r>
        <w:tab/>
      </w:r>
      <w:r w:rsidRPr="00582678">
        <w:t xml:space="preserve">M. Lally, </w:t>
      </w:r>
      <w:r w:rsidRPr="00582678">
        <w:rPr>
          <w:rStyle w:val="AERtextitalic"/>
        </w:rPr>
        <w:t>The estimation of gamma</w:t>
      </w:r>
      <w:r w:rsidRPr="00582678">
        <w:t>, 23 November 2013</w:t>
      </w:r>
      <w:r>
        <w:t xml:space="preserve">, pp. 24–26 and 28–29; M. Lally, </w:t>
      </w:r>
      <w:r w:rsidRPr="008916E4">
        <w:rPr>
          <w:rStyle w:val="AERtextitalic"/>
        </w:rPr>
        <w:t>Review of submissions to the QCA on the MRP, risk-free rate and gamma</w:t>
      </w:r>
      <w:r>
        <w:t>, 12 March 2014, pp. 35–38.</w:t>
      </w:r>
    </w:p>
  </w:footnote>
  <w:footnote w:id="149">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4–5, 23, 31.</w:t>
      </w:r>
    </w:p>
  </w:footnote>
  <w:footnote w:id="150">
    <w:p w:rsidR="005E1FC3" w:rsidRDefault="005E1FC3" w:rsidP="001D37D5">
      <w:pPr>
        <w:pStyle w:val="FootnoteText"/>
      </w:pPr>
      <w:r>
        <w:rPr>
          <w:rStyle w:val="FootnoteReference"/>
        </w:rPr>
        <w:footnoteRef/>
      </w:r>
      <w:r>
        <w:t xml:space="preserve"> </w:t>
      </w:r>
      <w:r>
        <w:tab/>
        <w:t xml:space="preserve">M. McKenzie and G. Partington, </w:t>
      </w:r>
      <w:r w:rsidRPr="00523EF7">
        <w:rPr>
          <w:rStyle w:val="AERtextitalic"/>
        </w:rPr>
        <w:t>Report to the Queensland Resources Council: Review of Aurizon Network’s draft access undertaking</w:t>
      </w:r>
      <w:r>
        <w:t>, 5 October 2013, p. 34.</w:t>
      </w:r>
    </w:p>
  </w:footnote>
  <w:footnote w:id="151">
    <w:p w:rsidR="005E1FC3" w:rsidRDefault="005E1FC3" w:rsidP="001D37D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 35.</w:t>
      </w:r>
    </w:p>
  </w:footnote>
  <w:footnote w:id="152">
    <w:p w:rsidR="005E1FC3" w:rsidRDefault="005E1FC3" w:rsidP="001D37D5">
      <w:pPr>
        <w:pStyle w:val="FootnoteText"/>
      </w:pPr>
      <w:r>
        <w:rPr>
          <w:rStyle w:val="FootnoteReference"/>
        </w:rPr>
        <w:footnoteRef/>
      </w:r>
      <w:r>
        <w:t xml:space="preserve"> </w:t>
      </w:r>
      <w:r>
        <w:tab/>
      </w:r>
      <w:r w:rsidRPr="004D735C">
        <w:t xml:space="preserve">J. Handley, </w:t>
      </w:r>
      <w:r w:rsidRPr="008916E4">
        <w:rPr>
          <w:rStyle w:val="AERtextitalic"/>
        </w:rPr>
        <w:t>Report prepared for the Australian Energy Regulator: Advice on the value of imputation credits</w:t>
      </w:r>
      <w:r w:rsidRPr="004D735C">
        <w:t>, 29 September 201</w:t>
      </w:r>
      <w:r>
        <w:t xml:space="preserve">4, pp. 43–44; J. Handley, </w:t>
      </w:r>
      <w:r w:rsidRPr="00626887">
        <w:rPr>
          <w:rStyle w:val="AERtextitalic"/>
        </w:rPr>
        <w:t>Report prepared for the Australian Energy Regulator: Further advice on the value of imputation credits</w:t>
      </w:r>
      <w:r>
        <w:t xml:space="preserve">, 16 April 2015, p. 16; </w:t>
      </w:r>
      <w:r w:rsidRPr="00582678">
        <w:t xml:space="preserve">M. Lally, </w:t>
      </w:r>
      <w:r w:rsidRPr="00582678">
        <w:rPr>
          <w:rStyle w:val="AERtextitalic"/>
        </w:rPr>
        <w:t>The estimation of gamma</w:t>
      </w:r>
      <w:r w:rsidRPr="00582678">
        <w:t>, 23 November 2013</w:t>
      </w:r>
      <w:r>
        <w:t xml:space="preserve">, p. 21. </w:t>
      </w:r>
    </w:p>
  </w:footnote>
  <w:footnote w:id="153">
    <w:p w:rsidR="005E1FC3" w:rsidRDefault="005E1FC3" w:rsidP="001D37D5">
      <w:pPr>
        <w:pStyle w:val="FootnoteText"/>
      </w:pPr>
      <w:r>
        <w:rPr>
          <w:rStyle w:val="FootnoteReference"/>
        </w:rPr>
        <w:footnoteRef/>
      </w:r>
      <w:r>
        <w:t xml:space="preserve"> </w:t>
      </w:r>
      <w:r>
        <w:tab/>
      </w:r>
      <w:r w:rsidRPr="00255370">
        <w:t xml:space="preserve">In the appendix to the </w:t>
      </w:r>
      <w:r>
        <w:t>G</w:t>
      </w:r>
      <w:r w:rsidRPr="00255370">
        <w:t xml:space="preserve">uideline we </w:t>
      </w:r>
      <w:r>
        <w:t xml:space="preserve">noted that this adjustment was </w:t>
      </w:r>
      <w:r w:rsidRPr="00255370">
        <w:t>contentiou</w:t>
      </w:r>
      <w:r>
        <w:t>s and required further examination</w:t>
      </w:r>
      <w:r w:rsidRPr="00255370">
        <w:t xml:space="preserve">.  </w:t>
      </w:r>
      <w:r>
        <w:t>In his recent</w:t>
      </w:r>
      <w:r w:rsidRPr="00255370">
        <w:t xml:space="preserve"> advice</w:t>
      </w:r>
      <w:r>
        <w:t xml:space="preserve">, </w:t>
      </w:r>
      <w:r w:rsidRPr="00255370">
        <w:t xml:space="preserve">Handley </w:t>
      </w:r>
      <w:r>
        <w:t xml:space="preserve">also advised </w:t>
      </w:r>
      <w:r w:rsidRPr="00255370">
        <w:t>that this adjustment should be applied.</w:t>
      </w:r>
      <w:r>
        <w:t xml:space="preserve"> Having given this issue further consideration, we agree with the advice from Lally and Handley that estimates from dividend drop off studies should he adjusted in this manner for the reasons that Lally and Handley explain.</w:t>
      </w:r>
    </w:p>
  </w:footnote>
  <w:footnote w:id="154">
    <w:p w:rsidR="005E1FC3" w:rsidRDefault="005E1FC3" w:rsidP="001D37D5">
      <w:pPr>
        <w:pStyle w:val="FootnoteText"/>
      </w:pPr>
      <w:r>
        <w:rPr>
          <w:rStyle w:val="FootnoteReference"/>
        </w:rPr>
        <w:footnoteRef/>
      </w:r>
      <w:r>
        <w:t xml:space="preserve"> </w:t>
      </w:r>
      <w:r>
        <w:tab/>
        <w:t xml:space="preserve">M. McKenzie and G. Partington, </w:t>
      </w:r>
      <w:r w:rsidRPr="00523EF7">
        <w:rPr>
          <w:rStyle w:val="AERtextitalic"/>
        </w:rPr>
        <w:t>Report to the Queensland Resources Council: Review of Aurizon Network’s draft access undertaking</w:t>
      </w:r>
      <w:r>
        <w:t>, 5 October 2013, pp. 33–35.</w:t>
      </w:r>
    </w:p>
  </w:footnote>
  <w:footnote w:id="155">
    <w:p w:rsidR="005E1FC3" w:rsidRDefault="005E1FC3" w:rsidP="001D37D5">
      <w:pPr>
        <w:pStyle w:val="FootnoteText"/>
      </w:pPr>
      <w:r>
        <w:rPr>
          <w:rStyle w:val="FootnoteReference"/>
        </w:rPr>
        <w:footnoteRef/>
      </w:r>
      <w:r>
        <w:t xml:space="preserve"> </w:t>
      </w:r>
      <w:r>
        <w:tab/>
        <w:t xml:space="preserve">SFG, </w:t>
      </w:r>
      <w:r w:rsidRPr="00C014CC">
        <w:rPr>
          <w:rStyle w:val="AERtextitalic"/>
        </w:rPr>
        <w:t>An appropriate regulatory estimate of gamma</w:t>
      </w:r>
      <w:r>
        <w:t>, 21 May 2014, paras. 17 and 20.</w:t>
      </w:r>
    </w:p>
  </w:footnote>
  <w:footnote w:id="156">
    <w:p w:rsidR="005E1FC3" w:rsidRDefault="005E1FC3" w:rsidP="001D37D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 33.</w:t>
      </w:r>
    </w:p>
  </w:footnote>
  <w:footnote w:id="157">
    <w:p w:rsidR="005E1FC3" w:rsidRDefault="005E1FC3" w:rsidP="001D37D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 35.</w:t>
      </w:r>
    </w:p>
  </w:footnote>
  <w:footnote w:id="158">
    <w:p w:rsidR="005E1FC3" w:rsidRDefault="005E1FC3" w:rsidP="001D37D5">
      <w:pPr>
        <w:pStyle w:val="FootnoteText"/>
      </w:pPr>
      <w:r>
        <w:rPr>
          <w:rStyle w:val="FootnoteReference"/>
        </w:rPr>
        <w:footnoteRef/>
      </w:r>
      <w:r>
        <w:t xml:space="preserve"> </w:t>
      </w:r>
      <w:r>
        <w:tab/>
        <w:t>These service providers are Australian Gas Networks, ActewAGL Distribution, APTNT, JEN, AusNet Services, United Energy, CitiPower and Powercor.</w:t>
      </w:r>
    </w:p>
  </w:footnote>
  <w:footnote w:id="159">
    <w:p w:rsidR="005E1FC3" w:rsidRDefault="005E1FC3" w:rsidP="001D37D5">
      <w:pPr>
        <w:pStyle w:val="FootnoteText"/>
      </w:pPr>
      <w:r>
        <w:rPr>
          <w:rStyle w:val="FootnoteReference"/>
        </w:rPr>
        <w:footnoteRef/>
      </w:r>
      <w:r>
        <w:t xml:space="preserve"> </w:t>
      </w:r>
      <w:r>
        <w:tab/>
        <w:t xml:space="preserve">United Energy, </w:t>
      </w:r>
      <w:r w:rsidRPr="006B5C23">
        <w:rPr>
          <w:rStyle w:val="AERtextitalic"/>
        </w:rPr>
        <w:t>Submission on AER preliminary determination - Submission on gamma</w:t>
      </w:r>
      <w:r>
        <w:t xml:space="preserve">, 26 April 2016; CitiPower and Powercor, </w:t>
      </w:r>
      <w:r w:rsidRPr="00E82D06">
        <w:rPr>
          <w:rStyle w:val="AERtextitalic"/>
        </w:rPr>
        <w:t>CitiPower and Powercor 2016-2020 distribution determinations—Submission on implications of recent Australian Competition Tribunal decisions</w:t>
      </w:r>
      <w:r>
        <w:t>, 18 April 2016.</w:t>
      </w:r>
    </w:p>
  </w:footnote>
  <w:footnote w:id="160">
    <w:p w:rsidR="005E1FC3" w:rsidRDefault="005E1FC3" w:rsidP="001D37D5">
      <w:pPr>
        <w:pStyle w:val="FootnoteText"/>
      </w:pPr>
      <w:r>
        <w:rPr>
          <w:rStyle w:val="FootnoteReference"/>
        </w:rPr>
        <w:footnoteRef/>
      </w:r>
      <w:r>
        <w:t xml:space="preserve"> </w:t>
      </w:r>
      <w:r>
        <w:tab/>
        <w:t>For example, see</w:t>
      </w:r>
      <w:r w:rsidRPr="00A62662">
        <w:t xml:space="preserve"> </w:t>
      </w:r>
      <w:r>
        <w:t xml:space="preserve">Australian Competition Tribunal, </w:t>
      </w:r>
      <w:r w:rsidRPr="005772E3">
        <w:rPr>
          <w:rStyle w:val="AERtextitalic"/>
        </w:rPr>
        <w:t>Applications by Public Interest Advocacy Centre Ltd and Ausgrid [2016] ACompT 1</w:t>
      </w:r>
      <w:r>
        <w:t>, 26 February 2016, para 1(c).</w:t>
      </w:r>
    </w:p>
  </w:footnote>
  <w:footnote w:id="161">
    <w:p w:rsidR="005E1FC3" w:rsidRDefault="005E1FC3" w:rsidP="001D37D5">
      <w:pPr>
        <w:pStyle w:val="FootnoteText"/>
      </w:pPr>
      <w:r>
        <w:rPr>
          <w:rStyle w:val="FootnoteReference"/>
        </w:rPr>
        <w:footnoteRef/>
      </w:r>
      <w:r>
        <w:t xml:space="preserve"> </w:t>
      </w:r>
      <w:r>
        <w:tab/>
      </w:r>
      <w:r w:rsidRPr="005764F6">
        <w:t xml:space="preserve">United Energy, </w:t>
      </w:r>
      <w:r w:rsidRPr="00CE62A1">
        <w:rPr>
          <w:rStyle w:val="AERtextitalic"/>
        </w:rPr>
        <w:t>Submission on AER preliminary determination - Submission on gamma</w:t>
      </w:r>
      <w:r w:rsidRPr="005764F6">
        <w:t xml:space="preserve">, 26 April 2016; CitiPower/Powercor, </w:t>
      </w:r>
      <w:r w:rsidRPr="00CE62A1">
        <w:rPr>
          <w:rStyle w:val="AERtextitalic"/>
        </w:rPr>
        <w:t>Submission on implications of recent Australian Competition Tribunal Decision</w:t>
      </w:r>
      <w:r w:rsidRPr="005764F6">
        <w:t xml:space="preserve">, 18 April 2016; ActewAGL, </w:t>
      </w:r>
      <w:r w:rsidRPr="00CE62A1">
        <w:rPr>
          <w:rStyle w:val="AERtextitalic"/>
        </w:rPr>
        <w:t>Implication of recent Tribunal decisions for final decision and updates to the allowed rate of return and forecast inflation estimate</w:t>
      </w:r>
      <w:r w:rsidRPr="005764F6">
        <w:t>, 12 May 2016.</w:t>
      </w:r>
    </w:p>
  </w:footnote>
  <w:footnote w:id="162">
    <w:p w:rsidR="005E1FC3" w:rsidRDefault="005E1FC3" w:rsidP="001D37D5">
      <w:pPr>
        <w:pStyle w:val="FootnoteText"/>
      </w:pPr>
      <w:r>
        <w:rPr>
          <w:rStyle w:val="FootnoteReference"/>
        </w:rPr>
        <w:footnoteRef/>
      </w:r>
      <w:r>
        <w:t xml:space="preserve"> </w:t>
      </w:r>
      <w:r>
        <w:tab/>
        <w:t xml:space="preserve">United Energy, </w:t>
      </w:r>
      <w:r w:rsidRPr="006B5C23">
        <w:rPr>
          <w:rStyle w:val="AERtextitalic"/>
        </w:rPr>
        <w:t>Submission on AER preliminary determination - Submission on gamma</w:t>
      </w:r>
      <w:r>
        <w:t xml:space="preserve">, 26 April 2016; Australian Gas Networks, </w:t>
      </w:r>
      <w:r>
        <w:rPr>
          <w:rStyle w:val="AERtextitalic"/>
        </w:rPr>
        <w:t>Attachment 11 Response to Draft Decision: Cost of Tax</w:t>
      </w:r>
      <w:r>
        <w:t xml:space="preserve">, January 2016, pp. 2, 4, 6:  ActewAGL, </w:t>
      </w:r>
      <w:r w:rsidRPr="00AF5B33">
        <w:rPr>
          <w:rStyle w:val="AERtextitalic"/>
        </w:rPr>
        <w:t>Appendix 5.01 Detailed response to rate of return, gamma and inflation</w:t>
      </w:r>
      <w:r>
        <w:t xml:space="preserve">, January 2016, p. 40; AusNet Electricity Services, </w:t>
      </w:r>
      <w:r w:rsidRPr="00AF5B33">
        <w:rPr>
          <w:rStyle w:val="AERtextitalic"/>
        </w:rPr>
        <w:t>Revised Regulatory Proposal</w:t>
      </w:r>
      <w:r>
        <w:t xml:space="preserve">, January 2016, p. 7-79; United Energy, </w:t>
      </w:r>
      <w:r w:rsidRPr="00AF5B33">
        <w:rPr>
          <w:rStyle w:val="AERtextitalic"/>
        </w:rPr>
        <w:t>Response to AER Preliminary Determination Re: Rate of return and gamma</w:t>
      </w:r>
      <w:r>
        <w:t xml:space="preserve">, January 2016, p. 80; CitiPower, </w:t>
      </w:r>
      <w:r w:rsidRPr="00AF5B33">
        <w:rPr>
          <w:rStyle w:val="AERtextitalic"/>
        </w:rPr>
        <w:t>Revised Regulatory Proposal 2016-2020</w:t>
      </w:r>
      <w:r>
        <w:t xml:space="preserve">; January 2016, p. 358; Jemena Electricity Networks, </w:t>
      </w:r>
      <w:r w:rsidRPr="00AF5B33">
        <w:rPr>
          <w:rStyle w:val="AERtextitalic"/>
        </w:rPr>
        <w:t>Attachment 6-1 Rate of return, gamma, forecast inflation, and debt and equity raising costs</w:t>
      </w:r>
      <w:r>
        <w:t xml:space="preserve">, January 2016, p. 86; Powercor, </w:t>
      </w:r>
      <w:r w:rsidRPr="00AF5B33">
        <w:rPr>
          <w:rStyle w:val="AERtextitalic"/>
        </w:rPr>
        <w:t>Revised Regulatory Proposal 2016-2020</w:t>
      </w:r>
      <w:r>
        <w:t>, January 2016, p. 352.</w:t>
      </w:r>
    </w:p>
  </w:footnote>
  <w:footnote w:id="163">
    <w:p w:rsidR="005E1FC3" w:rsidRDefault="005E1FC3" w:rsidP="001D37D5">
      <w:pPr>
        <w:pStyle w:val="FootnoteText"/>
      </w:pPr>
      <w:r>
        <w:rPr>
          <w:rStyle w:val="FootnoteReference"/>
        </w:rPr>
        <w:footnoteRef/>
      </w:r>
      <w:r>
        <w:t xml:space="preserve"> </w:t>
      </w:r>
      <w:r>
        <w:tab/>
      </w:r>
      <w:r w:rsidRPr="00CE62A1">
        <w:t xml:space="preserve">Australian Competition Tribunal, </w:t>
      </w:r>
      <w:r w:rsidRPr="00CE62A1">
        <w:rPr>
          <w:rStyle w:val="AERtextitalic"/>
        </w:rPr>
        <w:t>Application by Public Interest Advocacy Centre Ltd and Ausgrid [2016] ACompT 1</w:t>
      </w:r>
      <w:r w:rsidRPr="00CE62A1">
        <w:t>, 26 February 2016, paras. 1095</w:t>
      </w:r>
      <w:r w:rsidRPr="005764F6">
        <w:t>.</w:t>
      </w:r>
    </w:p>
  </w:footnote>
  <w:footnote w:id="164">
    <w:p w:rsidR="005E1FC3" w:rsidRDefault="005E1FC3" w:rsidP="001D37D5">
      <w:pPr>
        <w:pStyle w:val="FootnoteText"/>
      </w:pPr>
      <w:r>
        <w:rPr>
          <w:rStyle w:val="FootnoteReference"/>
        </w:rPr>
        <w:footnoteRef/>
      </w:r>
      <w:r>
        <w:t xml:space="preserve"> </w:t>
      </w:r>
      <w:r>
        <w:tab/>
        <w:t xml:space="preserve">United Energy, </w:t>
      </w:r>
      <w:r w:rsidRPr="006B5C23">
        <w:rPr>
          <w:rStyle w:val="AERtextitalic"/>
        </w:rPr>
        <w:t>Submission on AER preliminary determination - Submission on gamma</w:t>
      </w:r>
      <w:r>
        <w:t xml:space="preserve">, 26 April 2016; Australian Gas Networks, </w:t>
      </w:r>
      <w:r>
        <w:rPr>
          <w:rStyle w:val="AERtextitalic"/>
        </w:rPr>
        <w:t>Attachment 11 Response to Draft Decision: Cost of Tax</w:t>
      </w:r>
      <w:r>
        <w:t xml:space="preserve">, January 2016, pp. 7-9; ActewAGL, </w:t>
      </w:r>
      <w:r w:rsidRPr="00AF5B33">
        <w:rPr>
          <w:rStyle w:val="AERtextitalic"/>
        </w:rPr>
        <w:t>Appendix 5.01 Detailed response to rate of return, gamma and inflation</w:t>
      </w:r>
      <w:r>
        <w:t xml:space="preserve">, January 2016, pp. 109-110; AusNet Electricity Services, </w:t>
      </w:r>
      <w:r w:rsidRPr="00AF5B33">
        <w:rPr>
          <w:rStyle w:val="AERtextitalic"/>
        </w:rPr>
        <w:t>Revised Regulatory Proposal</w:t>
      </w:r>
      <w:r>
        <w:t xml:space="preserve">, January 2016, pp. 7-80, 7-81; United Energy, </w:t>
      </w:r>
      <w:r w:rsidRPr="00AF5B33">
        <w:rPr>
          <w:rStyle w:val="AERtextitalic"/>
        </w:rPr>
        <w:t>Response to AER Preliminary Determination Re: Rate of return and gamma</w:t>
      </w:r>
      <w:r>
        <w:t xml:space="preserve">, January 2016, pp. 87-88; CitiPower, </w:t>
      </w:r>
      <w:r w:rsidRPr="00AF5B33">
        <w:rPr>
          <w:rStyle w:val="AERtextitalic"/>
        </w:rPr>
        <w:t>Revised Regulatory Proposal 2016-2020</w:t>
      </w:r>
      <w:r>
        <w:t xml:space="preserve">; January 2016, pp. 359-360; Jemena Electricity Networks, </w:t>
      </w:r>
      <w:r w:rsidRPr="00AF5B33">
        <w:rPr>
          <w:rStyle w:val="AERtextitalic"/>
        </w:rPr>
        <w:t>Attachment 6-1 Rate of return, gamma, forecast inflation, and debt and equity raising costs</w:t>
      </w:r>
      <w:r>
        <w:t xml:space="preserve">, January 2016, pp. 87-88; Powercor, </w:t>
      </w:r>
      <w:r w:rsidRPr="00AF5B33">
        <w:rPr>
          <w:rStyle w:val="AERtextitalic"/>
        </w:rPr>
        <w:t>Revised Regulatory Proposal 2016-2020</w:t>
      </w:r>
      <w:r>
        <w:t>, January 2016, pp. 353-354.</w:t>
      </w:r>
    </w:p>
  </w:footnote>
  <w:footnote w:id="165">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pp. 7-9; ActewAGL, </w:t>
      </w:r>
      <w:r w:rsidRPr="00AF5B33">
        <w:rPr>
          <w:rStyle w:val="AERtextitalic"/>
        </w:rPr>
        <w:t>Appendix 5.01 Detailed response to rate of return, gamma and inflation</w:t>
      </w:r>
      <w:r>
        <w:t xml:space="preserve">, January 2016, pp. 109-110; AusNet Electricity Services, </w:t>
      </w:r>
      <w:r w:rsidRPr="00AF5B33">
        <w:rPr>
          <w:rStyle w:val="AERtextitalic"/>
        </w:rPr>
        <w:t>Revised Regulatory Proposal</w:t>
      </w:r>
      <w:r>
        <w:t xml:space="preserve">, January 2016, pp. 7-80, 7-81; United Energy, </w:t>
      </w:r>
      <w:r w:rsidRPr="00AF5B33">
        <w:rPr>
          <w:rStyle w:val="AERtextitalic"/>
        </w:rPr>
        <w:t>Response to AER Preliminary Determination Re: Rate of return and gamma</w:t>
      </w:r>
      <w:r>
        <w:t xml:space="preserve">, January 2016, pp. 87-88; CitiPower, </w:t>
      </w:r>
      <w:r w:rsidRPr="00AF5B33">
        <w:rPr>
          <w:rStyle w:val="AERtextitalic"/>
        </w:rPr>
        <w:t>Revised Regulatory Proposal 2016-2020</w:t>
      </w:r>
      <w:r>
        <w:t xml:space="preserve">; January 2016, pp. 359-360; Jemena Electricity Networks, </w:t>
      </w:r>
      <w:r w:rsidRPr="00AF5B33">
        <w:rPr>
          <w:rStyle w:val="AERtextitalic"/>
        </w:rPr>
        <w:t>Attachment 6-1 Rate of return, gamma, forecast inflation, and debt and equity raising costs</w:t>
      </w:r>
      <w:r>
        <w:t xml:space="preserve">, January 2016, pp. 87-88; Powercor, </w:t>
      </w:r>
      <w:r w:rsidRPr="00AF5B33">
        <w:rPr>
          <w:rStyle w:val="AERtextitalic"/>
        </w:rPr>
        <w:t>Revised Regulatory Proposal 2016-2020</w:t>
      </w:r>
      <w:r>
        <w:t xml:space="preserve">, January 2016, pp. 353-354. Also see </w:t>
      </w:r>
      <w:r w:rsidRPr="005764F6">
        <w:t xml:space="preserve">HoustonKemp, </w:t>
      </w:r>
      <w:r w:rsidRPr="00195F35">
        <w:rPr>
          <w:rStyle w:val="AERtextitalic"/>
        </w:rPr>
        <w:t>A response to the Australian Energy Regulator Draft Decision on Austra</w:t>
      </w:r>
      <w:r w:rsidRPr="001A60DE">
        <w:rPr>
          <w:rStyle w:val="AERtextitalic"/>
        </w:rPr>
        <w:t>lian Gas Networks AA2016 Revenue Reset</w:t>
      </w:r>
      <w:r w:rsidRPr="005764F6">
        <w:t>, February 2016, p. 35.</w:t>
      </w:r>
    </w:p>
  </w:footnote>
  <w:footnote w:id="166">
    <w:p w:rsidR="005E1FC3"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 1106.</w:t>
      </w:r>
    </w:p>
  </w:footnote>
  <w:footnote w:id="167">
    <w:p w:rsidR="005E1FC3" w:rsidRDefault="005E1FC3" w:rsidP="001D37D5">
      <w:pPr>
        <w:pStyle w:val="FootnoteText"/>
      </w:pPr>
      <w:r>
        <w:rPr>
          <w:rStyle w:val="FootnoteReference"/>
        </w:rPr>
        <w:footnoteRef/>
      </w:r>
      <w:r>
        <w:t xml:space="preserve"> </w:t>
      </w:r>
      <w:r>
        <w:tab/>
      </w:r>
      <w:r w:rsidRPr="00CC0A37">
        <w:t xml:space="preserve">Australian Gas Networks, </w:t>
      </w:r>
      <w:r w:rsidRPr="00CC0A37">
        <w:rPr>
          <w:rStyle w:val="AERtextitalic"/>
        </w:rPr>
        <w:t>Attachment 11 Response to Draft Decision: Cost of Tax</w:t>
      </w:r>
      <w:r>
        <w:t xml:space="preserve">, January 2016, </w:t>
      </w:r>
      <w:r w:rsidRPr="00CC0A37">
        <w:t>p. </w:t>
      </w:r>
      <w:r>
        <w:t>4</w:t>
      </w:r>
      <w:r w:rsidRPr="00CC0A37">
        <w:t xml:space="preserve">; ActewAGL, </w:t>
      </w:r>
      <w:r w:rsidRPr="00CC0A37">
        <w:rPr>
          <w:rStyle w:val="AERtextitalic"/>
        </w:rPr>
        <w:t>Appendix 5.01 Detailed response to rate of return, gamma and inflation</w:t>
      </w:r>
      <w:r w:rsidRPr="00CC0A37">
        <w:t>, January 2016, pp</w:t>
      </w:r>
      <w:r>
        <w:t>. 41, 111, 128</w:t>
      </w:r>
      <w:r w:rsidRPr="00CC0A37">
        <w:t xml:space="preserve">; AusNet Electricity Services, </w:t>
      </w:r>
      <w:r w:rsidRPr="00CC0A37">
        <w:rPr>
          <w:rStyle w:val="AERtextitalic"/>
        </w:rPr>
        <w:t>Revised Regulatory Proposal</w:t>
      </w:r>
      <w:r w:rsidRPr="00CC0A37">
        <w:t>, January 2016, pp. </w:t>
      </w:r>
      <w:r>
        <w:t>7-81, 7-95</w:t>
      </w:r>
      <w:r w:rsidRPr="00CC0A37">
        <w:t xml:space="preserve">; United Energy, </w:t>
      </w:r>
      <w:r w:rsidRPr="00CC0A37">
        <w:rPr>
          <w:rStyle w:val="AERtextitalic"/>
        </w:rPr>
        <w:t>Response to AER Preliminary Determination Re: Rate of return and gamma</w:t>
      </w:r>
      <w:r w:rsidRPr="00CC0A37">
        <w:t>, January 2016, pp. </w:t>
      </w:r>
      <w:r>
        <w:t>82, 96</w:t>
      </w:r>
      <w:r w:rsidRPr="00CC0A37">
        <w:t xml:space="preserve">; CitiPower, </w:t>
      </w:r>
      <w:r w:rsidRPr="00CC0A37">
        <w:rPr>
          <w:rStyle w:val="AERtextitalic"/>
        </w:rPr>
        <w:t>Revised Regulatory Proposal 2016-2020</w:t>
      </w:r>
      <w:r w:rsidRPr="00CC0A37">
        <w:t>; January 2016, pp. 36</w:t>
      </w:r>
      <w:r>
        <w:t>0-374</w:t>
      </w:r>
      <w:r w:rsidRPr="00CC0A37">
        <w:t xml:space="preserve">; Jemena Electricity Networks, </w:t>
      </w:r>
      <w:r w:rsidRPr="00CC0A37">
        <w:rPr>
          <w:rStyle w:val="AERtextitalic"/>
        </w:rPr>
        <w:t>Attachment 6-1 Rate of return, gamma, forecast inflation, and debt and equity raising costs</w:t>
      </w:r>
      <w:r w:rsidRPr="00CC0A37">
        <w:t>, January 2016, pp.</w:t>
      </w:r>
      <w:r>
        <w:t>88, 103</w:t>
      </w:r>
      <w:r w:rsidRPr="00CC0A37">
        <w:t xml:space="preserve">; Powercor, </w:t>
      </w:r>
      <w:r w:rsidRPr="00CC0A37">
        <w:rPr>
          <w:rStyle w:val="AERtextitalic"/>
        </w:rPr>
        <w:t>Revised Regulatory Proposal 2016-2020</w:t>
      </w:r>
      <w:r w:rsidRPr="00CC0A37">
        <w:t>, January 2016, pp. </w:t>
      </w:r>
      <w:r>
        <w:t>354, 368</w:t>
      </w:r>
      <w:r w:rsidRPr="00CC0A37">
        <w:t>.</w:t>
      </w:r>
    </w:p>
  </w:footnote>
  <w:footnote w:id="168">
    <w:p w:rsidR="005E1FC3" w:rsidRDefault="005E1FC3" w:rsidP="001D37D5">
      <w:pPr>
        <w:pStyle w:val="FootnoteText"/>
      </w:pPr>
      <w:r>
        <w:rPr>
          <w:rStyle w:val="FootnoteReference"/>
        </w:rPr>
        <w:footnoteRef/>
      </w:r>
      <w:r>
        <w:t xml:space="preserve"> </w:t>
      </w:r>
      <w:r>
        <w:tab/>
        <w:t xml:space="preserve">United Energy, </w:t>
      </w:r>
      <w:r w:rsidRPr="006B5C23">
        <w:rPr>
          <w:rStyle w:val="AERtextitalic"/>
        </w:rPr>
        <w:t>Submission on AER preliminary determination - Submission on gamma</w:t>
      </w:r>
      <w:r>
        <w:t xml:space="preserve">, 26 April 2016; Australian Gas Networks, </w:t>
      </w:r>
      <w:r>
        <w:rPr>
          <w:rStyle w:val="AERtextitalic"/>
        </w:rPr>
        <w:t>Attachment 11 Response to Draft Decision: Cost of Tax</w:t>
      </w:r>
      <w:r>
        <w:t xml:space="preserve">, January 2016, pp. 10-11; ActewAGL, </w:t>
      </w:r>
      <w:r w:rsidRPr="00AF5B33">
        <w:rPr>
          <w:rStyle w:val="AERtextitalic"/>
        </w:rPr>
        <w:t>Appendix 5.01 Detailed response to rate of return, gamma and inflation</w:t>
      </w:r>
      <w:r>
        <w:t xml:space="preserve">, January 2016, pp. 112-114; AusNet Electricity Services, </w:t>
      </w:r>
      <w:r w:rsidRPr="00AF5B33">
        <w:rPr>
          <w:rStyle w:val="AERtextitalic"/>
        </w:rPr>
        <w:t>Revised Regulatory Proposal</w:t>
      </w:r>
      <w:r>
        <w:t xml:space="preserve">, January 2016, pp. 7-83, 7-84; United Energy, </w:t>
      </w:r>
      <w:r w:rsidRPr="00AF5B33">
        <w:rPr>
          <w:rStyle w:val="AERtextitalic"/>
        </w:rPr>
        <w:t>Response to AER Preliminary Determination Re: Rate of return and gamma</w:t>
      </w:r>
      <w:r>
        <w:t xml:space="preserve">, January 2016, pp. 84-85; CitiPower, </w:t>
      </w:r>
      <w:r w:rsidRPr="00AF5B33">
        <w:rPr>
          <w:rStyle w:val="AERtextitalic"/>
        </w:rPr>
        <w:t>Revised Regulatory Proposal 2016-2020</w:t>
      </w:r>
      <w:r>
        <w:t xml:space="preserve">; January 2016, pp. 362-363; Jemena Electricity Networks, </w:t>
      </w:r>
      <w:r w:rsidRPr="00AF5B33">
        <w:rPr>
          <w:rStyle w:val="AERtextitalic"/>
        </w:rPr>
        <w:t>Attachment 6-1 Rate of return, gamma, forecast inflation, and debt and equity raising costs</w:t>
      </w:r>
      <w:r>
        <w:t xml:space="preserve">, January 2016, pp. 90-91; Powercor, </w:t>
      </w:r>
      <w:r w:rsidRPr="00AF5B33">
        <w:rPr>
          <w:rStyle w:val="AERtextitalic"/>
        </w:rPr>
        <w:t>Revised Regulatory Proposal 2016-2020</w:t>
      </w:r>
      <w:r>
        <w:t>, January 2016, pp. 356-357.</w:t>
      </w:r>
    </w:p>
  </w:footnote>
  <w:footnote w:id="169">
    <w:p w:rsidR="005E1FC3" w:rsidRDefault="005E1FC3" w:rsidP="001D37D5">
      <w:pPr>
        <w:pStyle w:val="FootnoteText"/>
      </w:pPr>
      <w:r>
        <w:rPr>
          <w:rStyle w:val="FootnoteReference"/>
        </w:rPr>
        <w:footnoteRef/>
      </w:r>
      <w:r>
        <w:t xml:space="preserve"> </w:t>
      </w:r>
      <w:r>
        <w:tab/>
      </w:r>
      <w:r w:rsidRPr="00CE62A1">
        <w:t xml:space="preserve">Australian Competition Tribunal, </w:t>
      </w:r>
      <w:r w:rsidRPr="00CE62A1">
        <w:rPr>
          <w:rStyle w:val="AERtextitalic"/>
        </w:rPr>
        <w:t>Application by Public Interest Advocacy Centre Ltd and Ausgrid [2016] ACompT 1</w:t>
      </w:r>
      <w:r w:rsidRPr="00CE62A1">
        <w:t xml:space="preserve">, 26 February 2016, paras. 1048, </w:t>
      </w:r>
      <w:r w:rsidRPr="005764F6">
        <w:t>1090, 1092.</w:t>
      </w:r>
    </w:p>
  </w:footnote>
  <w:footnote w:id="170">
    <w:p w:rsidR="005E1FC3" w:rsidRDefault="005E1FC3" w:rsidP="001D37D5">
      <w:pPr>
        <w:pStyle w:val="FootnoteText"/>
      </w:pPr>
      <w:r>
        <w:rPr>
          <w:rStyle w:val="FootnoteReference"/>
        </w:rPr>
        <w:footnoteRef/>
      </w:r>
      <w:r>
        <w:t xml:space="preserve"> </w:t>
      </w:r>
      <w:r>
        <w:tab/>
      </w:r>
      <w:r w:rsidRPr="00CE62A1">
        <w:t xml:space="preserve">M. Lally, </w:t>
      </w:r>
      <w:r w:rsidRPr="00CE62A1">
        <w:rPr>
          <w:rStyle w:val="AERtextitalic"/>
        </w:rPr>
        <w:t>Gamma and the ACT Decision</w:t>
      </w:r>
      <w:r w:rsidRPr="00CE62A1">
        <w:t>, May 2016, p. 21.</w:t>
      </w:r>
    </w:p>
  </w:footnote>
  <w:footnote w:id="171">
    <w:p w:rsidR="005E1FC3" w:rsidRDefault="005E1FC3" w:rsidP="001D37D5">
      <w:pPr>
        <w:pStyle w:val="FootnoteText"/>
      </w:pPr>
      <w:r>
        <w:rPr>
          <w:rStyle w:val="FootnoteReference"/>
        </w:rPr>
        <w:footnoteRef/>
      </w:r>
      <w:r>
        <w:t xml:space="preserve"> </w:t>
      </w:r>
      <w:r>
        <w:tab/>
        <w:t xml:space="preserve">United Energy, </w:t>
      </w:r>
      <w:r w:rsidRPr="006B5C23">
        <w:rPr>
          <w:rStyle w:val="AERtextitalic"/>
        </w:rPr>
        <w:t>Submission on AER preliminary determination - Submission on gamma</w:t>
      </w:r>
      <w:r>
        <w:t xml:space="preserve">, 26 April 2016; </w:t>
      </w:r>
      <w:r w:rsidRPr="00D20C5C">
        <w:t xml:space="preserve">Australian Competition Tribunal, </w:t>
      </w:r>
      <w:r w:rsidRPr="00D20C5C">
        <w:rPr>
          <w:rStyle w:val="AERtextitalic"/>
        </w:rPr>
        <w:t>Application by Public Interest Advocacy Centre Ltd and Ausgrid [2016] ACompT 1</w:t>
      </w:r>
      <w:r w:rsidRPr="00D20C5C">
        <w:t xml:space="preserve">, </w:t>
      </w:r>
      <w:r>
        <w:t>26 February 2016</w:t>
      </w:r>
      <w:r w:rsidRPr="00D20C5C">
        <w:t>, para</w:t>
      </w:r>
      <w:r>
        <w:t>. 1095</w:t>
      </w:r>
      <w:r w:rsidRPr="00243100">
        <w:rPr>
          <w:rStyle w:val="AERtexthighlight"/>
          <w:shd w:val="clear" w:color="auto" w:fill="auto"/>
        </w:rPr>
        <w:t>.</w:t>
      </w:r>
    </w:p>
  </w:footnote>
  <w:footnote w:id="172">
    <w:p w:rsidR="005E1FC3" w:rsidRDefault="005E1FC3" w:rsidP="001D37D5">
      <w:pPr>
        <w:pStyle w:val="FootnoteText"/>
      </w:pPr>
      <w:r>
        <w:rPr>
          <w:rStyle w:val="FootnoteReference"/>
        </w:rPr>
        <w:footnoteRef/>
      </w:r>
      <w:r>
        <w:t xml:space="preserve"> </w:t>
      </w:r>
      <w:r>
        <w:tab/>
        <w:t xml:space="preserve">ActewAGL, </w:t>
      </w:r>
      <w:r w:rsidRPr="00AF5B33">
        <w:rPr>
          <w:rStyle w:val="AERtextitalic"/>
        </w:rPr>
        <w:t>Appendix 5.01 Detailed response to rate of return, gamma and inflation</w:t>
      </w:r>
      <w:r>
        <w:t xml:space="preserve">, January 2016, pp. 112-114; AusNet Electricity Services, </w:t>
      </w:r>
      <w:r w:rsidRPr="00AF5B33">
        <w:rPr>
          <w:rStyle w:val="AERtextitalic"/>
        </w:rPr>
        <w:t>Revised Regulatory Proposal</w:t>
      </w:r>
      <w:r>
        <w:t xml:space="preserve">, January 2016, p. 7-83; United Energy, </w:t>
      </w:r>
      <w:r w:rsidRPr="00AF5B33">
        <w:rPr>
          <w:rStyle w:val="AERtextitalic"/>
        </w:rPr>
        <w:t>Response to AER Preliminary Determination Re: Rate of return and gamma</w:t>
      </w:r>
      <w:r>
        <w:t xml:space="preserve">, January 2016, p. 84; CitiPower, </w:t>
      </w:r>
      <w:r w:rsidRPr="00AF5B33">
        <w:rPr>
          <w:rStyle w:val="AERtextitalic"/>
        </w:rPr>
        <w:t>Revised Regulatory Proposal 2016-2020</w:t>
      </w:r>
      <w:r>
        <w:t xml:space="preserve">; January 2016, p. 362; Jemena Electricity Networks, </w:t>
      </w:r>
      <w:r w:rsidRPr="00AF5B33">
        <w:rPr>
          <w:rStyle w:val="AERtextitalic"/>
        </w:rPr>
        <w:t>Attachment 6-1 Rate of return, gamma, forecast inflation, and debt and equity raising costs</w:t>
      </w:r>
      <w:r>
        <w:t xml:space="preserve">, January 2016, pp. 90-91; Powercor, </w:t>
      </w:r>
      <w:r w:rsidRPr="00AF5B33">
        <w:rPr>
          <w:rStyle w:val="AERtextitalic"/>
        </w:rPr>
        <w:t>Revised Regulatory Proposal 2016-2020</w:t>
      </w:r>
      <w:r>
        <w:t>, January 2016, p. 356.</w:t>
      </w:r>
    </w:p>
  </w:footnote>
  <w:footnote w:id="173">
    <w:p w:rsidR="005E1FC3" w:rsidRDefault="005E1FC3" w:rsidP="001D37D5">
      <w:pPr>
        <w:pStyle w:val="FootnoteText"/>
      </w:pPr>
      <w:r>
        <w:rPr>
          <w:rStyle w:val="FootnoteReference"/>
        </w:rPr>
        <w:footnoteRef/>
      </w:r>
      <w:r>
        <w:t xml:space="preserve"> </w:t>
      </w:r>
      <w:r>
        <w:tab/>
      </w:r>
      <w:r w:rsidRPr="002D5177">
        <w:t xml:space="preserve">United Energy, </w:t>
      </w:r>
      <w:r w:rsidRPr="002D5177">
        <w:rPr>
          <w:rStyle w:val="AERtextitalic"/>
        </w:rPr>
        <w:t>Submission on AER preliminary determination - Submission on gamma</w:t>
      </w:r>
      <w:r w:rsidRPr="002D5177">
        <w:t xml:space="preserve">, 26 April 2016; Australian Gas Networks, </w:t>
      </w:r>
      <w:r w:rsidRPr="002D5177">
        <w:rPr>
          <w:rStyle w:val="AERtextitalic"/>
        </w:rPr>
        <w:t>Attachment 11 Response to Draft Decision: Cost of Tax</w:t>
      </w:r>
      <w:r w:rsidRPr="002D5177">
        <w:t xml:space="preserve">, January 2016, pp. 10-11; ActewAGL, </w:t>
      </w:r>
      <w:r w:rsidRPr="002D5177">
        <w:rPr>
          <w:rStyle w:val="AERtextitalic"/>
        </w:rPr>
        <w:t>Appendix 5.01 Detailed response to rate of return, gamma and inflation</w:t>
      </w:r>
      <w:r w:rsidRPr="002D5177">
        <w:t xml:space="preserve">, January 2016, p. 114; AusNet Electricity Services, </w:t>
      </w:r>
      <w:r w:rsidRPr="002D5177">
        <w:rPr>
          <w:rStyle w:val="AERtextitalic"/>
        </w:rPr>
        <w:t>Revised Regulatory Proposal</w:t>
      </w:r>
      <w:r w:rsidRPr="002D5177">
        <w:t xml:space="preserve">, January 2016, pp. 7-83, 7-84; United Energy, </w:t>
      </w:r>
      <w:r w:rsidRPr="002D5177">
        <w:rPr>
          <w:rStyle w:val="AERtextitalic"/>
        </w:rPr>
        <w:t>Response to AER Preliminary Determination Re: Rate of return and gamma</w:t>
      </w:r>
      <w:r w:rsidRPr="002D5177">
        <w:t xml:space="preserve">, January 2016, p. 85; CitiPower, </w:t>
      </w:r>
      <w:r w:rsidRPr="002D5177">
        <w:rPr>
          <w:rStyle w:val="AERtextitalic"/>
        </w:rPr>
        <w:t>Revised Regulatory Proposal 2016-2020</w:t>
      </w:r>
      <w:r w:rsidRPr="002D5177">
        <w:t xml:space="preserve">; January 2016, pp. 362-363; Jemena Electricity Networks, </w:t>
      </w:r>
      <w:r w:rsidRPr="002D5177">
        <w:rPr>
          <w:rStyle w:val="AERtextitalic"/>
        </w:rPr>
        <w:t>Attachment 6-1 Rate of return, gamma, forecast inflation, and debt and equity raising costs</w:t>
      </w:r>
      <w:r w:rsidRPr="002D5177">
        <w:t xml:space="preserve">, January 2016, p. 91; Powercor, </w:t>
      </w:r>
      <w:r w:rsidRPr="002D5177">
        <w:rPr>
          <w:rStyle w:val="AERtextitalic"/>
        </w:rPr>
        <w:t>Revised Regulatory Proposal 2016-2020</w:t>
      </w:r>
      <w:r w:rsidRPr="002D5177">
        <w:t xml:space="preserve">, January 2016, pp. 356-357; Australian Competition Tribunal, </w:t>
      </w:r>
      <w:r w:rsidRPr="002D5177">
        <w:rPr>
          <w:rStyle w:val="AERtextitalic"/>
        </w:rPr>
        <w:t>Application by Public Interest Advocacy Centre Ltd and Ausgrid [2016] ACompT 1</w:t>
      </w:r>
      <w:r w:rsidRPr="002D5177">
        <w:t>, 26 February 2016, para. 1095.</w:t>
      </w:r>
    </w:p>
  </w:footnote>
  <w:footnote w:id="174">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pp. 17-18; ActewAGL, </w:t>
      </w:r>
      <w:r w:rsidRPr="00AF5B33">
        <w:rPr>
          <w:rStyle w:val="AERtextitalic"/>
        </w:rPr>
        <w:t>Appendix 5.01 Detailed response to rate of return, gamma and inflation</w:t>
      </w:r>
      <w:r>
        <w:t xml:space="preserve">, January 2016, pp. 121-122; AusNet Electricity Services, </w:t>
      </w:r>
      <w:r w:rsidRPr="00AF5B33">
        <w:rPr>
          <w:rStyle w:val="AERtextitalic"/>
        </w:rPr>
        <w:t>Revised Regulatory Proposal</w:t>
      </w:r>
      <w:r>
        <w:t xml:space="preserve">, January 2016, pp. 7-90–7-91; United Energy, </w:t>
      </w:r>
      <w:r w:rsidRPr="00AF5B33">
        <w:rPr>
          <w:rStyle w:val="AERtextitalic"/>
        </w:rPr>
        <w:t>Response to AER Preliminary Determination Re: Rate of return and gamma</w:t>
      </w:r>
      <w:r>
        <w:t xml:space="preserve">, January 2016, pp. 91–92; CitiPower, </w:t>
      </w:r>
      <w:r w:rsidRPr="00AF5B33">
        <w:rPr>
          <w:rStyle w:val="AERtextitalic"/>
        </w:rPr>
        <w:t>Revised Regulatory Proposal 2016-2020</w:t>
      </w:r>
      <w:r>
        <w:t xml:space="preserve">; January 2016, pp. 369-370; Jemena Electricity Networks, </w:t>
      </w:r>
      <w:r w:rsidRPr="00AF5B33">
        <w:rPr>
          <w:rStyle w:val="AERtextitalic"/>
        </w:rPr>
        <w:t>Attachment 6-1 Rate of return, gamma, forecast inflation, and debt and equity raising costs</w:t>
      </w:r>
      <w:r>
        <w:t xml:space="preserve">, January 2016, pp. 98-99; Powercor, </w:t>
      </w:r>
      <w:r w:rsidRPr="00AF5B33">
        <w:rPr>
          <w:rStyle w:val="AERtextitalic"/>
        </w:rPr>
        <w:t>Revised Regulatory Proposal 2016-2020</w:t>
      </w:r>
      <w:r>
        <w:t>, January 2016, pp. 363-364.</w:t>
      </w:r>
    </w:p>
  </w:footnote>
  <w:footnote w:id="175">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pp. 18-19; ActewAGL, </w:t>
      </w:r>
      <w:r w:rsidRPr="00AF5B33">
        <w:rPr>
          <w:rStyle w:val="AERtextitalic"/>
        </w:rPr>
        <w:t>Appendix 5.01 Detailed response to rate of return, gamma and inflation</w:t>
      </w:r>
      <w:r>
        <w:t xml:space="preserve">, January 2016, pp. 123-124; AusNet Electricity Services, </w:t>
      </w:r>
      <w:r w:rsidRPr="00AF5B33">
        <w:rPr>
          <w:rStyle w:val="AERtextitalic"/>
        </w:rPr>
        <w:t>Revised Regulatory Proposal</w:t>
      </w:r>
      <w:r>
        <w:t xml:space="preserve">, January 2016, pp. 7-91–7-92; United Energy, </w:t>
      </w:r>
      <w:r w:rsidRPr="00AF5B33">
        <w:rPr>
          <w:rStyle w:val="AERtextitalic"/>
        </w:rPr>
        <w:t>Response to AER Preliminary Determination Re: Rate of return and gamma</w:t>
      </w:r>
      <w:r>
        <w:t xml:space="preserve">, January 2016, pp. 92–93; CitiPower, </w:t>
      </w:r>
      <w:r w:rsidRPr="00AF5B33">
        <w:rPr>
          <w:rStyle w:val="AERtextitalic"/>
        </w:rPr>
        <w:t>Revised Regulatory Proposal 2016-2020</w:t>
      </w:r>
      <w:r>
        <w:t xml:space="preserve">; January 2016, pp. 370-371; Jemena Electricity Networks, </w:t>
      </w:r>
      <w:r w:rsidRPr="00AF5B33">
        <w:rPr>
          <w:rStyle w:val="AERtextitalic"/>
        </w:rPr>
        <w:t>Attachment 6-1 Rate of return, gamma, forecast inflation, and debt and equity raising costs</w:t>
      </w:r>
      <w:r>
        <w:t xml:space="preserve">, January 2016, pp. 99-100; Powercor, </w:t>
      </w:r>
      <w:r w:rsidRPr="00AF5B33">
        <w:rPr>
          <w:rStyle w:val="AERtextitalic"/>
        </w:rPr>
        <w:t>Revised Regulatory Proposal 2016-2020</w:t>
      </w:r>
      <w:r>
        <w:t>, January 2016, pp. 364-365.</w:t>
      </w:r>
    </w:p>
  </w:footnote>
  <w:footnote w:id="176">
    <w:p w:rsidR="005E1FC3" w:rsidRDefault="005E1FC3" w:rsidP="001D37D5">
      <w:pPr>
        <w:pStyle w:val="FootnoteText"/>
      </w:pPr>
      <w:r>
        <w:rPr>
          <w:rStyle w:val="FootnoteReference"/>
        </w:rPr>
        <w:footnoteRef/>
      </w:r>
      <w:r>
        <w:t xml:space="preserve"> </w:t>
      </w:r>
      <w:r>
        <w:tab/>
      </w:r>
      <w:r w:rsidRPr="000D4ED8">
        <w:t xml:space="preserve">United Energy, </w:t>
      </w:r>
      <w:r w:rsidRPr="000D4ED8">
        <w:rPr>
          <w:rStyle w:val="AERtextitalic"/>
        </w:rPr>
        <w:t>Submission on AER preliminary determination - Submission on gamma</w:t>
      </w:r>
      <w:r w:rsidRPr="000D4ED8">
        <w:t>, 26 April 2016</w:t>
      </w:r>
      <w:r w:rsidRPr="005764F6">
        <w:t>.</w:t>
      </w:r>
    </w:p>
  </w:footnote>
  <w:footnote w:id="177">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pp. 11-12:  ActewAGL, </w:t>
      </w:r>
      <w:r w:rsidRPr="00AF5B33">
        <w:rPr>
          <w:rStyle w:val="AERtextitalic"/>
        </w:rPr>
        <w:t>Appendix 5.01 Detailed response to rate of return, gamma and inflation</w:t>
      </w:r>
      <w:r>
        <w:t xml:space="preserve">, January 2016, pp. 114-115; AusNet Electricity Services, </w:t>
      </w:r>
      <w:r w:rsidRPr="00AF5B33">
        <w:rPr>
          <w:rStyle w:val="AERtextitalic"/>
        </w:rPr>
        <w:t>Revised Regulatory Proposal</w:t>
      </w:r>
      <w:r>
        <w:t xml:space="preserve">, January 2016, p. 7-84; United Energy, </w:t>
      </w:r>
      <w:r w:rsidRPr="00AF5B33">
        <w:rPr>
          <w:rStyle w:val="AERtextitalic"/>
        </w:rPr>
        <w:t>Response to AER Preliminary Determination Re: Rate of return and gamma</w:t>
      </w:r>
      <w:r>
        <w:t xml:space="preserve">, January 2016, pp. 85-86; CitiPower, </w:t>
      </w:r>
      <w:r w:rsidRPr="00AF5B33">
        <w:rPr>
          <w:rStyle w:val="AERtextitalic"/>
        </w:rPr>
        <w:t>Revised Regulatory Proposal 2016-2020</w:t>
      </w:r>
      <w:r>
        <w:t xml:space="preserve">; January 2016, pp. 363-364; Jemena Electricity Networks, </w:t>
      </w:r>
      <w:r w:rsidRPr="00AF5B33">
        <w:rPr>
          <w:rStyle w:val="AERtextitalic"/>
        </w:rPr>
        <w:t>Attachment 6-1 Rate of return, gamma, forecast inflation, and debt and equity raising costs</w:t>
      </w:r>
      <w:r>
        <w:t xml:space="preserve">, January 2016, p. 92; Powercor, </w:t>
      </w:r>
      <w:r w:rsidRPr="00AF5B33">
        <w:rPr>
          <w:rStyle w:val="AERtextitalic"/>
        </w:rPr>
        <w:t>Revised Regulatory Proposal 2016-2020</w:t>
      </w:r>
      <w:r>
        <w:t>, January 2016, pp. 357-358.</w:t>
      </w:r>
    </w:p>
  </w:footnote>
  <w:footnote w:id="178">
    <w:p w:rsidR="005E1FC3" w:rsidRDefault="005E1FC3" w:rsidP="001D37D5">
      <w:pPr>
        <w:pStyle w:val="FootnoteText"/>
      </w:pPr>
      <w:r>
        <w:rPr>
          <w:rStyle w:val="FootnoteReference"/>
        </w:rPr>
        <w:footnoteRef/>
      </w:r>
      <w:r>
        <w:t xml:space="preserve"> </w:t>
      </w:r>
      <w:r>
        <w:tab/>
        <w:t xml:space="preserve">United Energy, </w:t>
      </w:r>
      <w:r w:rsidRPr="006B5C23">
        <w:rPr>
          <w:rStyle w:val="AERtextitalic"/>
        </w:rPr>
        <w:t>Submission on AER preliminary determination - Submission on gamma</w:t>
      </w:r>
      <w:r>
        <w:t xml:space="preserve">, 26 April 2016; Australian Gas Networks, </w:t>
      </w:r>
      <w:r>
        <w:rPr>
          <w:rStyle w:val="AERtextitalic"/>
        </w:rPr>
        <w:t>Attachment 11 Response to Draft Decision: Cost of Tax</w:t>
      </w:r>
      <w:r>
        <w:t xml:space="preserve">, January 2016, pp. 4, 20, 23; ActewAGL, </w:t>
      </w:r>
      <w:r w:rsidRPr="00AF5B33">
        <w:rPr>
          <w:rStyle w:val="AERtextitalic"/>
        </w:rPr>
        <w:t>Appendix 5.01 Detailed response to rate of return, gamma and inflation</w:t>
      </w:r>
      <w:r>
        <w:t xml:space="preserve">, January 2016, pp. 41, 115, 125; AusNet Electricity Services, </w:t>
      </w:r>
      <w:r w:rsidRPr="00AF5B33">
        <w:rPr>
          <w:rStyle w:val="AERtextitalic"/>
        </w:rPr>
        <w:t>Revised Regulatory Proposal</w:t>
      </w:r>
      <w:r>
        <w:t xml:space="preserve">, January 2016, pp. 7-84, 7-93, 7-107; United Energy, </w:t>
      </w:r>
      <w:r w:rsidRPr="00AF5B33">
        <w:rPr>
          <w:rStyle w:val="AERtextitalic"/>
        </w:rPr>
        <w:t>Response to AER Preliminary Determination Re: Rate of return and gamma</w:t>
      </w:r>
      <w:r>
        <w:t xml:space="preserve">, January 2016, pp. 86, 94, 97; CitiPower, </w:t>
      </w:r>
      <w:r w:rsidRPr="00AF5B33">
        <w:rPr>
          <w:rStyle w:val="AERtextitalic"/>
        </w:rPr>
        <w:t>Revised Regulatory Proposal 2016-2020</w:t>
      </w:r>
      <w:r>
        <w:t xml:space="preserve">; January 2016, pp. 364, 372, 375; Jemena Electricity Networks, </w:t>
      </w:r>
      <w:r w:rsidRPr="00AF5B33">
        <w:rPr>
          <w:rStyle w:val="AERtextitalic"/>
        </w:rPr>
        <w:t>Attachment 6-1 Rate of return, gamma, forecast inflation, and debt and equity raising costs</w:t>
      </w:r>
      <w:r>
        <w:t xml:space="preserve">, January 2016, pp. 92, 101, 104; Powercor, </w:t>
      </w:r>
      <w:r w:rsidRPr="00AF5B33">
        <w:rPr>
          <w:rStyle w:val="AERtextitalic"/>
        </w:rPr>
        <w:t>Revised Regulatory Proposal 2016-2020</w:t>
      </w:r>
      <w:r>
        <w:t xml:space="preserve">, January 2016, pp. 358, 366, 369; </w:t>
      </w:r>
      <w:r w:rsidRPr="008F5D24">
        <w:t>Australian Competition Tribunal, Application by Public Interest Advocacy Centre Ltd and Ausgrid [2016] ACompT 1, 26 February 2016, paras. 1048, 1090 and 1095</w:t>
      </w:r>
      <w:r>
        <w:t>.</w:t>
      </w:r>
    </w:p>
  </w:footnote>
  <w:footnote w:id="179">
    <w:p w:rsidR="005E1FC3" w:rsidRDefault="005E1FC3" w:rsidP="001D37D5">
      <w:pPr>
        <w:pStyle w:val="FootnoteText"/>
      </w:pPr>
      <w:r>
        <w:rPr>
          <w:rStyle w:val="FootnoteReference"/>
        </w:rPr>
        <w:footnoteRef/>
      </w:r>
      <w:r>
        <w:t xml:space="preserve"> </w:t>
      </w:r>
      <w:r>
        <w:tab/>
        <w:t xml:space="preserve">For an example of the correct use of the term "upper bound" see John. C. Hull, Options Futures and other Derivatives, Fourth Edition, 2000, p171. </w:t>
      </w:r>
    </w:p>
  </w:footnote>
  <w:footnote w:id="180">
    <w:p w:rsidR="005E1FC3" w:rsidRDefault="005E1FC3" w:rsidP="001D37D5">
      <w:pPr>
        <w:pStyle w:val="FootnoteText"/>
      </w:pPr>
      <w:r>
        <w:rPr>
          <w:rStyle w:val="FootnoteReference"/>
        </w:rPr>
        <w:footnoteRef/>
      </w:r>
      <w:r>
        <w:t xml:space="preserve"> </w:t>
      </w:r>
      <w:r>
        <w:tab/>
      </w:r>
      <w:r w:rsidRPr="00345C01">
        <w:t xml:space="preserve">M. Lally, </w:t>
      </w:r>
      <w:r w:rsidRPr="00345C01">
        <w:rPr>
          <w:rStyle w:val="AERtextitalic"/>
        </w:rPr>
        <w:t>Gamma and the ACT Decision</w:t>
      </w:r>
      <w:r w:rsidRPr="00345C01">
        <w:t>, May 2016, p. 23.</w:t>
      </w:r>
    </w:p>
  </w:footnote>
  <w:footnote w:id="181">
    <w:p w:rsidR="005E1FC3" w:rsidRDefault="005E1FC3" w:rsidP="001D37D5">
      <w:pPr>
        <w:pStyle w:val="FootnoteText"/>
      </w:pPr>
      <w:r>
        <w:rPr>
          <w:rStyle w:val="FootnoteReference"/>
        </w:rPr>
        <w:footnoteRef/>
      </w:r>
      <w:r>
        <w:t xml:space="preserve"> </w:t>
      </w:r>
      <w:r>
        <w:tab/>
        <w:t xml:space="preserve">United Energy, </w:t>
      </w:r>
      <w:r w:rsidRPr="006B5C23">
        <w:rPr>
          <w:rStyle w:val="AERtextitalic"/>
        </w:rPr>
        <w:t>Submission on AER preliminary determination - Submission on gamma</w:t>
      </w:r>
      <w:r>
        <w:t xml:space="preserve">, 26 April 2016; Australian Gas Networks, </w:t>
      </w:r>
      <w:r>
        <w:rPr>
          <w:rStyle w:val="AERtextitalic"/>
        </w:rPr>
        <w:t>Attachment 11 Response to Draft Decision: Cost of Tax</w:t>
      </w:r>
      <w:r>
        <w:t xml:space="preserve">, January 2016, p. 13; ActewAGL, </w:t>
      </w:r>
      <w:r w:rsidRPr="00AF5B33">
        <w:rPr>
          <w:rStyle w:val="AERtextitalic"/>
        </w:rPr>
        <w:t>Appendix 5.01 Detailed response to rate of return, gamma and inflation</w:t>
      </w:r>
      <w:r>
        <w:t xml:space="preserve">, January 2016, pp. 41, 46; AusNet Electricity Services, </w:t>
      </w:r>
      <w:r w:rsidRPr="00AF5B33">
        <w:rPr>
          <w:rStyle w:val="AERtextitalic"/>
        </w:rPr>
        <w:t>Revised Regulatory Proposal</w:t>
      </w:r>
      <w:r>
        <w:t xml:space="preserve">, January 2016, p. 7-85; United Energy, </w:t>
      </w:r>
      <w:r w:rsidRPr="00AF5B33">
        <w:rPr>
          <w:rStyle w:val="AERtextitalic"/>
        </w:rPr>
        <w:t>Response to AER Preliminary Determination Re: Rate of return and gamma</w:t>
      </w:r>
      <w:r>
        <w:t xml:space="preserve">, January 2016, p. 86; CitiPower, </w:t>
      </w:r>
      <w:r w:rsidRPr="00AF5B33">
        <w:rPr>
          <w:rStyle w:val="AERtextitalic"/>
        </w:rPr>
        <w:t>Revised Regulatory Proposal 2016-2020</w:t>
      </w:r>
      <w:r>
        <w:t xml:space="preserve">; January 2016, pp. 364-365; Jemena Electricity Networks, </w:t>
      </w:r>
      <w:r w:rsidRPr="00AF5B33">
        <w:rPr>
          <w:rStyle w:val="AERtextitalic"/>
        </w:rPr>
        <w:t>Attachment 6-1 Rate of return, gamma, forecast inflation, and debt and equity raising costs</w:t>
      </w:r>
      <w:r>
        <w:t xml:space="preserve">, January 2016, pp. 92-93; Powercor, </w:t>
      </w:r>
      <w:r w:rsidRPr="00AF5B33">
        <w:rPr>
          <w:rStyle w:val="AERtextitalic"/>
        </w:rPr>
        <w:t>Revised Regulatory Proposal 2016-2020</w:t>
      </w:r>
      <w:r>
        <w:t xml:space="preserve">, January 2016, pp. 358-359; APNT, </w:t>
      </w:r>
      <w:r w:rsidRPr="00903ED1">
        <w:rPr>
          <w:rStyle w:val="AERtextitalic"/>
        </w:rPr>
        <w:t>Access Arrangement Revised Proposal to Draft Decision</w:t>
      </w:r>
      <w:r>
        <w:t>, January 2016, p. 93.</w:t>
      </w:r>
    </w:p>
  </w:footnote>
  <w:footnote w:id="182">
    <w:p w:rsidR="005E1FC3" w:rsidRDefault="005E1FC3" w:rsidP="001D37D5">
      <w:pPr>
        <w:pStyle w:val="FootnoteText"/>
      </w:pPr>
      <w:r>
        <w:rPr>
          <w:rStyle w:val="FootnoteReference"/>
        </w:rPr>
        <w:footnoteRef/>
      </w:r>
      <w:r>
        <w:t xml:space="preserve"> </w:t>
      </w:r>
      <w:r>
        <w:tab/>
        <w:t xml:space="preserve">United Energy, </w:t>
      </w:r>
      <w:r w:rsidRPr="006B5C23">
        <w:rPr>
          <w:rStyle w:val="AERtextitalic"/>
        </w:rPr>
        <w:t>Submission on AER preliminary determination - Submission on gamma</w:t>
      </w:r>
      <w:r>
        <w:t xml:space="preserve">, 26 April 2016; 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8F5D24">
        <w:t>paras. 1096.</w:t>
      </w:r>
    </w:p>
  </w:footnote>
  <w:footnote w:id="183">
    <w:p w:rsidR="005E1FC3" w:rsidRDefault="005E1FC3" w:rsidP="001D37D5">
      <w:pPr>
        <w:pStyle w:val="FootnoteText"/>
      </w:pPr>
      <w:r>
        <w:rPr>
          <w:rStyle w:val="FootnoteReference"/>
        </w:rPr>
        <w:footnoteRef/>
      </w:r>
      <w:r>
        <w:t xml:space="preserve"> </w:t>
      </w:r>
      <w:r>
        <w:tab/>
        <w:t xml:space="preserve">SFG, </w:t>
      </w:r>
      <w:r w:rsidRPr="00C014CC">
        <w:rPr>
          <w:rStyle w:val="AERtextitalic"/>
        </w:rPr>
        <w:t>An appropriate regulatory estimate of gamma</w:t>
      </w:r>
      <w:r>
        <w:t xml:space="preserve">, 21 May 2014, paras. 17 and 20; Frontier Economics, </w:t>
      </w:r>
      <w:r w:rsidRPr="00D14DE4">
        <w:rPr>
          <w:rStyle w:val="AERtextitalic"/>
        </w:rPr>
        <w:t>An appropriate regulatory estimate of gamma</w:t>
      </w:r>
      <w:r>
        <w:t>, June 2015, p. 33.</w:t>
      </w:r>
    </w:p>
  </w:footnote>
  <w:footnote w:id="184">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January 2016, p. 13; ActewAGL, Appendix 5.01 Detailed response to rate of return, gamma and inflation, January 2016, p. 117; AusNet Electricity Services, Revised Regulatory Proposal, January 2016, p. 7-85; United Energy, Response to AER Preliminary Determination Re: Rate of return and gamma, January 2016, p. 87; CitiPower, Revised Regulatory Proposal 2016-2020; January 2016, p. 365; Jemena Electricity Networks, Attachment 6-1 Rate of return, gamma, forecast inflation, and debt and equity raising costs, January 2016, p. 93; Powercor, Revised Regulatory Proposal 2016-2020, January 2016, p. 359.</w:t>
      </w:r>
    </w:p>
  </w:footnote>
  <w:footnote w:id="185">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pp. 4, 13, 22; ActewAGL, </w:t>
      </w:r>
      <w:r w:rsidRPr="005764F6">
        <w:rPr>
          <w:rStyle w:val="AERtextitalic"/>
        </w:rPr>
        <w:t>Appendix 5.01 Detailed response to rate of return, gamma and inflation</w:t>
      </w:r>
      <w:r>
        <w:t xml:space="preserve">, January 2016, pp. 41,117,127; AusNet Electricity Services, </w:t>
      </w:r>
      <w:r w:rsidRPr="005764F6">
        <w:rPr>
          <w:rStyle w:val="AERtextitalic"/>
        </w:rPr>
        <w:t>Revised Regulatory Proposal</w:t>
      </w:r>
      <w:r>
        <w:t xml:space="preserve">, January 2016, pp. 7-86, 7-94; United Energy, </w:t>
      </w:r>
      <w:r w:rsidRPr="005764F6">
        <w:rPr>
          <w:rStyle w:val="AERtextitalic"/>
        </w:rPr>
        <w:t>Response to AER Preliminary Determination Re: Rate of return and gamma</w:t>
      </w:r>
      <w:r>
        <w:t xml:space="preserve">, January 2016, pp. 87, 95; CitiPower, </w:t>
      </w:r>
      <w:r w:rsidRPr="005764F6">
        <w:rPr>
          <w:rStyle w:val="AERtextitalic"/>
        </w:rPr>
        <w:t>Revised Regulatory Proposal 2016-2020</w:t>
      </w:r>
      <w:r>
        <w:t xml:space="preserve">; January 2016, pp. 365, 373; Jemena Electricity Networks, </w:t>
      </w:r>
      <w:r w:rsidRPr="005764F6">
        <w:rPr>
          <w:rStyle w:val="AERtextitalic"/>
        </w:rPr>
        <w:t>Attachment 6-1 Rate of return, gamma, forecast inflation, and debt and equity raising costs</w:t>
      </w:r>
      <w:r>
        <w:t xml:space="preserve">, January 2016, pp. 94, 103; Powercor, </w:t>
      </w:r>
      <w:r w:rsidRPr="005764F6">
        <w:rPr>
          <w:rStyle w:val="AERtextitalic"/>
        </w:rPr>
        <w:t>Revised Regulatory Proposal 2016-2020</w:t>
      </w:r>
      <w:r>
        <w:t>, January 2016, pp. 359, 367.</w:t>
      </w:r>
    </w:p>
  </w:footnote>
  <w:footnote w:id="186">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pp. 13-14, 20; ActewAGL, Appendix 5.01 Detailed response to rate of return, gamma and inflation, January 2016, pp. 117-120, 125-12:  AusNet Electricity Services, </w:t>
      </w:r>
      <w:r w:rsidRPr="00793854">
        <w:rPr>
          <w:rStyle w:val="AERtextitalic"/>
        </w:rPr>
        <w:t>Revised Regulatory Proposal</w:t>
      </w:r>
      <w:r>
        <w:t xml:space="preserve">, January 2016, pp. 7-86, 7-87, 7-93; United Energy, </w:t>
      </w:r>
      <w:r w:rsidRPr="00793854">
        <w:rPr>
          <w:rStyle w:val="AERtextitalic"/>
        </w:rPr>
        <w:t>Response to AER Preliminary Determination Re: Rate of return and gamma</w:t>
      </w:r>
      <w:r>
        <w:t xml:space="preserve">, January 2016, pp. 87, 88, 94; CitiPower, </w:t>
      </w:r>
      <w:r w:rsidRPr="00793854">
        <w:rPr>
          <w:rStyle w:val="AERtextitalic"/>
        </w:rPr>
        <w:t>Revised Regulatory Proposal 2016-2020</w:t>
      </w:r>
      <w:r>
        <w:t xml:space="preserve">; January 2016, pp. 365-366, 372; Jemena Electricity Networks, </w:t>
      </w:r>
      <w:r w:rsidRPr="00793854">
        <w:rPr>
          <w:rStyle w:val="AERtextitalic"/>
        </w:rPr>
        <w:t>Attachment 6-1 Rate of return, gamma, forecast inflation, and debt and equity raising costs</w:t>
      </w:r>
      <w:r>
        <w:t xml:space="preserve">, January 2016, pp. 94-95, 102; Powercor, </w:t>
      </w:r>
      <w:r w:rsidRPr="00793854">
        <w:rPr>
          <w:rStyle w:val="AERtextitalic"/>
        </w:rPr>
        <w:t>Revised Regulatory Proposal 2016-2020</w:t>
      </w:r>
      <w:r>
        <w:t>, January 2016, pp. 359-360, 366.</w:t>
      </w:r>
    </w:p>
  </w:footnote>
  <w:footnote w:id="187">
    <w:p w:rsidR="005E1FC3" w:rsidRDefault="005E1FC3" w:rsidP="001D37D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pp. 37–38.</w:t>
      </w:r>
    </w:p>
  </w:footnote>
  <w:footnote w:id="188">
    <w:p w:rsidR="005E1FC3" w:rsidRDefault="005E1FC3" w:rsidP="001D37D5">
      <w:pPr>
        <w:pStyle w:val="FootnoteText"/>
      </w:pPr>
      <w:r>
        <w:rPr>
          <w:rStyle w:val="FootnoteReference"/>
        </w:rPr>
        <w:footnoteRef/>
      </w:r>
      <w:r>
        <w:t xml:space="preserve"> </w:t>
      </w:r>
      <w:r>
        <w:tab/>
      </w:r>
      <w:r w:rsidRPr="008F5D24">
        <w:t>HoustonKemp, A response to the Australian Energy Regulator Draft Decision on Australian Gas Networks AA2016 Revenue Reset, February 2016, p. 35.</w:t>
      </w:r>
    </w:p>
  </w:footnote>
  <w:footnote w:id="189">
    <w:p w:rsidR="005E1FC3" w:rsidRDefault="005E1FC3" w:rsidP="001D37D5">
      <w:pPr>
        <w:pStyle w:val="FootnoteText"/>
      </w:pPr>
      <w:r>
        <w:rPr>
          <w:rStyle w:val="FootnoteReference"/>
        </w:rPr>
        <w:footnoteRef/>
      </w:r>
      <w:r>
        <w:t xml:space="preserve"> </w:t>
      </w:r>
      <w:r>
        <w:tab/>
        <w:t xml:space="preserve">CCP, </w:t>
      </w:r>
      <w:r w:rsidRPr="00CD06D5">
        <w:rPr>
          <w:rStyle w:val="AERtextitalic"/>
        </w:rPr>
        <w:t>Responding to NSW draft determinations and revised proposals from electricity distribution networks</w:t>
      </w:r>
      <w:r>
        <w:t>, February 2015, p. 49.</w:t>
      </w:r>
    </w:p>
  </w:footnote>
  <w:footnote w:id="190">
    <w:p w:rsidR="005E1FC3" w:rsidRPr="001966E3" w:rsidRDefault="005E1FC3" w:rsidP="001D37D5">
      <w:pPr>
        <w:pStyle w:val="FootnoteText"/>
      </w:pPr>
      <w:r>
        <w:rPr>
          <w:rStyle w:val="FootnoteReference"/>
        </w:rPr>
        <w:footnoteRef/>
      </w:r>
      <w:r>
        <w:t xml:space="preserve"> </w:t>
      </w:r>
      <w:r>
        <w:tab/>
        <w:t xml:space="preserve">PIAC, </w:t>
      </w:r>
      <w:r w:rsidRPr="008E72F6">
        <w:rPr>
          <w:rStyle w:val="AERtextitalic"/>
        </w:rPr>
        <w:t>Moving to a new paradigm:</w:t>
      </w:r>
      <w:r>
        <w:rPr>
          <w:rStyle w:val="AERtextitalic"/>
        </w:rPr>
        <w:t xml:space="preserve"> </w:t>
      </w:r>
      <w:r w:rsidRPr="008E72F6">
        <w:rPr>
          <w:rStyle w:val="AERtextitalic"/>
        </w:rPr>
        <w:t>submission to the Australian Energy</w:t>
      </w:r>
      <w:r>
        <w:rPr>
          <w:rStyle w:val="AERtextitalic"/>
        </w:rPr>
        <w:t xml:space="preserve"> </w:t>
      </w:r>
      <w:r w:rsidRPr="008E72F6">
        <w:rPr>
          <w:rStyle w:val="AERtextitalic"/>
        </w:rPr>
        <w:t>Regulator’s NSW electricity distribution</w:t>
      </w:r>
      <w:r>
        <w:rPr>
          <w:rStyle w:val="AERtextitalic"/>
        </w:rPr>
        <w:t xml:space="preserve"> </w:t>
      </w:r>
      <w:r w:rsidRPr="008E72F6">
        <w:rPr>
          <w:rStyle w:val="AERtextitalic"/>
        </w:rPr>
        <w:t>network price determination</w:t>
      </w:r>
      <w:r>
        <w:t xml:space="preserve">, 8 August 2014, pp. 90–92; PIAC, </w:t>
      </w:r>
      <w:r w:rsidRPr="001966E3">
        <w:rPr>
          <w:rStyle w:val="AERtextitalic"/>
        </w:rPr>
        <w:t>A missed opportunity? Submission to the Australian Energy Regulator’s draft determination for Ausgrid, Endeavour Energy and Essential Energy</w:t>
      </w:r>
      <w:r>
        <w:t>, 13 February 2015, p. 46.</w:t>
      </w:r>
    </w:p>
  </w:footnote>
  <w:footnote w:id="191">
    <w:p w:rsidR="005E1FC3" w:rsidRDefault="005E1FC3" w:rsidP="001D37D5">
      <w:pPr>
        <w:pStyle w:val="FootnoteText"/>
      </w:pPr>
      <w:r>
        <w:rPr>
          <w:rStyle w:val="FootnoteReference"/>
        </w:rPr>
        <w:footnoteRef/>
      </w:r>
      <w:r>
        <w:t xml:space="preserve"> </w:t>
      </w:r>
      <w:r>
        <w:tab/>
      </w:r>
      <w:r w:rsidRPr="0074446C">
        <w:t xml:space="preserve">Australian Competition Tribunal, </w:t>
      </w:r>
      <w:r w:rsidRPr="008A03DA">
        <w:rPr>
          <w:rStyle w:val="AERtextitalic"/>
        </w:rPr>
        <w:t>Application by Energex Limited (Gamma) (No 5) [2011] ACompT 9</w:t>
      </w:r>
      <w:r>
        <w:t>, 12 May 2011, para. 45.</w:t>
      </w:r>
    </w:p>
  </w:footnote>
  <w:footnote w:id="192">
    <w:p w:rsidR="005E1FC3" w:rsidRDefault="005E1FC3" w:rsidP="001D37D5">
      <w:pPr>
        <w:pStyle w:val="FootnoteText"/>
      </w:pPr>
      <w:r>
        <w:rPr>
          <w:rStyle w:val="FootnoteReference"/>
        </w:rPr>
        <w:footnoteRef/>
      </w:r>
      <w:r>
        <w:t xml:space="preserve"> </w:t>
      </w:r>
      <w:r>
        <w:tab/>
        <w:t xml:space="preserve">PIAC, </w:t>
      </w:r>
      <w:r w:rsidRPr="001966E3">
        <w:rPr>
          <w:rStyle w:val="AERtextitalic"/>
        </w:rPr>
        <w:t>A missed opportunity? Submission to the Australian Energy Regulator’s draft determination for Ausgrid, Endeavour Energy and Essential Energy</w:t>
      </w:r>
      <w:r>
        <w:t>, 13 February 2015, pp. 19–20.</w:t>
      </w:r>
    </w:p>
  </w:footnote>
  <w:footnote w:id="193">
    <w:p w:rsidR="005E1FC3" w:rsidRDefault="005E1FC3" w:rsidP="001D37D5">
      <w:pPr>
        <w:pStyle w:val="FootnoteText"/>
      </w:pPr>
      <w:r>
        <w:rPr>
          <w:rStyle w:val="FootnoteReference"/>
        </w:rPr>
        <w:footnoteRef/>
      </w:r>
      <w:r>
        <w:t xml:space="preserve"> </w:t>
      </w:r>
      <w:r>
        <w:tab/>
        <w:t xml:space="preserve">EMRF, </w:t>
      </w:r>
      <w:r w:rsidRPr="006D5D8E">
        <w:rPr>
          <w:rStyle w:val="AERtextitalic"/>
        </w:rPr>
        <w:t>NSW Electricity Distribution Revenue Reset, AER Draft Decision and revised proposals from Ausgrid, Endeavour Energy and Essential Energy, A response</w:t>
      </w:r>
      <w:r>
        <w:t>, February 2015, pp. 31–32.</w:t>
      </w:r>
    </w:p>
  </w:footnote>
  <w:footnote w:id="194">
    <w:p w:rsidR="005E1FC3" w:rsidRDefault="005E1FC3" w:rsidP="001D37D5">
      <w:pPr>
        <w:pStyle w:val="FootnoteText"/>
      </w:pPr>
      <w:r>
        <w:rPr>
          <w:rStyle w:val="FootnoteReference"/>
        </w:rPr>
        <w:footnoteRef/>
      </w:r>
      <w:r>
        <w:t xml:space="preserve"> </w:t>
      </w:r>
      <w:r>
        <w:tab/>
        <w:t xml:space="preserve">EMRF, </w:t>
      </w:r>
      <w:r w:rsidRPr="001B6BD3">
        <w:rPr>
          <w:rStyle w:val="AERtextitalic"/>
        </w:rPr>
        <w:t>NSW gas distribution revenue reset, Draft decision by the Australian Energy Regulator on Jemena’s Gas Networks Access Arrangement, A response</w:t>
      </w:r>
      <w:r>
        <w:t>, March 2015, p. 71.</w:t>
      </w:r>
    </w:p>
  </w:footnote>
  <w:footnote w:id="195">
    <w:p w:rsidR="005E1FC3" w:rsidRDefault="005E1FC3" w:rsidP="001D37D5">
      <w:pPr>
        <w:pStyle w:val="FootnoteText"/>
      </w:pPr>
      <w:r>
        <w:rPr>
          <w:rStyle w:val="FootnoteReference"/>
        </w:rPr>
        <w:footnoteRef/>
      </w:r>
      <w:r>
        <w:t xml:space="preserve"> </w:t>
      </w:r>
      <w:r>
        <w:tab/>
      </w:r>
      <w:r w:rsidRPr="007646B1">
        <w:t xml:space="preserve">AER, </w:t>
      </w:r>
      <w:r>
        <w:rPr>
          <w:rStyle w:val="AERtextitalic"/>
        </w:rPr>
        <w:t>Better regulation: Explanatory S</w:t>
      </w:r>
      <w:r w:rsidRPr="007646B1">
        <w:rPr>
          <w:rStyle w:val="AERtextitalic"/>
        </w:rPr>
        <w:t xml:space="preserve">tatement </w:t>
      </w:r>
      <w:r>
        <w:rPr>
          <w:rStyle w:val="AERtextitalic"/>
        </w:rPr>
        <w:t>R</w:t>
      </w:r>
      <w:r w:rsidRPr="007646B1">
        <w:rPr>
          <w:rStyle w:val="AERtextitalic"/>
        </w:rPr>
        <w:t>ate</w:t>
      </w:r>
      <w:r>
        <w:rPr>
          <w:rStyle w:val="AERtextitalic"/>
        </w:rPr>
        <w:t xml:space="preserve"> of Return Guideline,</w:t>
      </w:r>
      <w:r w:rsidRPr="007646B1">
        <w:t xml:space="preserve"> December 2013</w:t>
      </w:r>
      <w:r>
        <w:t>, pp. 163–164.</w:t>
      </w:r>
    </w:p>
  </w:footnote>
  <w:footnote w:id="196">
    <w:p w:rsidR="005E1FC3" w:rsidRDefault="005E1FC3" w:rsidP="001D37D5">
      <w:pPr>
        <w:pStyle w:val="FootnoteText"/>
      </w:pPr>
      <w:r>
        <w:rPr>
          <w:rStyle w:val="FootnoteReference"/>
        </w:rPr>
        <w:footnoteRef/>
      </w:r>
      <w:r>
        <w:t xml:space="preserve"> </w:t>
      </w:r>
      <w:r>
        <w:tab/>
        <w:t xml:space="preserve">SACOSS, </w:t>
      </w:r>
      <w:r w:rsidRPr="00B36753">
        <w:rPr>
          <w:rStyle w:val="AERtextitalic"/>
        </w:rPr>
        <w:t>Submission to Australian Energy Regulator on SA Power Networks’ 2015 – 2020 Regulatory Proposal</w:t>
      </w:r>
      <w:r>
        <w:t>, January 2015, p. 21.</w:t>
      </w:r>
    </w:p>
  </w:footnote>
  <w:footnote w:id="197">
    <w:p w:rsidR="005E1FC3" w:rsidRDefault="005E1FC3" w:rsidP="001D37D5">
      <w:pPr>
        <w:pStyle w:val="FootnoteText"/>
      </w:pPr>
      <w:r>
        <w:rPr>
          <w:rStyle w:val="FootnoteReference"/>
        </w:rPr>
        <w:footnoteRef/>
      </w:r>
      <w:r>
        <w:t xml:space="preserve"> </w:t>
      </w:r>
      <w:r>
        <w:tab/>
        <w:t xml:space="preserve">SACOSS, </w:t>
      </w:r>
      <w:r w:rsidRPr="00B36753">
        <w:rPr>
          <w:rStyle w:val="AERtextitalic"/>
        </w:rPr>
        <w:t xml:space="preserve">Submission to Australian Energy Regulator on SA Power Networks’ 2015 – 2020 </w:t>
      </w:r>
      <w:r>
        <w:rPr>
          <w:rStyle w:val="AERtextitalic"/>
        </w:rPr>
        <w:t xml:space="preserve">AER Preliminary Decision </w:t>
      </w:r>
      <w:r>
        <w:t>June 2015, p. 5.</w:t>
      </w:r>
    </w:p>
  </w:footnote>
  <w:footnote w:id="198">
    <w:p w:rsidR="005E1FC3" w:rsidRDefault="005E1FC3" w:rsidP="001D37D5">
      <w:pPr>
        <w:pStyle w:val="FootnoteText"/>
      </w:pPr>
      <w:r>
        <w:rPr>
          <w:rStyle w:val="FootnoteReference"/>
        </w:rPr>
        <w:footnoteRef/>
      </w:r>
      <w:r>
        <w:t xml:space="preserve"> </w:t>
      </w:r>
      <w:r>
        <w:tab/>
        <w:t xml:space="preserve">ECCSA, </w:t>
      </w:r>
      <w:r w:rsidRPr="003504FC">
        <w:rPr>
          <w:rStyle w:val="AERtextitalic"/>
        </w:rPr>
        <w:t>SA Electricity Distribution Revenue Reset, SA PowerNetworks Application, A response</w:t>
      </w:r>
      <w:r>
        <w:t>, December 2014, pp. 80–81.</w:t>
      </w:r>
    </w:p>
  </w:footnote>
  <w:footnote w:id="199">
    <w:p w:rsidR="005E1FC3" w:rsidRDefault="005E1FC3" w:rsidP="001D37D5">
      <w:pPr>
        <w:pStyle w:val="FootnoteText"/>
      </w:pPr>
      <w:r>
        <w:rPr>
          <w:rStyle w:val="FootnoteReference"/>
        </w:rPr>
        <w:footnoteRef/>
      </w:r>
      <w:r>
        <w:t xml:space="preserve"> </w:t>
      </w:r>
      <w:r>
        <w:tab/>
        <w:t xml:space="preserve">ECCSA, </w:t>
      </w:r>
      <w:r w:rsidRPr="003504FC">
        <w:rPr>
          <w:rStyle w:val="AERtextitalic"/>
        </w:rPr>
        <w:t>SA Electricity Distribution Revenue Res</w:t>
      </w:r>
      <w:r>
        <w:rPr>
          <w:rStyle w:val="AERtextitalic"/>
        </w:rPr>
        <w:t>et, The AER preliminary decision</w:t>
      </w:r>
      <w:r w:rsidRPr="003504FC">
        <w:rPr>
          <w:rStyle w:val="AERtextitalic"/>
        </w:rPr>
        <w:t>, A response</w:t>
      </w:r>
      <w:r>
        <w:t>, June 2015, p. 42.</w:t>
      </w:r>
    </w:p>
  </w:footnote>
  <w:footnote w:id="200">
    <w:p w:rsidR="005E1FC3" w:rsidRDefault="005E1FC3" w:rsidP="001D37D5">
      <w:pPr>
        <w:pStyle w:val="FootnoteText"/>
      </w:pPr>
      <w:r>
        <w:rPr>
          <w:rStyle w:val="FootnoteReference"/>
        </w:rPr>
        <w:footnoteRef/>
      </w:r>
      <w:r>
        <w:t xml:space="preserve"> </w:t>
      </w:r>
      <w:r>
        <w:tab/>
        <w:t xml:space="preserve">ECCSA, </w:t>
      </w:r>
      <w:r>
        <w:rPr>
          <w:rStyle w:val="AERtextitalic"/>
        </w:rPr>
        <w:t>A response to the Australian Energy Regulator Draft Decision on Australian Gas Networks AA2016 Revenue Reset</w:t>
      </w:r>
      <w:r>
        <w:t>, February 2016, p. 35.</w:t>
      </w:r>
    </w:p>
  </w:footnote>
  <w:footnote w:id="201">
    <w:p w:rsidR="005E1FC3" w:rsidRDefault="005E1FC3" w:rsidP="001D37D5">
      <w:pPr>
        <w:pStyle w:val="FootnoteText"/>
      </w:pPr>
      <w:r>
        <w:rPr>
          <w:rStyle w:val="FootnoteReference"/>
        </w:rPr>
        <w:footnoteRef/>
      </w:r>
      <w:r>
        <w:t xml:space="preserve"> </w:t>
      </w:r>
      <w:r>
        <w:tab/>
      </w:r>
      <w:r w:rsidRPr="009A6FC1">
        <w:t>ECCSA, A response to the Australian Energy Regulator Draft Decision on Australian Gas Networks AA2016 Revenue Reset, February 2016, p. 35.</w:t>
      </w:r>
    </w:p>
  </w:footnote>
  <w:footnote w:id="202">
    <w:p w:rsidR="005E1FC3" w:rsidRDefault="005E1FC3" w:rsidP="001D37D5">
      <w:pPr>
        <w:pStyle w:val="FootnoteText"/>
      </w:pPr>
      <w:r>
        <w:rPr>
          <w:rStyle w:val="FootnoteReference"/>
        </w:rPr>
        <w:footnoteRef/>
      </w:r>
      <w:r>
        <w:t xml:space="preserve"> </w:t>
      </w:r>
      <w:r>
        <w:tab/>
        <w:t xml:space="preserve">QCOSS, </w:t>
      </w:r>
      <w:r w:rsidRPr="0014196F">
        <w:rPr>
          <w:rStyle w:val="AERtextitalic"/>
        </w:rPr>
        <w:t>Understanding the long term interests of electricity customers, Submission to the AER’s Queensland electricity distribution determination 2015-2020</w:t>
      </w:r>
      <w:r>
        <w:t>, 30 January 2015, p. 81.</w:t>
      </w:r>
    </w:p>
  </w:footnote>
  <w:footnote w:id="203">
    <w:p w:rsidR="005E1FC3" w:rsidRDefault="005E1FC3" w:rsidP="001D37D5">
      <w:pPr>
        <w:pStyle w:val="FootnoteText"/>
      </w:pPr>
      <w:r>
        <w:rPr>
          <w:rStyle w:val="FootnoteReference"/>
        </w:rPr>
        <w:footnoteRef/>
      </w:r>
      <w:r>
        <w:t xml:space="preserve"> </w:t>
      </w:r>
      <w:r>
        <w:tab/>
        <w:t xml:space="preserve">Alliance of Electricity Consumers, </w:t>
      </w:r>
      <w:r w:rsidRPr="00F31D12">
        <w:rPr>
          <w:rStyle w:val="AERtextitalic"/>
        </w:rPr>
        <w:t>Submission on Ergon Energy’s Regulatory Proposal 2015-­2020</w:t>
      </w:r>
      <w:r>
        <w:t>, 30 January 2015, p. 24.</w:t>
      </w:r>
    </w:p>
  </w:footnote>
  <w:footnote w:id="204">
    <w:p w:rsidR="005E1FC3" w:rsidRDefault="005E1FC3" w:rsidP="001D37D5">
      <w:pPr>
        <w:pStyle w:val="FootnoteText"/>
      </w:pPr>
      <w:r>
        <w:rPr>
          <w:rStyle w:val="FootnoteReference"/>
        </w:rPr>
        <w:footnoteRef/>
      </w:r>
      <w:r>
        <w:t xml:space="preserve"> </w:t>
      </w:r>
      <w:r>
        <w:tab/>
        <w:t xml:space="preserve">Uniting Care Australia, </w:t>
      </w:r>
      <w:r w:rsidRPr="00B239C6">
        <w:t>Submission to the Australian Energy Regulator -Response to Electricity Distribution Business Revised Regulatory Proposal from 2015</w:t>
      </w:r>
      <w:r>
        <w:t>–</w:t>
      </w:r>
      <w:r w:rsidRPr="00B239C6">
        <w:t>20 from SA Power Networks, and AER Preliminary Determination, July 2015, p. 29.</w:t>
      </w:r>
    </w:p>
  </w:footnote>
  <w:footnote w:id="205">
    <w:p w:rsidR="005E1FC3" w:rsidRDefault="005E1FC3" w:rsidP="001D37D5">
      <w:pPr>
        <w:pStyle w:val="FootnoteText"/>
      </w:pPr>
      <w:r>
        <w:rPr>
          <w:rStyle w:val="FootnoteReference"/>
        </w:rPr>
        <w:footnoteRef/>
      </w:r>
      <w:r>
        <w:t xml:space="preserve"> </w:t>
      </w:r>
      <w:r>
        <w:tab/>
        <w:t>Frontier economics, The appropriate use of tax statistics when estimating gamma, January 2016.</w:t>
      </w:r>
    </w:p>
  </w:footnote>
  <w:footnote w:id="206">
    <w:p w:rsidR="005E1FC3" w:rsidRPr="003C12DE" w:rsidRDefault="005E1FC3" w:rsidP="001D37D5">
      <w:pPr>
        <w:pStyle w:val="FootnoteText"/>
      </w:pPr>
      <w:r>
        <w:rPr>
          <w:rStyle w:val="FootnoteReference"/>
        </w:rPr>
        <w:footnoteRef/>
      </w:r>
      <w:r>
        <w:t xml:space="preserve"> </w:t>
      </w:r>
      <w:r>
        <w:tab/>
      </w:r>
      <w:r w:rsidRPr="008F5D24">
        <w:t>United Energy, Submission on AER preliminary determination - Submission on gamma, 26 April 2016; CitiPower/Powercor, Submission on implications of recent Australian Competition Tribunal Decision, 18 April 2016; ActewAGL, Implication of recent Tribunal decisions for final decision and updates to the allowed rate of return and forecast inflation estimate, 12 May 2016.</w:t>
      </w:r>
    </w:p>
  </w:footnote>
  <w:footnote w:id="207">
    <w:p w:rsidR="005E1FC3" w:rsidRDefault="005E1FC3" w:rsidP="001D37D5">
      <w:pPr>
        <w:pStyle w:val="FootnoteText"/>
      </w:pPr>
      <w:r>
        <w:rPr>
          <w:rStyle w:val="FootnoteReference"/>
        </w:rPr>
        <w:footnoteRef/>
      </w:r>
      <w:r>
        <w:t xml:space="preserve"> </w:t>
      </w:r>
      <w:r>
        <w:tab/>
        <w:t xml:space="preserve">Frontier, </w:t>
      </w:r>
      <w:r w:rsidRPr="005764F6">
        <w:rPr>
          <w:rStyle w:val="AERtextitalic"/>
        </w:rPr>
        <w:t>The appropriate use of tax statistics when estimating gamma</w:t>
      </w:r>
      <w:r w:rsidRPr="00C2259D">
        <w:t xml:space="preserve">, </w:t>
      </w:r>
      <w:r>
        <w:t>January 2016.</w:t>
      </w:r>
    </w:p>
  </w:footnote>
  <w:footnote w:id="208">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w:t>
      </w:r>
    </w:p>
  </w:footnote>
  <w:footnote w:id="209">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6.</w:t>
      </w:r>
    </w:p>
  </w:footnote>
  <w:footnote w:id="210">
    <w:p w:rsidR="005E1FC3" w:rsidRDefault="005E1FC3" w:rsidP="001D37D5">
      <w:pPr>
        <w:pStyle w:val="FootnoteText"/>
      </w:pPr>
      <w:r>
        <w:rPr>
          <w:rStyle w:val="FootnoteReference"/>
        </w:rPr>
        <w:footnoteRef/>
      </w:r>
      <w:r>
        <w:t xml:space="preserve"> </w:t>
      </w:r>
      <w:r>
        <w:tab/>
      </w:r>
      <w:r w:rsidRPr="00712BC2">
        <w:t xml:space="preserve">M. Lally, </w:t>
      </w:r>
      <w:r w:rsidRPr="00712BC2">
        <w:rPr>
          <w:rStyle w:val="AERtextitalic"/>
        </w:rPr>
        <w:t>The estimation of gamma</w:t>
      </w:r>
      <w:r w:rsidRPr="00712BC2">
        <w:t>, 23 November 2013</w:t>
      </w:r>
      <w:r>
        <w:t xml:space="preserve">; M. Lally, </w:t>
      </w:r>
      <w:r w:rsidRPr="002519FD">
        <w:rPr>
          <w:rStyle w:val="AERtextitalic"/>
        </w:rPr>
        <w:t>Estimating gamma</w:t>
      </w:r>
      <w:r>
        <w:t xml:space="preserve">, 25 November 2013; </w:t>
      </w:r>
      <w:r w:rsidRPr="00712BC2">
        <w:t xml:space="preserve">M. Lally, </w:t>
      </w:r>
      <w:r w:rsidRPr="00712BC2">
        <w:rPr>
          <w:rStyle w:val="AERtextitalic"/>
        </w:rPr>
        <w:t>Review of submissions to the QCA on the MRP, risk-free rate and gamma</w:t>
      </w:r>
      <w:r>
        <w:t>, 12 March 2014.</w:t>
      </w:r>
    </w:p>
  </w:footnote>
  <w:footnote w:id="211">
    <w:p w:rsidR="005E1FC3" w:rsidRDefault="005E1FC3" w:rsidP="001D37D5">
      <w:pPr>
        <w:pStyle w:val="FootnoteText"/>
      </w:pPr>
      <w:r>
        <w:rPr>
          <w:rStyle w:val="FootnoteReference"/>
        </w:rPr>
        <w:footnoteRef/>
      </w:r>
      <w:r>
        <w:t xml:space="preserve"> </w:t>
      </w:r>
      <w:r>
        <w:tab/>
      </w:r>
      <w:r w:rsidRPr="00712BC2">
        <w:t xml:space="preserve">M. McKenzie and G. Partington, </w:t>
      </w:r>
      <w:r w:rsidRPr="00712BC2">
        <w:rPr>
          <w:rStyle w:val="AERtextitalic"/>
        </w:rPr>
        <w:t>Report to the Queensland Resources Council: Review of Aurizon Network’s draft access undertaking</w:t>
      </w:r>
      <w:r w:rsidRPr="00712BC2">
        <w:t>, 5 October 2013</w:t>
      </w:r>
      <w:r>
        <w:t>.</w:t>
      </w:r>
    </w:p>
  </w:footnote>
  <w:footnote w:id="212">
    <w:p w:rsidR="005E1FC3" w:rsidRDefault="005E1FC3" w:rsidP="001D37D5">
      <w:pPr>
        <w:pStyle w:val="FootnoteText"/>
      </w:pPr>
      <w:r>
        <w:rPr>
          <w:rStyle w:val="FootnoteReference"/>
        </w:rPr>
        <w:footnoteRef/>
      </w:r>
      <w:r>
        <w:t xml:space="preserve"> </w:t>
      </w:r>
      <w:r>
        <w:tab/>
      </w:r>
      <w:r w:rsidRPr="00712BC2">
        <w:t xml:space="preserve">J. Handley, </w:t>
      </w:r>
      <w:r w:rsidRPr="00712BC2">
        <w:rPr>
          <w:rStyle w:val="AERtextitalic"/>
        </w:rPr>
        <w:t>Report prepared for the Australian Energy Regulator: Advice on the value of imputation credits</w:t>
      </w:r>
      <w:r w:rsidRPr="00712BC2">
        <w:t>, 29 September 2014.</w:t>
      </w:r>
    </w:p>
  </w:footnote>
  <w:footnote w:id="213">
    <w:p w:rsidR="005E1FC3" w:rsidRPr="00EB47DF" w:rsidRDefault="005E1FC3" w:rsidP="001D37D5">
      <w:pPr>
        <w:pStyle w:val="FootnoteText"/>
        <w:rPr>
          <w:i/>
        </w:rPr>
      </w:pPr>
      <w:r>
        <w:rPr>
          <w:rStyle w:val="FootnoteReference"/>
        </w:rPr>
        <w:footnoteRef/>
      </w:r>
      <w:r>
        <w:t xml:space="preserve"> </w:t>
      </w:r>
      <w:r>
        <w:tab/>
        <w:t xml:space="preserve">SA Centre for Economic Studies (2015), </w:t>
      </w:r>
      <w:r>
        <w:rPr>
          <w:rStyle w:val="AERtextitalic"/>
        </w:rPr>
        <w:t>Independent e</w:t>
      </w:r>
      <w:r w:rsidRPr="00253C46">
        <w:rPr>
          <w:rStyle w:val="AERtextitalic"/>
        </w:rPr>
        <w:t>stimate of the WACC for SA Power Networks 2015 to 2020</w:t>
      </w:r>
      <w:r>
        <w:rPr>
          <w:rStyle w:val="AERtextitalic"/>
        </w:rPr>
        <w:t xml:space="preserve">: </w:t>
      </w:r>
      <w:r w:rsidRPr="00EB47DF">
        <w:rPr>
          <w:rStyle w:val="AERtextitalic"/>
        </w:rPr>
        <w:t>Report commissioned by the</w:t>
      </w:r>
      <w:r>
        <w:rPr>
          <w:rStyle w:val="AERtextitalic"/>
        </w:rPr>
        <w:t xml:space="preserve"> SA</w:t>
      </w:r>
      <w:r w:rsidRPr="00EB47DF">
        <w:rPr>
          <w:rStyle w:val="AERtextitalic"/>
        </w:rPr>
        <w:t xml:space="preserve"> Council of Social Services</w:t>
      </w:r>
      <w:r>
        <w:t>, January 2015.</w:t>
      </w:r>
    </w:p>
  </w:footnote>
  <w:footnote w:id="214">
    <w:p w:rsidR="005E1FC3" w:rsidRDefault="005E1FC3" w:rsidP="001D37D5">
      <w:pPr>
        <w:pStyle w:val="FootnoteText"/>
      </w:pPr>
      <w:r>
        <w:rPr>
          <w:rStyle w:val="FootnoteReference"/>
        </w:rPr>
        <w:footnoteRef/>
      </w:r>
      <w:r>
        <w:t xml:space="preserve"> </w:t>
      </w:r>
      <w:r>
        <w:tab/>
        <w:t xml:space="preserve">CEG, </w:t>
      </w:r>
      <w:r w:rsidRPr="00712BC2">
        <w:rPr>
          <w:rStyle w:val="AERtextitalic"/>
        </w:rPr>
        <w:t>WACC estimates: A report for NSW DNSPs</w:t>
      </w:r>
      <w:r>
        <w:t>, May 2014.</w:t>
      </w:r>
    </w:p>
  </w:footnote>
  <w:footnote w:id="215">
    <w:p w:rsidR="005E1FC3" w:rsidRDefault="005E1FC3" w:rsidP="001D37D5">
      <w:pPr>
        <w:pStyle w:val="FootnoteText"/>
      </w:pPr>
      <w:r>
        <w:rPr>
          <w:rStyle w:val="FootnoteReference"/>
        </w:rPr>
        <w:footnoteRef/>
      </w:r>
      <w:r>
        <w:t xml:space="preserve"> </w:t>
      </w:r>
      <w:r>
        <w:tab/>
      </w:r>
      <w:r w:rsidRPr="00712BC2">
        <w:t xml:space="preserve">SFG, </w:t>
      </w:r>
      <w:r>
        <w:rPr>
          <w:rStyle w:val="AERtextitalic"/>
        </w:rPr>
        <w:t>Estimating gamma for regulatory purposes</w:t>
      </w:r>
      <w:r>
        <w:t>, February 2015.</w:t>
      </w:r>
    </w:p>
  </w:footnote>
  <w:footnote w:id="216">
    <w:p w:rsidR="005E1FC3" w:rsidRDefault="005E1FC3" w:rsidP="001D37D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xml:space="preserve">, June 2015 and Frontier, </w:t>
      </w:r>
      <w:r w:rsidRPr="00C2259D">
        <w:t xml:space="preserve">The appropriate use of tax statistics when estimating gamma, </w:t>
      </w:r>
      <w:r>
        <w:t>January 2016.</w:t>
      </w:r>
    </w:p>
  </w:footnote>
  <w:footnote w:id="217">
    <w:p w:rsidR="005E1FC3" w:rsidRDefault="005E1FC3" w:rsidP="001D37D5">
      <w:pPr>
        <w:pStyle w:val="FootnoteText"/>
      </w:pPr>
      <w:r>
        <w:rPr>
          <w:rStyle w:val="FootnoteReference"/>
        </w:rPr>
        <w:footnoteRef/>
      </w:r>
      <w:r>
        <w:t xml:space="preserve"> </w:t>
      </w:r>
      <w:r>
        <w:tab/>
      </w:r>
      <w:r w:rsidRPr="00227D75">
        <w:t>Independent Pricing and Regulatory Tribunal</w:t>
      </w:r>
      <w:r>
        <w:t xml:space="preserve">, </w:t>
      </w:r>
      <w:r w:rsidRPr="00227D75">
        <w:rPr>
          <w:rStyle w:val="AERtextitalic"/>
        </w:rPr>
        <w:t xml:space="preserve">Review of imputation credits (gamma), </w:t>
      </w:r>
      <w:r>
        <w:rPr>
          <w:rStyle w:val="AERtextitalic"/>
        </w:rPr>
        <w:t>Research</w:t>
      </w:r>
      <w:r w:rsidRPr="00227D75">
        <w:rPr>
          <w:rStyle w:val="AERtextitalic"/>
        </w:rPr>
        <w:t>—</w:t>
      </w:r>
      <w:r>
        <w:rPr>
          <w:rStyle w:val="AERtextitalic"/>
        </w:rPr>
        <w:t>F</w:t>
      </w:r>
      <w:r w:rsidRPr="00227D75">
        <w:rPr>
          <w:rStyle w:val="AERtextitalic"/>
        </w:rPr>
        <w:t>inal decision</w:t>
      </w:r>
      <w:r>
        <w:t>, March 2012.</w:t>
      </w:r>
    </w:p>
  </w:footnote>
  <w:footnote w:id="218">
    <w:p w:rsidR="005E1FC3" w:rsidRDefault="005E1FC3" w:rsidP="001D37D5">
      <w:pPr>
        <w:pStyle w:val="FootnoteText"/>
      </w:pPr>
      <w:r>
        <w:rPr>
          <w:rStyle w:val="FootnoteReference"/>
        </w:rPr>
        <w:footnoteRef/>
      </w:r>
      <w:r>
        <w:t xml:space="preserve"> </w:t>
      </w:r>
      <w:r>
        <w:tab/>
        <w:t>Essential Services Commission</w:t>
      </w:r>
      <w:r w:rsidRPr="00922C37">
        <w:t xml:space="preserve">, </w:t>
      </w:r>
      <w:r w:rsidRPr="00922C37">
        <w:rPr>
          <w:rStyle w:val="AERtextitalic"/>
        </w:rPr>
        <w:t xml:space="preserve">Price Review 2013: Greater </w:t>
      </w:r>
      <w:r>
        <w:rPr>
          <w:rStyle w:val="AERtextitalic"/>
        </w:rPr>
        <w:t>Metropolitan Water Businesses, F</w:t>
      </w:r>
      <w:r w:rsidRPr="00922C37">
        <w:rPr>
          <w:rStyle w:val="AERtextitalic"/>
        </w:rPr>
        <w:t>inal decision</w:t>
      </w:r>
      <w:r w:rsidRPr="00922C37">
        <w:t>, June</w:t>
      </w:r>
      <w:r>
        <w:t xml:space="preserve"> 2013</w:t>
      </w:r>
      <w:r w:rsidRPr="00922C37">
        <w:t>.</w:t>
      </w:r>
    </w:p>
  </w:footnote>
  <w:footnote w:id="219">
    <w:p w:rsidR="005E1FC3" w:rsidRDefault="005E1FC3" w:rsidP="001D37D5">
      <w:pPr>
        <w:pStyle w:val="FootnoteText"/>
      </w:pPr>
      <w:r>
        <w:rPr>
          <w:rStyle w:val="FootnoteReference"/>
        </w:rPr>
        <w:footnoteRef/>
      </w:r>
      <w:r>
        <w:t xml:space="preserve"> </w:t>
      </w:r>
      <w:r>
        <w:tab/>
        <w:t>Essential Services Commission</w:t>
      </w:r>
      <w:r w:rsidRPr="00752771">
        <w:t xml:space="preserve">, </w:t>
      </w:r>
      <w:r>
        <w:rPr>
          <w:rStyle w:val="AERtextitalic"/>
        </w:rPr>
        <w:t xml:space="preserve">2013 Water Price Review, </w:t>
      </w:r>
      <w:r w:rsidRPr="009F679B">
        <w:rPr>
          <w:rStyle w:val="AERtextitalic"/>
        </w:rPr>
        <w:t>Guidance on Water Plans</w:t>
      </w:r>
      <w:r w:rsidRPr="00752771">
        <w:t>, October</w:t>
      </w:r>
      <w:r>
        <w:t xml:space="preserve"> 2011, p. 66</w:t>
      </w:r>
      <w:r w:rsidRPr="00752771">
        <w:t>.</w:t>
      </w:r>
      <w:r>
        <w:t xml:space="preserve"> The Essential Services Commission also proposes to continue to apply a value of imputation credits of 0.5 to Melbourne Water's 2016 price review: Essential Services Commission, </w:t>
      </w:r>
      <w:r w:rsidRPr="00BA0C40">
        <w:rPr>
          <w:rStyle w:val="AERtextitalic"/>
        </w:rPr>
        <w:t>Proposed approach to Melbourne Water's 2016 price review—Consultation paper</w:t>
      </w:r>
      <w:r>
        <w:t>, February 2015, p. 40.</w:t>
      </w:r>
    </w:p>
  </w:footnote>
  <w:footnote w:id="220">
    <w:p w:rsidR="005E1FC3" w:rsidRDefault="005E1FC3" w:rsidP="001D37D5">
      <w:pPr>
        <w:pStyle w:val="FootnoteText"/>
      </w:pPr>
      <w:r>
        <w:rPr>
          <w:rStyle w:val="FootnoteReference"/>
        </w:rPr>
        <w:footnoteRef/>
      </w:r>
      <w:r>
        <w:t xml:space="preserve"> </w:t>
      </w:r>
      <w:r>
        <w:tab/>
        <w:t xml:space="preserve">Queensland Competition Authority, </w:t>
      </w:r>
      <w:r w:rsidRPr="009A7392">
        <w:rPr>
          <w:rStyle w:val="AERtextitalic"/>
        </w:rPr>
        <w:t>Cost of ca</w:t>
      </w:r>
      <w:r>
        <w:rPr>
          <w:rStyle w:val="AERtextitalic"/>
        </w:rPr>
        <w:t>pital: M</w:t>
      </w:r>
      <w:r w:rsidRPr="009A7392">
        <w:rPr>
          <w:rStyle w:val="AERtextitalic"/>
        </w:rPr>
        <w:t>arket parameters</w:t>
      </w:r>
      <w:r>
        <w:t>, August 2014.</w:t>
      </w:r>
    </w:p>
  </w:footnote>
  <w:footnote w:id="221">
    <w:p w:rsidR="005E1FC3" w:rsidRDefault="005E1FC3" w:rsidP="001D37D5">
      <w:pPr>
        <w:pStyle w:val="FootnoteText"/>
      </w:pPr>
      <w:r>
        <w:rPr>
          <w:rStyle w:val="FootnoteReference"/>
        </w:rPr>
        <w:footnoteRef/>
      </w:r>
      <w:r>
        <w:t xml:space="preserve"> </w:t>
      </w:r>
      <w:r>
        <w:tab/>
        <w:t xml:space="preserve">Economic Regulation Authority, </w:t>
      </w:r>
      <w:r w:rsidRPr="00792648">
        <w:rPr>
          <w:rStyle w:val="AERtextitalic"/>
        </w:rPr>
        <w:t xml:space="preserve">Review of the method for estimating the weighted average cost of capital for </w:t>
      </w:r>
      <w:r>
        <w:rPr>
          <w:rStyle w:val="AERtextitalic"/>
        </w:rPr>
        <w:t>regulated</w:t>
      </w:r>
      <w:r w:rsidRPr="00792648">
        <w:rPr>
          <w:rStyle w:val="AERtextitalic"/>
        </w:rPr>
        <w:t xml:space="preserve"> railway networks, </w:t>
      </w:r>
      <w:r>
        <w:rPr>
          <w:rStyle w:val="AERtextitalic"/>
        </w:rPr>
        <w:t>Revised d</w:t>
      </w:r>
      <w:r w:rsidRPr="00792648">
        <w:rPr>
          <w:rStyle w:val="AERtextitalic"/>
        </w:rPr>
        <w:t xml:space="preserve">raft </w:t>
      </w:r>
      <w:r>
        <w:rPr>
          <w:rStyle w:val="AERtextitalic"/>
        </w:rPr>
        <w:t>decision</w:t>
      </w:r>
      <w:r>
        <w:t>, 28 November 2014.</w:t>
      </w:r>
    </w:p>
  </w:footnote>
  <w:footnote w:id="222">
    <w:p w:rsidR="005E1FC3" w:rsidRDefault="005E1FC3" w:rsidP="001D37D5">
      <w:pPr>
        <w:pStyle w:val="FootnoteText"/>
      </w:pPr>
      <w:r>
        <w:rPr>
          <w:rStyle w:val="FootnoteReference"/>
        </w:rPr>
        <w:footnoteRef/>
      </w:r>
      <w:r>
        <w:t xml:space="preserve"> </w:t>
      </w:r>
      <w:r>
        <w:tab/>
      </w:r>
      <w:r w:rsidRPr="009777EC">
        <w:t xml:space="preserve">Australian Competition and Consumer Commission, </w:t>
      </w:r>
      <w:r w:rsidRPr="00656B47">
        <w:rPr>
          <w:rStyle w:val="AERtextitalic"/>
        </w:rPr>
        <w:t xml:space="preserve">Public inquiry into final access determinations for fixed line </w:t>
      </w:r>
      <w:r>
        <w:rPr>
          <w:rStyle w:val="AERtextitalic"/>
        </w:rPr>
        <w:t>services</w:t>
      </w:r>
      <w:r>
        <w:rPr>
          <w:rStyle w:val="AERtextitalic"/>
          <w:rFonts w:cs="Arial"/>
        </w:rPr>
        <w:t>—</w:t>
      </w:r>
      <w:r w:rsidRPr="00656B47">
        <w:rPr>
          <w:rStyle w:val="AERtextitalic"/>
        </w:rPr>
        <w:t>primary price terms</w:t>
      </w:r>
      <w:r>
        <w:rPr>
          <w:rStyle w:val="AERtextitalic"/>
        </w:rPr>
        <w:t>,</w:t>
      </w:r>
      <w:r w:rsidRPr="00656B47">
        <w:rPr>
          <w:rStyle w:val="AERtextitalic"/>
        </w:rPr>
        <w:t xml:space="preserve"> </w:t>
      </w:r>
      <w:r>
        <w:rPr>
          <w:rStyle w:val="AERtextitalic"/>
        </w:rPr>
        <w:t>Draft d</w:t>
      </w:r>
      <w:r w:rsidRPr="00656B47">
        <w:rPr>
          <w:rStyle w:val="AERtextitalic"/>
        </w:rPr>
        <w:t>ecision</w:t>
      </w:r>
      <w:r>
        <w:t>, March 2015</w:t>
      </w:r>
      <w:r w:rsidRPr="009777EC">
        <w:t>.</w:t>
      </w:r>
      <w:r>
        <w:t xml:space="preserve"> </w:t>
      </w:r>
      <w:r w:rsidRPr="006F0830">
        <w:t>We note that this estimate is based on the ACCC's draft decision on the fixed line services supplied by Telstra (ACCC, Public inquiry into final service determinations for fixed line services—Primary price terms: Draft decision</w:t>
      </w:r>
      <w:r>
        <w:t>, March 2015, p. 101</w:t>
      </w:r>
      <w:r w:rsidRPr="006F0830">
        <w:t xml:space="preserve">). The ACCC released its final decision on </w:t>
      </w:r>
      <w:r>
        <w:t xml:space="preserve">9 </w:t>
      </w:r>
      <w:r w:rsidRPr="006F0830">
        <w:t>Octobe</w:t>
      </w:r>
      <w:r>
        <w:t>r 2015, which maintained its value for imputation credits estimate of 0.45</w:t>
      </w:r>
      <w:r w:rsidRPr="006F0830">
        <w:t xml:space="preserve"> (ACCC, Public inquiry into final service determinations for fixed line services: Final decision</w:t>
      </w:r>
      <w:r>
        <w:t>, October 2015, p. 67</w:t>
      </w:r>
      <w:r w:rsidRPr="006F0830">
        <w:t>). However, we consider information up to the end of July 2015 for the SA/Qld DNSPs and the end of August 2015 for the Vic</w:t>
      </w:r>
      <w:r>
        <w:t>torian service providers</w:t>
      </w:r>
      <w:r w:rsidRPr="006F0830">
        <w:t xml:space="preserve"> and </w:t>
      </w:r>
      <w:r>
        <w:t xml:space="preserve">the 2015 </w:t>
      </w:r>
      <w:r w:rsidRPr="006F0830">
        <w:t xml:space="preserve">gas </w:t>
      </w:r>
      <w:r>
        <w:t>network service providers</w:t>
      </w:r>
      <w:r w:rsidRPr="006F0830">
        <w:t xml:space="preserve"> in estimating the MRP. This is reasonably consistent with these NSPs' risk free rate averaging periods. Therefore, </w:t>
      </w:r>
      <w:r>
        <w:t xml:space="preserve">to be consistent with the estimation of the required return on equity, </w:t>
      </w:r>
      <w:r w:rsidRPr="006F0830">
        <w:t>we do not include the ACCC's final decision in our analysis.</w:t>
      </w:r>
    </w:p>
  </w:footnote>
  <w:footnote w:id="223">
    <w:p w:rsidR="005E1FC3" w:rsidRDefault="005E1FC3" w:rsidP="001D37D5">
      <w:pPr>
        <w:pStyle w:val="FootnoteText"/>
      </w:pPr>
      <w:r>
        <w:rPr>
          <w:rStyle w:val="FootnoteReference"/>
        </w:rPr>
        <w:footnoteRef/>
      </w:r>
      <w:r>
        <w:t xml:space="preserve"> </w:t>
      </w:r>
      <w:r>
        <w:tab/>
        <w:t xml:space="preserve">See for example, 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The Tribunal gave similar reasoning in its decisions for applications by the other service providers.</w:t>
      </w:r>
    </w:p>
  </w:footnote>
  <w:footnote w:id="224">
    <w:p w:rsidR="005E1FC3"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8F5D24">
        <w:t>para. 1100.</w:t>
      </w:r>
    </w:p>
  </w:footnote>
  <w:footnote w:id="225">
    <w:p w:rsidR="005E1FC3" w:rsidRPr="00395D01"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8F5D24">
        <w:t>para. 1100.</w:t>
      </w:r>
    </w:p>
  </w:footnote>
  <w:footnote w:id="226">
    <w:p w:rsidR="005E1FC3" w:rsidRPr="00395D01"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8F5D24">
        <w:t>para. 1081.</w:t>
      </w:r>
    </w:p>
  </w:footnote>
  <w:footnote w:id="227">
    <w:p w:rsidR="005E1FC3" w:rsidRPr="00395D01"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8F5D24">
        <w:t>para. 1076.</w:t>
      </w:r>
    </w:p>
  </w:footnote>
  <w:footnote w:id="228">
    <w:p w:rsidR="005E1FC3" w:rsidRPr="00395D01"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para. </w:t>
      </w:r>
      <w:r w:rsidRPr="008F5D24">
        <w:t>1106.</w:t>
      </w:r>
    </w:p>
  </w:footnote>
  <w:footnote w:id="229">
    <w:p w:rsidR="005E1FC3" w:rsidRDefault="005E1FC3" w:rsidP="001D37D5">
      <w:pPr>
        <w:pStyle w:val="FootnoteText"/>
      </w:pPr>
      <w:r>
        <w:rPr>
          <w:rStyle w:val="FootnoteReference"/>
        </w:rPr>
        <w:footnoteRef/>
      </w:r>
      <w:r>
        <w:t xml:space="preserve"> </w:t>
      </w:r>
      <w:r>
        <w:tab/>
        <w:t xml:space="preserve">See </w:t>
      </w:r>
      <w:r w:rsidRPr="00712BC2">
        <w:t xml:space="preserve">M. Lally, </w:t>
      </w:r>
      <w:r>
        <w:rPr>
          <w:rStyle w:val="AERtextitalic"/>
        </w:rPr>
        <w:t>Gamma and the ACT Decision</w:t>
      </w:r>
      <w:r>
        <w:t>, May 2016, pp. 24–25.</w:t>
      </w:r>
    </w:p>
  </w:footnote>
  <w:footnote w:id="230">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26, 28–29.</w:t>
      </w:r>
    </w:p>
  </w:footnote>
  <w:footnote w:id="231">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25–26, 28–29.</w:t>
      </w:r>
    </w:p>
  </w:footnote>
  <w:footnote w:id="232">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5–6, 24–26, 29.</w:t>
      </w:r>
    </w:p>
  </w:footnote>
  <w:footnote w:id="233">
    <w:p w:rsidR="005E1FC3" w:rsidRPr="00395D01"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8F5D24">
        <w:t>para. 1090.</w:t>
      </w:r>
    </w:p>
  </w:footnote>
  <w:footnote w:id="234">
    <w:p w:rsidR="005E1FC3" w:rsidRPr="00395D01"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8F5D24">
        <w:t>paras. 1048 and 1090.</w:t>
      </w:r>
    </w:p>
  </w:footnote>
  <w:footnote w:id="235">
    <w:p w:rsidR="005E1FC3" w:rsidRPr="00395D01"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8F5D24">
        <w:t>para. 1093.</w:t>
      </w:r>
    </w:p>
  </w:footnote>
  <w:footnote w:id="236">
    <w:p w:rsidR="005E1FC3" w:rsidRPr="00395D01"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w:t>
      </w:r>
      <w:r w:rsidRPr="00395D01">
        <w:t xml:space="preserve">. </w:t>
      </w:r>
      <w:r w:rsidRPr="008F5D24">
        <w:t>1095.</w:t>
      </w:r>
    </w:p>
  </w:footnote>
  <w:footnote w:id="237">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19-20.</w:t>
      </w:r>
    </w:p>
  </w:footnote>
  <w:footnote w:id="238">
    <w:p w:rsidR="005E1FC3" w:rsidRDefault="005E1FC3">
      <w:pPr>
        <w:pStyle w:val="FootnoteText"/>
      </w:pPr>
      <w:r>
        <w:rPr>
          <w:rStyle w:val="FootnoteReference"/>
        </w:rPr>
        <w:footnoteRef/>
      </w:r>
      <w:r>
        <w:t xml:space="preserve"> </w:t>
      </w:r>
      <w:r>
        <w:tab/>
      </w:r>
      <w:r w:rsidRPr="00712BC2">
        <w:t xml:space="preserve">M. Lally, </w:t>
      </w:r>
      <w:r>
        <w:rPr>
          <w:rStyle w:val="AERtextitalic"/>
        </w:rPr>
        <w:t>Gamma and the ACT Decision</w:t>
      </w:r>
      <w:r>
        <w:t>, May 2016, p. 4.</w:t>
      </w:r>
    </w:p>
  </w:footnote>
  <w:footnote w:id="239">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5.</w:t>
      </w:r>
    </w:p>
  </w:footnote>
  <w:footnote w:id="240">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20-21.</w:t>
      </w:r>
    </w:p>
  </w:footnote>
  <w:footnote w:id="241">
    <w:p w:rsidR="005E1FC3" w:rsidRPr="00395D01" w:rsidRDefault="005E1FC3" w:rsidP="001D37D5">
      <w:pPr>
        <w:pStyle w:val="FootnoteText"/>
      </w:pPr>
      <w:r>
        <w:rPr>
          <w:rStyle w:val="FootnoteReference"/>
        </w:rPr>
        <w:footnoteRef/>
      </w:r>
      <w:r>
        <w:t xml:space="preserve"> </w:t>
      </w:r>
      <w:r>
        <w:tab/>
      </w:r>
      <w:r w:rsidRPr="008F5D24">
        <w:t>Australian Competition Tribunal, Application by Public Interest Advocacy Centre Ltd and Ausgrid [2016] ACompT 1, 26 February 2016, paras. 1048, 1090 and 1095.</w:t>
      </w:r>
    </w:p>
  </w:footnote>
  <w:footnote w:id="242">
    <w:p w:rsidR="005E1FC3"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w:t>
      </w:r>
      <w:r w:rsidRPr="00395D01">
        <w:t xml:space="preserve">. </w:t>
      </w:r>
      <w:r w:rsidRPr="008F5D24">
        <w:t>1092.</w:t>
      </w:r>
    </w:p>
  </w:footnote>
  <w:footnote w:id="243">
    <w:p w:rsidR="005E1FC3" w:rsidRPr="00395D01"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w:t>
      </w:r>
      <w:r w:rsidRPr="00395D01">
        <w:t xml:space="preserve">. </w:t>
      </w:r>
      <w:r w:rsidRPr="008F5D24">
        <w:t>1092.</w:t>
      </w:r>
    </w:p>
  </w:footnote>
  <w:footnote w:id="244">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19-20.</w:t>
      </w:r>
    </w:p>
  </w:footnote>
  <w:footnote w:id="245">
    <w:p w:rsidR="005E1FC3" w:rsidRPr="00395D01"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w:t>
      </w:r>
      <w:r w:rsidRPr="00395D01">
        <w:t xml:space="preserve">. </w:t>
      </w:r>
      <w:r w:rsidRPr="008F5D24">
        <w:t>1092.</w:t>
      </w:r>
    </w:p>
  </w:footnote>
  <w:footnote w:id="246">
    <w:p w:rsidR="005E1FC3" w:rsidRPr="00395D01"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 1096</w:t>
      </w:r>
      <w:r w:rsidRPr="00E87CA4">
        <w:t>.</w:t>
      </w:r>
    </w:p>
  </w:footnote>
  <w:footnote w:id="247">
    <w:p w:rsidR="005E1FC3"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para. </w:t>
      </w:r>
      <w:r w:rsidRPr="00E87CA4">
        <w:t>1092.</w:t>
      </w:r>
    </w:p>
  </w:footnote>
  <w:footnote w:id="248">
    <w:p w:rsidR="005E1FC3" w:rsidRPr="00395D01"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 105</w:t>
      </w:r>
      <w:r w:rsidRPr="00E87CA4">
        <w:t>2.</w:t>
      </w:r>
    </w:p>
  </w:footnote>
  <w:footnote w:id="249">
    <w:p w:rsidR="005E1FC3" w:rsidRPr="00395D01"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E87CA4">
        <w:t>paras. 1101-1103.</w:t>
      </w:r>
    </w:p>
  </w:footnote>
  <w:footnote w:id="250">
    <w:p w:rsidR="005E1FC3" w:rsidRPr="00395D01"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E87CA4">
        <w:t>para. 1118.</w:t>
      </w:r>
    </w:p>
  </w:footnote>
  <w:footnote w:id="251">
    <w:p w:rsidR="005E1FC3"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w:t>
      </w:r>
      <w:r w:rsidRPr="00395D01">
        <w:t xml:space="preserve">. </w:t>
      </w:r>
      <w:r w:rsidRPr="00E87CA4">
        <w:t>1073.</w:t>
      </w:r>
    </w:p>
  </w:footnote>
  <w:footnote w:id="252">
    <w:p w:rsidR="005E1FC3" w:rsidRPr="00395D01"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paras</w:t>
      </w:r>
      <w:r w:rsidRPr="00395D01">
        <w:t xml:space="preserve">. </w:t>
      </w:r>
      <w:r w:rsidRPr="00E87CA4">
        <w:t>1074 and 1097.</w:t>
      </w:r>
    </w:p>
  </w:footnote>
  <w:footnote w:id="253">
    <w:p w:rsidR="005E1FC3" w:rsidRPr="00395D01"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para. </w:t>
      </w:r>
      <w:r w:rsidRPr="00E87CA4">
        <w:t>1098.</w:t>
      </w:r>
    </w:p>
  </w:footnote>
  <w:footnote w:id="254">
    <w:p w:rsidR="005E1FC3" w:rsidRPr="00395D01"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w:t>
      </w:r>
      <w:r w:rsidRPr="00395D01">
        <w:t xml:space="preserve">. </w:t>
      </w:r>
      <w:r w:rsidRPr="00E87CA4">
        <w:t>1098.</w:t>
      </w:r>
    </w:p>
  </w:footnote>
  <w:footnote w:id="255">
    <w:p w:rsidR="005E1FC3" w:rsidRPr="00395D01"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w:t>
      </w:r>
      <w:r w:rsidRPr="00395D01">
        <w:t xml:space="preserve">. </w:t>
      </w:r>
      <w:r w:rsidRPr="00E87CA4">
        <w:t>1098.</w:t>
      </w:r>
    </w:p>
  </w:footnote>
  <w:footnote w:id="256">
    <w:p w:rsidR="005E1FC3" w:rsidRPr="00395D01"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para. </w:t>
      </w:r>
      <w:r w:rsidRPr="00E87CA4">
        <w:t>10</w:t>
      </w:r>
      <w:r>
        <w:t>83</w:t>
      </w:r>
      <w:r w:rsidRPr="00E87CA4">
        <w:t>.</w:t>
      </w:r>
    </w:p>
  </w:footnote>
  <w:footnote w:id="257">
    <w:p w:rsidR="005E1FC3" w:rsidRPr="00395D01"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w:t>
      </w:r>
      <w:r w:rsidRPr="00395D01">
        <w:t xml:space="preserve">. </w:t>
      </w:r>
      <w:r w:rsidRPr="00E87CA4">
        <w:t>10</w:t>
      </w:r>
      <w:r>
        <w:t>84</w:t>
      </w:r>
      <w:r w:rsidRPr="00E87CA4">
        <w:t>.</w:t>
      </w:r>
    </w:p>
  </w:footnote>
  <w:footnote w:id="258">
    <w:p w:rsidR="005E1FC3" w:rsidRPr="00395D01"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para. </w:t>
      </w:r>
      <w:r w:rsidRPr="00E87CA4">
        <w:t>10</w:t>
      </w:r>
      <w:r>
        <w:t>8</w:t>
      </w:r>
      <w:r w:rsidRPr="00E87CA4">
        <w:t>8.</w:t>
      </w:r>
    </w:p>
  </w:footnote>
  <w:footnote w:id="259">
    <w:p w:rsidR="005E1FC3" w:rsidRPr="00395D01"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para. </w:t>
      </w:r>
      <w:r w:rsidRPr="00E87CA4">
        <w:t>10</w:t>
      </w:r>
      <w:r>
        <w:t>84</w:t>
      </w:r>
      <w:r w:rsidRPr="00E87CA4">
        <w:t>.</w:t>
      </w:r>
    </w:p>
  </w:footnote>
  <w:footnote w:id="260">
    <w:p w:rsidR="005E1FC3" w:rsidRDefault="005E1FC3" w:rsidP="001D37D5">
      <w:pPr>
        <w:pStyle w:val="FootnoteText"/>
      </w:pPr>
      <w:r>
        <w:rPr>
          <w:rStyle w:val="FootnoteReference"/>
        </w:rPr>
        <w:footnoteRef/>
      </w:r>
      <w:r>
        <w:t xml:space="preserve"> </w:t>
      </w:r>
      <w:r>
        <w:tab/>
      </w:r>
      <w:r w:rsidRPr="00DE341F">
        <w:t xml:space="preserve">AER, </w:t>
      </w:r>
      <w:r w:rsidRPr="00DE341F">
        <w:rPr>
          <w:rStyle w:val="AERtextitalic"/>
        </w:rPr>
        <w:t>Final decision: Electricity transmission and distribution network service providers, Review of the weighted average cost of capital (WACC) parameters</w:t>
      </w:r>
      <w:r w:rsidRPr="00DE341F">
        <w:t>, 1 May 2009</w:t>
      </w:r>
      <w:r>
        <w:t>.</w:t>
      </w:r>
    </w:p>
  </w:footnote>
  <w:footnote w:id="261">
    <w:p w:rsidR="005E1FC3"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 Energex Limited (No 2) [2010] ACompT 7</w:t>
      </w:r>
      <w:r>
        <w:t>, October 2010, paras. 149–150.</w:t>
      </w:r>
    </w:p>
  </w:footnote>
  <w:footnote w:id="262">
    <w:p w:rsidR="005E1FC3" w:rsidRDefault="005E1FC3" w:rsidP="001D37D5">
      <w:pPr>
        <w:pStyle w:val="FootnoteText"/>
      </w:pPr>
      <w:r>
        <w:rPr>
          <w:rStyle w:val="FootnoteReference"/>
        </w:rPr>
        <w:footnoteRef/>
      </w:r>
      <w:r>
        <w:t xml:space="preserve"> </w:t>
      </w:r>
      <w:r>
        <w:tab/>
        <w:t xml:space="preserve">Australian Competition Tribunal, </w:t>
      </w:r>
      <w:r w:rsidRPr="004D5073">
        <w:rPr>
          <w:rStyle w:val="AERtextitalic"/>
        </w:rPr>
        <w:t>Application by Energex Limited (Distribution Ratio (Gamma)) (No 3) [2010] ACompT 9</w:t>
      </w:r>
      <w:r>
        <w:t>, December 2010, para. 2.</w:t>
      </w:r>
    </w:p>
  </w:footnote>
  <w:footnote w:id="263">
    <w:p w:rsidR="005E1FC3" w:rsidRDefault="005E1FC3" w:rsidP="001D37D5">
      <w:pPr>
        <w:pStyle w:val="FootnoteText"/>
      </w:pPr>
      <w:r>
        <w:rPr>
          <w:rStyle w:val="FootnoteReference"/>
        </w:rPr>
        <w:footnoteRef/>
      </w:r>
      <w:r>
        <w:t xml:space="preserve"> </w:t>
      </w:r>
      <w:r>
        <w:tab/>
        <w:t xml:space="preserve">Australian Competition Tribunal, </w:t>
      </w:r>
      <w:r w:rsidRPr="001619BA">
        <w:rPr>
          <w:rStyle w:val="AERtextitalic"/>
        </w:rPr>
        <w:t>Application by Energex Limited (No 2) [2010] ACompT 7</w:t>
      </w:r>
      <w:r>
        <w:t>, October 2010, para.</w:t>
      </w:r>
      <w:r w:rsidRPr="0077656B">
        <w:t xml:space="preserve"> 91.</w:t>
      </w:r>
    </w:p>
  </w:footnote>
  <w:footnote w:id="264">
    <w:p w:rsidR="005E1FC3" w:rsidRDefault="005E1FC3" w:rsidP="001D37D5">
      <w:pPr>
        <w:pStyle w:val="FootnoteText"/>
      </w:pPr>
      <w:r>
        <w:rPr>
          <w:rStyle w:val="FootnoteReference"/>
        </w:rPr>
        <w:footnoteRef/>
      </w:r>
      <w:r>
        <w:t xml:space="preserve"> </w:t>
      </w:r>
      <w:r>
        <w:tab/>
        <w:t xml:space="preserve">Australian Competition Tribunal, </w:t>
      </w:r>
      <w:r w:rsidRPr="00F5364E">
        <w:rPr>
          <w:rStyle w:val="AERtextitalic"/>
        </w:rPr>
        <w:t>Application by Energex Limited (Gamma) (No 5) [2011] ACompT 9</w:t>
      </w:r>
      <w:r>
        <w:t>, May 2011, paras. 32–34.</w:t>
      </w:r>
    </w:p>
  </w:footnote>
  <w:footnote w:id="265">
    <w:p w:rsidR="005E1FC3" w:rsidRDefault="005E1FC3" w:rsidP="001D37D5">
      <w:pPr>
        <w:pStyle w:val="FootnoteText"/>
      </w:pPr>
      <w:r>
        <w:rPr>
          <w:rStyle w:val="FootnoteReference"/>
        </w:rPr>
        <w:footnoteRef/>
      </w:r>
      <w:r>
        <w:t xml:space="preserve"> </w:t>
      </w:r>
      <w:r>
        <w:tab/>
        <w:t xml:space="preserve">Australian Competition Tribunal, </w:t>
      </w:r>
      <w:r w:rsidRPr="00F5364E">
        <w:rPr>
          <w:rStyle w:val="AERtextitalic"/>
        </w:rPr>
        <w:t>Application by Energex Limited (Gamma) (No 5) [2011] ACompT 9</w:t>
      </w:r>
      <w:r>
        <w:t>, May 2011, paras. 40–41.</w:t>
      </w:r>
    </w:p>
  </w:footnote>
  <w:footnote w:id="266">
    <w:p w:rsidR="005E1FC3" w:rsidRDefault="005E1FC3" w:rsidP="001D37D5">
      <w:pPr>
        <w:pStyle w:val="FootnoteText"/>
      </w:pPr>
      <w:r>
        <w:rPr>
          <w:rStyle w:val="FootnoteReference"/>
        </w:rPr>
        <w:footnoteRef/>
      </w:r>
      <w:r>
        <w:t xml:space="preserve">  </w:t>
      </w:r>
      <w:r>
        <w:tab/>
        <w:t xml:space="preserve">Australian Competition Tribunal, </w:t>
      </w:r>
      <w:r w:rsidRPr="00F5364E">
        <w:rPr>
          <w:rStyle w:val="AERtextitalic"/>
        </w:rPr>
        <w:t>Application by Energex Limited (Gamma) (No 5) [2011] ACompT 9</w:t>
      </w:r>
      <w:r>
        <w:t>, May 2011, para. 45.</w:t>
      </w:r>
    </w:p>
  </w:footnote>
  <w:footnote w:id="267">
    <w:p w:rsidR="005E1FC3" w:rsidRDefault="005E1FC3" w:rsidP="001D37D5">
      <w:pPr>
        <w:pStyle w:val="FootnoteText"/>
      </w:pPr>
      <w:r>
        <w:rPr>
          <w:rStyle w:val="FootnoteReference"/>
        </w:rPr>
        <w:footnoteRef/>
      </w:r>
      <w:r>
        <w:t xml:space="preserve"> </w:t>
      </w:r>
      <w:r>
        <w:tab/>
        <w:t xml:space="preserve">For example, see: ENA, </w:t>
      </w:r>
      <w:r w:rsidRPr="0006219D">
        <w:rPr>
          <w:rStyle w:val="AERtextitalic"/>
        </w:rPr>
        <w:t xml:space="preserve">Response to the </w:t>
      </w:r>
      <w:r>
        <w:rPr>
          <w:rStyle w:val="AERtextitalic"/>
        </w:rPr>
        <w:t>D</w:t>
      </w:r>
      <w:r w:rsidRPr="0006219D">
        <w:rPr>
          <w:rStyle w:val="AERtextitalic"/>
        </w:rPr>
        <w:t xml:space="preserve">raft </w:t>
      </w:r>
      <w:r>
        <w:rPr>
          <w:rStyle w:val="AERtextitalic"/>
        </w:rPr>
        <w:t>R</w:t>
      </w:r>
      <w:r w:rsidRPr="0006219D">
        <w:rPr>
          <w:rStyle w:val="AERtextitalic"/>
        </w:rPr>
        <w:t xml:space="preserve">ate of </w:t>
      </w:r>
      <w:r>
        <w:rPr>
          <w:rStyle w:val="AERtextitalic"/>
        </w:rPr>
        <w:t>R</w:t>
      </w:r>
      <w:r w:rsidRPr="0006219D">
        <w:rPr>
          <w:rStyle w:val="AERtextitalic"/>
        </w:rPr>
        <w:t xml:space="preserve">eturn </w:t>
      </w:r>
      <w:r>
        <w:rPr>
          <w:rStyle w:val="AERtextitalic"/>
        </w:rPr>
        <w:t>G</w:t>
      </w:r>
      <w:r w:rsidRPr="0006219D">
        <w:rPr>
          <w:rStyle w:val="AERtextitalic"/>
        </w:rPr>
        <w:t>uideline of the Australian Energy Regulator</w:t>
      </w:r>
      <w:r>
        <w:t>, 11 October 2013.</w:t>
      </w:r>
    </w:p>
  </w:footnote>
  <w:footnote w:id="268">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pp. 14-16, 21; ActewAGL, </w:t>
      </w:r>
      <w:r w:rsidRPr="00AF5B33">
        <w:rPr>
          <w:rStyle w:val="AERtextitalic"/>
        </w:rPr>
        <w:t>Appendix 5.01 Detailed response to rate of return, gamma and inflation</w:t>
      </w:r>
      <w:r>
        <w:t xml:space="preserve">, January 2016, pp. 117-118; AusNet Electricity Services, </w:t>
      </w:r>
      <w:r w:rsidRPr="00AF5B33">
        <w:rPr>
          <w:rStyle w:val="AERtextitalic"/>
        </w:rPr>
        <w:t>Revised Regulatory Proposal</w:t>
      </w:r>
      <w:r>
        <w:t xml:space="preserve">, January 2016, p. 7-86; United Energy, </w:t>
      </w:r>
      <w:r w:rsidRPr="00AF5B33">
        <w:rPr>
          <w:rStyle w:val="AERtextitalic"/>
        </w:rPr>
        <w:t>Response to AER Preliminary Determination Re: Rate of return and gamma</w:t>
      </w:r>
      <w:r>
        <w:t xml:space="preserve">, January 2016, p. 87; CitiPower, </w:t>
      </w:r>
      <w:r w:rsidRPr="00AF5B33">
        <w:rPr>
          <w:rStyle w:val="AERtextitalic"/>
        </w:rPr>
        <w:t>Revised Regulatory Proposal 2016-2020</w:t>
      </w:r>
      <w:r>
        <w:t xml:space="preserve">; January 2016, pp. 365-366; Jemena Electricity Networks, </w:t>
      </w:r>
      <w:r w:rsidRPr="00AF5B33">
        <w:rPr>
          <w:rStyle w:val="AERtextitalic"/>
        </w:rPr>
        <w:t>Attachment 6-1 Rate of return, gamma, forecast inflation, and debt and equity raising costs</w:t>
      </w:r>
      <w:r>
        <w:t xml:space="preserve">, January 2016, p. 94; Powercor, </w:t>
      </w:r>
      <w:r w:rsidRPr="00AF5B33">
        <w:rPr>
          <w:rStyle w:val="AERtextitalic"/>
        </w:rPr>
        <w:t>Revised Regulatory Proposal 2016-2020</w:t>
      </w:r>
      <w:r>
        <w:t>, January 2016, pp. 359-360.</w:t>
      </w:r>
    </w:p>
  </w:footnote>
  <w:footnote w:id="269">
    <w:p w:rsidR="005E1FC3" w:rsidRDefault="005E1FC3" w:rsidP="001D37D5">
      <w:pPr>
        <w:pStyle w:val="FootnoteText"/>
      </w:pPr>
      <w:r>
        <w:rPr>
          <w:rStyle w:val="FootnoteReference"/>
        </w:rPr>
        <w:footnoteRef/>
      </w:r>
      <w:r>
        <w:t xml:space="preserve"> </w:t>
      </w:r>
      <w:r>
        <w:tab/>
        <w:t xml:space="preserve">Australian Competition Tribunal, </w:t>
      </w:r>
      <w:r w:rsidRPr="00A216BD">
        <w:rPr>
          <w:rStyle w:val="AERtextitalic"/>
        </w:rPr>
        <w:t>Application by DBNGP (WA) Transmission Pty Ltd (No 3) [2012] ACompT 14</w:t>
      </w:r>
      <w:r>
        <w:t>, July 2012.</w:t>
      </w:r>
    </w:p>
  </w:footnote>
  <w:footnote w:id="270">
    <w:p w:rsidR="005E1FC3" w:rsidRDefault="005E1FC3" w:rsidP="001D37D5">
      <w:pPr>
        <w:pStyle w:val="FootnoteText"/>
      </w:pPr>
      <w:r>
        <w:rPr>
          <w:rStyle w:val="FootnoteReference"/>
        </w:rPr>
        <w:footnoteRef/>
      </w:r>
      <w:r>
        <w:t xml:space="preserve"> </w:t>
      </w:r>
      <w:r>
        <w:tab/>
        <w:t xml:space="preserve">Australian Competition Tribunal, </w:t>
      </w:r>
      <w:r w:rsidRPr="003D0DF0">
        <w:rPr>
          <w:rStyle w:val="AERtextitalic"/>
        </w:rPr>
        <w:t>Application by WA Gas Networks Pty Ltd (No 3) [2012] ACompT 12</w:t>
      </w:r>
      <w:r>
        <w:t>, June 2012, paras. 119 and 125.</w:t>
      </w:r>
    </w:p>
  </w:footnote>
  <w:footnote w:id="271">
    <w:p w:rsidR="005E1FC3" w:rsidRDefault="005E1FC3" w:rsidP="001D37D5">
      <w:pPr>
        <w:pStyle w:val="FootnoteText"/>
      </w:pPr>
      <w:r>
        <w:rPr>
          <w:rStyle w:val="FootnoteReference"/>
        </w:rPr>
        <w:footnoteRef/>
      </w:r>
      <w:r>
        <w:t xml:space="preserve"> </w:t>
      </w:r>
      <w:r>
        <w:tab/>
        <w:t xml:space="preserve">ActewAGL, </w:t>
      </w:r>
      <w:r w:rsidRPr="009E4F6C">
        <w:rPr>
          <w:rStyle w:val="AERtextitalic"/>
        </w:rPr>
        <w:t>Revised Regulatory Proposal 2015-19</w:t>
      </w:r>
      <w:r>
        <w:t xml:space="preserve">, January 2015, pp. 485–486; Ausgrid, </w:t>
      </w:r>
      <w:r w:rsidRPr="00D75F7A">
        <w:rPr>
          <w:rStyle w:val="AERtextitalic"/>
        </w:rPr>
        <w:t>Ausgrid's revised proposal on gamma</w:t>
      </w:r>
      <w:r>
        <w:t xml:space="preserve">, January 2015, p. 1; Directlink, </w:t>
      </w:r>
      <w:r w:rsidRPr="0000771B">
        <w:rPr>
          <w:rStyle w:val="AERtextitalic"/>
        </w:rPr>
        <w:t>Directlink submission on gamma (updated)</w:t>
      </w:r>
      <w:r>
        <w:t xml:space="preserve">, January 2015, pp. 1–2; Endeavour Energy, </w:t>
      </w:r>
      <w:r w:rsidRPr="00DF3162">
        <w:rPr>
          <w:rStyle w:val="AERtextitalic"/>
        </w:rPr>
        <w:t>Endeavour Energy's response to the AER draft decision re gamma</w:t>
      </w:r>
      <w:r>
        <w:t xml:space="preserve">, January 2015, p. 1; Essential Energy, </w:t>
      </w:r>
      <w:r w:rsidRPr="000E181F">
        <w:rPr>
          <w:rStyle w:val="AERtextitalic"/>
        </w:rPr>
        <w:t>Essential's response to AER draft decision re gamma</w:t>
      </w:r>
      <w:r>
        <w:t xml:space="preserve">, January 2015, p. 1; and JGN, </w:t>
      </w:r>
      <w:r w:rsidRPr="000E181F">
        <w:rPr>
          <w:rStyle w:val="AERtextitalic"/>
        </w:rPr>
        <w:t>Gamma - response to the draft decision</w:t>
      </w:r>
      <w:r>
        <w:t>, February 2015, p. 1.</w:t>
      </w:r>
    </w:p>
  </w:footnote>
  <w:footnote w:id="272">
    <w:p w:rsidR="005E1FC3" w:rsidRDefault="005E1FC3" w:rsidP="001D37D5">
      <w:pPr>
        <w:pStyle w:val="FootnoteText"/>
      </w:pPr>
      <w:r>
        <w:rPr>
          <w:rStyle w:val="FootnoteReference"/>
        </w:rPr>
        <w:footnoteRef/>
      </w:r>
      <w:r>
        <w:t xml:space="preserve"> </w:t>
      </w:r>
      <w:r>
        <w:tab/>
        <w:t>We note that these issues have been raised by other service providers. However SA Power Networks, Ergon Energy and Energex have clarified that they consider these to be the key issues in dispute with the AER. We also note Gray did not explicitly identify these as the key issues in dispute, although they featured prominently in his report.</w:t>
      </w:r>
    </w:p>
  </w:footnote>
  <w:footnote w:id="273">
    <w:p w:rsidR="005E1FC3" w:rsidRDefault="005E1FC3" w:rsidP="001D37D5">
      <w:pPr>
        <w:pStyle w:val="FootnoteText"/>
      </w:pPr>
      <w:r>
        <w:rPr>
          <w:rStyle w:val="FootnoteReference"/>
        </w:rPr>
        <w:footnoteRef/>
      </w:r>
      <w:r>
        <w:t xml:space="preserve"> </w:t>
      </w:r>
      <w:r>
        <w:tab/>
        <w:t xml:space="preserve">SA Power Networks, </w:t>
      </w:r>
      <w:r>
        <w:rPr>
          <w:rStyle w:val="AERtextitalic"/>
        </w:rPr>
        <w:t>Revised regulatory proposal 2015-20</w:t>
      </w:r>
      <w:r>
        <w:t>, July 2015, pp. 370–371; Ergon, Submission on value of imputation credits (gamma), July 2015, p. 7; Frontier Economics, An appropriate regulatory estimate of gamma, p. 8, June 2015; Australian Gas Networks, Attachment 11.2 Value of Imputation Credits, p. 3, July 2015:  ActewAGL Distribution, Attachment 8 Detailed gamma proposal, pp. 2-3.</w:t>
      </w:r>
    </w:p>
  </w:footnote>
  <w:footnote w:id="274">
    <w:p w:rsidR="005E1FC3" w:rsidRDefault="005E1FC3" w:rsidP="001D37D5">
      <w:pPr>
        <w:pStyle w:val="FootnoteText"/>
      </w:pPr>
      <w:r>
        <w:rPr>
          <w:rStyle w:val="FootnoteReference"/>
        </w:rPr>
        <w:footnoteRef/>
      </w:r>
      <w:r>
        <w:t xml:space="preserve"> </w:t>
      </w:r>
      <w:r>
        <w:tab/>
        <w:t xml:space="preserve">SA Power Networks, </w:t>
      </w:r>
      <w:r>
        <w:rPr>
          <w:rStyle w:val="AERtextitalic"/>
        </w:rPr>
        <w:t>Revised regulatory proposal 2015-20</w:t>
      </w:r>
      <w:r>
        <w:t xml:space="preserve">, July 2015, pp. 370–371; Ergon, Submission on value of imputation credits (gamma), July 2015, p. 7; Frontier Economics, </w:t>
      </w:r>
      <w:r w:rsidRPr="00596AF9">
        <w:rPr>
          <w:i/>
        </w:rPr>
        <w:t>An appropriate regulatory estimate of gamma, pp. 2</w:t>
      </w:r>
      <w:r>
        <w:rPr>
          <w:i/>
        </w:rPr>
        <w:t>6–</w:t>
      </w:r>
      <w:r w:rsidRPr="00596AF9">
        <w:rPr>
          <w:i/>
        </w:rPr>
        <w:t>30, June 2015; Australian Gas Networks, Attachment 11.2 Value of Imputation Credits</w:t>
      </w:r>
      <w:r>
        <w:t>, July 2015, p. 3.</w:t>
      </w:r>
    </w:p>
  </w:footnote>
  <w:footnote w:id="275">
    <w:p w:rsidR="005E1FC3" w:rsidRDefault="005E1FC3" w:rsidP="001D37D5">
      <w:pPr>
        <w:pStyle w:val="FootnoteText"/>
      </w:pPr>
      <w:r>
        <w:rPr>
          <w:rStyle w:val="FootnoteReference"/>
        </w:rPr>
        <w:footnoteRef/>
      </w:r>
      <w:r>
        <w:t xml:space="preserve"> </w:t>
      </w:r>
      <w:r>
        <w:tab/>
        <w:t>We note we have used an estimate of the distribution rate of 0.77 in this decision. This was updated to 0.77 in our JGN decision released in June 2015 from 0.8 used in our final decisions released in April 2015.</w:t>
      </w:r>
    </w:p>
  </w:footnote>
  <w:footnote w:id="276">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5–6, 25–26, 28–29</w:t>
      </w:r>
    </w:p>
  </w:footnote>
  <w:footnote w:id="277">
    <w:p w:rsidR="005E1FC3" w:rsidRDefault="005E1FC3" w:rsidP="001D37D5">
      <w:pPr>
        <w:pStyle w:val="FootnoteText"/>
      </w:pPr>
      <w:r>
        <w:rPr>
          <w:rStyle w:val="FootnoteReference"/>
        </w:rPr>
        <w:footnoteRef/>
      </w:r>
      <w:r>
        <w:t xml:space="preserve"> </w:t>
      </w:r>
      <w:r>
        <w:tab/>
        <w:t xml:space="preserve">AusNet Services, </w:t>
      </w:r>
      <w:r w:rsidRPr="00596AF9">
        <w:rPr>
          <w:i/>
        </w:rPr>
        <w:t>2016-20 Regulatory Proposal</w:t>
      </w:r>
      <w:r>
        <w:t xml:space="preserve">, April 2015, p. 354; United Energy, </w:t>
      </w:r>
      <w:r w:rsidRPr="00596AF9">
        <w:rPr>
          <w:i/>
        </w:rPr>
        <w:t>Assessment of the Value of Imputation Credits - Gamma, Proposal for 2016 to 2020</w:t>
      </w:r>
      <w:r>
        <w:t xml:space="preserve">, April 2015, p. 2; CitiPower, </w:t>
      </w:r>
      <w:r w:rsidRPr="00596AF9">
        <w:rPr>
          <w:i/>
        </w:rPr>
        <w:t>Appendix J - Gamma</w:t>
      </w:r>
      <w:r>
        <w:t xml:space="preserve">, April 2015, p. 4; Powercor, </w:t>
      </w:r>
      <w:r w:rsidRPr="00596AF9">
        <w:rPr>
          <w:i/>
        </w:rPr>
        <w:t>Appendix J - Gamma</w:t>
      </w:r>
      <w:r>
        <w:t xml:space="preserve">, April 2015, p. 4; Jemena Electricity, </w:t>
      </w:r>
      <w:r w:rsidRPr="00596AF9">
        <w:rPr>
          <w:i/>
        </w:rPr>
        <w:t>Attachment 06-06 Gamma proposal</w:t>
      </w:r>
      <w:r>
        <w:t xml:space="preserve">, April 2015, p. 5; SA Power Networks, </w:t>
      </w:r>
      <w:r>
        <w:rPr>
          <w:rStyle w:val="AERtextitalic"/>
        </w:rPr>
        <w:t>Revised regulatory proposal 2015-20</w:t>
      </w:r>
      <w:r>
        <w:t xml:space="preserve">, July 2015, pp. 370–371 ; Ergon, </w:t>
      </w:r>
      <w:r w:rsidRPr="00596AF9">
        <w:rPr>
          <w:i/>
        </w:rPr>
        <w:t>Submission on value of imputation credits (gamma),</w:t>
      </w:r>
      <w:r>
        <w:t xml:space="preserve"> July 2015, p. 7; ActewAGL Distribution, </w:t>
      </w:r>
      <w:r w:rsidRPr="00596AF9">
        <w:rPr>
          <w:i/>
        </w:rPr>
        <w:t>Attachment 8 Detailed gamma proposal</w:t>
      </w:r>
      <w:r>
        <w:t xml:space="preserve">, p. 2; Australian Gas Networks, </w:t>
      </w:r>
      <w:r w:rsidRPr="00596AF9">
        <w:rPr>
          <w:i/>
        </w:rPr>
        <w:t>Attachment 11.2 Value of Imputation Credits</w:t>
      </w:r>
      <w:r>
        <w:t xml:space="preserve">, pp. 9–10, July 2015; Amadeus Gas Pipeline, </w:t>
      </w:r>
      <w:r w:rsidRPr="00596AF9">
        <w:rPr>
          <w:i/>
        </w:rPr>
        <w:t>Access Arrangement revision submission</w:t>
      </w:r>
      <w:r>
        <w:t>, August 2015, p. 151.</w:t>
      </w:r>
    </w:p>
  </w:footnote>
  <w:footnote w:id="278">
    <w:p w:rsidR="005E1FC3" w:rsidRDefault="005E1FC3" w:rsidP="001D37D5">
      <w:pPr>
        <w:pStyle w:val="FootnoteText"/>
      </w:pPr>
      <w:r>
        <w:rPr>
          <w:rStyle w:val="FootnoteReference"/>
        </w:rPr>
        <w:footnoteRef/>
      </w:r>
      <w:r>
        <w:t xml:space="preserve"> </w:t>
      </w:r>
      <w:r>
        <w:tab/>
        <w:t xml:space="preserve">AusNet Services, </w:t>
      </w:r>
      <w:r w:rsidRPr="00596AF9">
        <w:rPr>
          <w:i/>
        </w:rPr>
        <w:t>2016-20 Regulatory Proposal</w:t>
      </w:r>
      <w:r>
        <w:t xml:space="preserve">, April 2015, p. 367; United Energy, </w:t>
      </w:r>
      <w:r w:rsidRPr="00596AF9">
        <w:rPr>
          <w:i/>
        </w:rPr>
        <w:t>Assessment of the Value of Imputation Credits - Gamma, Proposal for 2016 to 2020</w:t>
      </w:r>
      <w:r>
        <w:t xml:space="preserve">, April 2015, p. 18; CitiPower, </w:t>
      </w:r>
      <w:r w:rsidRPr="00596AF9">
        <w:rPr>
          <w:i/>
        </w:rPr>
        <w:t>Appendix J - Gamma</w:t>
      </w:r>
      <w:r>
        <w:t xml:space="preserve">, April 2015, p. 16; Powercor, </w:t>
      </w:r>
      <w:r w:rsidRPr="00596AF9">
        <w:rPr>
          <w:i/>
        </w:rPr>
        <w:t>Appendix J - Gamma</w:t>
      </w:r>
      <w:r>
        <w:t xml:space="preserve">, April 2015, p. 16; Jemena Electricity, </w:t>
      </w:r>
      <w:r w:rsidRPr="00596AF9">
        <w:rPr>
          <w:i/>
        </w:rPr>
        <w:t>Attachment 06-06 Gamma proposal</w:t>
      </w:r>
      <w:r>
        <w:t xml:space="preserve">, April 2015, p.  </w:t>
      </w:r>
      <w:r w:rsidRPr="00EF0AE9">
        <w:t>7;</w:t>
      </w:r>
      <w:r>
        <w:t xml:space="preserve"> SA Power Networks, </w:t>
      </w:r>
      <w:r>
        <w:rPr>
          <w:rStyle w:val="AERtextitalic"/>
        </w:rPr>
        <w:t>Revised regulatory proposal 2015-20</w:t>
      </w:r>
      <w:r>
        <w:t xml:space="preserve">, July 2015, pp. 370-371; Ergon, </w:t>
      </w:r>
      <w:r w:rsidRPr="00596AF9">
        <w:rPr>
          <w:i/>
        </w:rPr>
        <w:t>Submission on value of imputation credits (gamma)</w:t>
      </w:r>
      <w:r>
        <w:t xml:space="preserve">, July 2015, p. 8; ActewAGL Distribution, </w:t>
      </w:r>
      <w:r w:rsidRPr="00596AF9">
        <w:rPr>
          <w:i/>
        </w:rPr>
        <w:t>Attachment 8 Detailed gamma proposal</w:t>
      </w:r>
      <w:r>
        <w:t xml:space="preserve">, p. 15; Australian Gas Networks, </w:t>
      </w:r>
      <w:r w:rsidRPr="00596AF9">
        <w:rPr>
          <w:i/>
        </w:rPr>
        <w:t>Attachment 11.2 Value of Imputation Credits</w:t>
      </w:r>
      <w:r>
        <w:t>, p. 3, July 2015.</w:t>
      </w:r>
    </w:p>
  </w:footnote>
  <w:footnote w:id="279">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4; ActewAGL, </w:t>
      </w:r>
      <w:r w:rsidRPr="00AF5B33">
        <w:rPr>
          <w:rStyle w:val="AERtextitalic"/>
        </w:rPr>
        <w:t>Appendix 5.01 Detailed response to rate of return, gamma and inflation</w:t>
      </w:r>
      <w:r>
        <w:t xml:space="preserve">, January 2016, p. 40; AusNet Electricity Services, </w:t>
      </w:r>
      <w:r w:rsidRPr="00AF5B33">
        <w:rPr>
          <w:rStyle w:val="AERtextitalic"/>
        </w:rPr>
        <w:t>Revised Regulatory Proposal</w:t>
      </w:r>
      <w:r>
        <w:t xml:space="preserve">, January 2016, p. 7-96; United Energy, </w:t>
      </w:r>
      <w:r w:rsidRPr="00AF5B33">
        <w:rPr>
          <w:rStyle w:val="AERtextitalic"/>
        </w:rPr>
        <w:t>Response to AER Preliminary Determination Re: Rate of return and gamma</w:t>
      </w:r>
      <w:r>
        <w:t xml:space="preserve">, January 2016, p. 97; CitiPower, </w:t>
      </w:r>
      <w:r w:rsidRPr="00AF5B33">
        <w:rPr>
          <w:rStyle w:val="AERtextitalic"/>
        </w:rPr>
        <w:t>Revised Regulatory Proposal 2016-2020</w:t>
      </w:r>
      <w:r>
        <w:t xml:space="preserve">; January 2016, p. 375; Jemena Electricity Networks, </w:t>
      </w:r>
      <w:r w:rsidRPr="00AF5B33">
        <w:rPr>
          <w:rStyle w:val="AERtextitalic"/>
        </w:rPr>
        <w:t>Attachment 6-1 Rate of return, gamma, forecast inflation, and debt and equity raising costs</w:t>
      </w:r>
      <w:r>
        <w:t xml:space="preserve">, January 2016, pp. 104-105; Powercor, </w:t>
      </w:r>
      <w:r w:rsidRPr="00AF5B33">
        <w:rPr>
          <w:rStyle w:val="AERtextitalic"/>
        </w:rPr>
        <w:t>Revised Regulatory Proposal 2016-2020</w:t>
      </w:r>
      <w:r>
        <w:t>, January 2016, p. 369.</w:t>
      </w:r>
    </w:p>
  </w:footnote>
  <w:footnote w:id="280">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2; ActewAGL, </w:t>
      </w:r>
      <w:r w:rsidRPr="00AF5B33">
        <w:rPr>
          <w:rStyle w:val="AERtextitalic"/>
        </w:rPr>
        <w:t>Appendix 5.01 Detailed response to rate of return, gamma and inflation</w:t>
      </w:r>
      <w:r>
        <w:t xml:space="preserve">, January 2016, pp. 40; AusNet Electricity Services, </w:t>
      </w:r>
      <w:r w:rsidRPr="00AF5B33">
        <w:rPr>
          <w:rStyle w:val="AERtextitalic"/>
        </w:rPr>
        <w:t>Revised Regulatory Proposal</w:t>
      </w:r>
      <w:r>
        <w:t xml:space="preserve">, January 2016, p. 7-79; United Energy, </w:t>
      </w:r>
      <w:r w:rsidRPr="00AF5B33">
        <w:rPr>
          <w:rStyle w:val="AERtextitalic"/>
        </w:rPr>
        <w:t>Response to AER Preliminary Determination Re: Rate of return and gamma</w:t>
      </w:r>
      <w:r>
        <w:t xml:space="preserve">, January 2016, p. 80; CitiPower, </w:t>
      </w:r>
      <w:r w:rsidRPr="00AF5B33">
        <w:rPr>
          <w:rStyle w:val="AERtextitalic"/>
        </w:rPr>
        <w:t>Revised Regulatory Proposal 2016-2020</w:t>
      </w:r>
      <w:r>
        <w:t xml:space="preserve">; January 2016, p. 358; Jemena Electricity Networks, </w:t>
      </w:r>
      <w:r w:rsidRPr="00AF5B33">
        <w:rPr>
          <w:rStyle w:val="AERtextitalic"/>
        </w:rPr>
        <w:t>Attachment 6-1 Rate of return, gamma, forecast inflation, and debt and equity raising costs</w:t>
      </w:r>
      <w:r>
        <w:t xml:space="preserve">, January 2016, p. 86; Powercor, </w:t>
      </w:r>
      <w:r w:rsidRPr="00AF5B33">
        <w:rPr>
          <w:rStyle w:val="AERtextitalic"/>
        </w:rPr>
        <w:t>Revised Regulatory Proposal 2016-2020</w:t>
      </w:r>
      <w:r>
        <w:t>, January 2016, p. 352.</w:t>
      </w:r>
    </w:p>
  </w:footnote>
  <w:footnote w:id="281">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4; ActewAGL, </w:t>
      </w:r>
      <w:r w:rsidRPr="00AF5B33">
        <w:rPr>
          <w:rStyle w:val="AERtextitalic"/>
        </w:rPr>
        <w:t>Appendix 5.01 Detailed response to rate of return, gamma and inflation</w:t>
      </w:r>
      <w:r>
        <w:t xml:space="preserve">, January 2016, pp. 41, 125; AusNet Electricity Services, </w:t>
      </w:r>
      <w:r w:rsidRPr="00AF5B33">
        <w:rPr>
          <w:rStyle w:val="AERtextitalic"/>
        </w:rPr>
        <w:t>Revised Regulatory Proposal</w:t>
      </w:r>
      <w:r>
        <w:t xml:space="preserve">, January 2016, pp. 7-84, 7-83; United Energy, </w:t>
      </w:r>
      <w:r w:rsidRPr="00AF5B33">
        <w:rPr>
          <w:rStyle w:val="AERtextitalic"/>
        </w:rPr>
        <w:t>Response to AER Preliminary Determination Re: Rate of return and gamma</w:t>
      </w:r>
      <w:r>
        <w:t xml:space="preserve">, January 2016, pp. 85, 86; CitiPower, </w:t>
      </w:r>
      <w:r w:rsidRPr="00AF5B33">
        <w:rPr>
          <w:rStyle w:val="AERtextitalic"/>
        </w:rPr>
        <w:t>Revised Regulatory Proposal 2016-2020</w:t>
      </w:r>
      <w:r>
        <w:t xml:space="preserve">; January 2016, pp. 362, 364; Jemena Electricity Networks, </w:t>
      </w:r>
      <w:r w:rsidRPr="00AF5B33">
        <w:rPr>
          <w:rStyle w:val="AERtextitalic"/>
        </w:rPr>
        <w:t>Attachment 6-1 Rate of return, gamma, forecast inflation, and debt and equity raising costs</w:t>
      </w:r>
      <w:r>
        <w:t xml:space="preserve">, January 2016, pp. 91, 92; Powercor, </w:t>
      </w:r>
      <w:r w:rsidRPr="00AF5B33">
        <w:rPr>
          <w:rStyle w:val="AERtextitalic"/>
        </w:rPr>
        <w:t>Revised Regulatory Proposal 2016-2020</w:t>
      </w:r>
      <w:r>
        <w:t>, January 2016, pp. 356, 358.</w:t>
      </w:r>
    </w:p>
  </w:footnote>
  <w:footnote w:id="282">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4; ActewAGL, </w:t>
      </w:r>
      <w:r w:rsidRPr="00AF5B33">
        <w:rPr>
          <w:rStyle w:val="AERtextitalic"/>
        </w:rPr>
        <w:t>Appendix 5.01 Detailed response to rate of return, gamma and inflation</w:t>
      </w:r>
      <w:r>
        <w:t>, January 2016, p. 41.</w:t>
      </w:r>
    </w:p>
  </w:footnote>
  <w:footnote w:id="283">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4; ActewAGL, </w:t>
      </w:r>
      <w:r w:rsidRPr="00AF5B33">
        <w:rPr>
          <w:rStyle w:val="AERtextitalic"/>
        </w:rPr>
        <w:t>Appendix 5.01 Detailed response to rate of return, gamma and inflation</w:t>
      </w:r>
      <w:r>
        <w:t xml:space="preserve">, January 2016, pp. 41, 111, 128; AusNet Electricity Services, </w:t>
      </w:r>
      <w:r w:rsidRPr="00AF5B33">
        <w:rPr>
          <w:rStyle w:val="AERtextitalic"/>
        </w:rPr>
        <w:t>Revised Regulatory Proposal</w:t>
      </w:r>
      <w:r>
        <w:t xml:space="preserve">, January 2016, pp. 7-81, 7-95; United Energy, </w:t>
      </w:r>
      <w:r w:rsidRPr="00AF5B33">
        <w:rPr>
          <w:rStyle w:val="AERtextitalic"/>
        </w:rPr>
        <w:t>Response to AER Preliminary Determination Re: Rate of return and gamma</w:t>
      </w:r>
      <w:r>
        <w:t xml:space="preserve">, January 2016, pp. 82, 96; CitiPower, </w:t>
      </w:r>
      <w:r w:rsidRPr="00AF5B33">
        <w:rPr>
          <w:rStyle w:val="AERtextitalic"/>
        </w:rPr>
        <w:t>Revised Regulatory Proposal 2016-2020</w:t>
      </w:r>
      <w:r>
        <w:t xml:space="preserve">; January 2016, pp. 360, 374; Jemena Electricity Networks, </w:t>
      </w:r>
      <w:r w:rsidRPr="00AF5B33">
        <w:rPr>
          <w:rStyle w:val="AERtextitalic"/>
        </w:rPr>
        <w:t>Attachment 6-1 Rate of return, gamma, forecast inflation, and debt and equity raising costs</w:t>
      </w:r>
      <w:r>
        <w:t xml:space="preserve">, January 2016, pp. 88, 103; Powercor, </w:t>
      </w:r>
      <w:r w:rsidRPr="00AF5B33">
        <w:rPr>
          <w:rStyle w:val="AERtextitalic"/>
        </w:rPr>
        <w:t>Revised Regulatory Proposal 2016-2020</w:t>
      </w:r>
      <w:r>
        <w:t>, January 2016, pp. 354, 368.</w:t>
      </w:r>
    </w:p>
  </w:footnote>
  <w:footnote w:id="284">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4; ActewAGL, </w:t>
      </w:r>
      <w:r w:rsidRPr="00AF5B33">
        <w:rPr>
          <w:rStyle w:val="AERtextitalic"/>
        </w:rPr>
        <w:t>Appendix 5.01 Detailed response to rate of return, gamma and inflation</w:t>
      </w:r>
      <w:r>
        <w:t xml:space="preserve">, January 2016, pp. 41, 127; AusNet Electricity Services, </w:t>
      </w:r>
      <w:r w:rsidRPr="00AF5B33">
        <w:rPr>
          <w:rStyle w:val="AERtextitalic"/>
        </w:rPr>
        <w:t>Revised Regulatory Proposal</w:t>
      </w:r>
      <w:r>
        <w:t xml:space="preserve">, January 2016, p. 7-94; United Energy, </w:t>
      </w:r>
      <w:r w:rsidRPr="00AF5B33">
        <w:rPr>
          <w:rStyle w:val="AERtextitalic"/>
        </w:rPr>
        <w:t>Response to AER Preliminary Determination Re: Rate of return and gamma</w:t>
      </w:r>
      <w:r>
        <w:t xml:space="preserve">, January 2016, p. 95; CitiPower, </w:t>
      </w:r>
      <w:r w:rsidRPr="00AF5B33">
        <w:rPr>
          <w:rStyle w:val="AERtextitalic"/>
        </w:rPr>
        <w:t>Revised Regulatory Proposal 2016-2020</w:t>
      </w:r>
      <w:r>
        <w:t xml:space="preserve">; January 2016, p. 374; Jemena Electricity Networks, </w:t>
      </w:r>
      <w:r w:rsidRPr="00AF5B33">
        <w:rPr>
          <w:rStyle w:val="AERtextitalic"/>
        </w:rPr>
        <w:t>Attachment 6-1 Rate of return, gamma, forecast inflation, and debt and equity raising costs</w:t>
      </w:r>
      <w:r>
        <w:t xml:space="preserve">, January 2016, p. 103; Powercor, </w:t>
      </w:r>
      <w:r w:rsidRPr="00AF5B33">
        <w:rPr>
          <w:rStyle w:val="AERtextitalic"/>
        </w:rPr>
        <w:t>Revised Regulatory Proposal 2016-2020</w:t>
      </w:r>
      <w:r>
        <w:t>, January 2016, p. 368.</w:t>
      </w:r>
    </w:p>
  </w:footnote>
  <w:footnote w:id="285">
    <w:p w:rsidR="005E1FC3" w:rsidRDefault="005E1FC3" w:rsidP="001D37D5">
      <w:pPr>
        <w:pStyle w:val="FootnoteText"/>
      </w:pPr>
      <w:r>
        <w:rPr>
          <w:rStyle w:val="FootnoteReference"/>
        </w:rPr>
        <w:footnoteRef/>
      </w:r>
      <w:r>
        <w:t xml:space="preserve"> </w:t>
      </w:r>
      <w:r>
        <w:tab/>
      </w:r>
      <w:r w:rsidRPr="00FF5DB5">
        <w:t>NER, cl</w:t>
      </w:r>
      <w:r>
        <w:t xml:space="preserve">l. 6.4.3, </w:t>
      </w:r>
      <w:r w:rsidRPr="00FF5DB5">
        <w:t>6A.5.4; NGR, r. 76.</w:t>
      </w:r>
    </w:p>
  </w:footnote>
  <w:footnote w:id="286">
    <w:p w:rsidR="005E1FC3" w:rsidRDefault="005E1FC3" w:rsidP="001D37D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pp. 4–5 and footnote 2.</w:t>
      </w:r>
    </w:p>
  </w:footnote>
  <w:footnote w:id="287">
    <w:p w:rsidR="005E1FC3" w:rsidRDefault="005E1FC3" w:rsidP="001D37D5">
      <w:pPr>
        <w:pStyle w:val="FootnoteText"/>
      </w:pPr>
      <w:r>
        <w:rPr>
          <w:rStyle w:val="FootnoteReference"/>
        </w:rPr>
        <w:footnoteRef/>
      </w:r>
      <w:r>
        <w:t xml:space="preserve"> </w:t>
      </w:r>
      <w:r>
        <w:tab/>
        <w:t xml:space="preserve">We note that if there was a post-tax market for imputation credits they should trade for approximately their face value as this is the amount of post-tax cash flow from the government they entitle the claimant to receive from the government. </w:t>
      </w:r>
    </w:p>
  </w:footnote>
  <w:footnote w:id="288">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11-12.</w:t>
      </w:r>
    </w:p>
  </w:footnote>
  <w:footnote w:id="289">
    <w:p w:rsidR="005E1FC3" w:rsidRDefault="005E1FC3" w:rsidP="001D37D5">
      <w:pPr>
        <w:pStyle w:val="FootnoteText"/>
      </w:pPr>
      <w:r>
        <w:rPr>
          <w:rStyle w:val="FootnoteReference"/>
        </w:rPr>
        <w:footnoteRef/>
      </w:r>
      <w:r>
        <w:t xml:space="preserve"> </w:t>
      </w:r>
      <w:r>
        <w:tab/>
      </w:r>
      <w:r w:rsidRPr="00800E44">
        <w:t xml:space="preserve">R. Officer, 'The cost of capital of a company under an imputation system', </w:t>
      </w:r>
      <w:r>
        <w:rPr>
          <w:rStyle w:val="AERtextitalic"/>
        </w:rPr>
        <w:t>Accounting and f</w:t>
      </w:r>
      <w:r w:rsidRPr="00800E44">
        <w:rPr>
          <w:rStyle w:val="AERtextitalic"/>
        </w:rPr>
        <w:t>inance</w:t>
      </w:r>
      <w:r w:rsidRPr="00800E44">
        <w:t>, vol. 34(1), May 1994,</w:t>
      </w:r>
      <w:r>
        <w:t xml:space="preserve"> p</w:t>
      </w:r>
      <w:r w:rsidRPr="00800E44">
        <w:t>.</w:t>
      </w:r>
      <w:r>
        <w:t xml:space="preserve"> 7.</w:t>
      </w:r>
    </w:p>
  </w:footnote>
  <w:footnote w:id="290">
    <w:p w:rsidR="005E1FC3" w:rsidRDefault="005E1FC3" w:rsidP="001D37D5">
      <w:pPr>
        <w:pStyle w:val="FootnoteText"/>
      </w:pPr>
      <w:r>
        <w:rPr>
          <w:rStyle w:val="FootnoteReference"/>
        </w:rPr>
        <w:footnoteRef/>
      </w:r>
      <w:r>
        <w:t xml:space="preserve"> </w:t>
      </w:r>
      <w:r>
        <w:tab/>
      </w:r>
      <w:r w:rsidRPr="00800E44">
        <w:t xml:space="preserve">R. Officer, 'The cost of capital of a company under an imputation system', </w:t>
      </w:r>
      <w:r>
        <w:rPr>
          <w:rStyle w:val="AERtextitalic"/>
        </w:rPr>
        <w:t>Accounting and f</w:t>
      </w:r>
      <w:r w:rsidRPr="00800E44">
        <w:rPr>
          <w:rStyle w:val="AERtextitalic"/>
        </w:rPr>
        <w:t>inance</w:t>
      </w:r>
      <w:r w:rsidRPr="00800E44">
        <w:t>, vol. 34(1), May 1994,</w:t>
      </w:r>
      <w:r>
        <w:t xml:space="preserve"> p</w:t>
      </w:r>
      <w:r w:rsidRPr="00800E44">
        <w:t>.</w:t>
      </w:r>
      <w:r>
        <w:t xml:space="preserve"> 6.</w:t>
      </w:r>
    </w:p>
  </w:footnote>
  <w:footnote w:id="291">
    <w:p w:rsidR="005E1FC3" w:rsidRDefault="005E1FC3" w:rsidP="001D37D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xml:space="preserve">, pp. 4–5 and footnote 2; </w:t>
      </w:r>
      <w:r w:rsidRPr="00DA582A">
        <w:t xml:space="preserve"> </w:t>
      </w:r>
      <w:r w:rsidRPr="00712BC2">
        <w:t xml:space="preserve">M. Lally, </w:t>
      </w:r>
      <w:r>
        <w:rPr>
          <w:rStyle w:val="AERtextitalic"/>
        </w:rPr>
        <w:t>Gamma and the ACT Decision</w:t>
      </w:r>
      <w:r>
        <w:t>, May 2016, pp. 7, 11, 12.</w:t>
      </w:r>
    </w:p>
  </w:footnote>
  <w:footnote w:id="292">
    <w:p w:rsidR="005E1FC3" w:rsidRDefault="005E1FC3" w:rsidP="001D37D5">
      <w:pPr>
        <w:pStyle w:val="FootnoteText"/>
      </w:pPr>
      <w:r>
        <w:rPr>
          <w:rStyle w:val="FootnoteReference"/>
        </w:rPr>
        <w:footnoteRef/>
      </w:r>
      <w:r>
        <w:t xml:space="preserve"> </w:t>
      </w:r>
      <w:r>
        <w:tab/>
        <w:t>NER, cll. 6.5.2, 6A.6.2;</w:t>
      </w:r>
      <w:r w:rsidRPr="0042735A">
        <w:t xml:space="preserve"> </w:t>
      </w:r>
      <w:r>
        <w:t>NGR, r. 87.</w:t>
      </w:r>
    </w:p>
  </w:footnote>
  <w:footnote w:id="293">
    <w:p w:rsidR="005E1FC3" w:rsidRDefault="005E1FC3" w:rsidP="001D37D5">
      <w:pPr>
        <w:pStyle w:val="FootnoteText"/>
      </w:pPr>
      <w:r>
        <w:rPr>
          <w:rStyle w:val="FootnoteReference"/>
        </w:rPr>
        <w:footnoteRef/>
      </w:r>
      <w:r>
        <w:t xml:space="preserve"> </w:t>
      </w:r>
      <w:r>
        <w:tab/>
        <w:t>Although we consider that it is implied that the 'value of imputation credits' refers to the value of imputation credits to investors in the benchmark efficient entity, we note that the NER/NGR are not explicit on this point.</w:t>
      </w:r>
    </w:p>
  </w:footnote>
  <w:footnote w:id="294">
    <w:p w:rsidR="005E1FC3" w:rsidRDefault="005E1FC3" w:rsidP="001D37D5">
      <w:pPr>
        <w:pStyle w:val="FootnoteText"/>
      </w:pPr>
      <w:r>
        <w:rPr>
          <w:rStyle w:val="FootnoteReference"/>
        </w:rPr>
        <w:footnoteRef/>
      </w:r>
      <w:r>
        <w:t xml:space="preserve"> </w:t>
      </w:r>
      <w:r>
        <w:tab/>
      </w:r>
      <w:r w:rsidRPr="00800E44">
        <w:t xml:space="preserve">R. Officer, 'The cost of capital of a company under an imputation system', </w:t>
      </w:r>
      <w:r>
        <w:rPr>
          <w:rStyle w:val="AERtextitalic"/>
        </w:rPr>
        <w:t>Accounting and f</w:t>
      </w:r>
      <w:r w:rsidRPr="00800E44">
        <w:rPr>
          <w:rStyle w:val="AERtextitalic"/>
        </w:rPr>
        <w:t>inance</w:t>
      </w:r>
      <w:r w:rsidRPr="00800E44">
        <w:t>, vol. 34(1), May 1994,</w:t>
      </w:r>
      <w:r>
        <w:t xml:space="preserve"> </w:t>
      </w:r>
      <w:r w:rsidRPr="00800E44">
        <w:t>pp. 1–17.</w:t>
      </w:r>
    </w:p>
  </w:footnote>
  <w:footnote w:id="295">
    <w:p w:rsidR="005E1FC3" w:rsidRDefault="005E1FC3" w:rsidP="001D37D5">
      <w:pPr>
        <w:pStyle w:val="FootnoteText"/>
      </w:pPr>
      <w:r>
        <w:rPr>
          <w:rStyle w:val="FootnoteReference"/>
        </w:rPr>
        <w:footnoteRef/>
      </w:r>
      <w:r>
        <w:t xml:space="preserve"> </w:t>
      </w:r>
      <w:r>
        <w:tab/>
      </w:r>
      <w:r w:rsidRPr="00800E44">
        <w:t xml:space="preserve">R. Officer, 'The cost of capital of a company under an imputation system', </w:t>
      </w:r>
      <w:r>
        <w:rPr>
          <w:rStyle w:val="AERtextitalic"/>
        </w:rPr>
        <w:t>Accounting and f</w:t>
      </w:r>
      <w:r w:rsidRPr="00800E44">
        <w:rPr>
          <w:rStyle w:val="AERtextitalic"/>
        </w:rPr>
        <w:t>inance</w:t>
      </w:r>
      <w:r w:rsidRPr="00800E44">
        <w:t>, vol. 34(1), May 1994,</w:t>
      </w:r>
      <w:r>
        <w:t xml:space="preserve"> equation 2</w:t>
      </w:r>
      <w:r w:rsidRPr="00800E44">
        <w:t>.</w:t>
      </w:r>
    </w:p>
  </w:footnote>
  <w:footnote w:id="296">
    <w:p w:rsidR="005E1FC3" w:rsidRDefault="005E1FC3" w:rsidP="001D37D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pp. 7–8.</w:t>
      </w:r>
    </w:p>
  </w:footnote>
  <w:footnote w:id="297">
    <w:p w:rsidR="005E1FC3" w:rsidRDefault="005E1FC3" w:rsidP="001D37D5">
      <w:pPr>
        <w:pStyle w:val="FootnoteText"/>
      </w:pPr>
      <w:r>
        <w:rPr>
          <w:rStyle w:val="FootnoteReference"/>
        </w:rPr>
        <w:footnoteRef/>
      </w:r>
      <w:r>
        <w:t xml:space="preserve"> </w:t>
      </w:r>
      <w:r>
        <w:tab/>
        <w:t>NER, cll. 6.5.2, 6A.6.2;</w:t>
      </w:r>
      <w:r w:rsidRPr="0042735A">
        <w:t xml:space="preserve"> </w:t>
      </w:r>
      <w:r>
        <w:t>NGR, r. 87.</w:t>
      </w:r>
    </w:p>
  </w:footnote>
  <w:footnote w:id="298">
    <w:p w:rsidR="005E1FC3" w:rsidRDefault="005E1FC3" w:rsidP="001D37D5">
      <w:pPr>
        <w:pStyle w:val="FootnoteText"/>
      </w:pPr>
      <w:r>
        <w:rPr>
          <w:rStyle w:val="FootnoteReference"/>
        </w:rPr>
        <w:footnoteRef/>
      </w:r>
      <w:r>
        <w:t xml:space="preserve"> </w:t>
      </w:r>
      <w:r>
        <w:tab/>
      </w:r>
      <w:r w:rsidRPr="00ED480E">
        <w:t xml:space="preserve">Handley, </w:t>
      </w:r>
      <w:r w:rsidRPr="005764F6">
        <w:rPr>
          <w:rStyle w:val="AERtextitalic"/>
        </w:rPr>
        <w:t>Report prepared for the Australian Energy Regulator: Advice on the value of imputation credits</w:t>
      </w:r>
      <w:r w:rsidRPr="00ED480E">
        <w:t>, 29</w:t>
      </w:r>
      <w:r>
        <w:t xml:space="preserve"> </w:t>
      </w:r>
      <w:r w:rsidRPr="00ED480E">
        <w:t>September 2014, pp</w:t>
      </w:r>
      <w:r>
        <w:t>. </w:t>
      </w:r>
      <w:r w:rsidRPr="00ED480E">
        <w:t>9, 17.</w:t>
      </w:r>
    </w:p>
  </w:footnote>
  <w:footnote w:id="299">
    <w:p w:rsidR="005E1FC3" w:rsidRDefault="005E1FC3" w:rsidP="001D37D5">
      <w:pPr>
        <w:pStyle w:val="FootnoteText"/>
      </w:pPr>
      <w:r>
        <w:rPr>
          <w:rStyle w:val="FootnoteReference"/>
        </w:rPr>
        <w:footnoteRef/>
      </w:r>
      <w:r>
        <w:t xml:space="preserve"> </w:t>
      </w:r>
      <w:r>
        <w:tab/>
      </w:r>
      <w:r w:rsidRPr="00800E44">
        <w:t xml:space="preserve">R. Officer, 'The cost of capital of a company under an imputation system', </w:t>
      </w:r>
      <w:r>
        <w:rPr>
          <w:rStyle w:val="AERtextitalic"/>
        </w:rPr>
        <w:t>Accounting and f</w:t>
      </w:r>
      <w:r w:rsidRPr="00800E44">
        <w:rPr>
          <w:rStyle w:val="AERtextitalic"/>
        </w:rPr>
        <w:t>inance</w:t>
      </w:r>
      <w:r w:rsidRPr="00800E44">
        <w:t>, vol. 34(1), May 1994,</w:t>
      </w:r>
      <w:r>
        <w:t xml:space="preserve"> </w:t>
      </w:r>
      <w:r w:rsidRPr="00ED480E">
        <w:t>p</w:t>
      </w:r>
      <w:r>
        <w:t>. </w:t>
      </w:r>
      <w:r w:rsidRPr="00ED480E">
        <w:t xml:space="preserve"> 4.</w:t>
      </w:r>
    </w:p>
  </w:footnote>
  <w:footnote w:id="300">
    <w:p w:rsidR="005E1FC3" w:rsidRDefault="005E1FC3" w:rsidP="001D37D5">
      <w:pPr>
        <w:pStyle w:val="FootnoteText"/>
      </w:pPr>
      <w:r>
        <w:rPr>
          <w:rStyle w:val="FootnoteReference"/>
        </w:rPr>
        <w:footnoteRef/>
      </w:r>
      <w:r>
        <w:t xml:space="preserve"> </w:t>
      </w:r>
      <w:r>
        <w:tab/>
      </w:r>
      <w:r w:rsidRPr="00800E44">
        <w:t xml:space="preserve">R. Officer, 'The cost of capital of a company under an imputation system', </w:t>
      </w:r>
      <w:r>
        <w:rPr>
          <w:rStyle w:val="AERtextitalic"/>
        </w:rPr>
        <w:t>Accounting and f</w:t>
      </w:r>
      <w:r w:rsidRPr="00800E44">
        <w:rPr>
          <w:rStyle w:val="AERtextitalic"/>
        </w:rPr>
        <w:t>inance</w:t>
      </w:r>
      <w:r w:rsidRPr="00800E44">
        <w:t>, vol. 34(1), May 1994,</w:t>
      </w:r>
      <w:r>
        <w:t xml:space="preserve"> </w:t>
      </w:r>
      <w:r w:rsidRPr="00ED480E">
        <w:t>p</w:t>
      </w:r>
      <w:r>
        <w:t>. </w:t>
      </w:r>
      <w:r w:rsidRPr="00ED480E">
        <w:t xml:space="preserve"> 4.</w:t>
      </w:r>
    </w:p>
  </w:footnote>
  <w:footnote w:id="301">
    <w:p w:rsidR="005E1FC3" w:rsidRDefault="005E1FC3" w:rsidP="001D37D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p. 9.</w:t>
      </w:r>
    </w:p>
  </w:footnote>
  <w:footnote w:id="302">
    <w:p w:rsidR="005E1FC3" w:rsidRDefault="005E1FC3" w:rsidP="001D37D5">
      <w:pPr>
        <w:pStyle w:val="FootnoteText"/>
      </w:pPr>
      <w:r>
        <w:rPr>
          <w:rStyle w:val="FootnoteReference"/>
        </w:rPr>
        <w:footnoteRef/>
      </w:r>
      <w:r>
        <w:t xml:space="preserve"> </w:t>
      </w:r>
      <w:r>
        <w:tab/>
      </w:r>
      <w:r w:rsidRPr="006D49F4">
        <w:t xml:space="preserve">Australian Competition Tribunal, </w:t>
      </w:r>
      <w:r w:rsidRPr="006D49F4">
        <w:rPr>
          <w:rStyle w:val="AERtextitalic"/>
        </w:rPr>
        <w:t>Application by Public Interest Advocacy Centre Ltd and Ausgrid [2016] ACompT 1</w:t>
      </w:r>
      <w:r w:rsidRPr="006D49F4">
        <w:t>, 26 February 2016, para. 1100</w:t>
      </w:r>
      <w:r w:rsidRPr="005764F6">
        <w:t xml:space="preserve">; United Energy, </w:t>
      </w:r>
      <w:r w:rsidRPr="006D49F4">
        <w:rPr>
          <w:rStyle w:val="AERtextitalic"/>
        </w:rPr>
        <w:t>Submission on AER preliminary determination - Submission on gamma</w:t>
      </w:r>
      <w:r w:rsidRPr="005764F6">
        <w:t xml:space="preserve">, 26 April 2016; CitiPower/Powercor, </w:t>
      </w:r>
      <w:r w:rsidRPr="006D49F4">
        <w:rPr>
          <w:rStyle w:val="AERtextitalic"/>
        </w:rPr>
        <w:t>Submission on implications of recent Australian Competition Tribunal Decision</w:t>
      </w:r>
      <w:r w:rsidRPr="005764F6">
        <w:t xml:space="preserve">, 18 April 2016; ActewAGL, </w:t>
      </w:r>
      <w:r w:rsidRPr="006D49F4">
        <w:rPr>
          <w:rStyle w:val="AERtextitalic"/>
        </w:rPr>
        <w:t>Implication of recent Tribunal decisions for final decision and updates to the allowed rate of return and forecast inflation estimate</w:t>
      </w:r>
      <w:r w:rsidRPr="005764F6">
        <w:t>, 12 May 2016.</w:t>
      </w:r>
    </w:p>
  </w:footnote>
  <w:footnote w:id="303">
    <w:p w:rsidR="005E1FC3" w:rsidRDefault="005E1FC3" w:rsidP="001D37D5">
      <w:pPr>
        <w:pStyle w:val="FootnoteText"/>
      </w:pPr>
      <w:r>
        <w:rPr>
          <w:rStyle w:val="FootnoteReference"/>
        </w:rPr>
        <w:footnoteRef/>
      </w:r>
      <w:r>
        <w:t xml:space="preserve"> </w:t>
      </w:r>
      <w:r>
        <w:tab/>
      </w:r>
      <w:r w:rsidRPr="006D49F4">
        <w:t xml:space="preserve">Australian Competition Tribunal, </w:t>
      </w:r>
      <w:r w:rsidRPr="006D49F4">
        <w:rPr>
          <w:rStyle w:val="AERtextitalic"/>
        </w:rPr>
        <w:t>Application by Public Interest Advocacy Centre Ltd and Ausgrid [2016] ACompT 1</w:t>
      </w:r>
      <w:r w:rsidRPr="006D49F4">
        <w:t>, January 2016, para. 1100.</w:t>
      </w:r>
    </w:p>
  </w:footnote>
  <w:footnote w:id="304">
    <w:p w:rsidR="005E1FC3" w:rsidRPr="00CD707C" w:rsidRDefault="005E1FC3" w:rsidP="001D37D5">
      <w:pPr>
        <w:pStyle w:val="FootnoteText"/>
      </w:pPr>
      <w:r>
        <w:rPr>
          <w:rStyle w:val="FootnoteReference"/>
        </w:rPr>
        <w:footnoteRef/>
      </w:r>
      <w:r>
        <w:t xml:space="preserve"> </w:t>
      </w:r>
      <w:r>
        <w:tab/>
      </w:r>
      <w:r w:rsidRPr="005764F6">
        <w:t xml:space="preserve">United Energy, </w:t>
      </w:r>
      <w:r w:rsidRPr="006D49F4">
        <w:rPr>
          <w:rStyle w:val="AERtextitalic"/>
        </w:rPr>
        <w:t>Submission on AER preliminary determination - Submission on gamma</w:t>
      </w:r>
      <w:r w:rsidRPr="005764F6">
        <w:t xml:space="preserve">, 26 April 2016; CitiPower/Powercor, </w:t>
      </w:r>
      <w:r w:rsidRPr="006D49F4">
        <w:rPr>
          <w:rStyle w:val="AERtextitalic"/>
        </w:rPr>
        <w:t>Submission on implications of recent Australian Competition Tribunal Decision</w:t>
      </w:r>
      <w:r w:rsidRPr="005764F6">
        <w:t xml:space="preserve">, 18 April 2016; ActewAGL, </w:t>
      </w:r>
      <w:r w:rsidRPr="006D49F4">
        <w:rPr>
          <w:rStyle w:val="AERtextitalic"/>
        </w:rPr>
        <w:t>Implication of recent Tribunal decisions for final decision and updates to the allowed rate of return and forecast inflation estimate</w:t>
      </w:r>
      <w:r w:rsidRPr="005764F6">
        <w:t xml:space="preserve">, 12 May 2016; </w:t>
      </w:r>
      <w:r w:rsidRPr="006D49F4">
        <w:t xml:space="preserve">Australian Competition Tribunal, </w:t>
      </w:r>
      <w:r w:rsidRPr="006D49F4">
        <w:rPr>
          <w:rStyle w:val="AERtextitalic"/>
        </w:rPr>
        <w:t>Application by Public Interest Advocacy Centre Ltd and Ausgrid [2016] ACompT 1</w:t>
      </w:r>
      <w:r w:rsidRPr="006D49F4">
        <w:t>, 26 February 2016, para. 1100.</w:t>
      </w:r>
    </w:p>
  </w:footnote>
  <w:footnote w:id="305">
    <w:p w:rsidR="005E1FC3" w:rsidRDefault="005E1FC3" w:rsidP="001D37D5">
      <w:pPr>
        <w:pStyle w:val="FootnoteText"/>
      </w:pPr>
      <w:r>
        <w:rPr>
          <w:rStyle w:val="FootnoteReference"/>
        </w:rPr>
        <w:footnoteRef/>
      </w:r>
      <w:r>
        <w:t xml:space="preserve"> </w:t>
      </w:r>
      <w:r>
        <w:tab/>
        <w:t xml:space="preserve">It is approximately equal due to the time value of money that impacts the present valuation of distributed imputation credits. However, we consider any discounting for this would be immaterial for the reasons discussed in section </w:t>
      </w:r>
      <w:r>
        <w:fldChar w:fldCharType="begin"/>
      </w:r>
      <w:r>
        <w:instrText xml:space="preserve"> REF _Ref414099389 \r \h </w:instrText>
      </w:r>
      <w:r>
        <w:fldChar w:fldCharType="separate"/>
      </w:r>
      <w:r>
        <w:t>A.8.3</w:t>
      </w:r>
      <w:r>
        <w:fldChar w:fldCharType="end"/>
      </w:r>
    </w:p>
  </w:footnote>
  <w:footnote w:id="306">
    <w:p w:rsidR="005E1FC3" w:rsidRDefault="005E1FC3" w:rsidP="001D37D5">
      <w:pPr>
        <w:pStyle w:val="FootnoteText"/>
      </w:pPr>
      <w:r>
        <w:rPr>
          <w:rStyle w:val="FootnoteReference"/>
        </w:rPr>
        <w:footnoteRef/>
      </w:r>
      <w:r>
        <w:t xml:space="preserve"> </w:t>
      </w:r>
      <w:r>
        <w:tab/>
        <w:t>This is evident in companies having positive franking account balances in aggregate.</w:t>
      </w:r>
    </w:p>
  </w:footnote>
  <w:footnote w:id="307">
    <w:p w:rsidR="005E1FC3" w:rsidRDefault="005E1FC3" w:rsidP="001D37D5">
      <w:pPr>
        <w:pStyle w:val="FootnoteText"/>
      </w:pPr>
      <w:r>
        <w:rPr>
          <w:rStyle w:val="FootnoteReference"/>
        </w:rPr>
        <w:footnoteRef/>
      </w:r>
      <w:r>
        <w:t xml:space="preserve"> </w:t>
      </w:r>
      <w:r>
        <w:tab/>
        <w:t xml:space="preserve">Handley considered that, although Monkhouse does not use the term gamma, the interpretation is clear: </w:t>
      </w:r>
      <w:r w:rsidRPr="00582678">
        <w:t xml:space="preserve">J. Handley, </w:t>
      </w:r>
      <w:r w:rsidRPr="00582678">
        <w:rPr>
          <w:rStyle w:val="AERtextitalic"/>
        </w:rPr>
        <w:t>Report prepared for the Australian Energy Regulator: Advice on the value of imputation credits</w:t>
      </w:r>
      <w:r w:rsidRPr="00582678">
        <w:t>, 29 September 2014</w:t>
      </w:r>
      <w:r>
        <w:t>, p. 11 and footnote 12.</w:t>
      </w:r>
    </w:p>
  </w:footnote>
  <w:footnote w:id="308">
    <w:p w:rsidR="005E1FC3" w:rsidRDefault="005E1FC3" w:rsidP="001D37D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pp. 18</w:t>
      </w:r>
      <w:r>
        <w:rPr>
          <w:rFonts w:cs="Arial"/>
        </w:rPr>
        <w:t>–</w:t>
      </w:r>
      <w:r>
        <w:t>20.</w:t>
      </w:r>
    </w:p>
  </w:footnote>
  <w:footnote w:id="309">
    <w:p w:rsidR="005E1FC3" w:rsidRDefault="005E1FC3" w:rsidP="001D37D5">
      <w:pPr>
        <w:pStyle w:val="FootnoteText"/>
      </w:pPr>
      <w:r>
        <w:rPr>
          <w:rStyle w:val="FootnoteReference"/>
        </w:rPr>
        <w:footnoteRef/>
      </w:r>
      <w:r>
        <w:t xml:space="preserve"> </w:t>
      </w:r>
      <w:r>
        <w:tab/>
      </w:r>
      <w:r w:rsidRPr="00712BC2">
        <w:t xml:space="preserve">M. Lally, </w:t>
      </w:r>
      <w:r w:rsidRPr="00712BC2">
        <w:rPr>
          <w:rStyle w:val="AERtextitalic"/>
        </w:rPr>
        <w:t>The estimation of gamma</w:t>
      </w:r>
      <w:r w:rsidRPr="00712BC2">
        <w:t>, 23 November 2013</w:t>
      </w:r>
      <w:r>
        <w:t xml:space="preserve">, p. 11. </w:t>
      </w:r>
    </w:p>
  </w:footnote>
  <w:footnote w:id="310">
    <w:p w:rsidR="005E1FC3" w:rsidRDefault="005E1FC3" w:rsidP="001D37D5">
      <w:pPr>
        <w:pStyle w:val="FootnoteText"/>
      </w:pPr>
      <w:r>
        <w:rPr>
          <w:rStyle w:val="FootnoteReference"/>
        </w:rPr>
        <w:footnoteRef/>
      </w:r>
      <w:r>
        <w:t xml:space="preserve"> </w:t>
      </w:r>
      <w:r>
        <w:tab/>
        <w:t xml:space="preserve">Recall from section </w:t>
      </w:r>
      <w:r>
        <w:fldChar w:fldCharType="begin"/>
      </w:r>
      <w:r>
        <w:instrText xml:space="preserve"> REF _Ref404065332 \r \h </w:instrText>
      </w:r>
      <w:r>
        <w:fldChar w:fldCharType="separate"/>
      </w:r>
      <w:r>
        <w:t>4.3.3</w:t>
      </w:r>
      <w:r>
        <w:fldChar w:fldCharType="end"/>
      </w:r>
      <w:r>
        <w:t xml:space="preserve"> that we define the relevant market as</w:t>
      </w:r>
      <w:r w:rsidRPr="00F02A9C">
        <w:t xml:space="preserve"> an Australian domestic market that recognises the presence of foreign investors to the extent that they invest in the Australian market</w:t>
      </w:r>
      <w:r>
        <w:t>.</w:t>
      </w:r>
    </w:p>
  </w:footnote>
  <w:footnote w:id="311">
    <w:p w:rsidR="005E1FC3" w:rsidRDefault="005E1FC3" w:rsidP="001D37D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p. 14.</w:t>
      </w:r>
    </w:p>
  </w:footnote>
  <w:footnote w:id="312">
    <w:p w:rsidR="005E1FC3" w:rsidRDefault="005E1FC3" w:rsidP="001D37D5">
      <w:pPr>
        <w:pStyle w:val="FootnoteText"/>
      </w:pPr>
      <w:r>
        <w:rPr>
          <w:rStyle w:val="FootnoteReference"/>
        </w:rPr>
        <w:footnoteRef/>
      </w:r>
      <w:r>
        <w:t xml:space="preserve"> </w:t>
      </w:r>
      <w:r>
        <w:tab/>
      </w:r>
      <w:r w:rsidRPr="003B4589">
        <w:t>L. Gitman, R. Juchau and J. Flanagan, Principles of Manageria</w:t>
      </w:r>
      <w:r>
        <w:t>l Finance, 6th Edition, 2011, p</w:t>
      </w:r>
      <w:r w:rsidRPr="003B4589">
        <w:t xml:space="preserve">. </w:t>
      </w:r>
      <w:r>
        <w:t>475</w:t>
      </w:r>
      <w:r w:rsidRPr="003B4589">
        <w:t>.</w:t>
      </w:r>
      <w:r>
        <w:t xml:space="preserve"> </w:t>
      </w:r>
    </w:p>
  </w:footnote>
  <w:footnote w:id="313">
    <w:p w:rsidR="005E1FC3" w:rsidRDefault="005E1FC3" w:rsidP="001D37D5">
      <w:pPr>
        <w:pStyle w:val="FootnoteText"/>
      </w:pPr>
      <w:r>
        <w:rPr>
          <w:rStyle w:val="FootnoteReference"/>
        </w:rPr>
        <w:footnoteRef/>
      </w:r>
      <w:r>
        <w:t xml:space="preserve"> </w:t>
      </w:r>
      <w:r>
        <w:tab/>
        <w:t xml:space="preserve">Caltex Australia Limited, </w:t>
      </w:r>
      <w:r w:rsidRPr="005764F6">
        <w:rPr>
          <w:rStyle w:val="AERtextitalic"/>
        </w:rPr>
        <w:t>Off-market buy-back booklet</w:t>
      </w:r>
      <w:r>
        <w:t>, 26 February 2016; Caltex Australia Limited</w:t>
      </w:r>
      <w:r w:rsidRPr="005764F6">
        <w:rPr>
          <w:rStyle w:val="AERtextitalic"/>
        </w:rPr>
        <w:t>, Caltex successfully completes $270m off-market share buy-back</w:t>
      </w:r>
      <w:r>
        <w:t>, 11 April 2016.</w:t>
      </w:r>
    </w:p>
  </w:footnote>
  <w:footnote w:id="314">
    <w:p w:rsidR="005E1FC3" w:rsidRDefault="005E1FC3" w:rsidP="001D37D5">
      <w:pPr>
        <w:pStyle w:val="FootnoteText"/>
      </w:pPr>
      <w:r>
        <w:rPr>
          <w:rStyle w:val="FootnoteReference"/>
        </w:rPr>
        <w:footnoteRef/>
      </w:r>
      <w:r>
        <w:t xml:space="preserve"> </w:t>
      </w:r>
      <w:r>
        <w:tab/>
        <w:t xml:space="preserve">Professor Gray undertook reports for both SFG and Frontier economics. To avoid confusion, we have generally referred to Professor Gray by name with the consulting firm after his name. </w:t>
      </w:r>
    </w:p>
  </w:footnote>
  <w:footnote w:id="315">
    <w:p w:rsidR="005E1FC3" w:rsidRDefault="005E1FC3" w:rsidP="001D37D5">
      <w:pPr>
        <w:pStyle w:val="FootnoteText"/>
      </w:pPr>
      <w:r>
        <w:rPr>
          <w:rStyle w:val="FootnoteReference"/>
        </w:rPr>
        <w:footnoteRef/>
      </w:r>
      <w:r>
        <w:t xml:space="preserve"> </w:t>
      </w:r>
      <w:r>
        <w:tab/>
        <w:t xml:space="preserve">SA Power Networks, </w:t>
      </w:r>
      <w:r>
        <w:rPr>
          <w:rStyle w:val="AERtextitalic"/>
        </w:rPr>
        <w:t>Revised regulatory proposal 2015-20</w:t>
      </w:r>
      <w:r>
        <w:t>, July 2015, p. 373.</w:t>
      </w:r>
    </w:p>
  </w:footnote>
  <w:footnote w:id="316">
    <w:p w:rsidR="005E1FC3" w:rsidRDefault="005E1FC3" w:rsidP="001D37D5">
      <w:pPr>
        <w:pStyle w:val="FootnoteText"/>
      </w:pPr>
      <w:r>
        <w:rPr>
          <w:rStyle w:val="FootnoteReference"/>
        </w:rPr>
        <w:footnoteRef/>
      </w:r>
      <w:r>
        <w:t xml:space="preserve"> </w:t>
      </w:r>
      <w:r>
        <w:tab/>
        <w:t xml:space="preserve">SFG, </w:t>
      </w:r>
      <w:r>
        <w:rPr>
          <w:rStyle w:val="AERtextitalic"/>
        </w:rPr>
        <w:t>Estimating gamma for regulatory purposes</w:t>
      </w:r>
      <w:r>
        <w:t>, 6 February 2015, para. 42.</w:t>
      </w:r>
    </w:p>
  </w:footnote>
  <w:footnote w:id="317">
    <w:p w:rsidR="005E1FC3" w:rsidRPr="00CD707C" w:rsidRDefault="005E1FC3" w:rsidP="001D37D5">
      <w:pPr>
        <w:pStyle w:val="FootnoteText"/>
      </w:pPr>
      <w:r>
        <w:rPr>
          <w:rStyle w:val="FootnoteReference"/>
        </w:rPr>
        <w:footnoteRef/>
      </w:r>
      <w:r>
        <w:t xml:space="preserve"> </w:t>
      </w:r>
      <w:r>
        <w:tab/>
      </w:r>
      <w:r w:rsidRPr="006D49F4">
        <w:t>United Energy, Submission on AER preliminary determination - Submission on gamma, 26 April 2016; CitiPower/Powercor, Submission on implications of recent Australian Competition Tribunal Decision, 18 April 2016; ActewAGL, Implication of recent Tribunal decisions for final decision and updates to the allowed rate of return and forecast inflation estimate, 12 May 2016; Australian Competition Tribunal, Application by Public Interest Advocacy Centre Ltd and Ausgrid [2016] ACompT 1, 26 February 2016, para. 1073.</w:t>
      </w:r>
    </w:p>
  </w:footnote>
  <w:footnote w:id="318">
    <w:p w:rsidR="005E1FC3" w:rsidRDefault="005E1FC3" w:rsidP="001D37D5">
      <w:pPr>
        <w:pStyle w:val="FootnoteText"/>
      </w:pPr>
      <w:r>
        <w:rPr>
          <w:rStyle w:val="FootnoteReference"/>
        </w:rPr>
        <w:footnoteRef/>
      </w:r>
      <w:r>
        <w:t xml:space="preserve"> </w:t>
      </w:r>
      <w:r>
        <w:tab/>
        <w:t xml:space="preserve">SFG, </w:t>
      </w:r>
      <w:r>
        <w:rPr>
          <w:rStyle w:val="AERtextitalic"/>
        </w:rPr>
        <w:t>Estimating gamma for regulatory purposes</w:t>
      </w:r>
      <w:r>
        <w:t>, 6 February 2015, para. 42.</w:t>
      </w:r>
    </w:p>
  </w:footnote>
  <w:footnote w:id="319">
    <w:p w:rsidR="005E1FC3" w:rsidRDefault="005E1FC3" w:rsidP="001D37D5">
      <w:pPr>
        <w:pStyle w:val="FootnoteText"/>
      </w:pPr>
      <w:r>
        <w:rPr>
          <w:rStyle w:val="FootnoteReference"/>
        </w:rPr>
        <w:footnoteRef/>
      </w:r>
      <w:r>
        <w:t xml:space="preserve"> </w:t>
      </w:r>
      <w:r>
        <w:tab/>
        <w:t xml:space="preserve">SFG, </w:t>
      </w:r>
      <w:r>
        <w:rPr>
          <w:rStyle w:val="AERtextitalic"/>
        </w:rPr>
        <w:t>Estimating gamma for regulatory purposes</w:t>
      </w:r>
      <w:r>
        <w:t>, 6 February 2015, para. 53.</w:t>
      </w:r>
    </w:p>
  </w:footnote>
  <w:footnote w:id="320">
    <w:p w:rsidR="005E1FC3" w:rsidRDefault="005E1FC3" w:rsidP="001D37D5">
      <w:pPr>
        <w:pStyle w:val="FootnoteText"/>
      </w:pPr>
      <w:r>
        <w:rPr>
          <w:rStyle w:val="FootnoteReference"/>
        </w:rPr>
        <w:footnoteRef/>
      </w:r>
      <w:r>
        <w:t xml:space="preserve"> </w:t>
      </w:r>
      <w:r>
        <w:tab/>
        <w:t xml:space="preserve">SFG, </w:t>
      </w:r>
      <w:r w:rsidRPr="00C014CC">
        <w:rPr>
          <w:rStyle w:val="AERtextitalic"/>
        </w:rPr>
        <w:t>An appropriate regulatory estimate of gamma</w:t>
      </w:r>
      <w:r>
        <w:t>, 21 May 2014, paras. 294–313, 331–334 and 341(b).</w:t>
      </w:r>
    </w:p>
  </w:footnote>
  <w:footnote w:id="321">
    <w:p w:rsidR="005E1FC3" w:rsidRDefault="005E1FC3" w:rsidP="001D37D5">
      <w:pPr>
        <w:pStyle w:val="FootnoteText"/>
      </w:pPr>
      <w:r>
        <w:rPr>
          <w:rStyle w:val="FootnoteReference"/>
        </w:rPr>
        <w:footnoteRef/>
      </w:r>
      <w:r>
        <w:t xml:space="preserve"> </w:t>
      </w:r>
      <w:r>
        <w:tab/>
        <w:t>See section A.6.1 of the draft decisions.</w:t>
      </w:r>
    </w:p>
  </w:footnote>
  <w:footnote w:id="322">
    <w:p w:rsidR="005E1FC3" w:rsidRDefault="005E1FC3" w:rsidP="001D37D5">
      <w:pPr>
        <w:pStyle w:val="FootnoteText"/>
      </w:pPr>
      <w:r>
        <w:rPr>
          <w:rStyle w:val="FootnoteReference"/>
        </w:rPr>
        <w:footnoteRef/>
      </w:r>
      <w:r>
        <w:t xml:space="preserve"> </w:t>
      </w:r>
      <w:r>
        <w:tab/>
        <w:t xml:space="preserve">SFG, </w:t>
      </w:r>
      <w:r>
        <w:rPr>
          <w:rStyle w:val="AERtextitalic"/>
        </w:rPr>
        <w:t>Estimating gamma for regulatory purposes</w:t>
      </w:r>
      <w:r>
        <w:t>, 6 February 2015, paras. 111–121 and 136–137.</w:t>
      </w:r>
    </w:p>
  </w:footnote>
  <w:footnote w:id="323">
    <w:p w:rsidR="005E1FC3" w:rsidRDefault="005E1FC3" w:rsidP="001D37D5">
      <w:pPr>
        <w:pStyle w:val="FootnoteText"/>
      </w:pPr>
      <w:r>
        <w:rPr>
          <w:rStyle w:val="FootnoteReference"/>
        </w:rPr>
        <w:footnoteRef/>
      </w:r>
      <w:r>
        <w:t xml:space="preserve"> </w:t>
      </w:r>
      <w:r>
        <w:tab/>
        <w:t xml:space="preserve">SFG, </w:t>
      </w:r>
      <w:r>
        <w:rPr>
          <w:rStyle w:val="AERtextitalic"/>
        </w:rPr>
        <w:t>Estimating gamma for regulatory purposes</w:t>
      </w:r>
      <w:r>
        <w:t>, 6 February 2015, paras. 122–123.</w:t>
      </w:r>
    </w:p>
  </w:footnote>
  <w:footnote w:id="324">
    <w:p w:rsidR="005E1FC3" w:rsidRDefault="005E1FC3" w:rsidP="001D37D5">
      <w:pPr>
        <w:pStyle w:val="FootnoteText"/>
      </w:pPr>
      <w:r>
        <w:rPr>
          <w:rStyle w:val="FootnoteReference"/>
        </w:rPr>
        <w:footnoteRef/>
      </w:r>
      <w:r>
        <w:t xml:space="preserve"> </w:t>
      </w:r>
      <w:r>
        <w:tab/>
      </w:r>
      <w:r w:rsidRPr="004D735C">
        <w:t xml:space="preserve">J. Handley, </w:t>
      </w:r>
      <w:r w:rsidRPr="008916E4">
        <w:rPr>
          <w:rStyle w:val="AERtextitalic"/>
        </w:rPr>
        <w:t>Report prepared for the Australian Energy Regulator: Advice on the value of imputation credits</w:t>
      </w:r>
      <w:r w:rsidRPr="004D735C">
        <w:t>, 29 September 201</w:t>
      </w:r>
      <w:r>
        <w:t>4, pp. 8–9.</w:t>
      </w:r>
    </w:p>
  </w:footnote>
  <w:footnote w:id="325">
    <w:p w:rsidR="005E1FC3" w:rsidRDefault="005E1FC3" w:rsidP="001D37D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5.</w:t>
      </w:r>
    </w:p>
  </w:footnote>
  <w:footnote w:id="326">
    <w:p w:rsidR="005E1FC3" w:rsidRDefault="005E1FC3" w:rsidP="001D37D5">
      <w:pPr>
        <w:pStyle w:val="FootnoteText"/>
      </w:pPr>
      <w:r>
        <w:rPr>
          <w:rStyle w:val="FootnoteReference"/>
        </w:rPr>
        <w:footnoteRef/>
      </w:r>
      <w:r>
        <w:t xml:space="preserve"> </w:t>
      </w:r>
      <w:r>
        <w:tab/>
      </w:r>
      <w:r w:rsidRPr="00800E44">
        <w:t xml:space="preserve">R. Officer, 'The cost of capital of a company under an imputation system', </w:t>
      </w:r>
      <w:r>
        <w:rPr>
          <w:rStyle w:val="AERtextitalic"/>
        </w:rPr>
        <w:t>Accounting and f</w:t>
      </w:r>
      <w:r w:rsidRPr="00800E44">
        <w:rPr>
          <w:rStyle w:val="AERtextitalic"/>
        </w:rPr>
        <w:t>inance</w:t>
      </w:r>
      <w:r w:rsidRPr="00800E44">
        <w:t>, vol. 34(1), May 1994,</w:t>
      </w:r>
      <w:r>
        <w:t xml:space="preserve"> </w:t>
      </w:r>
      <w:r w:rsidRPr="00800E44">
        <w:t>pp. 1–17.</w:t>
      </w:r>
    </w:p>
  </w:footnote>
  <w:footnote w:id="327">
    <w:p w:rsidR="005E1FC3" w:rsidRDefault="005E1FC3" w:rsidP="001D37D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4.</w:t>
      </w:r>
    </w:p>
  </w:footnote>
  <w:footnote w:id="328">
    <w:p w:rsidR="005E1FC3" w:rsidRDefault="005E1FC3" w:rsidP="001D37D5">
      <w:pPr>
        <w:pStyle w:val="FootnoteText"/>
      </w:pPr>
      <w:r>
        <w:rPr>
          <w:rStyle w:val="FootnoteReference"/>
        </w:rPr>
        <w:footnoteRef/>
      </w:r>
      <w:r>
        <w:t xml:space="preserve"> </w:t>
      </w:r>
      <w:r>
        <w:tab/>
        <w:t>Recall that the utilisation rate equals gamma under Officer's perpetuity framework.</w:t>
      </w:r>
    </w:p>
  </w:footnote>
  <w:footnote w:id="329">
    <w:p w:rsidR="005E1FC3" w:rsidRDefault="005E1FC3" w:rsidP="001D37D5">
      <w:pPr>
        <w:pStyle w:val="FootnoteText"/>
      </w:pPr>
      <w:r>
        <w:rPr>
          <w:rStyle w:val="FootnoteReference"/>
        </w:rPr>
        <w:footnoteRef/>
      </w:r>
      <w:r>
        <w:t xml:space="preserve"> </w:t>
      </w:r>
      <w:r>
        <w:tab/>
        <w:t xml:space="preserve">SFG, </w:t>
      </w:r>
      <w:r w:rsidRPr="00C014CC">
        <w:rPr>
          <w:rStyle w:val="AERtextitalic"/>
        </w:rPr>
        <w:t>An appropriate regulatory estimate of gamma</w:t>
      </w:r>
      <w:r>
        <w:t>, 21 May 2014, para. 319.</w:t>
      </w:r>
    </w:p>
  </w:footnote>
  <w:footnote w:id="330">
    <w:p w:rsidR="005E1FC3" w:rsidRDefault="005E1FC3" w:rsidP="001D37D5">
      <w:pPr>
        <w:pStyle w:val="FootnoteText"/>
      </w:pPr>
      <w:r>
        <w:rPr>
          <w:rStyle w:val="FootnoteReference"/>
        </w:rPr>
        <w:footnoteRef/>
      </w:r>
      <w:r>
        <w:t xml:space="preserve"> </w:t>
      </w:r>
      <w:r>
        <w:tab/>
      </w:r>
      <w:r w:rsidRPr="00800E44">
        <w:t xml:space="preserve">R. Officer, 'The cost of capital of a company under an imputation system', </w:t>
      </w:r>
      <w:r>
        <w:rPr>
          <w:rStyle w:val="AERtextitalic"/>
        </w:rPr>
        <w:t>Accounting and f</w:t>
      </w:r>
      <w:r w:rsidRPr="00800E44">
        <w:rPr>
          <w:rStyle w:val="AERtextitalic"/>
        </w:rPr>
        <w:t>inance</w:t>
      </w:r>
      <w:r w:rsidRPr="00800E44">
        <w:t>, vol. 34(1), May 1994,</w:t>
      </w:r>
      <w:r>
        <w:t xml:space="preserve"> pp. 11–17.</w:t>
      </w:r>
    </w:p>
  </w:footnote>
  <w:footnote w:id="331">
    <w:p w:rsidR="005E1FC3" w:rsidRDefault="005E1FC3" w:rsidP="001D37D5">
      <w:pPr>
        <w:pStyle w:val="FootnoteText"/>
      </w:pPr>
      <w:r>
        <w:rPr>
          <w:rStyle w:val="FootnoteReference"/>
        </w:rPr>
        <w:footnoteRef/>
      </w:r>
      <w:r>
        <w:t xml:space="preserve"> </w:t>
      </w:r>
      <w:r>
        <w:tab/>
        <w:t xml:space="preserve">SFG, </w:t>
      </w:r>
      <w:r>
        <w:rPr>
          <w:rStyle w:val="AERtextitalic"/>
        </w:rPr>
        <w:t>Estimating gamma for regulatory purposes</w:t>
      </w:r>
      <w:r>
        <w:t>, 6 February 2015, paras. 126–127.</w:t>
      </w:r>
    </w:p>
  </w:footnote>
  <w:footnote w:id="332">
    <w:p w:rsidR="005E1FC3" w:rsidRDefault="005E1FC3" w:rsidP="001D37D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7.</w:t>
      </w:r>
    </w:p>
  </w:footnote>
  <w:footnote w:id="333">
    <w:p w:rsidR="005E1FC3" w:rsidRDefault="005E1FC3" w:rsidP="001D37D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 24.</w:t>
      </w:r>
    </w:p>
  </w:footnote>
  <w:footnote w:id="334">
    <w:p w:rsidR="005E1FC3" w:rsidRDefault="005E1FC3" w:rsidP="001D37D5">
      <w:pPr>
        <w:pStyle w:val="FootnoteText"/>
      </w:pPr>
      <w:r>
        <w:rPr>
          <w:rStyle w:val="FootnoteReference"/>
        </w:rPr>
        <w:footnoteRef/>
      </w:r>
      <w:r>
        <w:t xml:space="preserve"> </w:t>
      </w:r>
      <w:r>
        <w:tab/>
      </w:r>
      <w:r w:rsidRPr="00182E64">
        <w:t xml:space="preserve">G. Peirson, R. Brown, S. Easton and P. Howard, </w:t>
      </w:r>
      <w:r w:rsidRPr="00182E64">
        <w:rPr>
          <w:rStyle w:val="AERtextitalic"/>
        </w:rPr>
        <w:t>Business Finance</w:t>
      </w:r>
      <w:r>
        <w:t>, 10th Edition, 2009</w:t>
      </w:r>
      <w:r w:rsidRPr="00182E64">
        <w:t>, p</w:t>
      </w:r>
      <w:r>
        <w:t>p. 429 and 432</w:t>
      </w:r>
      <w:r w:rsidRPr="00182E64">
        <w:t>.</w:t>
      </w:r>
    </w:p>
  </w:footnote>
  <w:footnote w:id="335">
    <w:p w:rsidR="005E1FC3" w:rsidRDefault="005E1FC3" w:rsidP="001D37D5">
      <w:pPr>
        <w:pStyle w:val="FootnoteText"/>
      </w:pPr>
      <w:r>
        <w:rPr>
          <w:rStyle w:val="FootnoteReference"/>
        </w:rPr>
        <w:footnoteRef/>
      </w:r>
      <w:r>
        <w:t xml:space="preserve"> </w:t>
      </w:r>
      <w:r>
        <w:tab/>
        <w:t xml:space="preserve">J. Berk, P. DeMarzo, J. Harford, G. Ford, V. Mollica and N. Finch, </w:t>
      </w:r>
      <w:r w:rsidRPr="00B27E42">
        <w:rPr>
          <w:rStyle w:val="AERtextitalic"/>
        </w:rPr>
        <w:t>Fundamentals of Corporate Finance</w:t>
      </w:r>
      <w:r>
        <w:t>, 2nd Edition, 2014, p. 535.</w:t>
      </w:r>
    </w:p>
  </w:footnote>
  <w:footnote w:id="336">
    <w:p w:rsidR="005E1FC3" w:rsidRDefault="005E1FC3" w:rsidP="001D37D5">
      <w:pPr>
        <w:pStyle w:val="FootnoteText"/>
      </w:pPr>
      <w:r>
        <w:rPr>
          <w:rStyle w:val="FootnoteReference"/>
        </w:rPr>
        <w:footnoteRef/>
      </w:r>
      <w:r>
        <w:t xml:space="preserve"> </w:t>
      </w:r>
      <w:r>
        <w:tab/>
        <w:t>L. Gitman, R. Juchau and J. Flanagan, Principles of Managerial Finance, 6th Edition, 2011, pp. 543 and 546.</w:t>
      </w:r>
    </w:p>
  </w:footnote>
  <w:footnote w:id="337">
    <w:p w:rsidR="005E1FC3" w:rsidRDefault="005E1FC3" w:rsidP="001D37D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 24.</w:t>
      </w:r>
    </w:p>
  </w:footnote>
  <w:footnote w:id="338">
    <w:p w:rsidR="005E1FC3" w:rsidRDefault="005E1FC3" w:rsidP="001D37D5">
      <w:pPr>
        <w:pStyle w:val="FootnoteText"/>
      </w:pPr>
      <w:r>
        <w:rPr>
          <w:rStyle w:val="FootnoteReference"/>
        </w:rPr>
        <w:footnoteRef/>
      </w:r>
      <w:r>
        <w:t xml:space="preserve"> </w:t>
      </w:r>
      <w:r>
        <w:tab/>
      </w:r>
      <w:r w:rsidRPr="004D735C">
        <w:t xml:space="preserve">J. Handley, </w:t>
      </w:r>
      <w:r w:rsidRPr="008916E4">
        <w:rPr>
          <w:rStyle w:val="AERtextitalic"/>
        </w:rPr>
        <w:t>Report prepared for the Australian Energy Regulator: Advice on the value of imputation credits</w:t>
      </w:r>
      <w:r w:rsidRPr="004D735C">
        <w:t>, 29 September 201</w:t>
      </w:r>
      <w:r>
        <w:t>4, p. 9.</w:t>
      </w:r>
    </w:p>
  </w:footnote>
  <w:footnote w:id="339">
    <w:p w:rsidR="005E1FC3" w:rsidRDefault="005E1FC3" w:rsidP="001D37D5">
      <w:pPr>
        <w:pStyle w:val="FootnoteText"/>
      </w:pPr>
      <w:r>
        <w:rPr>
          <w:rStyle w:val="FootnoteReference"/>
        </w:rPr>
        <w:footnoteRef/>
      </w:r>
      <w:r>
        <w:t xml:space="preserve"> </w:t>
      </w:r>
      <w:r>
        <w:tab/>
        <w:t xml:space="preserve">R. Brealey, S. Myers, G. Partington and D. Robinson, </w:t>
      </w:r>
      <w:r w:rsidRPr="0078255A">
        <w:rPr>
          <w:rStyle w:val="AERtextitalic"/>
        </w:rPr>
        <w:t>Principles of corporate finance</w:t>
      </w:r>
      <w:r>
        <w:t>, 1st Edition, 2000, p. 523, footnote 8.</w:t>
      </w:r>
    </w:p>
  </w:footnote>
  <w:footnote w:id="340">
    <w:p w:rsidR="005E1FC3" w:rsidRDefault="005E1FC3" w:rsidP="001D37D5">
      <w:pPr>
        <w:pStyle w:val="FootnoteText"/>
      </w:pPr>
      <w:r>
        <w:rPr>
          <w:rStyle w:val="FootnoteReference"/>
        </w:rPr>
        <w:footnoteRef/>
      </w:r>
      <w:r>
        <w:t xml:space="preserve"> </w:t>
      </w:r>
      <w:r>
        <w:tab/>
        <w:t xml:space="preserve">R. Brealey, S. Myers, G. Partington and D. Robinson, </w:t>
      </w:r>
      <w:r w:rsidRPr="0078255A">
        <w:rPr>
          <w:rStyle w:val="AERtextitalic"/>
        </w:rPr>
        <w:t>Principles of corporate finance</w:t>
      </w:r>
      <w:r>
        <w:t>, 1st Edition, 2000, p. 526.</w:t>
      </w:r>
    </w:p>
  </w:footnote>
  <w:footnote w:id="341">
    <w:p w:rsidR="005E1FC3" w:rsidRDefault="005E1FC3" w:rsidP="001D37D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 25.</w:t>
      </w:r>
    </w:p>
  </w:footnote>
  <w:footnote w:id="342">
    <w:p w:rsidR="005E1FC3" w:rsidRDefault="005E1FC3" w:rsidP="001D37D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 25.</w:t>
      </w:r>
    </w:p>
  </w:footnote>
  <w:footnote w:id="343">
    <w:p w:rsidR="005E1FC3" w:rsidRDefault="005E1FC3" w:rsidP="001D37D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 6.</w:t>
      </w:r>
    </w:p>
  </w:footnote>
  <w:footnote w:id="344">
    <w:p w:rsidR="005E1FC3" w:rsidRDefault="005E1FC3" w:rsidP="001D37D5">
      <w:pPr>
        <w:pStyle w:val="FootnoteText"/>
      </w:pPr>
      <w:r>
        <w:rPr>
          <w:rStyle w:val="FootnoteReference"/>
        </w:rPr>
        <w:footnoteRef/>
      </w:r>
      <w:r>
        <w:t xml:space="preserve"> </w:t>
      </w:r>
      <w:r>
        <w:tab/>
        <w:t xml:space="preserve">A. Ainsworth, G. Partington and G. Warren, </w:t>
      </w:r>
      <w:r w:rsidRPr="00814197">
        <w:rPr>
          <w:rStyle w:val="AERtextitalic"/>
        </w:rPr>
        <w:t>Do franking credits matter? Exploring the financial implications of dividend imputation</w:t>
      </w:r>
      <w:r>
        <w:t>, May 2015.</w:t>
      </w:r>
    </w:p>
  </w:footnote>
  <w:footnote w:id="345">
    <w:p w:rsidR="005E1FC3" w:rsidRDefault="005E1FC3" w:rsidP="001D37D5">
      <w:pPr>
        <w:pStyle w:val="FootnoteText"/>
      </w:pPr>
      <w:r>
        <w:rPr>
          <w:rStyle w:val="FootnoteReference"/>
        </w:rPr>
        <w:footnoteRef/>
      </w:r>
      <w:r>
        <w:t xml:space="preserve"> </w:t>
      </w:r>
      <w:r>
        <w:tab/>
        <w:t xml:space="preserve">Access Arrangement Information for Australian Gas Networks' South Australian Natural Gas Distribution Network, p. 11, July 2015; Frontier Economics, </w:t>
      </w:r>
      <w:r w:rsidRPr="00D14DE4">
        <w:rPr>
          <w:rStyle w:val="AERtextitalic"/>
        </w:rPr>
        <w:t>An appropriate regulatory estimate of gamma</w:t>
      </w:r>
      <w:r>
        <w:t>, June 2015, pp. 45–48.</w:t>
      </w:r>
    </w:p>
  </w:footnote>
  <w:footnote w:id="346">
    <w:p w:rsidR="005E1FC3" w:rsidRDefault="005E1FC3" w:rsidP="001D37D5">
      <w:pPr>
        <w:pStyle w:val="FootnoteText"/>
      </w:pPr>
      <w:r>
        <w:rPr>
          <w:rStyle w:val="FootnoteReference"/>
        </w:rPr>
        <w:footnoteRef/>
      </w:r>
      <w:r>
        <w:t xml:space="preserve"> </w:t>
      </w:r>
      <w:r>
        <w:tab/>
        <w:t xml:space="preserve">A. Ainsworth, G. Partington and G. Warren, </w:t>
      </w:r>
      <w:r w:rsidRPr="00814197">
        <w:rPr>
          <w:rStyle w:val="AERtextitalic"/>
        </w:rPr>
        <w:t>Do franking credits matter? Exploring the financial implications of dividend imputation</w:t>
      </w:r>
      <w:r>
        <w:t>, May 2015, p. 3.</w:t>
      </w:r>
    </w:p>
  </w:footnote>
  <w:footnote w:id="347">
    <w:p w:rsidR="005E1FC3" w:rsidRDefault="005E1FC3" w:rsidP="001D37D5">
      <w:pPr>
        <w:pStyle w:val="FootnoteText"/>
      </w:pPr>
      <w:r>
        <w:rPr>
          <w:rStyle w:val="FootnoteReference"/>
        </w:rPr>
        <w:footnoteRef/>
      </w:r>
      <w:r>
        <w:t xml:space="preserve"> </w:t>
      </w:r>
      <w:r>
        <w:tab/>
        <w:t xml:space="preserve">A. Ainsworth, G. Partington and G. Warren, </w:t>
      </w:r>
      <w:r w:rsidRPr="00814197">
        <w:rPr>
          <w:rStyle w:val="AERtextitalic"/>
        </w:rPr>
        <w:t>Do franking credits matter? Exploring the financial implications of dividend imputation</w:t>
      </w:r>
      <w:r>
        <w:t>, May 2015, p. 14.</w:t>
      </w:r>
    </w:p>
  </w:footnote>
  <w:footnote w:id="348">
    <w:p w:rsidR="005E1FC3" w:rsidRDefault="005E1FC3" w:rsidP="001D37D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 46.</w:t>
      </w:r>
    </w:p>
  </w:footnote>
  <w:footnote w:id="349">
    <w:p w:rsidR="005E1FC3" w:rsidRDefault="005E1FC3" w:rsidP="001D37D5">
      <w:pPr>
        <w:pStyle w:val="FootnoteText"/>
      </w:pPr>
      <w:r>
        <w:rPr>
          <w:rStyle w:val="FootnoteReference"/>
        </w:rPr>
        <w:footnoteRef/>
      </w:r>
      <w:r>
        <w:t xml:space="preserve"> </w:t>
      </w:r>
      <w:r>
        <w:tab/>
        <w:t xml:space="preserve">A. Ainsworth, G. Partington and G. Warren, </w:t>
      </w:r>
      <w:r w:rsidRPr="00814197">
        <w:rPr>
          <w:rStyle w:val="AERtextitalic"/>
        </w:rPr>
        <w:t>Do franking credits matter? Exploring the financial implications of dividend imputation</w:t>
      </w:r>
      <w:r>
        <w:t>, May 2015, p. 17.</w:t>
      </w:r>
    </w:p>
  </w:footnote>
  <w:footnote w:id="350">
    <w:p w:rsidR="005E1FC3" w:rsidRDefault="005E1FC3" w:rsidP="001D37D5">
      <w:pPr>
        <w:pStyle w:val="FootnoteText"/>
      </w:pPr>
      <w:r>
        <w:rPr>
          <w:rStyle w:val="FootnoteReference"/>
        </w:rPr>
        <w:footnoteRef/>
      </w:r>
      <w:r>
        <w:t xml:space="preserve"> </w:t>
      </w:r>
      <w:r>
        <w:tab/>
        <w:t xml:space="preserve">A. Ainsworth, G. Partington and G. Warren, </w:t>
      </w:r>
      <w:r w:rsidRPr="00814197">
        <w:rPr>
          <w:rStyle w:val="AERtextitalic"/>
        </w:rPr>
        <w:t>Do franking credits matter? Exploring the financial implications of dividend imputation</w:t>
      </w:r>
      <w:r>
        <w:t>, May 2015, p. 17.</w:t>
      </w:r>
    </w:p>
  </w:footnote>
  <w:footnote w:id="351">
    <w:p w:rsidR="005E1FC3" w:rsidRDefault="005E1FC3" w:rsidP="001D37D5">
      <w:pPr>
        <w:pStyle w:val="FootnoteText"/>
      </w:pPr>
      <w:r>
        <w:rPr>
          <w:rStyle w:val="FootnoteReference"/>
        </w:rPr>
        <w:footnoteRef/>
      </w:r>
      <w:r>
        <w:t xml:space="preserve"> </w:t>
      </w:r>
      <w:r>
        <w:tab/>
        <w:t xml:space="preserve">SFG, </w:t>
      </w:r>
      <w:r w:rsidRPr="00C014CC">
        <w:rPr>
          <w:rStyle w:val="AERtextitalic"/>
        </w:rPr>
        <w:t>An appropriate regulatory estimate of gamma</w:t>
      </w:r>
      <w:r>
        <w:t xml:space="preserve">, 21 May 2014, appendix 6; SFG, </w:t>
      </w:r>
      <w:r>
        <w:rPr>
          <w:rStyle w:val="AERtextitalic"/>
        </w:rPr>
        <w:t>Estimating gamma for regulatory purposes</w:t>
      </w:r>
      <w:r>
        <w:t>, 6 February 2015, section 4.</w:t>
      </w:r>
    </w:p>
  </w:footnote>
  <w:footnote w:id="352">
    <w:p w:rsidR="005E1FC3" w:rsidRDefault="005E1FC3" w:rsidP="001D37D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pp. 17–18.</w:t>
      </w:r>
    </w:p>
  </w:footnote>
  <w:footnote w:id="353">
    <w:p w:rsidR="005E1FC3" w:rsidRDefault="005E1FC3" w:rsidP="001D37D5">
      <w:pPr>
        <w:pStyle w:val="FootnoteText"/>
      </w:pPr>
      <w:r>
        <w:rPr>
          <w:rStyle w:val="FootnoteReference"/>
        </w:rPr>
        <w:footnoteRef/>
      </w:r>
      <w:r>
        <w:t xml:space="preserve"> </w:t>
      </w:r>
      <w:r>
        <w:tab/>
      </w:r>
      <w:r w:rsidRPr="004D735C">
        <w:t xml:space="preserve">J. Handley, </w:t>
      </w:r>
      <w:r w:rsidRPr="008916E4">
        <w:rPr>
          <w:rStyle w:val="AERtextitalic"/>
        </w:rPr>
        <w:t>Report prepared for the Australian Energy Regulator: Advice on the value of imputation credits</w:t>
      </w:r>
      <w:r w:rsidRPr="004D735C">
        <w:t>, 29 September 201</w:t>
      </w:r>
      <w:r>
        <w:t xml:space="preserve">4, pp. 22–23, 30–31 and 35; J. Handley, </w:t>
      </w:r>
      <w:r w:rsidRPr="00626887">
        <w:rPr>
          <w:rStyle w:val="AERtextitalic"/>
        </w:rPr>
        <w:t>Report prepared for the Australian Energy Regulator: Further advice on the value of imputation credits</w:t>
      </w:r>
      <w:r>
        <w:t>, 16 April 2015, pp. 3–11.</w:t>
      </w:r>
    </w:p>
  </w:footnote>
  <w:footnote w:id="354">
    <w:p w:rsidR="005E1FC3" w:rsidRDefault="005E1FC3" w:rsidP="001D37D5">
      <w:pPr>
        <w:pStyle w:val="FootnoteText"/>
      </w:pPr>
      <w:r>
        <w:rPr>
          <w:rStyle w:val="FootnoteReference"/>
        </w:rPr>
        <w:footnoteRef/>
      </w:r>
      <w:r>
        <w:t xml:space="preserve"> </w:t>
      </w:r>
      <w:r>
        <w:tab/>
        <w:t xml:space="preserve">SFG, </w:t>
      </w:r>
      <w:r>
        <w:rPr>
          <w:rStyle w:val="AERtextitalic"/>
        </w:rPr>
        <w:t>Estimating gamma for regulatory purposes</w:t>
      </w:r>
      <w:r>
        <w:t>, 6 February 2015, para. 89.</w:t>
      </w:r>
    </w:p>
  </w:footnote>
  <w:footnote w:id="355">
    <w:p w:rsidR="005E1FC3" w:rsidRDefault="005E1FC3" w:rsidP="001D37D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pp. 10–11.</w:t>
      </w:r>
    </w:p>
  </w:footnote>
  <w:footnote w:id="356">
    <w:p w:rsidR="005E1FC3" w:rsidRDefault="005E1FC3" w:rsidP="001D37D5">
      <w:pPr>
        <w:pStyle w:val="FootnoteText"/>
      </w:pPr>
      <w:r>
        <w:rPr>
          <w:rStyle w:val="FootnoteReference"/>
        </w:rPr>
        <w:footnoteRef/>
      </w:r>
      <w:r>
        <w:t xml:space="preserve"> </w:t>
      </w:r>
      <w:r>
        <w:tab/>
        <w:t xml:space="preserve">SFG, </w:t>
      </w:r>
      <w:r w:rsidRPr="00C014CC">
        <w:rPr>
          <w:rStyle w:val="AERtextitalic"/>
        </w:rPr>
        <w:t>An appropriate regulatory estimate of gamma</w:t>
      </w:r>
      <w:r>
        <w:t xml:space="preserve">, 21 May 2014, appendix 6; SFG, </w:t>
      </w:r>
      <w:r>
        <w:rPr>
          <w:rStyle w:val="AERtextitalic"/>
        </w:rPr>
        <w:t>Estimating gamma for regulatory purposes</w:t>
      </w:r>
      <w:r>
        <w:t>, 6 February 2015, paras. 103–105.</w:t>
      </w:r>
    </w:p>
  </w:footnote>
  <w:footnote w:id="357">
    <w:p w:rsidR="005E1FC3" w:rsidRDefault="005E1FC3" w:rsidP="001D37D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footnote 14.</w:t>
      </w:r>
    </w:p>
  </w:footnote>
  <w:footnote w:id="358">
    <w:p w:rsidR="005E1FC3" w:rsidRDefault="005E1FC3" w:rsidP="001D37D5">
      <w:pPr>
        <w:pStyle w:val="FootnoteText"/>
      </w:pPr>
      <w:r>
        <w:rPr>
          <w:rStyle w:val="FootnoteReference"/>
        </w:rPr>
        <w:footnoteRef/>
      </w:r>
      <w:r>
        <w:t xml:space="preserve"> </w:t>
      </w:r>
      <w:r>
        <w:tab/>
      </w:r>
      <w:r w:rsidRPr="004D735C">
        <w:t xml:space="preserve">J. Handley, </w:t>
      </w:r>
      <w:r w:rsidRPr="008916E4">
        <w:rPr>
          <w:rStyle w:val="AERtextitalic"/>
        </w:rPr>
        <w:t>Report prepared for the Australian Energy Regulator: Advice on the value of imputation credits</w:t>
      </w:r>
      <w:r w:rsidRPr="004D735C">
        <w:t>, 29 September 201</w:t>
      </w:r>
      <w:r>
        <w:t xml:space="preserve">4, pp. 22–23, 30–31 and 35; J. Handley, </w:t>
      </w:r>
      <w:r w:rsidRPr="00626887">
        <w:rPr>
          <w:rStyle w:val="AERtextitalic"/>
        </w:rPr>
        <w:t>Report prepared for the Australian Energy Regulator: Further advice on the value of imputation credits</w:t>
      </w:r>
      <w:r>
        <w:t>, 16 April 2015, pp. 3–11.</w:t>
      </w:r>
    </w:p>
  </w:footnote>
  <w:footnote w:id="359">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8-9.</w:t>
      </w:r>
    </w:p>
  </w:footnote>
  <w:footnote w:id="360">
    <w:p w:rsidR="005E1FC3" w:rsidRDefault="005E1FC3" w:rsidP="001D37D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pp. 4–5.</w:t>
      </w:r>
    </w:p>
  </w:footnote>
  <w:footnote w:id="361">
    <w:p w:rsidR="005E1FC3" w:rsidRDefault="005E1FC3" w:rsidP="001D37D5">
      <w:pPr>
        <w:pStyle w:val="FootnoteText"/>
      </w:pPr>
      <w:r>
        <w:rPr>
          <w:rStyle w:val="FootnoteReference"/>
        </w:rPr>
        <w:footnoteRef/>
      </w:r>
      <w:r>
        <w:t xml:space="preserve"> </w:t>
      </w:r>
      <w:r>
        <w:tab/>
      </w:r>
      <w:r w:rsidRPr="00582678">
        <w:t xml:space="preserve">J. Handley, </w:t>
      </w:r>
      <w:r w:rsidRPr="00582678">
        <w:rPr>
          <w:rStyle w:val="AERtextitalic"/>
        </w:rPr>
        <w:t>Report prepared for the Australian Energy Regulator: Advice on the value of imputation credits</w:t>
      </w:r>
      <w:r w:rsidRPr="00582678">
        <w:t>, 29 September 2014</w:t>
      </w:r>
      <w:r>
        <w:t>, p. 46.</w:t>
      </w:r>
    </w:p>
  </w:footnote>
  <w:footnote w:id="362">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pp. 2,4,6; ActewAGL, </w:t>
      </w:r>
      <w:r w:rsidRPr="00AF5B33">
        <w:rPr>
          <w:rStyle w:val="AERtextitalic"/>
        </w:rPr>
        <w:t>Appendix 5.01 Detailed response to rate of return, gamma and inflation</w:t>
      </w:r>
      <w:r>
        <w:t xml:space="preserve">, January 2016, p. 40; AusNet Electricity Services, </w:t>
      </w:r>
      <w:r w:rsidRPr="00AF5B33">
        <w:rPr>
          <w:rStyle w:val="AERtextitalic"/>
        </w:rPr>
        <w:t>Revised Regulatory Proposal</w:t>
      </w:r>
      <w:r>
        <w:t xml:space="preserve">, January 2016, p. 7-79; United Energy, </w:t>
      </w:r>
      <w:r w:rsidRPr="00AF5B33">
        <w:rPr>
          <w:rStyle w:val="AERtextitalic"/>
        </w:rPr>
        <w:t>Response to AER Preliminary Determination Re: Rate of return and gamma</w:t>
      </w:r>
      <w:r>
        <w:t xml:space="preserve">, January 2016, p. 80; CitiPower, </w:t>
      </w:r>
      <w:r w:rsidRPr="00AF5B33">
        <w:rPr>
          <w:rStyle w:val="AERtextitalic"/>
        </w:rPr>
        <w:t>Revised Regulatory Proposal 2016-2020</w:t>
      </w:r>
      <w:r>
        <w:t xml:space="preserve">; January 2016, p. 358; Jemena Electricity Networks, </w:t>
      </w:r>
      <w:r w:rsidRPr="00AF5B33">
        <w:rPr>
          <w:rStyle w:val="AERtextitalic"/>
        </w:rPr>
        <w:t>Attachment 6-1 Rate of return, gamma, forecast inflation, and debt and equity raising costs</w:t>
      </w:r>
      <w:r>
        <w:t xml:space="preserve">, January 2016, p. 86; Powercor, </w:t>
      </w:r>
      <w:r w:rsidRPr="00AF5B33">
        <w:rPr>
          <w:rStyle w:val="AERtextitalic"/>
        </w:rPr>
        <w:t>Revised Regulatory Proposal 2016-2020</w:t>
      </w:r>
      <w:r>
        <w:t>, January 2016, p. 352.</w:t>
      </w:r>
    </w:p>
  </w:footnote>
  <w:footnote w:id="363">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6; ActewAGL, </w:t>
      </w:r>
      <w:r w:rsidRPr="00AF5B33">
        <w:rPr>
          <w:rStyle w:val="AERtextitalic"/>
        </w:rPr>
        <w:t>Appendix 5.01 Detailed response to rate of return, gamma and inflation</w:t>
      </w:r>
      <w:r>
        <w:t xml:space="preserve">, January 2016, pp. 41, 108; AusNet Electricity Services, </w:t>
      </w:r>
      <w:r w:rsidRPr="00AF5B33">
        <w:rPr>
          <w:rStyle w:val="AERtextitalic"/>
        </w:rPr>
        <w:t>Revised Regulatory Proposal</w:t>
      </w:r>
      <w:r>
        <w:t xml:space="preserve">, January 2016, pp. 7-79, 7-80; United Energy, </w:t>
      </w:r>
      <w:r w:rsidRPr="00AF5B33">
        <w:rPr>
          <w:rStyle w:val="AERtextitalic"/>
        </w:rPr>
        <w:t>Response to AER Preliminary Determination Re: Rate of return and gamma</w:t>
      </w:r>
      <w:r>
        <w:t xml:space="preserve">, January 2016, p. 81; CitiPower, </w:t>
      </w:r>
      <w:r w:rsidRPr="00AF5B33">
        <w:rPr>
          <w:rStyle w:val="AERtextitalic"/>
        </w:rPr>
        <w:t>Revised Regulatory Proposal 2016-2020</w:t>
      </w:r>
      <w:r>
        <w:t xml:space="preserve">; January 2016, p. 358; Jemena Electricity Networks, </w:t>
      </w:r>
      <w:r w:rsidRPr="00AF5B33">
        <w:rPr>
          <w:rStyle w:val="AERtextitalic"/>
        </w:rPr>
        <w:t>Attachment 6-1 Rate of return, gamma, forecast inflation, and debt and equity raising costs</w:t>
      </w:r>
      <w:r>
        <w:t xml:space="preserve">, January 2016, p. 87; Powercor, </w:t>
      </w:r>
      <w:r w:rsidRPr="00AF5B33">
        <w:rPr>
          <w:rStyle w:val="AERtextitalic"/>
        </w:rPr>
        <w:t>Revised Regulatory Proposal 2016-2020</w:t>
      </w:r>
      <w:r>
        <w:t>, January 2016, p. 352.</w:t>
      </w:r>
    </w:p>
  </w:footnote>
  <w:footnote w:id="364">
    <w:p w:rsidR="005E1FC3" w:rsidRDefault="005E1FC3" w:rsidP="001D37D5">
      <w:pPr>
        <w:pStyle w:val="FootnoteText"/>
      </w:pPr>
      <w:r>
        <w:rPr>
          <w:rStyle w:val="FootnoteReference"/>
        </w:rPr>
        <w:footnoteRef/>
      </w:r>
      <w:r>
        <w:t xml:space="preserve"> </w:t>
      </w:r>
      <w:r>
        <w:tab/>
        <w:t xml:space="preserve">ActewAGL, </w:t>
      </w:r>
      <w:r w:rsidRPr="000E181F">
        <w:rPr>
          <w:rStyle w:val="AERtextitalic"/>
        </w:rPr>
        <w:t>Detailed response to the AER's draft decision in relation to gamma</w:t>
      </w:r>
      <w:r>
        <w:t xml:space="preserve">, January 2015, p. 2; Ausgrid, </w:t>
      </w:r>
      <w:r w:rsidRPr="00D75F7A">
        <w:rPr>
          <w:rStyle w:val="AERtextitalic"/>
        </w:rPr>
        <w:t>Ausgrid's revised proposal on gamma</w:t>
      </w:r>
      <w:r>
        <w:t xml:space="preserve">, January 2015, p. 4; Directlink, </w:t>
      </w:r>
      <w:r w:rsidRPr="0000771B">
        <w:rPr>
          <w:rStyle w:val="AERtextitalic"/>
        </w:rPr>
        <w:t>Directlink submission on gamma (updated)</w:t>
      </w:r>
      <w:r>
        <w:t xml:space="preserve">, January 2015, p. 5; Endeavour Energy, </w:t>
      </w:r>
      <w:r w:rsidRPr="00DF3162">
        <w:rPr>
          <w:rStyle w:val="AERtextitalic"/>
        </w:rPr>
        <w:t>Endeavour Energy's response to the AER draft decision re gamma</w:t>
      </w:r>
      <w:r>
        <w:t xml:space="preserve">, January 2015, p. 4; Essential Energy, </w:t>
      </w:r>
      <w:r w:rsidRPr="000E181F">
        <w:rPr>
          <w:rStyle w:val="AERtextitalic"/>
        </w:rPr>
        <w:t>Essential's response to AER draft decision re gamma</w:t>
      </w:r>
      <w:r>
        <w:t xml:space="preserve">, January 2015, p. 4; JGN, </w:t>
      </w:r>
      <w:r w:rsidRPr="000E181F">
        <w:rPr>
          <w:rStyle w:val="AERtextitalic"/>
        </w:rPr>
        <w:t>Gamma - response to the draft decision</w:t>
      </w:r>
      <w:r>
        <w:t xml:space="preserve">, February 2015, p. 6; AusNet Services, </w:t>
      </w:r>
      <w:r w:rsidRPr="00596AF9">
        <w:rPr>
          <w:i/>
        </w:rPr>
        <w:t>2016-20 Regulatory Proposal</w:t>
      </w:r>
      <w:r>
        <w:t xml:space="preserve">, April 2015, p. 360; United Energy, </w:t>
      </w:r>
      <w:r w:rsidRPr="00596AF9">
        <w:rPr>
          <w:i/>
        </w:rPr>
        <w:t>Assessment of the Value of Imputation Credits - Gamma, Proposal for 2016 to 2020</w:t>
      </w:r>
      <w:r>
        <w:t xml:space="preserve">, April 2015, p. 9; CitiPower,- </w:t>
      </w:r>
      <w:r w:rsidRPr="00596AF9">
        <w:rPr>
          <w:i/>
        </w:rPr>
        <w:t>Appendix J - Gamma</w:t>
      </w:r>
      <w:r>
        <w:t xml:space="preserve">, April 2015, p. 9; Powercor, </w:t>
      </w:r>
      <w:r w:rsidRPr="00596AF9">
        <w:rPr>
          <w:i/>
        </w:rPr>
        <w:t>Appendix J - Gamma</w:t>
      </w:r>
      <w:r>
        <w:t xml:space="preserve">, April 2015, p. 9; Jemena Electricity, </w:t>
      </w:r>
      <w:r w:rsidRPr="00596AF9">
        <w:rPr>
          <w:i/>
        </w:rPr>
        <w:t>Attachment 06-06 Gamma proposal</w:t>
      </w:r>
      <w:r>
        <w:t xml:space="preserve">, April 2015, p. 9 ; Energex, </w:t>
      </w:r>
      <w:r w:rsidRPr="00596AF9">
        <w:rPr>
          <w:i/>
        </w:rPr>
        <w:t>Submission on Energex's regulatory proposal 2015-20 and AER issues paper - attachment 2</w:t>
      </w:r>
      <w:r>
        <w:t xml:space="preserve">, January 2015, p. 6; ActewAGL Distribution, </w:t>
      </w:r>
      <w:r w:rsidRPr="00596AF9">
        <w:rPr>
          <w:i/>
        </w:rPr>
        <w:t xml:space="preserve">Attachment 8 Detailed gamma proposal, </w:t>
      </w:r>
      <w:r>
        <w:t xml:space="preserve">June 2015, p. 7. </w:t>
      </w:r>
    </w:p>
  </w:footnote>
  <w:footnote w:id="365">
    <w:p w:rsidR="005E1FC3" w:rsidRDefault="005E1FC3" w:rsidP="001D37D5">
      <w:pPr>
        <w:pStyle w:val="FootnoteText"/>
      </w:pPr>
      <w:r>
        <w:rPr>
          <w:rStyle w:val="FootnoteReference"/>
        </w:rPr>
        <w:footnoteRef/>
      </w:r>
      <w:r>
        <w:t xml:space="preserve"> </w:t>
      </w:r>
      <w:r>
        <w:tab/>
        <w:t xml:space="preserve">See section A.5 of the draft decisions and: </w:t>
      </w:r>
      <w:r w:rsidRPr="007646B1">
        <w:t xml:space="preserve">AER, </w:t>
      </w:r>
      <w:r w:rsidRPr="007646B1">
        <w:rPr>
          <w:rStyle w:val="AERtextitalic"/>
        </w:rPr>
        <w:t xml:space="preserve">Better regulation: Explanatory </w:t>
      </w:r>
      <w:r>
        <w:rPr>
          <w:rStyle w:val="AERtextitalic"/>
        </w:rPr>
        <w:t>S</w:t>
      </w:r>
      <w:r w:rsidRPr="007646B1">
        <w:rPr>
          <w:rStyle w:val="AERtextitalic"/>
        </w:rPr>
        <w:t xml:space="preserve">tatement </w:t>
      </w:r>
      <w:r>
        <w:rPr>
          <w:rStyle w:val="AERtextitalic"/>
        </w:rPr>
        <w:t>R</w:t>
      </w:r>
      <w:r w:rsidRPr="007646B1">
        <w:rPr>
          <w:rStyle w:val="AERtextitalic"/>
        </w:rPr>
        <w:t>ate</w:t>
      </w:r>
      <w:r>
        <w:rPr>
          <w:rStyle w:val="AERtextitalic"/>
        </w:rPr>
        <w:t xml:space="preserve"> of Return Guideline, Appendices,</w:t>
      </w:r>
      <w:r w:rsidRPr="007646B1">
        <w:t xml:space="preserve"> December 2013</w:t>
      </w:r>
      <w:r>
        <w:t>, p. 138.</w:t>
      </w:r>
    </w:p>
  </w:footnote>
  <w:footnote w:id="366">
    <w:p w:rsidR="005E1FC3" w:rsidRDefault="005E1FC3" w:rsidP="001D37D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pp. 3-4.</w:t>
      </w:r>
    </w:p>
  </w:footnote>
  <w:footnote w:id="367">
    <w:p w:rsidR="005E1FC3" w:rsidRDefault="005E1FC3" w:rsidP="001D37D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2, 3.</w:t>
      </w:r>
    </w:p>
  </w:footnote>
  <w:footnote w:id="368">
    <w:p w:rsidR="005E1FC3" w:rsidRDefault="005E1FC3" w:rsidP="001D37D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7.</w:t>
      </w:r>
    </w:p>
  </w:footnote>
  <w:footnote w:id="369">
    <w:p w:rsidR="005E1FC3" w:rsidRDefault="005E1FC3" w:rsidP="001D37D5">
      <w:pPr>
        <w:pStyle w:val="FootnoteText"/>
      </w:pPr>
      <w:r>
        <w:rPr>
          <w:rStyle w:val="FootnoteReference"/>
        </w:rPr>
        <w:footnoteRef/>
      </w:r>
      <w:r>
        <w:t xml:space="preserve"> </w:t>
      </w:r>
      <w:r>
        <w:tab/>
      </w:r>
      <w:r w:rsidRPr="00AF088D">
        <w:t xml:space="preserve">SFG, </w:t>
      </w:r>
      <w:r w:rsidRPr="00AF088D">
        <w:rPr>
          <w:rStyle w:val="AERtextitalic"/>
        </w:rPr>
        <w:t>Updated dividend drop-off estimate of theta: Report for the Energy Networks Association</w:t>
      </w:r>
      <w:r w:rsidRPr="00AF088D">
        <w:t>, 7 </w:t>
      </w:r>
      <w:r>
        <w:t>June 2013, pp. 18-20.</w:t>
      </w:r>
    </w:p>
  </w:footnote>
  <w:footnote w:id="370">
    <w:p w:rsidR="005E1FC3" w:rsidRDefault="005E1FC3" w:rsidP="001D37D5">
      <w:pPr>
        <w:pStyle w:val="FootnoteText"/>
      </w:pPr>
      <w:r>
        <w:rPr>
          <w:rStyle w:val="FootnoteReference"/>
        </w:rPr>
        <w:footnoteRef/>
      </w:r>
      <w:r>
        <w:t xml:space="preserve"> </w:t>
      </w:r>
      <w:r>
        <w:tab/>
        <w:t xml:space="preserve">Capital gains are normally taxed at half the marginal tax rate if the investment was held for a period of 12 months or more. See ATO: </w:t>
      </w:r>
      <w:r w:rsidRPr="005764F6">
        <w:t>https://www.ato.gov.au/general/capital-gains-tax/working-out-your-capital-gain-or-loss/working-out-your-capital-gain/</w:t>
      </w:r>
      <w:r>
        <w:t xml:space="preserve"> accessed: 20 May 2016.</w:t>
      </w:r>
    </w:p>
  </w:footnote>
  <w:footnote w:id="371">
    <w:p w:rsidR="005E1FC3" w:rsidRDefault="005E1FC3" w:rsidP="001D37D5">
      <w:pPr>
        <w:pStyle w:val="FootnoteText"/>
      </w:pPr>
      <w:r>
        <w:rPr>
          <w:rStyle w:val="FootnoteReference"/>
        </w:rPr>
        <w:footnoteRef/>
      </w:r>
      <w:r>
        <w:t xml:space="preserve"> </w:t>
      </w:r>
      <w:r>
        <w:tab/>
        <w:t xml:space="preserve">N. Hathaway and B. Officer, </w:t>
      </w:r>
      <w:r w:rsidRPr="00AF729D">
        <w:rPr>
          <w:rStyle w:val="AERtextitalic"/>
        </w:rPr>
        <w:t>The value of imputation tax cred</w:t>
      </w:r>
      <w:r>
        <w:rPr>
          <w:rStyle w:val="AERtextitalic"/>
        </w:rPr>
        <w:t xml:space="preserve">its, </w:t>
      </w:r>
      <w:r w:rsidRPr="00AF729D">
        <w:rPr>
          <w:rStyle w:val="AERtextitalic"/>
        </w:rPr>
        <w:t>Update 2004</w:t>
      </w:r>
      <w:r>
        <w:t>, November 2004.</w:t>
      </w:r>
    </w:p>
  </w:footnote>
  <w:footnote w:id="372">
    <w:p w:rsidR="005E1FC3"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w:t>
      </w:r>
      <w:r w:rsidRPr="00590D86">
        <w:t xml:space="preserve">. </w:t>
      </w:r>
      <w:r w:rsidRPr="006D49F4">
        <w:t>1073.</w:t>
      </w:r>
    </w:p>
  </w:footnote>
  <w:footnote w:id="373">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12.</w:t>
      </w:r>
    </w:p>
  </w:footnote>
  <w:footnote w:id="374">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1; ActewAGL, </w:t>
      </w:r>
      <w:r w:rsidRPr="00AF5B33">
        <w:rPr>
          <w:rStyle w:val="AERtextitalic"/>
        </w:rPr>
        <w:t>Appendix 5.01 Detailed response to rate of return, gamma and inflation</w:t>
      </w:r>
      <w:r>
        <w:t xml:space="preserve">, January 2016, pp. 112-114; AusNet Electricity Services, </w:t>
      </w:r>
      <w:r w:rsidRPr="00AF5B33">
        <w:rPr>
          <w:rStyle w:val="AERtextitalic"/>
        </w:rPr>
        <w:t>Revised Regulatory Proposal</w:t>
      </w:r>
      <w:r>
        <w:t xml:space="preserve">, January 2016, pp. 7-83, 7-84; United Energy, </w:t>
      </w:r>
      <w:r w:rsidRPr="00AF5B33">
        <w:rPr>
          <w:rStyle w:val="AERtextitalic"/>
        </w:rPr>
        <w:t>Response to AER Preliminary Determination Re: Rate of return and gamma</w:t>
      </w:r>
      <w:r>
        <w:t xml:space="preserve">, January 2016, pp. 84-86; CitiPower, </w:t>
      </w:r>
      <w:r w:rsidRPr="00AF5B33">
        <w:rPr>
          <w:rStyle w:val="AERtextitalic"/>
        </w:rPr>
        <w:t>Revised Regulatory Proposal 2016-2020</w:t>
      </w:r>
      <w:r>
        <w:t xml:space="preserve">; January 2016, pp. 362-364; Jemena Electricity Networks, </w:t>
      </w:r>
      <w:r w:rsidRPr="00AF5B33">
        <w:rPr>
          <w:rStyle w:val="AERtextitalic"/>
        </w:rPr>
        <w:t>Attachment 6-1 Rate of return, gamma, forecast inflation, and debt and equity raising costs</w:t>
      </w:r>
      <w:r>
        <w:t xml:space="preserve">, January 2016, pp. 90-92; Powercor, </w:t>
      </w:r>
      <w:r w:rsidRPr="00AF5B33">
        <w:rPr>
          <w:rStyle w:val="AERtextitalic"/>
        </w:rPr>
        <w:t>Revised Regulatory Proposal 2016-2020</w:t>
      </w:r>
      <w:r>
        <w:t>, January 2016, pp. 356-358.</w:t>
      </w:r>
    </w:p>
  </w:footnote>
  <w:footnote w:id="375">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11; ActewAGL, </w:t>
      </w:r>
      <w:r w:rsidRPr="00AF5B33">
        <w:rPr>
          <w:rStyle w:val="AERtextitalic"/>
        </w:rPr>
        <w:t>Appendix 5.01 Detailed response to rate of return, gamma and inflation</w:t>
      </w:r>
      <w:r>
        <w:t xml:space="preserve">, January 2016, pp. 112-114; AusNet Electricity Services, </w:t>
      </w:r>
      <w:r w:rsidRPr="00AF5B33">
        <w:rPr>
          <w:rStyle w:val="AERtextitalic"/>
        </w:rPr>
        <w:t>Revised Regulatory Proposal</w:t>
      </w:r>
      <w:r>
        <w:t xml:space="preserve">, January 2016, pp. 7-83, 7-84; United Energy, </w:t>
      </w:r>
      <w:r w:rsidRPr="00AF5B33">
        <w:rPr>
          <w:rStyle w:val="AERtextitalic"/>
        </w:rPr>
        <w:t>Response to AER Preliminary Determination Re: Rate of return and gamma</w:t>
      </w:r>
      <w:r>
        <w:t xml:space="preserve">, January 2016, pp. 84-86; CitiPower, </w:t>
      </w:r>
      <w:r w:rsidRPr="00AF5B33">
        <w:rPr>
          <w:rStyle w:val="AERtextitalic"/>
        </w:rPr>
        <w:t>Revised Regulatory Proposal 2016-2020</w:t>
      </w:r>
      <w:r>
        <w:t xml:space="preserve">; January 2016, pp. 362-364; Jemena Electricity Networks, </w:t>
      </w:r>
      <w:r w:rsidRPr="00AF5B33">
        <w:rPr>
          <w:rStyle w:val="AERtextitalic"/>
        </w:rPr>
        <w:t>Attachment 6-1 Rate of return, gamma, forecast inflation, and debt and equity raising costs</w:t>
      </w:r>
      <w:r>
        <w:t xml:space="preserve">, January 2016, pp. 90-92; Powercor, </w:t>
      </w:r>
      <w:r w:rsidRPr="00AF5B33">
        <w:rPr>
          <w:rStyle w:val="AERtextitalic"/>
        </w:rPr>
        <w:t>Revised Regulatory Proposal 2016-2020</w:t>
      </w:r>
      <w:r>
        <w:t>, January 2016, pp. 356-358.</w:t>
      </w:r>
    </w:p>
  </w:footnote>
  <w:footnote w:id="376">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pp. 11-12; ActewAGL, </w:t>
      </w:r>
      <w:r w:rsidRPr="00AF5B33">
        <w:rPr>
          <w:rStyle w:val="AERtextitalic"/>
        </w:rPr>
        <w:t>Appendix 5.01 Detailed response to rate of return, gamma and inflation</w:t>
      </w:r>
      <w:r>
        <w:t xml:space="preserve">, January 2016, pp. 114-115; AusNet Electricity Services, </w:t>
      </w:r>
      <w:r w:rsidRPr="00AF5B33">
        <w:rPr>
          <w:rStyle w:val="AERtextitalic"/>
        </w:rPr>
        <w:t>Revised Regulatory Proposal</w:t>
      </w:r>
      <w:r>
        <w:t xml:space="preserve">, January 2016, p. 7-84; United Energy, </w:t>
      </w:r>
      <w:r w:rsidRPr="00AF5B33">
        <w:rPr>
          <w:rStyle w:val="AERtextitalic"/>
        </w:rPr>
        <w:t>Response to AER Preliminary Determination Re: Rate of return and gamma</w:t>
      </w:r>
      <w:r>
        <w:t xml:space="preserve">, January 2016, pp. 85-86; CitiPower, </w:t>
      </w:r>
      <w:r w:rsidRPr="00AF5B33">
        <w:rPr>
          <w:rStyle w:val="AERtextitalic"/>
        </w:rPr>
        <w:t>Revised Regulatory Proposal 2016-2020</w:t>
      </w:r>
      <w:r>
        <w:t xml:space="preserve">; January 2016, pp. 363-364; Jemena Electricity Networks, </w:t>
      </w:r>
      <w:r w:rsidRPr="00AF5B33">
        <w:rPr>
          <w:rStyle w:val="AERtextitalic"/>
        </w:rPr>
        <w:t>Attachment 6-1 Rate of return, gamma, forecast inflation, and debt and equity raising costs</w:t>
      </w:r>
      <w:r>
        <w:t xml:space="preserve">, January 2016, p. 92; Powercor, </w:t>
      </w:r>
      <w:r w:rsidRPr="00AF5B33">
        <w:rPr>
          <w:rStyle w:val="AERtextitalic"/>
        </w:rPr>
        <w:t>Revised Regulatory Proposal 2016-2020</w:t>
      </w:r>
      <w:r>
        <w:t>, January 2016, pp. 357-358.</w:t>
      </w:r>
    </w:p>
  </w:footnote>
  <w:footnote w:id="377">
    <w:p w:rsidR="005E1FC3" w:rsidRDefault="005E1FC3" w:rsidP="001D37D5">
      <w:pPr>
        <w:pStyle w:val="FootnoteText"/>
      </w:pPr>
      <w:r>
        <w:rPr>
          <w:rStyle w:val="FootnoteReference"/>
        </w:rPr>
        <w:footnoteRef/>
      </w:r>
      <w:r>
        <w:t xml:space="preserve"> </w:t>
      </w:r>
      <w:r>
        <w:tab/>
        <w:t>Frontier Economics, The appropriate use of tax statistics when estimating gamma, January 2016, p. 7.</w:t>
      </w:r>
    </w:p>
  </w:footnote>
  <w:footnote w:id="378">
    <w:p w:rsidR="005E1FC3" w:rsidRDefault="005E1FC3" w:rsidP="001D37D5">
      <w:pPr>
        <w:pStyle w:val="FootnoteText"/>
      </w:pPr>
      <w:r>
        <w:rPr>
          <w:rStyle w:val="FootnoteReference"/>
        </w:rPr>
        <w:footnoteRef/>
      </w:r>
      <w:r>
        <w:t xml:space="preserve"> </w:t>
      </w:r>
      <w:r>
        <w:tab/>
        <w:t>Frontier Economics, The appropriate use of tax statistics when estimating gamma, January 2016, p. 7.</w:t>
      </w:r>
    </w:p>
  </w:footnote>
  <w:footnote w:id="379">
    <w:p w:rsidR="005E1FC3" w:rsidRDefault="005E1FC3" w:rsidP="001D37D5">
      <w:pPr>
        <w:pStyle w:val="FootnoteText"/>
      </w:pPr>
      <w:r>
        <w:rPr>
          <w:rStyle w:val="FootnoteReference"/>
        </w:rPr>
        <w:footnoteRef/>
      </w:r>
      <w:r>
        <w:t xml:space="preserve"> </w:t>
      </w:r>
      <w:r>
        <w:tab/>
        <w:t xml:space="preserve">See: </w:t>
      </w:r>
      <w:r w:rsidRPr="00611553">
        <w:t>https://www.ato.gov.au/Individuals/Investing/In-detail/Investing-in-shares/You-and-your-shares-2013-14/?page=11</w:t>
      </w:r>
      <w:r>
        <w:t>. Accessed 9 April 2015.</w:t>
      </w:r>
    </w:p>
  </w:footnote>
  <w:footnote w:id="380">
    <w:p w:rsidR="005E1FC3" w:rsidRDefault="005E1FC3" w:rsidP="001D37D5">
      <w:pPr>
        <w:pStyle w:val="FootnoteText"/>
      </w:pPr>
      <w:r>
        <w:rPr>
          <w:rStyle w:val="FootnoteReference"/>
        </w:rPr>
        <w:footnoteRef/>
      </w:r>
      <w:r>
        <w:t xml:space="preserve"> </w:t>
      </w:r>
      <w:r>
        <w:tab/>
      </w:r>
      <w:r w:rsidRPr="00A62FE1">
        <w:t>ActewAGL</w:t>
      </w:r>
      <w:r>
        <w:t xml:space="preserve">, </w:t>
      </w:r>
      <w:r w:rsidRPr="00B53917">
        <w:rPr>
          <w:rStyle w:val="AERtextitalic"/>
        </w:rPr>
        <w:t>Gamma, detailed proposal</w:t>
      </w:r>
      <w:r>
        <w:t>, May 2014, s. 1.4.3;</w:t>
      </w:r>
      <w:r w:rsidRPr="00A62FE1">
        <w:t xml:space="preserve"> </w:t>
      </w:r>
      <w:r>
        <w:t>Ausgrid</w:t>
      </w:r>
      <w:r w:rsidRPr="00A62FE1">
        <w:t xml:space="preserve">, </w:t>
      </w:r>
      <w:r w:rsidRPr="000C4BB9">
        <w:rPr>
          <w:rStyle w:val="AERtextitalic"/>
        </w:rPr>
        <w:t>Ausgrid's gamma proposal</w:t>
      </w:r>
      <w:r>
        <w:t xml:space="preserve">, May 2014, p. 14; </w:t>
      </w:r>
      <w:r w:rsidRPr="00A62FE1">
        <w:t>Directlink</w:t>
      </w:r>
      <w:r>
        <w:t>,</w:t>
      </w:r>
      <w:r w:rsidRPr="00A62FE1">
        <w:t xml:space="preserve"> </w:t>
      </w:r>
      <w:r w:rsidRPr="00B53917">
        <w:rPr>
          <w:rStyle w:val="AERtextitalic"/>
        </w:rPr>
        <w:t>Directlink submission on gamma</w:t>
      </w:r>
      <w:r>
        <w:t xml:space="preserve">, May 2014, p. 15; </w:t>
      </w:r>
      <w:r w:rsidRPr="00A62FE1">
        <w:t>Endeavour Ene</w:t>
      </w:r>
      <w:r>
        <w:t xml:space="preserve">rgy, </w:t>
      </w:r>
      <w:r w:rsidRPr="00B53917">
        <w:rPr>
          <w:rStyle w:val="AERtextitalic"/>
        </w:rPr>
        <w:t>Endeavour Energy's gamma proposal</w:t>
      </w:r>
      <w:r>
        <w:t xml:space="preserve">, May 2014, p. 14; Essential Energy, </w:t>
      </w:r>
      <w:r w:rsidRPr="00B53917">
        <w:rPr>
          <w:rStyle w:val="AERtextitalic"/>
        </w:rPr>
        <w:t>Essential Energy's gamma proposal</w:t>
      </w:r>
      <w:r>
        <w:t xml:space="preserve">, May 2014, p. 14; JGN, </w:t>
      </w:r>
      <w:r w:rsidRPr="00B53917">
        <w:rPr>
          <w:rStyle w:val="AERtextitalic"/>
        </w:rPr>
        <w:t>Gamma proposal</w:t>
      </w:r>
      <w:r>
        <w:t xml:space="preserve">, June 2014, p. 17; and TransGrid, </w:t>
      </w:r>
      <w:r>
        <w:rPr>
          <w:rStyle w:val="AERtextitalic"/>
        </w:rPr>
        <w:t>TransGrid</w:t>
      </w:r>
      <w:r w:rsidRPr="00B53917">
        <w:rPr>
          <w:rStyle w:val="AERtextitalic"/>
        </w:rPr>
        <w:t>'s approach to gamma</w:t>
      </w:r>
      <w:r>
        <w:t>, May 2014, p. 19.</w:t>
      </w:r>
    </w:p>
  </w:footnote>
  <w:footnote w:id="381">
    <w:p w:rsidR="005E1FC3" w:rsidRDefault="005E1FC3" w:rsidP="001D37D5">
      <w:pPr>
        <w:pStyle w:val="FootnoteText"/>
      </w:pPr>
      <w:r>
        <w:rPr>
          <w:rStyle w:val="FootnoteReference"/>
        </w:rPr>
        <w:footnoteRef/>
      </w:r>
      <w:r>
        <w:t xml:space="preserve"> </w:t>
      </w:r>
      <w:r>
        <w:tab/>
      </w:r>
      <w:r w:rsidRPr="00EF3D8A">
        <w:t xml:space="preserve">J. Handley, </w:t>
      </w:r>
      <w:r w:rsidRPr="00EF3D8A">
        <w:rPr>
          <w:rStyle w:val="AERtextitalic"/>
        </w:rPr>
        <w:t>Further issues relating to the estimation of gamma</w:t>
      </w:r>
      <w:r>
        <w:t>, October 2010, footnote 59.</w:t>
      </w:r>
    </w:p>
  </w:footnote>
  <w:footnote w:id="382">
    <w:p w:rsidR="005E1FC3" w:rsidRDefault="005E1FC3" w:rsidP="001D37D5">
      <w:pPr>
        <w:pStyle w:val="FootnoteText"/>
      </w:pPr>
      <w:r>
        <w:rPr>
          <w:rStyle w:val="FootnoteReference"/>
        </w:rPr>
        <w:footnoteRef/>
      </w:r>
      <w:r>
        <w:t xml:space="preserve"> </w:t>
      </w:r>
      <w:r>
        <w:tab/>
      </w:r>
      <w:r w:rsidRPr="00EF3D8A">
        <w:t xml:space="preserve">J. Handley, </w:t>
      </w:r>
      <w:r w:rsidRPr="00EF3D8A">
        <w:rPr>
          <w:rStyle w:val="AERtextitalic"/>
        </w:rPr>
        <w:t>Further issues relating to the estimation of gamma</w:t>
      </w:r>
      <w:r>
        <w:t>, October 2010, footnote 59.</w:t>
      </w:r>
    </w:p>
  </w:footnote>
  <w:footnote w:id="383">
    <w:p w:rsidR="005E1FC3" w:rsidRDefault="005E1FC3" w:rsidP="001D37D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29.</w:t>
      </w:r>
    </w:p>
  </w:footnote>
  <w:footnote w:id="384">
    <w:p w:rsidR="005E1FC3"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paras.</w:t>
      </w:r>
      <w:r w:rsidRPr="006D49F4">
        <w:t xml:space="preserve"> 1048 and 1090.</w:t>
      </w:r>
    </w:p>
  </w:footnote>
  <w:footnote w:id="385">
    <w:p w:rsidR="005E1FC3" w:rsidRPr="00590D86"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paras.</w:t>
      </w:r>
      <w:r w:rsidRPr="006D49F4">
        <w:t xml:space="preserve"> 1092.</w:t>
      </w:r>
    </w:p>
  </w:footnote>
  <w:footnote w:id="386">
    <w:p w:rsidR="005E1FC3" w:rsidRDefault="005E1FC3" w:rsidP="001D37D5">
      <w:pPr>
        <w:pStyle w:val="FootnoteText"/>
      </w:pPr>
      <w:r>
        <w:rPr>
          <w:rStyle w:val="FootnoteReference"/>
        </w:rPr>
        <w:footnoteRef/>
      </w:r>
      <w:r>
        <w:t xml:space="preserve"> </w:t>
      </w:r>
      <w:r>
        <w:tab/>
        <w:t xml:space="preserve">See: </w:t>
      </w:r>
      <w:r w:rsidRPr="00611553">
        <w:t>https://www.ato.gov.au/Individuals/Tax-return/2014/Tax-return/Income-questions-1-12/11---Dividends/</w:t>
      </w:r>
      <w:r>
        <w:t>. Accessed 9 April 2015.</w:t>
      </w:r>
    </w:p>
  </w:footnote>
  <w:footnote w:id="387">
    <w:p w:rsidR="005E1FC3" w:rsidRDefault="005E1FC3" w:rsidP="001D37D5">
      <w:pPr>
        <w:pStyle w:val="FootnoteText"/>
      </w:pPr>
      <w:r>
        <w:rPr>
          <w:rStyle w:val="FootnoteReference"/>
        </w:rPr>
        <w:footnoteRef/>
      </w:r>
      <w:r>
        <w:t xml:space="preserve"> </w:t>
      </w:r>
      <w:r>
        <w:tab/>
        <w:t>Franked dividends must be paid out of after-tax profits. Accordingly, if the corporate tax rate is 30 per cent, then the pre-tax profit (X) that gives rise to $1 dollar of fully franked dividends is given by the expression X - 0.3X = $1 where X = $1.43. Therefore, $0.43 of tax is paid on (and $0.43 of imputation credits can be attached to) each $1 of fully franked dividends.</w:t>
      </w:r>
    </w:p>
  </w:footnote>
  <w:footnote w:id="388">
    <w:p w:rsidR="005E1FC3" w:rsidRDefault="005E1FC3" w:rsidP="001D37D5">
      <w:pPr>
        <w:pStyle w:val="FootnoteText"/>
      </w:pPr>
      <w:r>
        <w:rPr>
          <w:rStyle w:val="FootnoteReference"/>
        </w:rPr>
        <w:footnoteRef/>
      </w:r>
      <w:r>
        <w:t xml:space="preserve"> </w:t>
      </w:r>
      <w:r>
        <w:tab/>
        <w:t xml:space="preserve">The fact that credits implied to have been received by individuals is higher than credits utilised could reflect rounding or issues with the dividend data in the ATO statistics. Our residual concerns with the ATO statistics are discussed in section </w:t>
      </w:r>
      <w:r>
        <w:fldChar w:fldCharType="begin"/>
      </w:r>
      <w:r>
        <w:instrText xml:space="preserve"> REF _Ref451288073 \r \h </w:instrText>
      </w:r>
      <w:r>
        <w:fldChar w:fldCharType="separate"/>
      </w:r>
      <w:r>
        <w:t>4.4</w:t>
      </w:r>
      <w:r>
        <w:fldChar w:fldCharType="end"/>
      </w:r>
      <w:r>
        <w:t xml:space="preserve">of attachment 4.  </w:t>
      </w:r>
    </w:p>
  </w:footnote>
  <w:footnote w:id="389">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10; ActewAGL, </w:t>
      </w:r>
      <w:r w:rsidRPr="00AF5B33">
        <w:rPr>
          <w:rStyle w:val="AERtextitalic"/>
        </w:rPr>
        <w:t>Appendix 5.01 Detailed response to rate of return, gamma and inflation</w:t>
      </w:r>
      <w:r>
        <w:t xml:space="preserve">, January 2016, p. 113; AusNet Electricity Services, </w:t>
      </w:r>
      <w:r w:rsidRPr="00AF5B33">
        <w:rPr>
          <w:rStyle w:val="AERtextitalic"/>
        </w:rPr>
        <w:t>Revised Regulatory Proposal</w:t>
      </w:r>
      <w:r>
        <w:t xml:space="preserve">, January 2016, p. 7-83; United Energy, </w:t>
      </w:r>
      <w:r w:rsidRPr="00AF5B33">
        <w:rPr>
          <w:rStyle w:val="AERtextitalic"/>
        </w:rPr>
        <w:t>Response to AER Preliminary Determination Re: Rate of return and gamma</w:t>
      </w:r>
      <w:r>
        <w:t xml:space="preserve">, January 2016, p. 84; CitiPower, </w:t>
      </w:r>
      <w:r w:rsidRPr="00AF5B33">
        <w:rPr>
          <w:rStyle w:val="AERtextitalic"/>
        </w:rPr>
        <w:t>Revised Regulatory Proposal 2016-2020</w:t>
      </w:r>
      <w:r>
        <w:t xml:space="preserve">; January 2016, p. 362; Jemena Electricity Networks, </w:t>
      </w:r>
      <w:r w:rsidRPr="00AF5B33">
        <w:rPr>
          <w:rStyle w:val="AERtextitalic"/>
        </w:rPr>
        <w:t>Attachment 6-1 Rate of return, gamma, forecast inflation, and debt and equity raising costs</w:t>
      </w:r>
      <w:r>
        <w:t xml:space="preserve">, January 2016, p. 90; Powercor, </w:t>
      </w:r>
      <w:r w:rsidRPr="00AF5B33">
        <w:rPr>
          <w:rStyle w:val="AERtextitalic"/>
        </w:rPr>
        <w:t>Revised Regulatory Proposal 2016-2020</w:t>
      </w:r>
      <w:r>
        <w:t>, January 2016, p. 356.</w:t>
      </w:r>
    </w:p>
  </w:footnote>
  <w:footnote w:id="390">
    <w:p w:rsidR="005E1FC3" w:rsidRDefault="005E1FC3" w:rsidP="001D37D5">
      <w:pPr>
        <w:pStyle w:val="FootnoteText"/>
      </w:pPr>
      <w:r>
        <w:rPr>
          <w:rStyle w:val="FootnoteReference"/>
        </w:rPr>
        <w:footnoteRef/>
      </w:r>
      <w:r>
        <w:t xml:space="preserve"> </w:t>
      </w:r>
      <w:r>
        <w:tab/>
        <w:t xml:space="preserve">ActewAGL, </w:t>
      </w:r>
      <w:r w:rsidRPr="000E181F">
        <w:rPr>
          <w:rStyle w:val="AERtextitalic"/>
        </w:rPr>
        <w:t>Detailed response to the AER's draft decision in relation to gamma</w:t>
      </w:r>
      <w:r>
        <w:t xml:space="preserve">, January 2015, p. 4; Ausgrid, </w:t>
      </w:r>
      <w:r w:rsidRPr="00D75F7A">
        <w:rPr>
          <w:rStyle w:val="AERtextitalic"/>
        </w:rPr>
        <w:t>Ausgrid's revised proposal on gamma</w:t>
      </w:r>
      <w:r>
        <w:t xml:space="preserve">, January 2015, pp. 5–6; Directlink, </w:t>
      </w:r>
      <w:r w:rsidRPr="0000771B">
        <w:rPr>
          <w:rStyle w:val="AERtextitalic"/>
        </w:rPr>
        <w:t>Directlink submission on gamma (updated)</w:t>
      </w:r>
      <w:r>
        <w:t xml:space="preserve">, January 2015, p. 7; Endeavour Energy, </w:t>
      </w:r>
      <w:r w:rsidRPr="00DF3162">
        <w:rPr>
          <w:rStyle w:val="AERtextitalic"/>
        </w:rPr>
        <w:t>Endeavour Energy's response to the AER draft decision re gamma</w:t>
      </w:r>
      <w:r>
        <w:t xml:space="preserve">, January 2015, pp. 5–6; Essential Energy, </w:t>
      </w:r>
      <w:r w:rsidRPr="000E181F">
        <w:rPr>
          <w:rStyle w:val="AERtextitalic"/>
        </w:rPr>
        <w:t>Essential's response to AER draft decision re gamma</w:t>
      </w:r>
      <w:r>
        <w:t xml:space="preserve">, January 2015, pp. 5–6; and JGN, </w:t>
      </w:r>
      <w:r w:rsidRPr="000E181F">
        <w:rPr>
          <w:rStyle w:val="AERtextitalic"/>
        </w:rPr>
        <w:t>Gamma - response to the draft decision</w:t>
      </w:r>
      <w:r>
        <w:t>, February 2015, p. 7.</w:t>
      </w:r>
    </w:p>
  </w:footnote>
  <w:footnote w:id="391">
    <w:p w:rsidR="005E1FC3" w:rsidRDefault="005E1FC3" w:rsidP="001D37D5">
      <w:pPr>
        <w:pStyle w:val="FootnoteText"/>
      </w:pPr>
      <w:r>
        <w:rPr>
          <w:rStyle w:val="FootnoteReference"/>
        </w:rPr>
        <w:footnoteRef/>
      </w:r>
      <w:r>
        <w:t xml:space="preserve"> </w:t>
      </w:r>
      <w:r>
        <w:tab/>
      </w:r>
      <w:r w:rsidRPr="00A62FE1">
        <w:t>ActewAGL</w:t>
      </w:r>
      <w:r>
        <w:t xml:space="preserve">, </w:t>
      </w:r>
      <w:r w:rsidRPr="00B53917">
        <w:rPr>
          <w:rStyle w:val="AERtextitalic"/>
        </w:rPr>
        <w:t>Gamma, detailed proposal</w:t>
      </w:r>
      <w:r>
        <w:t>, May 2014, s. 1.4.3;</w:t>
      </w:r>
      <w:r w:rsidRPr="00A62FE1">
        <w:t xml:space="preserve"> </w:t>
      </w:r>
      <w:r>
        <w:t>Ausgrid</w:t>
      </w:r>
      <w:r w:rsidRPr="00A62FE1">
        <w:t xml:space="preserve">, </w:t>
      </w:r>
      <w:r w:rsidRPr="000C4BB9">
        <w:rPr>
          <w:rStyle w:val="AERtextitalic"/>
        </w:rPr>
        <w:t>Ausgrid's gamma proposal</w:t>
      </w:r>
      <w:r>
        <w:t xml:space="preserve">, May 2014, p. 15; </w:t>
      </w:r>
      <w:r w:rsidRPr="00A62FE1">
        <w:t>Directlink</w:t>
      </w:r>
      <w:r>
        <w:t>,</w:t>
      </w:r>
      <w:r w:rsidRPr="00A62FE1">
        <w:t xml:space="preserve"> </w:t>
      </w:r>
      <w:r w:rsidRPr="00B53917">
        <w:rPr>
          <w:rStyle w:val="AERtextitalic"/>
        </w:rPr>
        <w:t>Directlink submission on gamma</w:t>
      </w:r>
      <w:r>
        <w:t xml:space="preserve">, May 2014, p. 16; </w:t>
      </w:r>
      <w:r w:rsidRPr="00A62FE1">
        <w:t>Endeavour Ene</w:t>
      </w:r>
      <w:r>
        <w:t xml:space="preserve">rgy, </w:t>
      </w:r>
      <w:r w:rsidRPr="00B53917">
        <w:rPr>
          <w:rStyle w:val="AERtextitalic"/>
        </w:rPr>
        <w:t>Endeavour Energy's gamma proposal</w:t>
      </w:r>
      <w:r>
        <w:t xml:space="preserve">, May 2014, p. 15. Essential Energy, </w:t>
      </w:r>
      <w:r w:rsidRPr="00B53917">
        <w:rPr>
          <w:rStyle w:val="AERtextitalic"/>
        </w:rPr>
        <w:t>Essential Energy's gamma proposal</w:t>
      </w:r>
      <w:r>
        <w:t xml:space="preserve">, May 2014, pp. 15–16; JGN, </w:t>
      </w:r>
      <w:r w:rsidRPr="00B53917">
        <w:rPr>
          <w:rStyle w:val="AERtextitalic"/>
        </w:rPr>
        <w:t>Gamma proposal</w:t>
      </w:r>
      <w:r>
        <w:t xml:space="preserve">, June 2014, p. 19; and TransGrid, </w:t>
      </w:r>
      <w:r>
        <w:rPr>
          <w:rStyle w:val="AERtextitalic"/>
        </w:rPr>
        <w:t>TransGrid</w:t>
      </w:r>
      <w:r w:rsidRPr="00B53917">
        <w:rPr>
          <w:rStyle w:val="AERtextitalic"/>
        </w:rPr>
        <w:t>'s approach to gamma</w:t>
      </w:r>
      <w:r>
        <w:t>, May 2014, p. 21.</w:t>
      </w:r>
    </w:p>
  </w:footnote>
  <w:footnote w:id="392">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4; ActewAGL, </w:t>
      </w:r>
      <w:r w:rsidRPr="00AF5B33">
        <w:rPr>
          <w:rStyle w:val="AERtextitalic"/>
        </w:rPr>
        <w:t>Appendix 5.01 Detailed response to rate of return, gamma and inflation</w:t>
      </w:r>
      <w:r>
        <w:t xml:space="preserve">, January 2016, pp. 41, 115; AusNet Electricity Services, </w:t>
      </w:r>
      <w:r w:rsidRPr="00AF5B33">
        <w:rPr>
          <w:rStyle w:val="AERtextitalic"/>
        </w:rPr>
        <w:t>Revised Regulatory Proposal</w:t>
      </w:r>
      <w:r>
        <w:t xml:space="preserve">, January 2016, p. 7-84; United Energy, </w:t>
      </w:r>
      <w:r w:rsidRPr="00AF5B33">
        <w:rPr>
          <w:rStyle w:val="AERtextitalic"/>
        </w:rPr>
        <w:t>Response to AER Preliminary Determination Re: Rate of return and gamma</w:t>
      </w:r>
      <w:r>
        <w:t xml:space="preserve">, January 2016, p. 86; CitiPower, </w:t>
      </w:r>
      <w:r w:rsidRPr="00AF5B33">
        <w:rPr>
          <w:rStyle w:val="AERtextitalic"/>
        </w:rPr>
        <w:t>Revised Regulatory Proposal 2016-2020</w:t>
      </w:r>
      <w:r>
        <w:t xml:space="preserve">; January 2016, p. 364; Jemena Electricity Networks, </w:t>
      </w:r>
      <w:r w:rsidRPr="00AF5B33">
        <w:rPr>
          <w:rStyle w:val="AERtextitalic"/>
        </w:rPr>
        <w:t>Attachment 6-1 Rate of return, gamma, forecast inflation, and debt and equity raising costs</w:t>
      </w:r>
      <w:r>
        <w:t xml:space="preserve">, January 2016, p. 92; Powercor, </w:t>
      </w:r>
      <w:r w:rsidRPr="00AF5B33">
        <w:rPr>
          <w:rStyle w:val="AERtextitalic"/>
        </w:rPr>
        <w:t>Revised Regulatory Proposal 2016-2020</w:t>
      </w:r>
      <w:r>
        <w:t>, January 2016, p. 357.</w:t>
      </w:r>
    </w:p>
  </w:footnote>
  <w:footnote w:id="393">
    <w:p w:rsidR="005E1FC3" w:rsidRDefault="005E1FC3" w:rsidP="001D37D5">
      <w:pPr>
        <w:pStyle w:val="FootnoteText"/>
      </w:pPr>
      <w:r>
        <w:rPr>
          <w:rStyle w:val="FootnoteReference"/>
        </w:rPr>
        <w:footnoteRef/>
      </w:r>
      <w:r>
        <w:t xml:space="preserve"> </w:t>
      </w:r>
      <w:r>
        <w:tab/>
        <w:t xml:space="preserve">Frontier Economics, The appropriate use of tax statistics when estimating gamma, January 2016, </w:t>
      </w:r>
      <w:r w:rsidRPr="006D49F4">
        <w:t>p. 28.</w:t>
      </w:r>
    </w:p>
  </w:footnote>
  <w:footnote w:id="394">
    <w:p w:rsidR="005E1FC3" w:rsidRDefault="005E1FC3" w:rsidP="001D37D5">
      <w:pPr>
        <w:pStyle w:val="FootnoteText"/>
      </w:pPr>
      <w:r>
        <w:rPr>
          <w:rStyle w:val="FootnoteReference"/>
        </w:rPr>
        <w:footnoteRef/>
      </w:r>
      <w:r>
        <w:t xml:space="preserve"> </w:t>
      </w:r>
      <w:r>
        <w:tab/>
        <w:t xml:space="preserve">See: </w:t>
      </w:r>
      <w:r w:rsidRPr="00F0207D">
        <w:t>http://taxreview.treasury.gov.au/content/FinalReport.aspx?doc=html/publications/Papers/Final_Report_Part_2/chapter_b2-3.htm</w:t>
      </w:r>
      <w:r>
        <w:t xml:space="preserve">. Accessed: 21 May 2016; </w:t>
      </w:r>
      <w:r w:rsidRPr="00F0207D">
        <w:t xml:space="preserve">M. Lally, </w:t>
      </w:r>
      <w:r w:rsidRPr="00F0207D">
        <w:rPr>
          <w:rStyle w:val="AERtextitalic"/>
        </w:rPr>
        <w:t>Gamma and the ACT Decision</w:t>
      </w:r>
      <w:r w:rsidRPr="00F0207D">
        <w:t>, May 2016, p</w:t>
      </w:r>
      <w:r>
        <w:t>. </w:t>
      </w:r>
      <w:r w:rsidRPr="00F0207D">
        <w:t>20.</w:t>
      </w:r>
    </w:p>
  </w:footnote>
  <w:footnote w:id="395">
    <w:p w:rsidR="005E1FC3" w:rsidRDefault="005E1FC3" w:rsidP="001D37D5">
      <w:pPr>
        <w:pStyle w:val="FootnoteText"/>
        <w:ind w:left="0" w:firstLine="0"/>
      </w:pPr>
      <w:r>
        <w:rPr>
          <w:rStyle w:val="FootnoteReference"/>
        </w:rPr>
        <w:footnoteRef/>
      </w:r>
      <w:r>
        <w:t xml:space="preserve"> </w:t>
      </w:r>
      <w:r>
        <w:tab/>
        <w:t xml:space="preserve">Frontier Economics, </w:t>
      </w:r>
      <w:r w:rsidRPr="00D14DE4">
        <w:rPr>
          <w:rStyle w:val="AERtextitalic"/>
        </w:rPr>
        <w:t>An appropriate regulatory estimate of gamma</w:t>
      </w:r>
      <w:r>
        <w:t>, June 2015, p. 41.</w:t>
      </w:r>
    </w:p>
  </w:footnote>
  <w:footnote w:id="396">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21.</w:t>
      </w:r>
    </w:p>
  </w:footnote>
  <w:footnote w:id="397">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21.</w:t>
      </w:r>
    </w:p>
  </w:footnote>
  <w:footnote w:id="398">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11; ActewAGL, </w:t>
      </w:r>
      <w:r w:rsidRPr="00AF5B33">
        <w:rPr>
          <w:rStyle w:val="AERtextitalic"/>
        </w:rPr>
        <w:t>Appendix 5.01 Detailed response to rate of return, gamma and inflation</w:t>
      </w:r>
      <w:r>
        <w:t xml:space="preserve">, January 2016, p. 115; AusNet Electricity Services, </w:t>
      </w:r>
      <w:r w:rsidRPr="00AF5B33">
        <w:rPr>
          <w:rStyle w:val="AERtextitalic"/>
        </w:rPr>
        <w:t>Revised Regulatory Proposal</w:t>
      </w:r>
      <w:r>
        <w:t xml:space="preserve">, January 2016, p. 7-84; United Energy, </w:t>
      </w:r>
      <w:r w:rsidRPr="00AF5B33">
        <w:rPr>
          <w:rStyle w:val="AERtextitalic"/>
        </w:rPr>
        <w:t>Response to AER Preliminary Determination Re: Rate of return and gamma</w:t>
      </w:r>
      <w:r>
        <w:t xml:space="preserve">, January 2016, p. 85; CitiPower, </w:t>
      </w:r>
      <w:r w:rsidRPr="00AF5B33">
        <w:rPr>
          <w:rStyle w:val="AERtextitalic"/>
        </w:rPr>
        <w:t>Revised Regulatory Proposal 2016-2020</w:t>
      </w:r>
      <w:r>
        <w:t xml:space="preserve">; January 2016, p. 363; Jemena Electricity Networks, </w:t>
      </w:r>
      <w:r w:rsidRPr="00AF5B33">
        <w:rPr>
          <w:rStyle w:val="AERtextitalic"/>
        </w:rPr>
        <w:t>Attachment 6-1 Rate of return, gamma, forecast inflation, and debt and equity raising costs</w:t>
      </w:r>
      <w:r>
        <w:t xml:space="preserve">, January 2016, p. 92; Powercor, </w:t>
      </w:r>
      <w:r w:rsidRPr="00AF5B33">
        <w:rPr>
          <w:rStyle w:val="AERtextitalic"/>
        </w:rPr>
        <w:t>Revised Regulatory Proposal 2016-2020</w:t>
      </w:r>
      <w:r>
        <w:t>, January 2016, p. 357.</w:t>
      </w:r>
    </w:p>
  </w:footnote>
  <w:footnote w:id="399">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11; ActewAGL, </w:t>
      </w:r>
      <w:r w:rsidRPr="00AF5B33">
        <w:rPr>
          <w:rStyle w:val="AERtextitalic"/>
        </w:rPr>
        <w:t>Appendix 5.01 Detailed response to rate of return, gamma and inflation</w:t>
      </w:r>
      <w:r>
        <w:t xml:space="preserve">, January 2016, p. 115; AusNet Electricity Services, </w:t>
      </w:r>
      <w:r w:rsidRPr="00AF5B33">
        <w:rPr>
          <w:rStyle w:val="AERtextitalic"/>
        </w:rPr>
        <w:t>Revised Regulatory Proposal</w:t>
      </w:r>
      <w:r>
        <w:t xml:space="preserve">, January 2016, p. 7-84; United Energy, </w:t>
      </w:r>
      <w:r w:rsidRPr="00AF5B33">
        <w:rPr>
          <w:rStyle w:val="AERtextitalic"/>
        </w:rPr>
        <w:t>Response to AER Preliminary Determination Re: Rate of return and gamma</w:t>
      </w:r>
      <w:r>
        <w:t xml:space="preserve">, January 2016, p. 85; CitiPower, </w:t>
      </w:r>
      <w:r w:rsidRPr="00AF5B33">
        <w:rPr>
          <w:rStyle w:val="AERtextitalic"/>
        </w:rPr>
        <w:t>Revised Regulatory Proposal 2016-2020</w:t>
      </w:r>
      <w:r>
        <w:t xml:space="preserve">; January 2016, p. 363; Jemena Electricity Networks, </w:t>
      </w:r>
      <w:r w:rsidRPr="00AF5B33">
        <w:rPr>
          <w:rStyle w:val="AERtextitalic"/>
        </w:rPr>
        <w:t>Attachment 6-1 Rate of return, gamma, forecast inflation, and debt and equity raising costs</w:t>
      </w:r>
      <w:r>
        <w:t xml:space="preserve">, January 2016, p. 92; Powercor, </w:t>
      </w:r>
      <w:r w:rsidRPr="00AF5B33">
        <w:rPr>
          <w:rStyle w:val="AERtextitalic"/>
        </w:rPr>
        <w:t>Revised Regulatory Proposal 2016-2020</w:t>
      </w:r>
      <w:r>
        <w:t>, January 2016, p. 357.</w:t>
      </w:r>
    </w:p>
  </w:footnote>
  <w:footnote w:id="400">
    <w:p w:rsidR="005E1FC3" w:rsidRDefault="005E1FC3" w:rsidP="001D37D5">
      <w:pPr>
        <w:pStyle w:val="FootnoteText"/>
      </w:pPr>
      <w:r>
        <w:rPr>
          <w:rStyle w:val="FootnoteReference"/>
        </w:rPr>
        <w:footnoteRef/>
      </w:r>
      <w:r>
        <w:t xml:space="preserve"> </w:t>
      </w:r>
      <w:r>
        <w:tab/>
      </w:r>
      <w:r w:rsidRPr="004D735C">
        <w:t xml:space="preserve">J. Handley, </w:t>
      </w:r>
      <w:r w:rsidRPr="003E6BB3">
        <w:rPr>
          <w:rStyle w:val="AERtextitalic"/>
        </w:rPr>
        <w:t>Report prepared for the Australian Energy Regulator: Advice on the value of imputation credits</w:t>
      </w:r>
      <w:r w:rsidRPr="004D735C">
        <w:t>, 29 September 201</w:t>
      </w:r>
      <w:r>
        <w:t>4, p. 46.</w:t>
      </w:r>
    </w:p>
  </w:footnote>
  <w:footnote w:id="401">
    <w:p w:rsidR="005E1FC3" w:rsidRDefault="005E1FC3" w:rsidP="001D37D5">
      <w:pPr>
        <w:pStyle w:val="FootnoteText"/>
      </w:pPr>
      <w:r>
        <w:rPr>
          <w:rStyle w:val="FootnoteReference"/>
        </w:rPr>
        <w:footnoteRef/>
      </w:r>
      <w:r>
        <w:t xml:space="preserve"> </w:t>
      </w:r>
      <w:r>
        <w:tab/>
        <w:t xml:space="preserve">See: </w:t>
      </w:r>
      <w:r w:rsidRPr="00611553">
        <w:t>https://www.ato.gov.au/Individuals/Tax-return/2014/Tax-return/Income-questions-1-12/11---Dividends/</w:t>
      </w:r>
      <w:r>
        <w:t>. Accessed: 9 April 2015.</w:t>
      </w:r>
    </w:p>
  </w:footnote>
  <w:footnote w:id="402">
    <w:p w:rsidR="005E1FC3" w:rsidRDefault="005E1FC3" w:rsidP="001D37D5">
      <w:pPr>
        <w:pStyle w:val="FootnoteText"/>
      </w:pPr>
      <w:r>
        <w:rPr>
          <w:rStyle w:val="FootnoteReference"/>
        </w:rPr>
        <w:footnoteRef/>
      </w:r>
      <w:r>
        <w:t xml:space="preserve"> </w:t>
      </w:r>
      <w:r>
        <w:tab/>
        <w:t xml:space="preserve">Eligible investors that do not need to submit a tax return can have imputation credits refunded by submitting this form to the ATO: </w:t>
      </w:r>
      <w:r w:rsidRPr="00611553">
        <w:t>https://www.ato.gov.au/uploadedFiles/Content/MEI/downloads/ind39831n40980614.pdf</w:t>
      </w:r>
      <w:r>
        <w:t xml:space="preserve">. Accessed 9 April 2015. We consider that the form is quite straightforward, and therefore the cost of filling it out and submitting it is unlikely to outweigh the benefit of any material amount of imputation credits.  </w:t>
      </w:r>
    </w:p>
  </w:footnote>
  <w:footnote w:id="403">
    <w:p w:rsidR="005E1FC3" w:rsidRDefault="005E1FC3" w:rsidP="001D37D5">
      <w:pPr>
        <w:pStyle w:val="FootnoteText"/>
      </w:pPr>
      <w:r>
        <w:rPr>
          <w:rStyle w:val="FootnoteReference"/>
        </w:rPr>
        <w:footnoteRef/>
      </w:r>
      <w:r>
        <w:t xml:space="preserve"> </w:t>
      </w:r>
      <w:r>
        <w:tab/>
      </w:r>
      <w:r w:rsidRPr="00B9466C">
        <w:t xml:space="preserve">M. Lally, </w:t>
      </w:r>
      <w:r w:rsidRPr="00B9466C">
        <w:rPr>
          <w:rStyle w:val="AERtextitalic"/>
        </w:rPr>
        <w:t>Gamma and the ACT Decision</w:t>
      </w:r>
      <w:r w:rsidRPr="00B9466C">
        <w:t xml:space="preserve">, </w:t>
      </w:r>
      <w:r>
        <w:t xml:space="preserve">May 2016, </w:t>
      </w:r>
      <w:r w:rsidRPr="00B9466C">
        <w:t>p. </w:t>
      </w:r>
      <w:r>
        <w:t>29</w:t>
      </w:r>
      <w:r w:rsidRPr="00B9466C">
        <w:t>.</w:t>
      </w:r>
    </w:p>
  </w:footnote>
  <w:footnote w:id="404">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9-10.</w:t>
      </w:r>
    </w:p>
  </w:footnote>
  <w:footnote w:id="405">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11; ActewAGL, </w:t>
      </w:r>
      <w:r w:rsidRPr="00AF5B33">
        <w:rPr>
          <w:rStyle w:val="AERtextitalic"/>
        </w:rPr>
        <w:t>Appendix 5.01 Detailed response to rate of return, gamma and inflation</w:t>
      </w:r>
      <w:r>
        <w:t xml:space="preserve">, January 2016, p. 115; AusNet Electricity Services, </w:t>
      </w:r>
      <w:r w:rsidRPr="00AF5B33">
        <w:rPr>
          <w:rStyle w:val="AERtextitalic"/>
        </w:rPr>
        <w:t>Revised Regulatory Proposal</w:t>
      </w:r>
      <w:r>
        <w:t xml:space="preserve">, January 2016, p. 7-84; United Energy, </w:t>
      </w:r>
      <w:r w:rsidRPr="00AF5B33">
        <w:rPr>
          <w:rStyle w:val="AERtextitalic"/>
        </w:rPr>
        <w:t>Response to AER Preliminary Determination Re: Rate of return and gamma</w:t>
      </w:r>
      <w:r>
        <w:t xml:space="preserve">, January 2016, p. 85; CitiPower, </w:t>
      </w:r>
      <w:r w:rsidRPr="00AF5B33">
        <w:rPr>
          <w:rStyle w:val="AERtextitalic"/>
        </w:rPr>
        <w:t>Revised Regulatory Proposal 2016-2020</w:t>
      </w:r>
      <w:r>
        <w:t xml:space="preserve">; January 2016, p. 363; Jemena Electricity Networks, </w:t>
      </w:r>
      <w:r w:rsidRPr="00AF5B33">
        <w:rPr>
          <w:rStyle w:val="AERtextitalic"/>
        </w:rPr>
        <w:t>Attachment 6-1 Rate of return, gamma, forecast inflation, and debt and equity raising costs</w:t>
      </w:r>
      <w:r>
        <w:t xml:space="preserve">, January 2016, p. 92; Powercor, </w:t>
      </w:r>
      <w:r w:rsidRPr="00AF5B33">
        <w:rPr>
          <w:rStyle w:val="AERtextitalic"/>
        </w:rPr>
        <w:t>Revised Regulatory Proposal 2016-2020</w:t>
      </w:r>
      <w:r>
        <w:t>, January 2016, p. 357.</w:t>
      </w:r>
    </w:p>
  </w:footnote>
  <w:footnote w:id="406">
    <w:p w:rsidR="005E1FC3" w:rsidRDefault="005E1FC3" w:rsidP="001D37D5">
      <w:pPr>
        <w:pStyle w:val="FootnoteText"/>
      </w:pPr>
      <w:r>
        <w:rPr>
          <w:rStyle w:val="FootnoteReference"/>
        </w:rPr>
        <w:footnoteRef/>
      </w:r>
      <w:r>
        <w:t xml:space="preserve"> </w:t>
      </w:r>
      <w:r>
        <w:tab/>
      </w:r>
      <w:r w:rsidRPr="004D735C">
        <w:t xml:space="preserve">J. Handley, </w:t>
      </w:r>
      <w:r w:rsidRPr="003E6BB3">
        <w:rPr>
          <w:rStyle w:val="AERtextitalic"/>
        </w:rPr>
        <w:t>Report prepared for the Australian Energy Regulator: Advice on the value of imputation credits</w:t>
      </w:r>
      <w:r w:rsidRPr="004D735C">
        <w:t>, 29 September 201</w:t>
      </w:r>
      <w:r>
        <w:t>4, p. 46.</w:t>
      </w:r>
    </w:p>
  </w:footnote>
  <w:footnote w:id="407">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12; ActewAGL, </w:t>
      </w:r>
      <w:r w:rsidRPr="00AF5B33">
        <w:rPr>
          <w:rStyle w:val="AERtextitalic"/>
        </w:rPr>
        <w:t>Appendix 5.01 Detailed response to rate of return, gamma and inflation</w:t>
      </w:r>
      <w:r>
        <w:t xml:space="preserve">, January 2016, p. 115; AusNet Electricity Services, </w:t>
      </w:r>
      <w:r w:rsidRPr="00AF5B33">
        <w:rPr>
          <w:rStyle w:val="AERtextitalic"/>
        </w:rPr>
        <w:t>Revised Regulatory Proposal</w:t>
      </w:r>
      <w:r>
        <w:t xml:space="preserve">, January 2016, p. 7-84; United Energy, </w:t>
      </w:r>
      <w:r w:rsidRPr="00AF5B33">
        <w:rPr>
          <w:rStyle w:val="AERtextitalic"/>
        </w:rPr>
        <w:t>Response to AER Preliminary Determination Re: Rate of return and gamma</w:t>
      </w:r>
      <w:r>
        <w:t xml:space="preserve">, January 2016, pp. 83-84; CitiPower, </w:t>
      </w:r>
      <w:r w:rsidRPr="00AF5B33">
        <w:rPr>
          <w:rStyle w:val="AERtextitalic"/>
        </w:rPr>
        <w:t>Revised Regulatory Proposal 2016-2020</w:t>
      </w:r>
      <w:r>
        <w:t xml:space="preserve">; January 2016, pp. 363-364; Jemena Electricity Networks, </w:t>
      </w:r>
      <w:r w:rsidRPr="00AF5B33">
        <w:rPr>
          <w:rStyle w:val="AERtextitalic"/>
        </w:rPr>
        <w:t>Attachment 6-1 Rate of return, gamma, forecast inflation, and debt and equity raising costs</w:t>
      </w:r>
      <w:r>
        <w:t xml:space="preserve">, January 2016, p. 92; Powercor, </w:t>
      </w:r>
      <w:r w:rsidRPr="00AF5B33">
        <w:rPr>
          <w:rStyle w:val="AERtextitalic"/>
        </w:rPr>
        <w:t>Revised Regulatory Proposal 2016-2020</w:t>
      </w:r>
      <w:r>
        <w:t>, January 2016, pp. 357-358.</w:t>
      </w:r>
    </w:p>
  </w:footnote>
  <w:footnote w:id="408">
    <w:p w:rsidR="005E1FC3" w:rsidRDefault="005E1FC3" w:rsidP="001D37D5">
      <w:pPr>
        <w:pStyle w:val="FootnoteText"/>
      </w:pPr>
      <w:r>
        <w:rPr>
          <w:rStyle w:val="FootnoteReference"/>
        </w:rPr>
        <w:footnoteRef/>
      </w:r>
      <w:r>
        <w:t xml:space="preserve"> </w:t>
      </w:r>
      <w:r>
        <w:tab/>
        <w:t xml:space="preserve">SFG, </w:t>
      </w:r>
      <w:r w:rsidRPr="00C014CC">
        <w:rPr>
          <w:rStyle w:val="AERtextitalic"/>
        </w:rPr>
        <w:t>An appropriate regulatory estimate of gamma</w:t>
      </w:r>
      <w:r>
        <w:t>, 21 May 2014, para. 65(e).</w:t>
      </w:r>
    </w:p>
  </w:footnote>
  <w:footnote w:id="409">
    <w:p w:rsidR="005E1FC3" w:rsidRDefault="005E1FC3" w:rsidP="001D37D5">
      <w:pPr>
        <w:pStyle w:val="FootnoteText"/>
      </w:pPr>
      <w:r>
        <w:rPr>
          <w:rStyle w:val="FootnoteReference"/>
        </w:rPr>
        <w:footnoteRef/>
      </w:r>
      <w:r>
        <w:t xml:space="preserve"> </w:t>
      </w:r>
      <w:r>
        <w:tab/>
        <w:t xml:space="preserve">ActewAGL, </w:t>
      </w:r>
      <w:r w:rsidRPr="000E181F">
        <w:rPr>
          <w:rStyle w:val="AERtextitalic"/>
        </w:rPr>
        <w:t>Detailed response to the AER's draft decision in relation to gamma</w:t>
      </w:r>
      <w:r>
        <w:t xml:space="preserve">, January 2015, p. 14; Ausgrid, </w:t>
      </w:r>
      <w:r w:rsidRPr="00D75F7A">
        <w:rPr>
          <w:rStyle w:val="AERtextitalic"/>
        </w:rPr>
        <w:t>Ausgrid's revised proposal on gamma</w:t>
      </w:r>
      <w:r>
        <w:t xml:space="preserve">, January 2015, p. 15; Directlink, </w:t>
      </w:r>
      <w:r w:rsidRPr="0000771B">
        <w:rPr>
          <w:rStyle w:val="AERtextitalic"/>
        </w:rPr>
        <w:t>Directlink submission on gamma (updated)</w:t>
      </w:r>
      <w:r>
        <w:t xml:space="preserve">, January 2015, p. 20; Endeavour Energy, </w:t>
      </w:r>
      <w:r w:rsidRPr="00DF3162">
        <w:rPr>
          <w:rStyle w:val="AERtextitalic"/>
        </w:rPr>
        <w:t>Endeavour Energy's response to the AER draft decision re gamma</w:t>
      </w:r>
      <w:r>
        <w:t xml:space="preserve">, January 2015, p. 15; Essential Energy, </w:t>
      </w:r>
      <w:r w:rsidRPr="000E181F">
        <w:rPr>
          <w:rStyle w:val="AERtextitalic"/>
        </w:rPr>
        <w:t>Essential's response to AER draft decision re gamma</w:t>
      </w:r>
      <w:r>
        <w:t xml:space="preserve">, January 2015, p. 15; and JGN, </w:t>
      </w:r>
      <w:r w:rsidRPr="000E181F">
        <w:rPr>
          <w:rStyle w:val="AERtextitalic"/>
        </w:rPr>
        <w:t>Gamma - response to the draft decision</w:t>
      </w:r>
      <w:r>
        <w:t>, February 2015, p. 18.</w:t>
      </w:r>
    </w:p>
  </w:footnote>
  <w:footnote w:id="410">
    <w:p w:rsidR="005E1FC3" w:rsidRDefault="005E1FC3" w:rsidP="001D37D5">
      <w:pPr>
        <w:pStyle w:val="FootnoteText"/>
      </w:pPr>
      <w:r>
        <w:rPr>
          <w:rStyle w:val="FootnoteReference"/>
        </w:rPr>
        <w:footnoteRef/>
      </w:r>
      <w:r>
        <w:t xml:space="preserve"> </w:t>
      </w:r>
      <w:r>
        <w:tab/>
        <w:t xml:space="preserve">SFG, </w:t>
      </w:r>
      <w:r>
        <w:rPr>
          <w:rStyle w:val="AERtextitalic"/>
        </w:rPr>
        <w:t>Estimating gamma for regulatory purposes</w:t>
      </w:r>
      <w:r>
        <w:t>, 6 February 2015, para. 216.</w:t>
      </w:r>
    </w:p>
  </w:footnote>
  <w:footnote w:id="411">
    <w:p w:rsidR="005E1FC3" w:rsidRDefault="005E1FC3" w:rsidP="001D37D5">
      <w:pPr>
        <w:pStyle w:val="FootnoteText"/>
      </w:pPr>
      <w:r>
        <w:rPr>
          <w:rStyle w:val="FootnoteReference"/>
        </w:rPr>
        <w:footnoteRef/>
      </w:r>
      <w:r>
        <w:t xml:space="preserve"> </w:t>
      </w:r>
      <w:r>
        <w:tab/>
        <w:t>The refined foreign ownership share of all equity between June 2001 and December 2012 was 0.39 on average.</w:t>
      </w:r>
    </w:p>
  </w:footnote>
  <w:footnote w:id="412">
    <w:p w:rsidR="005E1FC3" w:rsidRDefault="005E1FC3" w:rsidP="001D37D5">
      <w:pPr>
        <w:pStyle w:val="FootnoteText"/>
      </w:pPr>
      <w:r>
        <w:rPr>
          <w:rStyle w:val="FootnoteReference"/>
        </w:rPr>
        <w:footnoteRef/>
      </w:r>
      <w:r>
        <w:t xml:space="preserve"> </w:t>
      </w:r>
      <w:r>
        <w:tab/>
      </w:r>
      <w:r w:rsidRPr="00A62FE1">
        <w:t>ActewAGL</w:t>
      </w:r>
      <w:r>
        <w:t xml:space="preserve">, </w:t>
      </w:r>
      <w:r w:rsidRPr="00B53917">
        <w:rPr>
          <w:rStyle w:val="AERtextitalic"/>
        </w:rPr>
        <w:t>Gamma, detailed proposal</w:t>
      </w:r>
      <w:r>
        <w:t>, May 2014, s. 1.4.3;</w:t>
      </w:r>
      <w:r w:rsidRPr="00A62FE1">
        <w:t xml:space="preserve"> </w:t>
      </w:r>
      <w:r>
        <w:t>Ausgrid</w:t>
      </w:r>
      <w:r w:rsidRPr="00A62FE1">
        <w:t xml:space="preserve">, </w:t>
      </w:r>
      <w:r w:rsidRPr="000C4BB9">
        <w:rPr>
          <w:rStyle w:val="AERtextitalic"/>
        </w:rPr>
        <w:t>Ausgrid's gamma proposal</w:t>
      </w:r>
      <w:r>
        <w:t xml:space="preserve">, May 2014, p. 15; </w:t>
      </w:r>
      <w:r w:rsidRPr="00A62FE1">
        <w:t>Directlink</w:t>
      </w:r>
      <w:r>
        <w:t>,</w:t>
      </w:r>
      <w:r w:rsidRPr="00A62FE1">
        <w:t xml:space="preserve"> </w:t>
      </w:r>
      <w:r w:rsidRPr="00B53917">
        <w:rPr>
          <w:rStyle w:val="AERtextitalic"/>
        </w:rPr>
        <w:t>Directlink submission on gamma</w:t>
      </w:r>
      <w:r>
        <w:t xml:space="preserve">, May 2014, p. 16; </w:t>
      </w:r>
      <w:r w:rsidRPr="00A62FE1">
        <w:t>Endeavour Ene</w:t>
      </w:r>
      <w:r>
        <w:t xml:space="preserve">rgy, </w:t>
      </w:r>
      <w:r w:rsidRPr="00B53917">
        <w:rPr>
          <w:rStyle w:val="AERtextitalic"/>
        </w:rPr>
        <w:t>Endeavour Energy's gamma proposal</w:t>
      </w:r>
      <w:r>
        <w:t xml:space="preserve">, May 2014, p. 15. Essential Energy, </w:t>
      </w:r>
      <w:r w:rsidRPr="00B53917">
        <w:rPr>
          <w:rStyle w:val="AERtextitalic"/>
        </w:rPr>
        <w:t>Essential Energy's gamma proposal</w:t>
      </w:r>
      <w:r>
        <w:t xml:space="preserve">, May 2014, pp. 15–16; JGN, </w:t>
      </w:r>
      <w:r w:rsidRPr="00B53917">
        <w:rPr>
          <w:rStyle w:val="AERtextitalic"/>
        </w:rPr>
        <w:t>Gamma proposal</w:t>
      </w:r>
      <w:r>
        <w:t xml:space="preserve">, June 2014, p. 19; and TransGrid, </w:t>
      </w:r>
      <w:r>
        <w:rPr>
          <w:rStyle w:val="AERtextitalic"/>
        </w:rPr>
        <w:t>TransGrid</w:t>
      </w:r>
      <w:r w:rsidRPr="00B53917">
        <w:rPr>
          <w:rStyle w:val="AERtextitalic"/>
        </w:rPr>
        <w:t>'s approach to gamma</w:t>
      </w:r>
      <w:r>
        <w:t>, May 2014, p. 21.</w:t>
      </w:r>
    </w:p>
  </w:footnote>
  <w:footnote w:id="413">
    <w:p w:rsidR="005E1FC3" w:rsidRDefault="005E1FC3" w:rsidP="001D37D5">
      <w:pPr>
        <w:pStyle w:val="FootnoteText"/>
      </w:pPr>
      <w:r>
        <w:rPr>
          <w:rStyle w:val="FootnoteReference"/>
        </w:rPr>
        <w:footnoteRef/>
      </w:r>
      <w:r>
        <w:t xml:space="preserve"> </w:t>
      </w:r>
      <w:r>
        <w:tab/>
        <w:t xml:space="preserve">NERA, </w:t>
      </w:r>
      <w:r w:rsidRPr="00D104AA">
        <w:rPr>
          <w:rStyle w:val="AERtextitalic"/>
        </w:rPr>
        <w:t>Estimating distribution and redemption rates from taxation statistics</w:t>
      </w:r>
      <w:r w:rsidRPr="00D104AA">
        <w:t>, March 2015, p</w:t>
      </w:r>
      <w:r>
        <w:t>p. 25–28.</w:t>
      </w:r>
    </w:p>
  </w:footnote>
  <w:footnote w:id="414">
    <w:p w:rsidR="005E1FC3" w:rsidRDefault="005E1FC3" w:rsidP="001D37D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pp. 6–7.</w:t>
      </w:r>
    </w:p>
  </w:footnote>
  <w:footnote w:id="415">
    <w:p w:rsidR="005E1FC3" w:rsidRDefault="005E1FC3" w:rsidP="001D37D5">
      <w:pPr>
        <w:pStyle w:val="FootnoteText"/>
      </w:pPr>
      <w:r>
        <w:rPr>
          <w:rStyle w:val="FootnoteReference"/>
        </w:rPr>
        <w:footnoteRef/>
      </w:r>
      <w:r>
        <w:t xml:space="preserve"> </w:t>
      </w:r>
      <w:r>
        <w:tab/>
        <w:t>Neville Hathaway, Imputation Credit Redemption ATO data 1988–2011 Where have all the credits gone?, September 2013, p. 25.</w:t>
      </w:r>
    </w:p>
  </w:footnote>
  <w:footnote w:id="416">
    <w:p w:rsidR="005E1FC3" w:rsidRDefault="005E1FC3" w:rsidP="001D37D5">
      <w:pPr>
        <w:pStyle w:val="FootnoteText"/>
      </w:pPr>
      <w:r>
        <w:rPr>
          <w:rStyle w:val="FootnoteReference"/>
        </w:rPr>
        <w:footnoteRef/>
      </w:r>
      <w:r>
        <w:t xml:space="preserve"> </w:t>
      </w:r>
      <w:r>
        <w:tab/>
        <w:t>Neville Hathaway, Franking Credit Redemption ATO data 1988–2012 Where have all the credits gone? Draft only comments welcome, October 2014.</w:t>
      </w:r>
    </w:p>
  </w:footnote>
  <w:footnote w:id="417">
    <w:p w:rsidR="005E1FC3" w:rsidRDefault="005E1FC3" w:rsidP="001D37D5">
      <w:pPr>
        <w:pStyle w:val="FootnoteText"/>
      </w:pPr>
      <w:r>
        <w:rPr>
          <w:rStyle w:val="FootnoteReference"/>
        </w:rPr>
        <w:footnoteRef/>
      </w:r>
      <w:r>
        <w:t xml:space="preserve"> </w:t>
      </w:r>
      <w:r>
        <w:tab/>
      </w:r>
      <w:r w:rsidRPr="00B9466C">
        <w:t xml:space="preserve">M. Lally, </w:t>
      </w:r>
      <w:r w:rsidRPr="00B9466C">
        <w:rPr>
          <w:rStyle w:val="AERtextitalic"/>
        </w:rPr>
        <w:t>Gamma and the ACT Decision</w:t>
      </w:r>
      <w:r>
        <w:t>, May 2016, p</w:t>
      </w:r>
      <w:r w:rsidRPr="00B9466C">
        <w:t>. </w:t>
      </w:r>
      <w:r>
        <w:t>23</w:t>
      </w:r>
      <w:r w:rsidRPr="00B9466C">
        <w:t>.</w:t>
      </w:r>
    </w:p>
  </w:footnote>
  <w:footnote w:id="418">
    <w:p w:rsidR="005E1FC3" w:rsidRDefault="005E1FC3" w:rsidP="001D37D5">
      <w:pPr>
        <w:pStyle w:val="FootnoteText"/>
      </w:pPr>
      <w:r>
        <w:rPr>
          <w:rStyle w:val="FootnoteReference"/>
        </w:rPr>
        <w:footnoteRef/>
      </w:r>
      <w:r>
        <w:t xml:space="preserve"> </w:t>
      </w:r>
      <w:r>
        <w:tab/>
        <w:t xml:space="preserve">SA Power Networks, </w:t>
      </w:r>
      <w:r>
        <w:rPr>
          <w:rStyle w:val="AERtextitalic"/>
        </w:rPr>
        <w:t>Revised regulatory proposal 2015–20</w:t>
      </w:r>
      <w:r>
        <w:t xml:space="preserve">, July 2015, p. 373; </w:t>
      </w:r>
      <w:r w:rsidRPr="0022220C">
        <w:t xml:space="preserve"> </w:t>
      </w:r>
      <w:r>
        <w:t>Access Arrangement Information for Australian Gas Networks' South Australian Natural Gas Distribution Network, p. 10, July 2015.</w:t>
      </w:r>
    </w:p>
  </w:footnote>
  <w:footnote w:id="419">
    <w:p w:rsidR="005E1FC3" w:rsidRDefault="005E1FC3" w:rsidP="001D37D5">
      <w:pPr>
        <w:pStyle w:val="FootnoteText"/>
      </w:pPr>
      <w:r>
        <w:rPr>
          <w:rStyle w:val="FootnoteReference"/>
        </w:rPr>
        <w:footnoteRef/>
      </w:r>
      <w:r>
        <w:t xml:space="preserve"> </w:t>
      </w:r>
      <w:r>
        <w:tab/>
      </w:r>
      <w:r w:rsidRPr="004D735C">
        <w:t xml:space="preserve">J. Handley, </w:t>
      </w:r>
      <w:r w:rsidRPr="003E6BB3">
        <w:rPr>
          <w:rStyle w:val="AERtextitalic"/>
        </w:rPr>
        <w:t>Report prepared for the Australian Energy Regulator: Advice on the value of imputation credits</w:t>
      </w:r>
      <w:r w:rsidRPr="004D735C">
        <w:t>, 29 September 201</w:t>
      </w:r>
      <w:r>
        <w:t xml:space="preserve">4, p. 39; </w:t>
      </w:r>
      <w:r w:rsidRPr="004D735C">
        <w:t xml:space="preserve">J. Handley, </w:t>
      </w:r>
      <w:r>
        <w:rPr>
          <w:rStyle w:val="AERtextitalic"/>
        </w:rPr>
        <w:t xml:space="preserve">Further </w:t>
      </w:r>
      <w:r w:rsidRPr="003E6BB3">
        <w:rPr>
          <w:rStyle w:val="AERtextitalic"/>
        </w:rPr>
        <w:t>Advice on the value of imputation credits</w:t>
      </w:r>
      <w:r>
        <w:t>, 16 April 2015, p. 28.</w:t>
      </w:r>
    </w:p>
  </w:footnote>
  <w:footnote w:id="420">
    <w:p w:rsidR="005E1FC3" w:rsidRDefault="005E1FC3" w:rsidP="001D37D5">
      <w:pPr>
        <w:pStyle w:val="FootnoteText"/>
      </w:pPr>
      <w:r>
        <w:rPr>
          <w:rStyle w:val="FootnoteReference"/>
        </w:rPr>
        <w:footnoteRef/>
      </w:r>
      <w:r>
        <w:t xml:space="preserve"> </w:t>
      </w:r>
      <w:r>
        <w:tab/>
        <w:t xml:space="preserve">NERA, </w:t>
      </w:r>
      <w:r w:rsidRPr="001763FD">
        <w:rPr>
          <w:rStyle w:val="AERtextitalic"/>
        </w:rPr>
        <w:t>Estimating distribution and redemption rates from taxation statistics</w:t>
      </w:r>
      <w:r>
        <w:t>, March 2015, p. ii.</w:t>
      </w:r>
    </w:p>
  </w:footnote>
  <w:footnote w:id="421">
    <w:p w:rsidR="005E1FC3" w:rsidRDefault="005E1FC3" w:rsidP="001D37D5">
      <w:pPr>
        <w:pStyle w:val="FootnoteText"/>
      </w:pPr>
      <w:r>
        <w:rPr>
          <w:rStyle w:val="FootnoteReference"/>
        </w:rPr>
        <w:footnoteRef/>
      </w:r>
      <w:r>
        <w:t xml:space="preserve"> </w:t>
      </w:r>
      <w:r>
        <w:tab/>
        <w:t>Strictly, D is the number of domestic investors and F is the number of foreign investors. However, NERA's model assumes that each investor has starting period wealth of $1.</w:t>
      </w:r>
    </w:p>
  </w:footnote>
  <w:footnote w:id="422">
    <w:p w:rsidR="005E1FC3" w:rsidRDefault="005E1FC3" w:rsidP="001D37D5">
      <w:pPr>
        <w:pStyle w:val="FootnoteText"/>
      </w:pPr>
      <w:r>
        <w:rPr>
          <w:rStyle w:val="FootnoteReference"/>
        </w:rPr>
        <w:footnoteRef/>
      </w:r>
      <w:r>
        <w:t xml:space="preserve"> </w:t>
      </w:r>
      <w:r>
        <w:tab/>
        <w:t xml:space="preserve">NERA, </w:t>
      </w:r>
      <w:r w:rsidRPr="001763FD">
        <w:rPr>
          <w:rStyle w:val="AERtextitalic"/>
        </w:rPr>
        <w:t>Estimating distribution and redemption rates from taxation statistics</w:t>
      </w:r>
      <w:r>
        <w:t>, March 2015, p. ii.</w:t>
      </w:r>
    </w:p>
  </w:footnote>
  <w:footnote w:id="423">
    <w:p w:rsidR="005E1FC3" w:rsidRDefault="005E1FC3" w:rsidP="001D37D5">
      <w:pPr>
        <w:pStyle w:val="FootnoteText"/>
      </w:pPr>
      <w:r>
        <w:rPr>
          <w:rStyle w:val="FootnoteReference"/>
        </w:rPr>
        <w:footnoteRef/>
      </w:r>
      <w:r>
        <w:t xml:space="preserve"> </w:t>
      </w:r>
      <w:r>
        <w:tab/>
        <w:t xml:space="preserve">J. Handley, </w:t>
      </w:r>
      <w:r w:rsidRPr="005B7CF2">
        <w:rPr>
          <w:rStyle w:val="AERtextitalic"/>
        </w:rPr>
        <w:t>Report prepared for the Australian Energy Regulator: Advice on the NERA report 'Estimating distribution and redemption rates from taxation statistics'</w:t>
      </w:r>
      <w:r>
        <w:t>, 20 May 2015, pp. 6 and 7.</w:t>
      </w:r>
      <w:r w:rsidDel="0031248F">
        <w:t xml:space="preserve"> </w:t>
      </w:r>
    </w:p>
  </w:footnote>
  <w:footnote w:id="424">
    <w:p w:rsidR="005E1FC3" w:rsidRDefault="005E1FC3" w:rsidP="001D37D5">
      <w:pPr>
        <w:pStyle w:val="FootnoteText"/>
      </w:pPr>
      <w:r>
        <w:rPr>
          <w:rStyle w:val="FootnoteReference"/>
        </w:rPr>
        <w:footnoteRef/>
      </w:r>
      <w:r>
        <w:t xml:space="preserve"> </w:t>
      </w:r>
      <w:r>
        <w:tab/>
        <w:t xml:space="preserve">NERA, </w:t>
      </w:r>
      <w:r w:rsidRPr="00D54762">
        <w:rPr>
          <w:rStyle w:val="AERtextitalic"/>
        </w:rPr>
        <w:t>Estimating distribution and redemption rates: Response to the AER's final decisions for the NSW and ACT electricity distributors, and for Jemena Gas Networks</w:t>
      </w:r>
      <w:r>
        <w:t>, June 2015.</w:t>
      </w:r>
    </w:p>
  </w:footnote>
  <w:footnote w:id="425">
    <w:p w:rsidR="005E1FC3" w:rsidRDefault="005E1FC3" w:rsidP="001D37D5">
      <w:pPr>
        <w:pStyle w:val="FootnoteText"/>
      </w:pPr>
      <w:r>
        <w:rPr>
          <w:rStyle w:val="FootnoteReference"/>
        </w:rPr>
        <w:footnoteRef/>
      </w:r>
      <w:r>
        <w:t xml:space="preserve"> </w:t>
      </w:r>
      <w:r>
        <w:tab/>
        <w:t xml:space="preserve">NERA, </w:t>
      </w:r>
      <w:r w:rsidRPr="00D54762">
        <w:rPr>
          <w:rStyle w:val="AERtextitalic"/>
        </w:rPr>
        <w:t>Estimating distribution and redemption rates: Response to the AER's final decisions for the NSW and ACT electricity distributors, and for Jemena Gas Networks</w:t>
      </w:r>
      <w:r>
        <w:t>, June 2015, pp. 6–7.</w:t>
      </w:r>
    </w:p>
  </w:footnote>
  <w:footnote w:id="426">
    <w:p w:rsidR="005E1FC3" w:rsidRDefault="005E1FC3" w:rsidP="001D37D5">
      <w:pPr>
        <w:pStyle w:val="FootnoteText"/>
      </w:pPr>
      <w:r>
        <w:rPr>
          <w:rStyle w:val="FootnoteReference"/>
        </w:rPr>
        <w:footnoteRef/>
      </w:r>
      <w:r>
        <w:t xml:space="preserve"> </w:t>
      </w:r>
      <w:r>
        <w:tab/>
        <w:t xml:space="preserve">J. Handley, </w:t>
      </w:r>
      <w:r w:rsidRPr="005B7CF2">
        <w:rPr>
          <w:rStyle w:val="AERtextitalic"/>
        </w:rPr>
        <w:t>Report prepared for the Australian Energy Regulator: Advice on the NERA report 'Estimating distribution and redemption rates from taxation statistics'</w:t>
      </w:r>
      <w:r>
        <w:t>, 20 May 2015, p. 6.</w:t>
      </w:r>
    </w:p>
  </w:footnote>
  <w:footnote w:id="427">
    <w:p w:rsidR="005E1FC3" w:rsidRDefault="005E1FC3" w:rsidP="001D37D5">
      <w:pPr>
        <w:pStyle w:val="FootnoteText"/>
      </w:pPr>
      <w:r>
        <w:rPr>
          <w:rStyle w:val="FootnoteReference"/>
        </w:rPr>
        <w:footnoteRef/>
      </w:r>
      <w:r>
        <w:t xml:space="preserve"> </w:t>
      </w:r>
      <w:r>
        <w:tab/>
        <w:t xml:space="preserve">J. Handley, </w:t>
      </w:r>
      <w:r w:rsidRPr="005B7CF2">
        <w:rPr>
          <w:rStyle w:val="AERtextitalic"/>
        </w:rPr>
        <w:t>Report prepared for the Australian Energy Regulator: Advice on the NERA report 'Estimating distribution and redemption rates from taxation statistics'</w:t>
      </w:r>
      <w:r>
        <w:t>, 20 May 2015, pp. 6–7.</w:t>
      </w:r>
    </w:p>
  </w:footnote>
  <w:footnote w:id="428">
    <w:p w:rsidR="005E1FC3" w:rsidRDefault="005E1FC3" w:rsidP="001D37D5">
      <w:pPr>
        <w:pStyle w:val="FootnoteText"/>
      </w:pPr>
      <w:r>
        <w:rPr>
          <w:rStyle w:val="FootnoteReference"/>
        </w:rPr>
        <w:footnoteRef/>
      </w:r>
      <w:r>
        <w:t xml:space="preserve"> </w:t>
      </w:r>
      <w:r>
        <w:tab/>
        <w:t xml:space="preserve">NERA, </w:t>
      </w:r>
      <w:r w:rsidRPr="00D54762">
        <w:rPr>
          <w:rStyle w:val="AERtextitalic"/>
        </w:rPr>
        <w:t>Estimating distribution and redemption rates: Response to the AER's final decisions for the NSW and ACT electricity distributors, and for Jemena Gas Networks</w:t>
      </w:r>
      <w:r>
        <w:t>, June 2015, p. 7.</w:t>
      </w:r>
    </w:p>
  </w:footnote>
  <w:footnote w:id="429">
    <w:p w:rsidR="005E1FC3" w:rsidRDefault="005E1FC3" w:rsidP="001D37D5">
      <w:pPr>
        <w:pStyle w:val="FootnoteText"/>
      </w:pPr>
      <w:r>
        <w:rPr>
          <w:rStyle w:val="FootnoteReference"/>
        </w:rPr>
        <w:footnoteRef/>
      </w:r>
      <w:r>
        <w:t xml:space="preserve"> </w:t>
      </w:r>
      <w:r>
        <w:tab/>
        <w:t xml:space="preserve">J. Handley, </w:t>
      </w:r>
      <w:r w:rsidRPr="005B7CF2">
        <w:rPr>
          <w:rStyle w:val="AERtextitalic"/>
        </w:rPr>
        <w:t>Report prepared for the Australian Energy Regulator: Advice on the NERA report 'Estimating distribution and redemption rates from taxation statistics'</w:t>
      </w:r>
      <w:r>
        <w:t>, 20 May 2015, p. 6.</w:t>
      </w:r>
    </w:p>
  </w:footnote>
  <w:footnote w:id="430">
    <w:p w:rsidR="005E1FC3" w:rsidRDefault="005E1FC3" w:rsidP="001D37D5">
      <w:pPr>
        <w:pStyle w:val="FootnoteText"/>
      </w:pPr>
      <w:r>
        <w:rPr>
          <w:rStyle w:val="FootnoteReference"/>
        </w:rPr>
        <w:footnoteRef/>
      </w:r>
      <w:r>
        <w:t xml:space="preserve"> </w:t>
      </w:r>
      <w:r>
        <w:tab/>
        <w:t xml:space="preserve">NERA, </w:t>
      </w:r>
      <w:r>
        <w:rPr>
          <w:rStyle w:val="AERtextitalic"/>
        </w:rPr>
        <w:t>Do Imputation Credits Lower the Cost of Equity? Cross-Sectional Tests A report for United Energy</w:t>
      </w:r>
      <w:r>
        <w:t>, April 2015, p. 79.</w:t>
      </w:r>
    </w:p>
  </w:footnote>
  <w:footnote w:id="431">
    <w:p w:rsidR="005E1FC3" w:rsidRDefault="005E1FC3" w:rsidP="001D37D5">
      <w:pPr>
        <w:pStyle w:val="FootnoteText"/>
      </w:pPr>
      <w:r>
        <w:rPr>
          <w:rStyle w:val="FootnoteReference"/>
        </w:rPr>
        <w:footnoteRef/>
      </w:r>
      <w:r>
        <w:t xml:space="preserve"> </w:t>
      </w:r>
      <w:r>
        <w:tab/>
        <w:t xml:space="preserve">Koedijk, K,G,, and van Dijk, M, A., 2004, Global risk factors and the cost of capital, Financial analysts journal, March/April 2004, p. 33.  </w:t>
      </w:r>
    </w:p>
  </w:footnote>
  <w:footnote w:id="432">
    <w:p w:rsidR="005E1FC3" w:rsidRDefault="005E1FC3" w:rsidP="001D37D5">
      <w:pPr>
        <w:pStyle w:val="FootnoteText"/>
      </w:pPr>
      <w:r>
        <w:rPr>
          <w:rStyle w:val="FootnoteReference"/>
        </w:rPr>
        <w:footnoteRef/>
      </w:r>
      <w:r>
        <w:t xml:space="preserve"> </w:t>
      </w:r>
      <w:r>
        <w:tab/>
        <w:t xml:space="preserve">NERA, </w:t>
      </w:r>
      <w:r w:rsidRPr="00D54762">
        <w:rPr>
          <w:rStyle w:val="AERtextitalic"/>
        </w:rPr>
        <w:t>Estimating distribution and redemption rates: Response to the AER's final decisions for the NSW and ACT electricity distributors, and for Jemena Gas Networks</w:t>
      </w:r>
      <w:r>
        <w:t>, June 2015, pp. 8–10.</w:t>
      </w:r>
    </w:p>
  </w:footnote>
  <w:footnote w:id="433">
    <w:p w:rsidR="005E1FC3" w:rsidRDefault="005E1FC3" w:rsidP="001D37D5">
      <w:pPr>
        <w:pStyle w:val="FootnoteText"/>
      </w:pPr>
      <w:r>
        <w:rPr>
          <w:rStyle w:val="FootnoteReference"/>
        </w:rPr>
        <w:footnoteRef/>
      </w:r>
      <w:r>
        <w:t xml:space="preserve"> </w:t>
      </w:r>
      <w:r>
        <w:tab/>
        <w:t xml:space="preserve">Koedijk, K,G,, and van Dijk, M, A., 2004, Global risk factors and the cost of capital, Financial analysts journal, March/April 2004, p. 33.  </w:t>
      </w:r>
    </w:p>
  </w:footnote>
  <w:footnote w:id="434">
    <w:p w:rsidR="005E1FC3" w:rsidRDefault="005E1FC3" w:rsidP="001D37D5">
      <w:pPr>
        <w:pStyle w:val="FootnoteText"/>
      </w:pPr>
      <w:r>
        <w:rPr>
          <w:rStyle w:val="FootnoteReference"/>
        </w:rPr>
        <w:footnoteRef/>
      </w:r>
      <w:r>
        <w:t xml:space="preserve"> </w:t>
      </w:r>
      <w:r>
        <w:tab/>
        <w:t xml:space="preserve">NERA, </w:t>
      </w:r>
      <w:r w:rsidRPr="00D54762">
        <w:rPr>
          <w:rStyle w:val="AERtextitalic"/>
        </w:rPr>
        <w:t>Estimating distribution and redemption rates: Response to the AER's final decisions for the NSW and ACT electricity distributors, and for Jemena Gas Networks</w:t>
      </w:r>
      <w:r>
        <w:t>, June 2015, p. 3.</w:t>
      </w:r>
    </w:p>
  </w:footnote>
  <w:footnote w:id="435">
    <w:p w:rsidR="005E1FC3" w:rsidRDefault="005E1FC3" w:rsidP="001D37D5">
      <w:pPr>
        <w:pStyle w:val="FootnoteText"/>
      </w:pPr>
      <w:r>
        <w:rPr>
          <w:rStyle w:val="FootnoteReference"/>
        </w:rPr>
        <w:footnoteRef/>
      </w:r>
      <w:r>
        <w:t xml:space="preserve"> </w:t>
      </w:r>
      <w:r>
        <w:tab/>
        <w:t>Lally, The estimation of gamma, November 2013, pp. 39–43.</w:t>
      </w:r>
    </w:p>
  </w:footnote>
  <w:footnote w:id="436">
    <w:p w:rsidR="005E1FC3" w:rsidRDefault="005E1FC3" w:rsidP="001D37D5">
      <w:pPr>
        <w:pStyle w:val="FootnoteText"/>
      </w:pPr>
      <w:r>
        <w:rPr>
          <w:rStyle w:val="FootnoteReference"/>
        </w:rPr>
        <w:footnoteRef/>
      </w:r>
      <w:r>
        <w:t xml:space="preserve"> </w:t>
      </w:r>
      <w:r>
        <w:tab/>
      </w:r>
      <w:r w:rsidRPr="006D49F4">
        <w:t>United Energy, Submission on AER preliminary determination - Submission on gamma, 26 April 2016.</w:t>
      </w:r>
    </w:p>
  </w:footnote>
  <w:footnote w:id="437">
    <w:p w:rsidR="005E1FC3" w:rsidRPr="00B27BE5" w:rsidRDefault="005E1FC3" w:rsidP="001D37D5">
      <w:pPr>
        <w:pStyle w:val="FootnoteText"/>
        <w:rPr>
          <w:rStyle w:val="AERtexthighlight"/>
        </w:rPr>
      </w:pPr>
      <w:r>
        <w:rPr>
          <w:rStyle w:val="FootnoteReference"/>
        </w:rPr>
        <w:footnoteRef/>
      </w:r>
      <w:r>
        <w:t xml:space="preserve"> </w:t>
      </w:r>
      <w:r>
        <w:tab/>
      </w:r>
      <w:r w:rsidRPr="006D49F4">
        <w:t>Australian Competition Tribunal, Application by Public Interest Advocacy Centre Ltd and Ausgrid [2016] ACompT 1, 26 February 2016, para. 1106.</w:t>
      </w:r>
    </w:p>
  </w:footnote>
  <w:footnote w:id="438">
    <w:p w:rsidR="005E1FC3" w:rsidRDefault="005E1FC3" w:rsidP="001D37D5">
      <w:pPr>
        <w:pStyle w:val="FootnoteText"/>
      </w:pPr>
      <w:r>
        <w:rPr>
          <w:rStyle w:val="FootnoteReference"/>
        </w:rPr>
        <w:footnoteRef/>
      </w:r>
      <w:r>
        <w:t xml:space="preserve"> </w:t>
      </w:r>
      <w:r>
        <w:tab/>
        <w:t xml:space="preserve">M. Lally, </w:t>
      </w:r>
      <w:r w:rsidRPr="00550383">
        <w:rPr>
          <w:rStyle w:val="AERtextitalic"/>
        </w:rPr>
        <w:t>Review of submissions to the QCA on the MRP, risk-free rate and gamma</w:t>
      </w:r>
      <w:r>
        <w:t>, 12 March 2014, p. 34.</w:t>
      </w:r>
    </w:p>
  </w:footnote>
  <w:footnote w:id="439">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18.</w:t>
      </w:r>
    </w:p>
  </w:footnote>
  <w:footnote w:id="440">
    <w:p w:rsidR="005E1FC3" w:rsidRDefault="005E1FC3" w:rsidP="001D37D5">
      <w:pPr>
        <w:pStyle w:val="FootnoteText"/>
      </w:pPr>
      <w:r>
        <w:rPr>
          <w:rStyle w:val="FootnoteReference"/>
        </w:rPr>
        <w:footnoteRef/>
      </w:r>
      <w:r>
        <w:t xml:space="preserve"> </w:t>
      </w:r>
      <w:r>
        <w:tab/>
      </w:r>
      <w:r w:rsidRPr="004D735C">
        <w:t xml:space="preserve">J. Handley, </w:t>
      </w:r>
      <w:r w:rsidRPr="003E6BB3">
        <w:rPr>
          <w:rStyle w:val="AERtextitalic"/>
        </w:rPr>
        <w:t>Report prepared for the Australian Energy Regulator: Advice on the value of imputation credits</w:t>
      </w:r>
      <w:r w:rsidRPr="004D735C">
        <w:t>, 29 September 201</w:t>
      </w:r>
      <w:r>
        <w:t>4, p. 28.</w:t>
      </w:r>
    </w:p>
  </w:footnote>
  <w:footnote w:id="441">
    <w:p w:rsidR="005E1FC3" w:rsidRDefault="005E1FC3" w:rsidP="001D37D5">
      <w:pPr>
        <w:pStyle w:val="FootnoteText"/>
      </w:pPr>
      <w:r>
        <w:rPr>
          <w:rStyle w:val="FootnoteReference"/>
        </w:rPr>
        <w:footnoteRef/>
      </w:r>
      <w:r>
        <w:t xml:space="preserve"> </w:t>
      </w:r>
      <w:r>
        <w:tab/>
        <w:t xml:space="preserve">SFG, </w:t>
      </w:r>
      <w:r w:rsidRPr="00C014CC">
        <w:rPr>
          <w:rStyle w:val="AERtextitalic"/>
        </w:rPr>
        <w:t>An appropriate regulatory estimate of gamma</w:t>
      </w:r>
      <w:r>
        <w:t>, 21 May 2014, para. 412.</w:t>
      </w:r>
    </w:p>
  </w:footnote>
  <w:footnote w:id="442">
    <w:p w:rsidR="005E1FC3" w:rsidRDefault="005E1FC3" w:rsidP="001D37D5">
      <w:pPr>
        <w:pStyle w:val="FootnoteText"/>
      </w:pPr>
      <w:r>
        <w:rPr>
          <w:rStyle w:val="FootnoteReference"/>
        </w:rPr>
        <w:footnoteRef/>
      </w:r>
      <w:r>
        <w:t xml:space="preserve"> </w:t>
      </w:r>
      <w:r>
        <w:tab/>
        <w:t xml:space="preserve">SFG, </w:t>
      </w:r>
      <w:r>
        <w:rPr>
          <w:rStyle w:val="AERtextitalic"/>
        </w:rPr>
        <w:t>Estimating gamma for regulatory purposes</w:t>
      </w:r>
      <w:r>
        <w:t>, 6 February 2015, para. 222.</w:t>
      </w:r>
    </w:p>
  </w:footnote>
  <w:footnote w:id="443">
    <w:p w:rsidR="005E1FC3" w:rsidRDefault="005E1FC3" w:rsidP="001D37D5">
      <w:pPr>
        <w:pStyle w:val="FootnoteText"/>
      </w:pPr>
      <w:r>
        <w:rPr>
          <w:rStyle w:val="FootnoteReference"/>
        </w:rPr>
        <w:footnoteRef/>
      </w:r>
      <w:r>
        <w:t xml:space="preserve"> </w:t>
      </w:r>
      <w:r>
        <w:tab/>
        <w:t xml:space="preserve">ActewAGL, </w:t>
      </w:r>
      <w:r w:rsidRPr="000E181F">
        <w:rPr>
          <w:rStyle w:val="AERtextitalic"/>
        </w:rPr>
        <w:t>Detailed response to the AER's draft decision in relation to gamma</w:t>
      </w:r>
      <w:r>
        <w:t xml:space="preserve">, January 2015, p. 1; Ausgrid, </w:t>
      </w:r>
      <w:r w:rsidRPr="00D75F7A">
        <w:rPr>
          <w:rStyle w:val="AERtextitalic"/>
        </w:rPr>
        <w:t>Ausgrid's revised proposal on gamma</w:t>
      </w:r>
      <w:r>
        <w:t xml:space="preserve">, January 2015, p. 3; Directlink, </w:t>
      </w:r>
      <w:r w:rsidRPr="0000771B">
        <w:rPr>
          <w:rStyle w:val="AERtextitalic"/>
        </w:rPr>
        <w:t>Directlink submission on gamma (updated)</w:t>
      </w:r>
      <w:r>
        <w:t xml:space="preserve">, January 2015, p. 3; Endeavour Energy, </w:t>
      </w:r>
      <w:r w:rsidRPr="00DF3162">
        <w:rPr>
          <w:rStyle w:val="AERtextitalic"/>
        </w:rPr>
        <w:t>Endeavour Energy's response to the AER draft decision re gamma</w:t>
      </w:r>
      <w:r>
        <w:t xml:space="preserve">, January 2015, p. 3; Essential Energy, </w:t>
      </w:r>
      <w:r w:rsidRPr="000E181F">
        <w:rPr>
          <w:rStyle w:val="AERtextitalic"/>
        </w:rPr>
        <w:t>Essential's response to AER draft decision re gamma</w:t>
      </w:r>
      <w:r>
        <w:t xml:space="preserve">, January 2015, p. 3; and JGN, </w:t>
      </w:r>
      <w:r w:rsidRPr="000E181F">
        <w:rPr>
          <w:rStyle w:val="AERtextitalic"/>
        </w:rPr>
        <w:t>Gamma - response to the draft decision</w:t>
      </w:r>
      <w:r>
        <w:t xml:space="preserve">, February 2015, p. 4; CitiPower, </w:t>
      </w:r>
      <w:r w:rsidRPr="00596AF9">
        <w:rPr>
          <w:i/>
        </w:rPr>
        <w:t>Appendix J - Gamma</w:t>
      </w:r>
      <w:r>
        <w:t xml:space="preserve">, April 2015, p. 6; Powercor, </w:t>
      </w:r>
      <w:r w:rsidRPr="00596AF9">
        <w:rPr>
          <w:i/>
        </w:rPr>
        <w:t>Regulatory Proposal 2016</w:t>
      </w:r>
      <w:r>
        <w:rPr>
          <w:i/>
        </w:rPr>
        <w:t>–</w:t>
      </w:r>
      <w:r w:rsidRPr="00596AF9">
        <w:rPr>
          <w:i/>
        </w:rPr>
        <w:t>20,</w:t>
      </w:r>
      <w:r>
        <w:t xml:space="preserve"> April 2015, p. 6; Energex, </w:t>
      </w:r>
      <w:r w:rsidRPr="003B17FF">
        <w:t>Submission on Energex's regulatory proposal 2015-20 and the AER issues paper,</w:t>
      </w:r>
      <w:r>
        <w:t xml:space="preserve"> January 2015, p. 4.</w:t>
      </w:r>
    </w:p>
  </w:footnote>
  <w:footnote w:id="444">
    <w:p w:rsidR="005E1FC3" w:rsidRDefault="005E1FC3" w:rsidP="001D37D5">
      <w:pPr>
        <w:pStyle w:val="FootnoteText"/>
      </w:pPr>
      <w:r>
        <w:rPr>
          <w:rStyle w:val="FootnoteReference"/>
        </w:rPr>
        <w:footnoteRef/>
      </w:r>
      <w:r>
        <w:t xml:space="preserve"> </w:t>
      </w:r>
      <w:r>
        <w:tab/>
        <w:t xml:space="preserve">ActewAGL, </w:t>
      </w:r>
      <w:r w:rsidRPr="000E181F">
        <w:rPr>
          <w:rStyle w:val="AERtextitalic"/>
        </w:rPr>
        <w:t>Detailed response to the AER's draft decision in relation to gamma</w:t>
      </w:r>
      <w:r>
        <w:t xml:space="preserve">, January 2015, p. 13; Ausgrid, </w:t>
      </w:r>
      <w:r w:rsidRPr="00D75F7A">
        <w:rPr>
          <w:rStyle w:val="AERtextitalic"/>
        </w:rPr>
        <w:t>Ausgrid's revised proposal on gamma</w:t>
      </w:r>
      <w:r>
        <w:t xml:space="preserve">, January 2015, p. 14; Directlink, </w:t>
      </w:r>
      <w:r w:rsidRPr="0000771B">
        <w:rPr>
          <w:rStyle w:val="AERtextitalic"/>
        </w:rPr>
        <w:t>Directlink submission on gamma (updated)</w:t>
      </w:r>
      <w:r>
        <w:t xml:space="preserve">, January 2015, p. 19; Endeavour Energy, </w:t>
      </w:r>
      <w:r w:rsidRPr="00DF3162">
        <w:rPr>
          <w:rStyle w:val="AERtextitalic"/>
        </w:rPr>
        <w:t>Endeavour Energy's response to the AER draft decision re gamma</w:t>
      </w:r>
      <w:r>
        <w:t xml:space="preserve">, January 2015, p. 14; Essential Energy, </w:t>
      </w:r>
      <w:r w:rsidRPr="000E181F">
        <w:rPr>
          <w:rStyle w:val="AERtextitalic"/>
        </w:rPr>
        <w:t>Essential's response to AER draft decision re gamma</w:t>
      </w:r>
      <w:r>
        <w:t xml:space="preserve">, January 2015, p. 14; and JGN, </w:t>
      </w:r>
      <w:r w:rsidRPr="000E181F">
        <w:rPr>
          <w:rStyle w:val="AERtextitalic"/>
        </w:rPr>
        <w:t>Gamma - response to the draft decision</w:t>
      </w:r>
      <w:r>
        <w:t xml:space="preserve">, February 2015, p. 17; CitiPower, </w:t>
      </w:r>
      <w:r w:rsidRPr="00596AF9">
        <w:rPr>
          <w:i/>
        </w:rPr>
        <w:t>Appendix J - Gamma</w:t>
      </w:r>
      <w:r>
        <w:t xml:space="preserve">, April 2015, pp. 4-5; Powercor, </w:t>
      </w:r>
      <w:r w:rsidRPr="00596AF9">
        <w:rPr>
          <w:i/>
        </w:rPr>
        <w:t>Regulatory Proposal 2016-20</w:t>
      </w:r>
      <w:r>
        <w:t xml:space="preserve">, April 2015, pp. 4-5; Energex, </w:t>
      </w:r>
      <w:r w:rsidRPr="00596AF9">
        <w:rPr>
          <w:i/>
        </w:rPr>
        <w:t>Revised regulatory proposal 2015-20</w:t>
      </w:r>
      <w:r>
        <w:t xml:space="preserve">, July 2015, p. 13. </w:t>
      </w:r>
    </w:p>
  </w:footnote>
  <w:footnote w:id="445">
    <w:p w:rsidR="005E1FC3" w:rsidRDefault="005E1FC3" w:rsidP="001D37D5">
      <w:pPr>
        <w:pStyle w:val="FootnoteText"/>
      </w:pPr>
      <w:r>
        <w:rPr>
          <w:rStyle w:val="FootnoteReference"/>
        </w:rPr>
        <w:footnoteRef/>
      </w:r>
      <w:r>
        <w:t xml:space="preserve"> </w:t>
      </w:r>
      <w:r>
        <w:tab/>
      </w:r>
      <w:r w:rsidRPr="00727BE0">
        <w:t xml:space="preserve">M. Lally, </w:t>
      </w:r>
      <w:r w:rsidRPr="00727BE0">
        <w:rPr>
          <w:rStyle w:val="AERtextitalic"/>
        </w:rPr>
        <w:t>Gamma and the ACT Decision</w:t>
      </w:r>
      <w:r w:rsidRPr="00727BE0">
        <w:t>, May 2016, pp. </w:t>
      </w:r>
      <w:r>
        <w:t>24–26</w:t>
      </w:r>
      <w:r w:rsidRPr="00727BE0">
        <w:t>.</w:t>
      </w:r>
    </w:p>
  </w:footnote>
  <w:footnote w:id="446">
    <w:p w:rsidR="005E1FC3" w:rsidRDefault="005E1FC3" w:rsidP="001D37D5">
      <w:pPr>
        <w:pStyle w:val="FootnoteText"/>
      </w:pPr>
      <w:r>
        <w:rPr>
          <w:rStyle w:val="FootnoteReference"/>
        </w:rPr>
        <w:footnoteRef/>
      </w:r>
      <w:r>
        <w:t xml:space="preserve"> </w:t>
      </w:r>
      <w:r>
        <w:tab/>
      </w:r>
      <w:r w:rsidRPr="00727BE0">
        <w:t xml:space="preserve">M. Lally, </w:t>
      </w:r>
      <w:r w:rsidRPr="00727BE0">
        <w:rPr>
          <w:rStyle w:val="AERtextitalic"/>
        </w:rPr>
        <w:t>Gamma and the ACT Decision</w:t>
      </w:r>
      <w:r w:rsidRPr="00727BE0">
        <w:t>, May 2016, pp. </w:t>
      </w:r>
      <w:r>
        <w:t>5</w:t>
      </w:r>
      <w:r w:rsidRPr="00727BE0">
        <w:t xml:space="preserve">, </w:t>
      </w:r>
      <w:r>
        <w:t>29</w:t>
      </w:r>
      <w:r w:rsidRPr="00727BE0">
        <w:t>.</w:t>
      </w:r>
    </w:p>
  </w:footnote>
  <w:footnote w:id="447">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pp. 8, 22; ActewAGL, </w:t>
      </w:r>
      <w:r w:rsidRPr="00AF5B33">
        <w:rPr>
          <w:rStyle w:val="AERtextitalic"/>
        </w:rPr>
        <w:t>Appendix 5.01 Detailed response to rate of return, gamma and inflation</w:t>
      </w:r>
      <w:r>
        <w:t xml:space="preserve">, January 2016, pp. 4, 11, 128; AusNet Electricity Services, </w:t>
      </w:r>
      <w:r w:rsidRPr="00AF5B33">
        <w:rPr>
          <w:rStyle w:val="AERtextitalic"/>
        </w:rPr>
        <w:t>Revised Regulatory Proposal</w:t>
      </w:r>
      <w:r>
        <w:t xml:space="preserve">, January 2016, pp. 7-81, 7-95; United Energy, </w:t>
      </w:r>
      <w:r w:rsidRPr="00AF5B33">
        <w:rPr>
          <w:rStyle w:val="AERtextitalic"/>
        </w:rPr>
        <w:t>Response to AER Preliminary Determination Re: Rate of return and gamma</w:t>
      </w:r>
      <w:r>
        <w:t xml:space="preserve">, January 2016, pp. 82, 96; CitiPower, </w:t>
      </w:r>
      <w:r w:rsidRPr="00AF5B33">
        <w:rPr>
          <w:rStyle w:val="AERtextitalic"/>
        </w:rPr>
        <w:t>Revised Regulatory Proposal 2016-2020</w:t>
      </w:r>
      <w:r>
        <w:t xml:space="preserve">; January 2016, pp. 360, 374; Jemena Electricity Networks, </w:t>
      </w:r>
      <w:r w:rsidRPr="00AF5B33">
        <w:rPr>
          <w:rStyle w:val="AERtextitalic"/>
        </w:rPr>
        <w:t>Attachment 6-1 Rate of return, gamma, forecast inflation, and debt and equity raising costs</w:t>
      </w:r>
      <w:r>
        <w:t xml:space="preserve">, January 2016, pp. 88, 103; Powercor, </w:t>
      </w:r>
      <w:r w:rsidRPr="00AF5B33">
        <w:rPr>
          <w:rStyle w:val="AERtextitalic"/>
        </w:rPr>
        <w:t>Revised Regulatory Proposal 2016-2020</w:t>
      </w:r>
      <w:r>
        <w:t>, January 2016, pp. 354, 368.</w:t>
      </w:r>
    </w:p>
  </w:footnote>
  <w:footnote w:id="448">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17; ActewAGL, </w:t>
      </w:r>
      <w:r w:rsidRPr="00AF5B33">
        <w:rPr>
          <w:rStyle w:val="AERtextitalic"/>
        </w:rPr>
        <w:t>Appendix 5.01 Detailed response to rate of return, gamma and inflation</w:t>
      </w:r>
      <w:r>
        <w:t xml:space="preserve">, January 2016, pp. 111, 121, 128; AusNet Electricity Services, </w:t>
      </w:r>
      <w:r w:rsidRPr="00AF5B33">
        <w:rPr>
          <w:rStyle w:val="AERtextitalic"/>
        </w:rPr>
        <w:t>Revised Regulatory Proposal</w:t>
      </w:r>
      <w:r>
        <w:t xml:space="preserve">, January 2016, pp. 7-81, 7-90, 7-95; United Energy, </w:t>
      </w:r>
      <w:r w:rsidRPr="00AF5B33">
        <w:rPr>
          <w:rStyle w:val="AERtextitalic"/>
        </w:rPr>
        <w:t>Response to AER Preliminary Determination Re: Rate of return and gamma</w:t>
      </w:r>
      <w:r>
        <w:t xml:space="preserve">, January 2016, pp. 82, 91, 96; CitiPower, </w:t>
      </w:r>
      <w:r w:rsidRPr="00AF5B33">
        <w:rPr>
          <w:rStyle w:val="AERtextitalic"/>
        </w:rPr>
        <w:t>Revised Regulatory Proposal 2016-2020</w:t>
      </w:r>
      <w:r>
        <w:t xml:space="preserve">; January 2016, pp. 360, 369, 374; Jemena Electricity Networks, </w:t>
      </w:r>
      <w:r w:rsidRPr="00AF5B33">
        <w:rPr>
          <w:rStyle w:val="AERtextitalic"/>
        </w:rPr>
        <w:t>Attachment 6-1 Rate of return, gamma, forecast inflation, and debt and equity raising costs</w:t>
      </w:r>
      <w:r>
        <w:t xml:space="preserve">, January 2016, pp. 88, 98, 163; Powercor, </w:t>
      </w:r>
      <w:r w:rsidRPr="00AF5B33">
        <w:rPr>
          <w:rStyle w:val="AERtextitalic"/>
        </w:rPr>
        <w:t>Revised Regulatory Proposal 2016-2020</w:t>
      </w:r>
      <w:r>
        <w:t>, January 2016, p. 354, 363, 368.</w:t>
      </w:r>
    </w:p>
  </w:footnote>
  <w:footnote w:id="449">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8; ActewAGL, </w:t>
      </w:r>
      <w:r w:rsidRPr="00AF5B33">
        <w:rPr>
          <w:rStyle w:val="AERtextitalic"/>
        </w:rPr>
        <w:t>Appendix 5.01 Detailed response to rate of return, gamma and inflation</w:t>
      </w:r>
      <w:r>
        <w:t xml:space="preserve">, January 2016, pp. 111, 128; AusNet Electricity Services, </w:t>
      </w:r>
      <w:r w:rsidRPr="00AF5B33">
        <w:rPr>
          <w:rStyle w:val="AERtextitalic"/>
        </w:rPr>
        <w:t>Revised Regulatory Proposal</w:t>
      </w:r>
      <w:r>
        <w:t xml:space="preserve">, January 2016, pp. 7-81, 7-95; United Energy, </w:t>
      </w:r>
      <w:r w:rsidRPr="00AF5B33">
        <w:rPr>
          <w:rStyle w:val="AERtextitalic"/>
        </w:rPr>
        <w:t>Response to AER Preliminary Determination Re: Rate of return and gamma</w:t>
      </w:r>
      <w:r>
        <w:t xml:space="preserve">, January 2016, pp. 82-83, 96; CitiPower, </w:t>
      </w:r>
      <w:r w:rsidRPr="00AF5B33">
        <w:rPr>
          <w:rStyle w:val="AERtextitalic"/>
        </w:rPr>
        <w:t>Revised Regulatory Proposal 2016-2020</w:t>
      </w:r>
      <w:r>
        <w:t xml:space="preserve">; January 2016, pp. 360, 374; Jemena Electricity Networks, </w:t>
      </w:r>
      <w:r w:rsidRPr="00AF5B33">
        <w:rPr>
          <w:rStyle w:val="AERtextitalic"/>
        </w:rPr>
        <w:t>Attachment 6-1 Rate of return, gamma, forecast inflation, and debt and equity raising costs</w:t>
      </w:r>
      <w:r>
        <w:t xml:space="preserve">, January 2016, p. 88-89, 103-104; Powercor, </w:t>
      </w:r>
      <w:r w:rsidRPr="00AF5B33">
        <w:rPr>
          <w:rStyle w:val="AERtextitalic"/>
        </w:rPr>
        <w:t>Revised Regulatory Proposal 2016-2020</w:t>
      </w:r>
      <w:r>
        <w:t>, January 2016, pp. 354, 367-368.</w:t>
      </w:r>
    </w:p>
  </w:footnote>
  <w:footnote w:id="450">
    <w:p w:rsidR="005E1FC3" w:rsidRDefault="005E1FC3" w:rsidP="001D37D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xml:space="preserve">, June 2015, pp. 26–27; NERA, </w:t>
      </w:r>
      <w:r w:rsidRPr="00D54762">
        <w:rPr>
          <w:rStyle w:val="AERtextitalic"/>
        </w:rPr>
        <w:t>Estimating distribution and redemption rates: Response to the AER's final decisions for the NSW and ACT electricity distributors, and for Jemena Gas Networks</w:t>
      </w:r>
      <w:r>
        <w:t>, June 2015, p. iii.</w:t>
      </w:r>
    </w:p>
  </w:footnote>
  <w:footnote w:id="451">
    <w:p w:rsidR="005E1FC3" w:rsidRDefault="005E1FC3" w:rsidP="001D37D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xml:space="preserve">, June 2015, pp. 28–30; NERA, </w:t>
      </w:r>
      <w:r w:rsidRPr="00D54762">
        <w:rPr>
          <w:rStyle w:val="AERtextitalic"/>
        </w:rPr>
        <w:t>Estimating distribution and redemption rates: Response to the AER's final decisions for the NSW and ACT electricity distributors, and for Jemena Gas Networks</w:t>
      </w:r>
      <w:r>
        <w:t>, June 2015, pp. 17–18.</w:t>
      </w:r>
    </w:p>
  </w:footnote>
  <w:footnote w:id="452">
    <w:p w:rsidR="005E1FC3" w:rsidRDefault="005E1FC3" w:rsidP="001D37D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xml:space="preserve">, June 2015, pp. 28–30; NERA, </w:t>
      </w:r>
      <w:r w:rsidRPr="00D54762">
        <w:rPr>
          <w:rStyle w:val="AERtextitalic"/>
        </w:rPr>
        <w:t>Estimating distribution and redemption rates: Response to the AER's final decisions for the NSW and ACT electricity distributors, and for Jemena Gas Networks</w:t>
      </w:r>
      <w:r>
        <w:t>, June 2015, pp. 17–19.</w:t>
      </w:r>
    </w:p>
  </w:footnote>
  <w:footnote w:id="453">
    <w:p w:rsidR="005E1FC3" w:rsidRDefault="005E1FC3" w:rsidP="001D37D5">
      <w:pPr>
        <w:pStyle w:val="FootnoteText"/>
      </w:pPr>
      <w:r>
        <w:rPr>
          <w:rStyle w:val="FootnoteReference"/>
        </w:rPr>
        <w:footnoteRef/>
      </w:r>
      <w:r>
        <w:t xml:space="preserve"> </w:t>
      </w:r>
      <w:r>
        <w:tab/>
        <w:t xml:space="preserve">Frontier, </w:t>
      </w:r>
      <w:r w:rsidRPr="005764F6">
        <w:rPr>
          <w:rStyle w:val="AERtextitalic"/>
        </w:rPr>
        <w:t>The appropriate use of tax statistics when estimating gamma</w:t>
      </w:r>
      <w:r>
        <w:t>, January 2016, pp. 12-13.</w:t>
      </w:r>
    </w:p>
  </w:footnote>
  <w:footnote w:id="454">
    <w:p w:rsidR="005E1FC3" w:rsidRDefault="005E1FC3" w:rsidP="001D37D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21.</w:t>
      </w:r>
    </w:p>
  </w:footnote>
  <w:footnote w:id="455">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27.</w:t>
      </w:r>
    </w:p>
  </w:footnote>
  <w:footnote w:id="456">
    <w:p w:rsidR="005E1FC3" w:rsidRDefault="005E1FC3" w:rsidP="001D37D5">
      <w:pPr>
        <w:pStyle w:val="FootnoteText"/>
      </w:pPr>
      <w:r>
        <w:rPr>
          <w:rStyle w:val="FootnoteReference"/>
        </w:rPr>
        <w:footnoteRef/>
      </w:r>
      <w:r>
        <w:t xml:space="preserve"> </w:t>
      </w:r>
      <w:r>
        <w:tab/>
        <w:t xml:space="preserve">EMRF, </w:t>
      </w:r>
      <w:r w:rsidRPr="001B6BD3">
        <w:rPr>
          <w:rStyle w:val="AERtextitalic"/>
        </w:rPr>
        <w:t>NSW gas distribution revenue reset, Draft decision by the Australian Energy Regulator on Jemena’s Gas Networks Access Arrangement, A response</w:t>
      </w:r>
      <w:r>
        <w:t>, March 2015, p. 71.</w:t>
      </w:r>
    </w:p>
  </w:footnote>
  <w:footnote w:id="457">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25–26, 28–29.</w:t>
      </w:r>
    </w:p>
  </w:footnote>
  <w:footnote w:id="458">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5–6, 24–26, 29.</w:t>
      </w:r>
      <w:r w:rsidRPr="00FF2881">
        <w:rPr>
          <w:rStyle w:val="FootnoteReference"/>
        </w:rPr>
        <w:t xml:space="preserve">. </w:t>
      </w:r>
    </w:p>
  </w:footnote>
  <w:footnote w:id="459">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7.</w:t>
      </w:r>
    </w:p>
  </w:footnote>
  <w:footnote w:id="460">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7.</w:t>
      </w:r>
    </w:p>
  </w:footnote>
  <w:footnote w:id="461">
    <w:p w:rsidR="005E1FC3" w:rsidRDefault="005E1FC3" w:rsidP="001D37D5">
      <w:pPr>
        <w:pStyle w:val="FootnoteText"/>
      </w:pPr>
      <w:r>
        <w:rPr>
          <w:rStyle w:val="FootnoteReference"/>
        </w:rPr>
        <w:footnoteRef/>
      </w:r>
      <w:r>
        <w:t xml:space="preserve"> </w:t>
      </w:r>
      <w:r>
        <w:tab/>
      </w:r>
      <w:r w:rsidRPr="00DF6BAC">
        <w:t xml:space="preserve">NERA, </w:t>
      </w:r>
      <w:r w:rsidRPr="00DF6BAC">
        <w:rPr>
          <w:rStyle w:val="AERtextitalic"/>
        </w:rPr>
        <w:t>The payout ratio: A report for the Energy Networks Association</w:t>
      </w:r>
      <w:r w:rsidRPr="00DF6BAC">
        <w:t>, June 2013.</w:t>
      </w:r>
    </w:p>
  </w:footnote>
  <w:footnote w:id="462">
    <w:p w:rsidR="005E1FC3" w:rsidRDefault="005E1FC3" w:rsidP="001D37D5">
      <w:pPr>
        <w:pStyle w:val="FootnoteText"/>
      </w:pPr>
      <w:r>
        <w:rPr>
          <w:rStyle w:val="FootnoteReference"/>
        </w:rPr>
        <w:footnoteRef/>
      </w:r>
      <w:r>
        <w:t xml:space="preserve"> </w:t>
      </w:r>
      <w:r>
        <w:tab/>
      </w:r>
      <w:r w:rsidRPr="00DF6BAC">
        <w:t xml:space="preserve">N. Hathaway, </w:t>
      </w:r>
      <w:r w:rsidRPr="00DF6BAC">
        <w:rPr>
          <w:rStyle w:val="AERtextitalic"/>
        </w:rPr>
        <w:t>Imputation credit redemption ATO data 1988–2011: Where have all the credits gone?</w:t>
      </w:r>
      <w:r w:rsidRPr="00DF6BAC">
        <w:t>, September 2013.</w:t>
      </w:r>
    </w:p>
  </w:footnote>
  <w:footnote w:id="463">
    <w:p w:rsidR="005E1FC3" w:rsidRDefault="005E1FC3" w:rsidP="001D37D5">
      <w:pPr>
        <w:pStyle w:val="FootnoteText"/>
      </w:pPr>
      <w:r>
        <w:rPr>
          <w:rStyle w:val="FootnoteReference"/>
        </w:rPr>
        <w:footnoteRef/>
      </w:r>
      <w:r>
        <w:t xml:space="preserve"> </w:t>
      </w:r>
      <w:r>
        <w:tab/>
        <w:t>Frontier, The appropriate use of tax statistics when estimating gamma, January 2016, p. 15.</w:t>
      </w:r>
    </w:p>
  </w:footnote>
  <w:footnote w:id="464">
    <w:p w:rsidR="005E1FC3" w:rsidRDefault="005E1FC3" w:rsidP="001D37D5">
      <w:pPr>
        <w:pStyle w:val="FootnoteText"/>
      </w:pPr>
      <w:r>
        <w:rPr>
          <w:rStyle w:val="FootnoteReference"/>
        </w:rPr>
        <w:footnoteRef/>
      </w:r>
      <w:r>
        <w:t xml:space="preserve"> </w:t>
      </w:r>
      <w:r>
        <w:tab/>
      </w:r>
      <w:r w:rsidRPr="00874F27">
        <w:t xml:space="preserve">J. Handley, </w:t>
      </w:r>
      <w:r w:rsidRPr="00874F27">
        <w:rPr>
          <w:rStyle w:val="AERtextitalic"/>
        </w:rPr>
        <w:t>Report prepared for the Australian Energy Regulator: Advice on the value of imputation credits</w:t>
      </w:r>
      <w:r w:rsidRPr="00874F27">
        <w:t>, 29 September 2014</w:t>
      </w:r>
      <w:r>
        <w:t>, pp. 28–29</w:t>
      </w:r>
      <w:r w:rsidRPr="00874F27">
        <w:t>.</w:t>
      </w:r>
    </w:p>
  </w:footnote>
  <w:footnote w:id="465">
    <w:p w:rsidR="005E1FC3" w:rsidRDefault="005E1FC3" w:rsidP="001D37D5">
      <w:pPr>
        <w:pStyle w:val="FootnoteText"/>
      </w:pPr>
      <w:r>
        <w:rPr>
          <w:rStyle w:val="FootnoteReference"/>
        </w:rPr>
        <w:footnoteRef/>
      </w:r>
      <w:r>
        <w:t xml:space="preserve"> </w:t>
      </w:r>
      <w:r>
        <w:tab/>
        <w:t xml:space="preserve">NERA, </w:t>
      </w:r>
      <w:r w:rsidRPr="001763FD">
        <w:rPr>
          <w:rStyle w:val="AERtextitalic"/>
        </w:rPr>
        <w:t>Estimating distribution and redemption rates from taxation statistics</w:t>
      </w:r>
      <w:r>
        <w:t>, March 2015.</w:t>
      </w:r>
      <w:r w:rsidDel="00701BF2">
        <w:t xml:space="preserve"> </w:t>
      </w:r>
    </w:p>
  </w:footnote>
  <w:footnote w:id="466">
    <w:p w:rsidR="005E1FC3" w:rsidRDefault="005E1FC3" w:rsidP="001D37D5">
      <w:pPr>
        <w:pStyle w:val="FootnoteText"/>
      </w:pPr>
      <w:r>
        <w:rPr>
          <w:rStyle w:val="FootnoteReference"/>
        </w:rPr>
        <w:footnoteRef/>
      </w:r>
      <w:r>
        <w:t xml:space="preserve"> </w:t>
      </w:r>
      <w:r>
        <w:tab/>
        <w:t xml:space="preserve">J. Handley, </w:t>
      </w:r>
      <w:r w:rsidRPr="005B7CF2">
        <w:rPr>
          <w:rStyle w:val="AERtextitalic"/>
        </w:rPr>
        <w:t>Report prepared for the Australian Energy Regulator: Advice on the NERA report 'Estimating distribution and redemption rates from taxation statistics'</w:t>
      </w:r>
      <w:r>
        <w:t xml:space="preserve">, 20 May 2015. </w:t>
      </w:r>
    </w:p>
  </w:footnote>
  <w:footnote w:id="467">
    <w:p w:rsidR="005E1FC3" w:rsidRDefault="005E1FC3" w:rsidP="001D37D5">
      <w:pPr>
        <w:pStyle w:val="FootnoteText"/>
      </w:pPr>
      <w:r>
        <w:rPr>
          <w:rStyle w:val="FootnoteReference"/>
        </w:rPr>
        <w:footnoteRef/>
      </w:r>
      <w:r>
        <w:t xml:space="preserve"> </w:t>
      </w:r>
      <w:r>
        <w:tab/>
        <w:t xml:space="preserve">As discussed in section </w:t>
      </w:r>
      <w:r>
        <w:fldChar w:fldCharType="begin"/>
      </w:r>
      <w:r>
        <w:instrText xml:space="preserve"> REF _Ref402179420 \r \h </w:instrText>
      </w:r>
      <w:r>
        <w:fldChar w:fldCharType="separate"/>
      </w:r>
      <w:r>
        <w:t>A.13</w:t>
      </w:r>
      <w:r>
        <w:fldChar w:fldCharType="end"/>
      </w:r>
      <w:r>
        <w:t xml:space="preserve">, we have regard to </w:t>
      </w:r>
      <w:r w:rsidRPr="007938F1">
        <w:t>Hathaway's finding that the ATO statistics are subject to a number of issues prior to 2004</w:t>
      </w:r>
      <w:r>
        <w:t>.</w:t>
      </w:r>
    </w:p>
  </w:footnote>
  <w:footnote w:id="468">
    <w:p w:rsidR="005E1FC3" w:rsidRDefault="005E1FC3" w:rsidP="001D37D5">
      <w:pPr>
        <w:pStyle w:val="FootnoteText"/>
      </w:pPr>
      <w:r>
        <w:rPr>
          <w:rStyle w:val="FootnoteReference"/>
        </w:rPr>
        <w:footnoteRef/>
      </w:r>
      <w:r>
        <w:t xml:space="preserve"> </w:t>
      </w:r>
      <w:r>
        <w:tab/>
        <w:t>Frontier, The appropriate use of tax statistics when estimating gamma, January 2016, p. 20.</w:t>
      </w:r>
    </w:p>
  </w:footnote>
  <w:footnote w:id="469">
    <w:p w:rsidR="005E1FC3" w:rsidRDefault="005E1FC3" w:rsidP="001D37D5">
      <w:pPr>
        <w:pStyle w:val="FootnoteText"/>
      </w:pPr>
      <w:r>
        <w:rPr>
          <w:rStyle w:val="FootnoteReference"/>
        </w:rPr>
        <w:footnoteRef/>
      </w:r>
      <w:r>
        <w:t xml:space="preserve"> </w:t>
      </w:r>
      <w:r>
        <w:tab/>
        <w:t>Frontier, The appropriate use of tax statistics when estimating gamma, January 2016, p. 20.</w:t>
      </w:r>
    </w:p>
  </w:footnote>
  <w:footnote w:id="470">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25.</w:t>
      </w:r>
    </w:p>
  </w:footnote>
  <w:footnote w:id="471">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31.</w:t>
      </w:r>
    </w:p>
  </w:footnote>
  <w:footnote w:id="472">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7; ActewAGL, </w:t>
      </w:r>
      <w:r w:rsidRPr="00AF5B33">
        <w:rPr>
          <w:rStyle w:val="AERtextitalic"/>
        </w:rPr>
        <w:t>Appendix 5.01 Detailed response to rate of return, gamma and inflation</w:t>
      </w:r>
      <w:r>
        <w:t xml:space="preserve">, January 2016, p. 109; AusNet Electricity Services, </w:t>
      </w:r>
      <w:r w:rsidRPr="00AF5B33">
        <w:rPr>
          <w:rStyle w:val="AERtextitalic"/>
        </w:rPr>
        <w:t>Revised Regulatory Proposal</w:t>
      </w:r>
      <w:r>
        <w:t xml:space="preserve">, January 2016, p. 7-80; United Energy, </w:t>
      </w:r>
      <w:r w:rsidRPr="00AF5B33">
        <w:rPr>
          <w:rStyle w:val="AERtextitalic"/>
        </w:rPr>
        <w:t>Response to AER Preliminary Determination Re: Rate of return and gamma</w:t>
      </w:r>
      <w:r>
        <w:t xml:space="preserve">, January 2016, p. 81; CitiPower, </w:t>
      </w:r>
      <w:r w:rsidRPr="00AF5B33">
        <w:rPr>
          <w:rStyle w:val="AERtextitalic"/>
        </w:rPr>
        <w:t>Revised Regulatory Proposal 2016-2020</w:t>
      </w:r>
      <w:r>
        <w:t xml:space="preserve">; January 2016, p. 359; Jemena Electricity Networks, </w:t>
      </w:r>
      <w:r w:rsidRPr="00AF5B33">
        <w:rPr>
          <w:rStyle w:val="AERtextitalic"/>
        </w:rPr>
        <w:t>Attachment 6-1 Rate of return, gamma, forecast inflation, and debt and equity raising costs</w:t>
      </w:r>
      <w:r>
        <w:t xml:space="preserve">, January 2016, p. 87; Powercor, </w:t>
      </w:r>
      <w:r w:rsidRPr="00AF5B33">
        <w:rPr>
          <w:rStyle w:val="AERtextitalic"/>
        </w:rPr>
        <w:t>Revised Regulatory Proposal 2016-2020</w:t>
      </w:r>
      <w:r>
        <w:t xml:space="preserve">, January 2016, p. 353; APNT, </w:t>
      </w:r>
      <w:r w:rsidRPr="00903ED1">
        <w:rPr>
          <w:rStyle w:val="AERtextitalic"/>
        </w:rPr>
        <w:t>Access Arrangement Revised Proposal to Draft Decision</w:t>
      </w:r>
      <w:r>
        <w:t>, January 2016, p. 92.</w:t>
      </w:r>
    </w:p>
  </w:footnote>
  <w:footnote w:id="473">
    <w:p w:rsidR="005E1FC3" w:rsidRDefault="005E1FC3" w:rsidP="001D37D5">
      <w:pPr>
        <w:pStyle w:val="FootnoteText"/>
      </w:pPr>
      <w:r>
        <w:rPr>
          <w:rStyle w:val="FootnoteReference"/>
        </w:rPr>
        <w:footnoteRef/>
      </w:r>
      <w:r>
        <w:t xml:space="preserve"> </w:t>
      </w:r>
      <w:r>
        <w:tab/>
      </w:r>
      <w:r w:rsidRPr="006D49F4">
        <w:t>United Energy, Submission on AER preliminary determination - Submission on gamma, 26 April 2016.</w:t>
      </w:r>
    </w:p>
  </w:footnote>
  <w:footnote w:id="474">
    <w:p w:rsidR="005E1FC3" w:rsidRDefault="005E1FC3" w:rsidP="001D37D5">
      <w:pPr>
        <w:pStyle w:val="FootnoteText"/>
      </w:pPr>
      <w:r>
        <w:rPr>
          <w:rStyle w:val="FootnoteReference"/>
        </w:rPr>
        <w:footnoteRef/>
      </w:r>
      <w:r>
        <w:t xml:space="preserve"> </w:t>
      </w:r>
      <w:r>
        <w:tab/>
        <w:t xml:space="preserve">ActewAGL, </w:t>
      </w:r>
      <w:r w:rsidRPr="000E181F">
        <w:rPr>
          <w:rStyle w:val="AERtextitalic"/>
        </w:rPr>
        <w:t>Detailed response to the AER's draft decision in relation to gamma</w:t>
      </w:r>
      <w:r>
        <w:t xml:space="preserve">, January 2015, p. 1; Ausgrid, </w:t>
      </w:r>
      <w:r w:rsidRPr="00D75F7A">
        <w:rPr>
          <w:rStyle w:val="AERtextitalic"/>
        </w:rPr>
        <w:t>Ausgrid's revised proposal on gamma</w:t>
      </w:r>
      <w:r>
        <w:t xml:space="preserve">, January 2015, p. 3; Directlink, </w:t>
      </w:r>
      <w:r w:rsidRPr="0000771B">
        <w:rPr>
          <w:rStyle w:val="AERtextitalic"/>
        </w:rPr>
        <w:t>Directlink submission on gamma (updated)</w:t>
      </w:r>
      <w:r>
        <w:t xml:space="preserve">, January 2015, p. 3; Endeavour Energy, </w:t>
      </w:r>
      <w:r w:rsidRPr="00DF3162">
        <w:rPr>
          <w:rStyle w:val="AERtextitalic"/>
        </w:rPr>
        <w:t>Endeavour Energy's response to the AER draft decision re gamma</w:t>
      </w:r>
      <w:r>
        <w:t xml:space="preserve">, January 2015, p. 3; Essential Energy, </w:t>
      </w:r>
      <w:r w:rsidRPr="000E181F">
        <w:rPr>
          <w:rStyle w:val="AERtextitalic"/>
        </w:rPr>
        <w:t>Essential's response to AER draft decision re gamma</w:t>
      </w:r>
      <w:r>
        <w:t xml:space="preserve">, January 2015, p. 3; and JGN, </w:t>
      </w:r>
      <w:r w:rsidRPr="000E181F">
        <w:rPr>
          <w:rStyle w:val="AERtextitalic"/>
        </w:rPr>
        <w:t>Gamma - response to the draft decision</w:t>
      </w:r>
      <w:r>
        <w:t xml:space="preserve">, February 2015, p. 4; CitiPower, </w:t>
      </w:r>
      <w:r w:rsidRPr="00596AF9">
        <w:rPr>
          <w:i/>
        </w:rPr>
        <w:t>Appendix J - Gamma</w:t>
      </w:r>
      <w:r>
        <w:t xml:space="preserve">, April 2015, p. 6; Powercor, </w:t>
      </w:r>
      <w:r w:rsidRPr="00596AF9">
        <w:rPr>
          <w:i/>
        </w:rPr>
        <w:t>Regulatory Proposal 2016-20</w:t>
      </w:r>
      <w:r>
        <w:t xml:space="preserve">, April 2015, p. 6; Energex, </w:t>
      </w:r>
      <w:r w:rsidRPr="00596AF9">
        <w:rPr>
          <w:i/>
        </w:rPr>
        <w:t>Submission on Energex's regulatory proposal 2015-20 and the AER issues paper</w:t>
      </w:r>
      <w:r>
        <w:t>, January 2015, p. 4.</w:t>
      </w:r>
    </w:p>
  </w:footnote>
  <w:footnote w:id="475">
    <w:p w:rsidR="005E1FC3" w:rsidRDefault="005E1FC3" w:rsidP="001D37D5">
      <w:pPr>
        <w:pStyle w:val="FootnoteText"/>
      </w:pPr>
      <w:r>
        <w:rPr>
          <w:rStyle w:val="FootnoteReference"/>
        </w:rPr>
        <w:footnoteRef/>
      </w:r>
      <w:r>
        <w:t xml:space="preserve"> </w:t>
      </w:r>
      <w:r>
        <w:tab/>
        <w:t xml:space="preserve">SFG, </w:t>
      </w:r>
      <w:r>
        <w:rPr>
          <w:rStyle w:val="AERtextitalic"/>
        </w:rPr>
        <w:t>Estimating gamma for regulatory purposes</w:t>
      </w:r>
      <w:r>
        <w:t>, 6 February 2015, para. 211.</w:t>
      </w:r>
    </w:p>
  </w:footnote>
  <w:footnote w:id="476">
    <w:p w:rsidR="005E1FC3" w:rsidRDefault="005E1FC3" w:rsidP="001D37D5">
      <w:pPr>
        <w:pStyle w:val="FootnoteText"/>
      </w:pPr>
      <w:r>
        <w:rPr>
          <w:rStyle w:val="FootnoteReference"/>
        </w:rPr>
        <w:footnoteRef/>
      </w:r>
      <w:r>
        <w:t xml:space="preserve"> </w:t>
      </w:r>
      <w:r>
        <w:tab/>
        <w:t xml:space="preserve">SFG, </w:t>
      </w:r>
      <w:r>
        <w:rPr>
          <w:rStyle w:val="AERtextitalic"/>
        </w:rPr>
        <w:t>Estimating gamma for regulatory purposes</w:t>
      </w:r>
      <w:r>
        <w:t>, 6 February 2015, para. 222.</w:t>
      </w:r>
    </w:p>
  </w:footnote>
  <w:footnote w:id="477">
    <w:p w:rsidR="005E1FC3" w:rsidRDefault="005E1FC3" w:rsidP="001D37D5">
      <w:pPr>
        <w:pStyle w:val="FootnoteText"/>
      </w:pPr>
      <w:r>
        <w:rPr>
          <w:rStyle w:val="FootnoteReference"/>
        </w:rPr>
        <w:footnoteRef/>
      </w:r>
      <w:r>
        <w:t xml:space="preserve">  </w:t>
      </w:r>
      <w:r>
        <w:tab/>
        <w:t xml:space="preserve">SFG, </w:t>
      </w:r>
      <w:r>
        <w:rPr>
          <w:rStyle w:val="AERtextitalic"/>
        </w:rPr>
        <w:t>Estimating gamma for regulatory purposes</w:t>
      </w:r>
      <w:r>
        <w:t xml:space="preserve">, 6 February 2015, paras. 215 and 217–218; </w:t>
      </w:r>
      <w:r w:rsidRPr="003168FF">
        <w:t>Frontier, The appropriate use of tax statistics when estimating gamma, January 2016, p. </w:t>
      </w:r>
      <w:r>
        <w:t>6.</w:t>
      </w:r>
    </w:p>
  </w:footnote>
  <w:footnote w:id="478">
    <w:p w:rsidR="005E1FC3" w:rsidRDefault="005E1FC3" w:rsidP="001D37D5">
      <w:pPr>
        <w:pStyle w:val="FootnoteText"/>
      </w:pPr>
      <w:r>
        <w:rPr>
          <w:rStyle w:val="FootnoteReference"/>
        </w:rPr>
        <w:footnoteRef/>
      </w:r>
      <w:r>
        <w:t xml:space="preserve"> </w:t>
      </w:r>
      <w:r>
        <w:tab/>
        <w:t xml:space="preserve">SFG, </w:t>
      </w:r>
      <w:r>
        <w:rPr>
          <w:rStyle w:val="AERtextitalic"/>
        </w:rPr>
        <w:t>Estimating gamma for regulatory purposes</w:t>
      </w:r>
      <w:r>
        <w:t xml:space="preserve">, 6 February 2015, para. 223; </w:t>
      </w:r>
      <w:r w:rsidRPr="003168FF">
        <w:t>Frontier, The appropriate use of tax statistics when estimating gamma, January 2016, p. </w:t>
      </w:r>
      <w:r>
        <w:t>6.</w:t>
      </w:r>
    </w:p>
  </w:footnote>
  <w:footnote w:id="479">
    <w:p w:rsidR="005E1FC3" w:rsidRDefault="005E1FC3" w:rsidP="001D37D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21.</w:t>
      </w:r>
    </w:p>
  </w:footnote>
  <w:footnote w:id="480">
    <w:p w:rsidR="005E1FC3" w:rsidRDefault="005E1FC3" w:rsidP="001D37D5">
      <w:pPr>
        <w:pStyle w:val="FootnoteText"/>
      </w:pPr>
      <w:r>
        <w:rPr>
          <w:rStyle w:val="FootnoteReference"/>
        </w:rPr>
        <w:footnoteRef/>
      </w:r>
      <w:r>
        <w:t xml:space="preserve"> </w:t>
      </w:r>
      <w:r>
        <w:tab/>
      </w:r>
      <w:r w:rsidRPr="003168FF">
        <w:t>Frontier, The appropriate use of tax statistics when estimating gamma, January 2016, p. </w:t>
      </w:r>
      <w:r>
        <w:t>12.</w:t>
      </w:r>
    </w:p>
  </w:footnote>
  <w:footnote w:id="481">
    <w:p w:rsidR="005E1FC3" w:rsidRDefault="005E1FC3" w:rsidP="001D37D5">
      <w:pPr>
        <w:pStyle w:val="FootnoteText"/>
      </w:pPr>
      <w:r>
        <w:rPr>
          <w:rStyle w:val="FootnoteReference"/>
        </w:rPr>
        <w:footnoteRef/>
      </w:r>
      <w:r>
        <w:t xml:space="preserve"> </w:t>
      </w:r>
      <w:r>
        <w:tab/>
        <w:t xml:space="preserve">A. Ainsworth, G. Partington and G. Warren, </w:t>
      </w:r>
      <w:r w:rsidRPr="00814197">
        <w:rPr>
          <w:rStyle w:val="AERtextitalic"/>
        </w:rPr>
        <w:t>Do franking credits matter? Exploring the financial implications of dividend imputation</w:t>
      </w:r>
      <w:r>
        <w:t>, May 2015, p. 34.</w:t>
      </w:r>
    </w:p>
  </w:footnote>
  <w:footnote w:id="482">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26-29.</w:t>
      </w:r>
    </w:p>
  </w:footnote>
  <w:footnote w:id="483">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27.</w:t>
      </w:r>
    </w:p>
  </w:footnote>
  <w:footnote w:id="484">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24-26, 28-29.</w:t>
      </w:r>
    </w:p>
  </w:footnote>
  <w:footnote w:id="485">
    <w:p w:rsidR="005E1FC3" w:rsidRDefault="005E1FC3" w:rsidP="001D37D5">
      <w:pPr>
        <w:pStyle w:val="FootnoteText"/>
      </w:pPr>
      <w:r>
        <w:rPr>
          <w:rStyle w:val="FootnoteReference"/>
        </w:rPr>
        <w:footnoteRef/>
      </w:r>
      <w:r>
        <w:t xml:space="preserve"> </w:t>
      </w:r>
      <w:r>
        <w:tab/>
        <w:t xml:space="preserve">EMRF, </w:t>
      </w:r>
      <w:r w:rsidRPr="006D5D8E">
        <w:rPr>
          <w:rStyle w:val="AERtextitalic"/>
        </w:rPr>
        <w:t>NSW Electricity Distribution Revenue Reset, AER Draft Decision and revised proposals from Ausgrid, Endeavour Energy and Essential Energy, A response</w:t>
      </w:r>
      <w:r>
        <w:t>, February 2015, p. 71.</w:t>
      </w:r>
    </w:p>
  </w:footnote>
  <w:footnote w:id="486">
    <w:p w:rsidR="005E1FC3" w:rsidRDefault="005E1FC3" w:rsidP="001D37D5">
      <w:pPr>
        <w:pStyle w:val="FootnoteText"/>
      </w:pPr>
      <w:r>
        <w:rPr>
          <w:rStyle w:val="FootnoteReference"/>
        </w:rPr>
        <w:footnoteRef/>
      </w:r>
      <w:r>
        <w:t xml:space="preserve"> </w:t>
      </w:r>
      <w:r>
        <w:tab/>
        <w:t xml:space="preserve">SFG, </w:t>
      </w:r>
      <w:r>
        <w:rPr>
          <w:rStyle w:val="AERtextitalic"/>
        </w:rPr>
        <w:t>Estimating gamma for regulatory purposes</w:t>
      </w:r>
      <w:r>
        <w:t>, 6 February 2015, para. 209.</w:t>
      </w:r>
    </w:p>
  </w:footnote>
  <w:footnote w:id="487">
    <w:p w:rsidR="005E1FC3" w:rsidRDefault="005E1FC3" w:rsidP="001D37D5">
      <w:pPr>
        <w:pStyle w:val="FootnoteText"/>
      </w:pPr>
      <w:r>
        <w:rPr>
          <w:rStyle w:val="FootnoteReference"/>
        </w:rPr>
        <w:footnoteRef/>
      </w:r>
      <w:r>
        <w:t xml:space="preserve"> </w:t>
      </w:r>
      <w:r>
        <w:tab/>
        <w:t xml:space="preserve">NERA, </w:t>
      </w:r>
      <w:r w:rsidRPr="00C26A14">
        <w:rPr>
          <w:rStyle w:val="AERtextitalic"/>
        </w:rPr>
        <w:t>Estimating distribution and redemption rates from taxation statistics</w:t>
      </w:r>
      <w:r>
        <w:t>, March 2015, p. ii.</w:t>
      </w:r>
    </w:p>
  </w:footnote>
  <w:footnote w:id="488">
    <w:p w:rsidR="005E1FC3" w:rsidRDefault="005E1FC3" w:rsidP="001D37D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June 2015, p. 28.</w:t>
      </w:r>
    </w:p>
  </w:footnote>
  <w:footnote w:id="489">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pp. 7-8; ActewAGL, </w:t>
      </w:r>
      <w:r w:rsidRPr="00AF5B33">
        <w:rPr>
          <w:rStyle w:val="AERtextitalic"/>
        </w:rPr>
        <w:t>Appendix 5.01 Detailed response to rate of return, gamma and inflation</w:t>
      </w:r>
      <w:r>
        <w:t xml:space="preserve">, January 2016, p. 109; AusNet Electricity Services, </w:t>
      </w:r>
      <w:r w:rsidRPr="00AF5B33">
        <w:rPr>
          <w:rStyle w:val="AERtextitalic"/>
        </w:rPr>
        <w:t>Revised Regulatory Proposal</w:t>
      </w:r>
      <w:r>
        <w:t xml:space="preserve">, January 2016, p. 7-80; United Energy, </w:t>
      </w:r>
      <w:r w:rsidRPr="00AF5B33">
        <w:rPr>
          <w:rStyle w:val="AERtextitalic"/>
        </w:rPr>
        <w:t>Response to AER Preliminary Determination Re: Rate of return and gamma</w:t>
      </w:r>
      <w:r>
        <w:t xml:space="preserve">, January 2016, p. 81; CitiPower, </w:t>
      </w:r>
      <w:r w:rsidRPr="00AF5B33">
        <w:rPr>
          <w:rStyle w:val="AERtextitalic"/>
        </w:rPr>
        <w:t>Revised Regulatory Proposal 2016-2020</w:t>
      </w:r>
      <w:r>
        <w:t xml:space="preserve">; January 2016, p. 359; Jemena Electricity Networks, </w:t>
      </w:r>
      <w:r w:rsidRPr="00AF5B33">
        <w:rPr>
          <w:rStyle w:val="AERtextitalic"/>
        </w:rPr>
        <w:t>Attachment 6-1 Rate of return, gamma, forecast inflation, and debt and equity raising costs</w:t>
      </w:r>
      <w:r>
        <w:t xml:space="preserve">, January 2016, p. 87; Powercor, </w:t>
      </w:r>
      <w:r w:rsidRPr="00AF5B33">
        <w:rPr>
          <w:rStyle w:val="AERtextitalic"/>
        </w:rPr>
        <w:t>Revised Regulatory Proposal 2016-2020</w:t>
      </w:r>
      <w:r>
        <w:t xml:space="preserve">, January 2016, p. 353; APNT, </w:t>
      </w:r>
      <w:r w:rsidRPr="00903ED1">
        <w:rPr>
          <w:rStyle w:val="AERtextitalic"/>
        </w:rPr>
        <w:t>Access Arrangement Revised Proposal to Draft Decision</w:t>
      </w:r>
      <w:r>
        <w:t>, January 2016, p. 91.</w:t>
      </w:r>
    </w:p>
  </w:footnote>
  <w:footnote w:id="490">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pp. 26-29.</w:t>
      </w:r>
    </w:p>
  </w:footnote>
  <w:footnote w:id="491">
    <w:p w:rsidR="005E1FC3" w:rsidRDefault="005E1FC3" w:rsidP="001D37D5">
      <w:pPr>
        <w:pStyle w:val="FootnoteText"/>
      </w:pPr>
      <w:r>
        <w:rPr>
          <w:rStyle w:val="FootnoteReference"/>
        </w:rPr>
        <w:footnoteRef/>
      </w:r>
      <w:r>
        <w:t xml:space="preserve"> </w:t>
      </w:r>
      <w:r>
        <w:tab/>
        <w:t xml:space="preserve">NERA, </w:t>
      </w:r>
      <w:r w:rsidRPr="00D54762">
        <w:rPr>
          <w:rStyle w:val="AERtextitalic"/>
        </w:rPr>
        <w:t>Estimating distribution and redemption rates: Response to the AER's final decisions for the NSW and ACT electricity distributors, and for Jemena Gas Networks</w:t>
      </w:r>
      <w:r>
        <w:t>, June 2015, p. 18.</w:t>
      </w:r>
    </w:p>
  </w:footnote>
  <w:footnote w:id="492">
    <w:p w:rsidR="005E1FC3" w:rsidRDefault="005E1FC3" w:rsidP="001D37D5">
      <w:pPr>
        <w:pStyle w:val="FootnoteText"/>
      </w:pPr>
      <w:r>
        <w:rPr>
          <w:rStyle w:val="FootnoteReference"/>
        </w:rPr>
        <w:footnoteRef/>
      </w:r>
      <w:r>
        <w:t xml:space="preserve"> </w:t>
      </w:r>
      <w:r>
        <w:tab/>
        <w:t xml:space="preserve">AusNet Services, 2016-20 Regulatory Proposal, April 2015, pp. 353-354; United Energy, Assessment of the Value of Imputation Credits - Gamma, Proposal for 2016 to 2020, April 2015, pp. 1–4; CitiPower, </w:t>
      </w:r>
      <w:r w:rsidRPr="00596AF9">
        <w:rPr>
          <w:i/>
        </w:rPr>
        <w:t>Appendix J - Gamma</w:t>
      </w:r>
      <w:r>
        <w:t>, April 2015, pp. 4–7; Powercor, Appendix J - Gamma, April 2015, pp. 4–7; Jemena Electricity, Attachment 06-06 Gamma proposal, April 2015, pp. 6–8;</w:t>
      </w:r>
      <w:r w:rsidRPr="00A427FF">
        <w:t xml:space="preserve"> </w:t>
      </w:r>
      <w:r>
        <w:t xml:space="preserve">SA Power Networks, </w:t>
      </w:r>
      <w:r>
        <w:rPr>
          <w:rStyle w:val="AERtextitalic"/>
        </w:rPr>
        <w:t>Revised regulatory proposal 2015-20</w:t>
      </w:r>
      <w:r>
        <w:t xml:space="preserve">, July 2015, p. 378; Energex, Revised Regulatory Proposal, July 2015, pp. 124–125; Ergon, </w:t>
      </w:r>
      <w:r w:rsidRPr="00596AF9">
        <w:rPr>
          <w:i/>
        </w:rPr>
        <w:t>Revised Regulatory Proposal</w:t>
      </w:r>
      <w:r>
        <w:t xml:space="preserve">, July 2015, p. 153; ActewAGL Distribution, Attachment 8 Detailed gamma proposal, June 2015, pp. 4-6; Australian Gas Networks, </w:t>
      </w:r>
      <w:r w:rsidRPr="00596AF9">
        <w:rPr>
          <w:i/>
        </w:rPr>
        <w:t>Access Arrangement Information - Attachment 11.2 Value of Imputation Credits</w:t>
      </w:r>
      <w:r>
        <w:t xml:space="preserve">, July 2015; pp. 3–6. Amadeus Gas Pipeline </w:t>
      </w:r>
      <w:r w:rsidRPr="00596AF9">
        <w:rPr>
          <w:i/>
        </w:rPr>
        <w:t>Access Arrangement Revision Proposal Submission</w:t>
      </w:r>
      <w:r>
        <w:t xml:space="preserve">, August 2015, p. 153; ActewAGL, </w:t>
      </w:r>
      <w:r w:rsidRPr="00AF5B33">
        <w:rPr>
          <w:rStyle w:val="AERtextitalic"/>
        </w:rPr>
        <w:t>Appendix 5.01 Detailed response to rate of return, gamma and inflation</w:t>
      </w:r>
      <w:r>
        <w:t xml:space="preserve">, January 2016, p. 111; AusNet Electricity Services, </w:t>
      </w:r>
      <w:r w:rsidRPr="00AF5B33">
        <w:rPr>
          <w:rStyle w:val="AERtextitalic"/>
        </w:rPr>
        <w:t>Revised Regulatory Proposal</w:t>
      </w:r>
      <w:r>
        <w:t xml:space="preserve">, January 2016, p. 7-82; United Energy, </w:t>
      </w:r>
      <w:r w:rsidRPr="00AF5B33">
        <w:rPr>
          <w:rStyle w:val="AERtextitalic"/>
        </w:rPr>
        <w:t>Response to AER Preliminary Determination Re: Rate of return and gamma</w:t>
      </w:r>
      <w:r>
        <w:t xml:space="preserve">, January 2016, p. 83; CitiPower, </w:t>
      </w:r>
      <w:r w:rsidRPr="00AF5B33">
        <w:rPr>
          <w:rStyle w:val="AERtextitalic"/>
        </w:rPr>
        <w:t>Revised Regulatory Proposal 2016-2020</w:t>
      </w:r>
      <w:r>
        <w:t xml:space="preserve">; January 2016, pp. 360-361; Jemena Electricity Networks, </w:t>
      </w:r>
      <w:r w:rsidRPr="00AF5B33">
        <w:rPr>
          <w:rStyle w:val="AERtextitalic"/>
        </w:rPr>
        <w:t>Attachment 6-1 Rate of return, gamma, forecast inflation, and debt and equity raising costs</w:t>
      </w:r>
      <w:r>
        <w:t xml:space="preserve">, January 2016, p. 89; Powercor, </w:t>
      </w:r>
      <w:r w:rsidRPr="00AF5B33">
        <w:rPr>
          <w:rStyle w:val="AERtextitalic"/>
        </w:rPr>
        <w:t>Revised Regulatory Proposal 2016-2020</w:t>
      </w:r>
      <w:r>
        <w:t>, January 2016, p. 355.</w:t>
      </w:r>
    </w:p>
  </w:footnote>
  <w:footnote w:id="493">
    <w:p w:rsidR="005E1FC3" w:rsidRDefault="005E1FC3" w:rsidP="001D37D5">
      <w:pPr>
        <w:pStyle w:val="FootnoteText"/>
      </w:pPr>
      <w:r>
        <w:rPr>
          <w:rStyle w:val="FootnoteReference"/>
        </w:rPr>
        <w:footnoteRef/>
      </w:r>
      <w:r>
        <w:t xml:space="preserve"> </w:t>
      </w:r>
      <w:r>
        <w:tab/>
        <w:t xml:space="preserve">ActewAGL, </w:t>
      </w:r>
      <w:r w:rsidRPr="00AF5B33">
        <w:rPr>
          <w:rStyle w:val="AERtextitalic"/>
        </w:rPr>
        <w:t>Appendix 5.01 Detailed response to rate of return, gamma and inflation</w:t>
      </w:r>
      <w:r>
        <w:t xml:space="preserve">, January 2016, p. 122; AusNet Electricity Services, </w:t>
      </w:r>
      <w:r w:rsidRPr="00AF5B33">
        <w:rPr>
          <w:rStyle w:val="AERtextitalic"/>
        </w:rPr>
        <w:t>Revised Regulatory Proposal</w:t>
      </w:r>
      <w:r>
        <w:t xml:space="preserve">, January 2016, p. 7-90; United Energy, </w:t>
      </w:r>
      <w:r w:rsidRPr="00AF5B33">
        <w:rPr>
          <w:rStyle w:val="AERtextitalic"/>
        </w:rPr>
        <w:t>Response to AER Preliminary Determination Re: Rate of return and gamma</w:t>
      </w:r>
      <w:r>
        <w:t xml:space="preserve">, January 2016, p. 91; CitiPower, </w:t>
      </w:r>
      <w:r w:rsidRPr="00AF5B33">
        <w:rPr>
          <w:rStyle w:val="AERtextitalic"/>
        </w:rPr>
        <w:t>Revised Regulatory Proposal 2016-2020</w:t>
      </w:r>
      <w:r>
        <w:t xml:space="preserve">; January 2016, p. 369; Jemena Electricity Networks, </w:t>
      </w:r>
      <w:r w:rsidRPr="00AF5B33">
        <w:rPr>
          <w:rStyle w:val="AERtextitalic"/>
        </w:rPr>
        <w:t>Attachment 6-1 Rate of return, gamma, forecast inflation, and debt and equity raising costs</w:t>
      </w:r>
      <w:r>
        <w:t xml:space="preserve">, January 2016, p. 98; Powercor, </w:t>
      </w:r>
      <w:r w:rsidRPr="00AF5B33">
        <w:rPr>
          <w:rStyle w:val="AERtextitalic"/>
        </w:rPr>
        <w:t>Revised Regulatory Proposal 2016-2020</w:t>
      </w:r>
      <w:r>
        <w:t>, January 2016, p. 363.</w:t>
      </w:r>
    </w:p>
  </w:footnote>
  <w:footnote w:id="494">
    <w:p w:rsidR="005E1FC3" w:rsidRDefault="005E1FC3" w:rsidP="001D37D5">
      <w:pPr>
        <w:pStyle w:val="FootnoteText"/>
      </w:pPr>
      <w:r>
        <w:rPr>
          <w:rStyle w:val="FootnoteReference"/>
        </w:rPr>
        <w:footnoteRef/>
      </w:r>
      <w:r>
        <w:t xml:space="preserve"> </w:t>
      </w:r>
      <w:r>
        <w:tab/>
        <w:t xml:space="preserve">SFG, </w:t>
      </w:r>
      <w:r>
        <w:rPr>
          <w:rStyle w:val="AERtextitalic"/>
        </w:rPr>
        <w:t>Estimating gamma for regulatory purposes</w:t>
      </w:r>
      <w:r>
        <w:t>, 6 February 2015, para. 216.</w:t>
      </w:r>
    </w:p>
  </w:footnote>
  <w:footnote w:id="495">
    <w:p w:rsidR="005E1FC3" w:rsidRDefault="005E1FC3" w:rsidP="001D37D5">
      <w:pPr>
        <w:pStyle w:val="FootnoteText"/>
      </w:pPr>
      <w:r>
        <w:rPr>
          <w:rStyle w:val="FootnoteReference"/>
        </w:rPr>
        <w:footnoteRef/>
      </w:r>
      <w:r>
        <w:t xml:space="preserve"> </w:t>
      </w:r>
      <w:r>
        <w:tab/>
        <w:t xml:space="preserve">J. Handley, </w:t>
      </w:r>
      <w:r w:rsidRPr="005B7CF2">
        <w:rPr>
          <w:rStyle w:val="AERtextitalic"/>
        </w:rPr>
        <w:t>Report prepared for the Australian Energy Regulator: Advice on the NERA report 'Estimating distribution and redemption rates from taxation statistics'</w:t>
      </w:r>
      <w:r>
        <w:t>, 20 May 2015, pp. 7–8.</w:t>
      </w:r>
    </w:p>
  </w:footnote>
  <w:footnote w:id="496">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25.</w:t>
      </w:r>
    </w:p>
  </w:footnote>
  <w:footnote w:id="497">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7.</w:t>
      </w:r>
    </w:p>
  </w:footnote>
  <w:footnote w:id="498">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29.</w:t>
      </w:r>
    </w:p>
  </w:footnote>
  <w:footnote w:id="499">
    <w:p w:rsidR="005E1FC3" w:rsidRDefault="005E1FC3" w:rsidP="001D37D5">
      <w:pPr>
        <w:pStyle w:val="FootnoteText"/>
      </w:pPr>
      <w:r>
        <w:rPr>
          <w:rStyle w:val="FootnoteReference"/>
        </w:rPr>
        <w:footnoteRef/>
      </w:r>
      <w:r>
        <w:t xml:space="preserve"> </w:t>
      </w:r>
      <w:r>
        <w:tab/>
      </w:r>
      <w:r w:rsidRPr="007646B1">
        <w:t xml:space="preserve">AER, </w:t>
      </w:r>
      <w:r>
        <w:rPr>
          <w:rStyle w:val="AERtextitalic"/>
        </w:rPr>
        <w:t>Better regulation: Explanatory S</w:t>
      </w:r>
      <w:r w:rsidRPr="007646B1">
        <w:rPr>
          <w:rStyle w:val="AERtextitalic"/>
        </w:rPr>
        <w:t xml:space="preserve">tatement </w:t>
      </w:r>
      <w:r>
        <w:rPr>
          <w:rStyle w:val="AERtextitalic"/>
        </w:rPr>
        <w:t>R</w:t>
      </w:r>
      <w:r w:rsidRPr="007646B1">
        <w:rPr>
          <w:rStyle w:val="AERtextitalic"/>
        </w:rPr>
        <w:t>ate</w:t>
      </w:r>
      <w:r>
        <w:rPr>
          <w:rStyle w:val="AERtextitalic"/>
        </w:rPr>
        <w:t xml:space="preserve"> of Return Guideline,</w:t>
      </w:r>
      <w:r w:rsidRPr="007646B1">
        <w:t xml:space="preserve"> December 2013</w:t>
      </w:r>
      <w:r>
        <w:t>, pp. 163–164.</w:t>
      </w:r>
    </w:p>
  </w:footnote>
  <w:footnote w:id="500">
    <w:p w:rsidR="005E1FC3" w:rsidRDefault="005E1FC3" w:rsidP="001D37D5">
      <w:pPr>
        <w:pStyle w:val="FootnoteText"/>
      </w:pPr>
      <w:r>
        <w:rPr>
          <w:rStyle w:val="FootnoteReference"/>
        </w:rPr>
        <w:footnoteRef/>
      </w:r>
      <w:r>
        <w:t xml:space="preserve"> </w:t>
      </w:r>
      <w:r>
        <w:tab/>
        <w:t xml:space="preserve">EMRF, </w:t>
      </w:r>
      <w:r w:rsidRPr="006D5D8E">
        <w:rPr>
          <w:rStyle w:val="AERtextitalic"/>
        </w:rPr>
        <w:t>NSW Electricity Distribution Revenue Reset, AER Draft Decision and revised proposals from Ausgrid, Endeavour Energy and Essential Energy, A response</w:t>
      </w:r>
      <w:r>
        <w:t>, February 2015, pp. 31–32.</w:t>
      </w:r>
    </w:p>
  </w:footnote>
  <w:footnote w:id="501">
    <w:p w:rsidR="005E1FC3" w:rsidRDefault="005E1FC3" w:rsidP="001D37D5">
      <w:pPr>
        <w:pStyle w:val="FootnoteText"/>
      </w:pPr>
      <w:r>
        <w:rPr>
          <w:rStyle w:val="FootnoteReference"/>
        </w:rPr>
        <w:footnoteRef/>
      </w:r>
      <w:r>
        <w:t xml:space="preserve"> </w:t>
      </w:r>
      <w:r>
        <w:tab/>
        <w:t xml:space="preserve">The ATO website contains a list of events that cause a debit to a company's franking account balance: </w:t>
      </w:r>
      <w:r w:rsidRPr="006E4C5C">
        <w:t>https://www.ato.gov.au/Business/Imputation/In-detail/Simplified-imputation---the-franking-account/?page=5#When_does_a_franking_debit_arise_</w:t>
      </w:r>
      <w:r>
        <w:t xml:space="preserve">. Accessed 9 April 2015. NERA identified that the bankruptcy of a company and the failure of a company to report its franking account balance can also cause the aggregate franking account balance to decrease: </w:t>
      </w:r>
      <w:r w:rsidRPr="002C1893">
        <w:t xml:space="preserve">NERA, </w:t>
      </w:r>
      <w:r w:rsidRPr="002C1893">
        <w:rPr>
          <w:rStyle w:val="AERtextitalic"/>
        </w:rPr>
        <w:t>The payout ratio: A report for the Energy Networks Association</w:t>
      </w:r>
      <w:r w:rsidRPr="002C1893">
        <w:t>, June 2013</w:t>
      </w:r>
      <w:r>
        <w:t>, p. 5</w:t>
      </w:r>
      <w:r w:rsidRPr="002C1893">
        <w:t>.</w:t>
      </w:r>
    </w:p>
  </w:footnote>
  <w:footnote w:id="502">
    <w:p w:rsidR="005E1FC3" w:rsidRDefault="005E1FC3" w:rsidP="001D37D5">
      <w:pPr>
        <w:pStyle w:val="FootnoteText"/>
      </w:pPr>
      <w:r>
        <w:rPr>
          <w:rStyle w:val="FootnoteReference"/>
        </w:rPr>
        <w:footnoteRef/>
      </w:r>
      <w:r>
        <w:t xml:space="preserve"> </w:t>
      </w:r>
      <w:r>
        <w:tab/>
      </w:r>
      <w:r w:rsidRPr="00DF6BAC">
        <w:t xml:space="preserve">N. Hathaway, </w:t>
      </w:r>
      <w:r w:rsidRPr="00DF6BAC">
        <w:rPr>
          <w:rStyle w:val="AERtextitalic"/>
        </w:rPr>
        <w:t>Imputation credit redemption ATO data 1988–2011: Where have all the credits gone?</w:t>
      </w:r>
      <w:r>
        <w:t xml:space="preserve">, September 2013, para. 97; </w:t>
      </w:r>
      <w:r w:rsidRPr="002C1893">
        <w:t xml:space="preserve">NERA, </w:t>
      </w:r>
      <w:r w:rsidRPr="002C1893">
        <w:rPr>
          <w:rStyle w:val="AERtextitalic"/>
        </w:rPr>
        <w:t>The payout ratio: A report for the Energy Networks Association</w:t>
      </w:r>
      <w:r w:rsidRPr="002C1893">
        <w:t>, June 2013</w:t>
      </w:r>
      <w:r>
        <w:t>, p. 11</w:t>
      </w:r>
      <w:r w:rsidRPr="002C1893">
        <w:t>.</w:t>
      </w:r>
    </w:p>
  </w:footnote>
  <w:footnote w:id="503">
    <w:p w:rsidR="005E1FC3" w:rsidRDefault="005E1FC3" w:rsidP="001D37D5">
      <w:pPr>
        <w:pStyle w:val="FootnoteText"/>
      </w:pPr>
      <w:r>
        <w:rPr>
          <w:rStyle w:val="FootnoteReference"/>
        </w:rPr>
        <w:footnoteRef/>
      </w:r>
      <w:r>
        <w:t xml:space="preserve"> </w:t>
      </w:r>
      <w:r>
        <w:tab/>
      </w:r>
      <w:r w:rsidRPr="002C1893">
        <w:t xml:space="preserve">NERA, </w:t>
      </w:r>
      <w:r w:rsidRPr="002C1893">
        <w:rPr>
          <w:rStyle w:val="AERtextitalic"/>
        </w:rPr>
        <w:t>The payout ratio: A report for the Energy Networks Association</w:t>
      </w:r>
      <w:r w:rsidRPr="002C1893">
        <w:t>, June 2013</w:t>
      </w:r>
      <w:r>
        <w:t>, p. 11</w:t>
      </w:r>
      <w:r w:rsidRPr="002C1893">
        <w:t>.</w:t>
      </w:r>
    </w:p>
  </w:footnote>
  <w:footnote w:id="504">
    <w:p w:rsidR="005E1FC3" w:rsidRDefault="005E1FC3" w:rsidP="001D37D5">
      <w:pPr>
        <w:pStyle w:val="FootnoteText"/>
      </w:pPr>
      <w:r>
        <w:rPr>
          <w:rStyle w:val="FootnoteReference"/>
        </w:rPr>
        <w:footnoteRef/>
      </w:r>
      <w:r>
        <w:t xml:space="preserve"> </w:t>
      </w:r>
      <w:r>
        <w:tab/>
      </w:r>
      <w:r w:rsidRPr="00DF6BAC">
        <w:t xml:space="preserve">N. Hathaway, </w:t>
      </w:r>
      <w:r w:rsidRPr="00DF6BAC">
        <w:rPr>
          <w:rStyle w:val="AERtextitalic"/>
        </w:rPr>
        <w:t>Imputation credit redemption ATO data 1988–2011: Where have all the credits gone?</w:t>
      </w:r>
      <w:r>
        <w:t>, September 2013, para. 99.</w:t>
      </w:r>
    </w:p>
  </w:footnote>
  <w:footnote w:id="505">
    <w:p w:rsidR="005E1FC3" w:rsidRDefault="005E1FC3" w:rsidP="001D37D5">
      <w:pPr>
        <w:pStyle w:val="FootnoteText"/>
      </w:pPr>
      <w:r>
        <w:rPr>
          <w:rStyle w:val="FootnoteReference"/>
        </w:rPr>
        <w:footnoteRef/>
      </w:r>
      <w:r>
        <w:t xml:space="preserve"> </w:t>
      </w:r>
      <w:r>
        <w:tab/>
        <w:t xml:space="preserve">M. Lally, </w:t>
      </w:r>
      <w:r w:rsidRPr="00550383">
        <w:rPr>
          <w:rStyle w:val="AERtextitalic"/>
        </w:rPr>
        <w:t>Review of submissions to the QCA on the MRP, risk-free rate and gamma</w:t>
      </w:r>
      <w:r>
        <w:t>, 12 March 2014, p. 30;</w:t>
      </w:r>
      <w:r w:rsidRPr="000921FF">
        <w:t xml:space="preserve"> </w:t>
      </w:r>
      <w:r w:rsidRPr="00712BC2">
        <w:t xml:space="preserve">M. Lally, </w:t>
      </w:r>
      <w:r>
        <w:rPr>
          <w:rStyle w:val="AERtextitalic"/>
        </w:rPr>
        <w:t>Gamma and the ACT Decision</w:t>
      </w:r>
      <w:r>
        <w:t>, May 2016, p. 26.</w:t>
      </w:r>
    </w:p>
  </w:footnote>
  <w:footnote w:id="506">
    <w:p w:rsidR="005E1FC3" w:rsidRDefault="005E1FC3" w:rsidP="001D37D5">
      <w:pPr>
        <w:pStyle w:val="FootnoteText"/>
      </w:pPr>
      <w:r>
        <w:rPr>
          <w:rStyle w:val="FootnoteReference"/>
        </w:rPr>
        <w:footnoteRef/>
      </w:r>
      <w:r>
        <w:t xml:space="preserve"> </w:t>
      </w:r>
      <w:r>
        <w:tab/>
      </w:r>
      <w:r w:rsidRPr="00DF6BAC">
        <w:t xml:space="preserve">N. Hathaway, </w:t>
      </w:r>
      <w:r w:rsidRPr="00DF6BAC">
        <w:rPr>
          <w:rStyle w:val="AERtextitalic"/>
        </w:rPr>
        <w:t>Imputation cred</w:t>
      </w:r>
      <w:r>
        <w:rPr>
          <w:rStyle w:val="AERtextitalic"/>
        </w:rPr>
        <w:t>it redemption ATO data 1988–2012</w:t>
      </w:r>
      <w:r w:rsidRPr="00DF6BAC">
        <w:rPr>
          <w:rStyle w:val="AERtextitalic"/>
        </w:rPr>
        <w:t>: Where have all the credits gone?</w:t>
      </w:r>
      <w:r>
        <w:rPr>
          <w:rStyle w:val="AERtextitalic"/>
        </w:rPr>
        <w:t xml:space="preserve"> (draft)</w:t>
      </w:r>
      <w:r>
        <w:t>, October 2014.</w:t>
      </w:r>
    </w:p>
  </w:footnote>
  <w:footnote w:id="507">
    <w:p w:rsidR="005E1FC3" w:rsidRDefault="005E1FC3" w:rsidP="001D37D5">
      <w:pPr>
        <w:pStyle w:val="FootnoteText"/>
      </w:pPr>
      <w:r>
        <w:rPr>
          <w:rStyle w:val="FootnoteReference"/>
        </w:rPr>
        <w:footnoteRef/>
      </w:r>
      <w:r>
        <w:t xml:space="preserve"> </w:t>
      </w:r>
      <w:r>
        <w:tab/>
      </w:r>
      <w:r w:rsidRPr="00DF6BAC">
        <w:t xml:space="preserve">N. Hathaway, </w:t>
      </w:r>
      <w:r w:rsidRPr="00DF6BAC">
        <w:rPr>
          <w:rStyle w:val="AERtextitalic"/>
        </w:rPr>
        <w:t>Imputation cred</w:t>
      </w:r>
      <w:r>
        <w:rPr>
          <w:rStyle w:val="AERtextitalic"/>
        </w:rPr>
        <w:t>it redemption ATO data 1988–2012</w:t>
      </w:r>
      <w:r w:rsidRPr="00DF6BAC">
        <w:rPr>
          <w:rStyle w:val="AERtextitalic"/>
        </w:rPr>
        <w:t>: Where have all the credits gone?</w:t>
      </w:r>
      <w:r>
        <w:rPr>
          <w:rStyle w:val="AERtextitalic"/>
        </w:rPr>
        <w:t xml:space="preserve"> (draft)</w:t>
      </w:r>
      <w:r>
        <w:t>, October 2014.</w:t>
      </w:r>
    </w:p>
  </w:footnote>
  <w:footnote w:id="508">
    <w:p w:rsidR="005E1FC3" w:rsidRDefault="005E1FC3" w:rsidP="001D37D5">
      <w:pPr>
        <w:pStyle w:val="FootnoteText"/>
      </w:pPr>
      <w:r>
        <w:rPr>
          <w:rStyle w:val="FootnoteReference"/>
        </w:rPr>
        <w:footnoteRef/>
      </w:r>
      <w:r>
        <w:t xml:space="preserve"> </w:t>
      </w:r>
      <w:r>
        <w:tab/>
        <w:t xml:space="preserve">Specifically, we use data from </w:t>
      </w:r>
      <w:r w:rsidRPr="00B01373">
        <w:t>Australian National Accounts: Finance and Wealth</w:t>
      </w:r>
      <w:r w:rsidRPr="0061054A">
        <w:t xml:space="preserve"> (ABS cat. 5232.0)</w:t>
      </w:r>
      <w:r>
        <w:t>.</w:t>
      </w:r>
    </w:p>
  </w:footnote>
  <w:footnote w:id="509">
    <w:p w:rsidR="005E1FC3" w:rsidRDefault="005E1FC3" w:rsidP="001D37D5">
      <w:pPr>
        <w:pStyle w:val="FootnoteText"/>
      </w:pPr>
      <w:r>
        <w:rPr>
          <w:rStyle w:val="FootnoteReference"/>
        </w:rPr>
        <w:footnoteRef/>
      </w:r>
      <w:r>
        <w:t xml:space="preserve"> </w:t>
      </w:r>
      <w:r>
        <w:tab/>
      </w:r>
      <w:r w:rsidRPr="00874F27">
        <w:t xml:space="preserve">J. Handley, </w:t>
      </w:r>
      <w:r w:rsidRPr="00874F27">
        <w:rPr>
          <w:rStyle w:val="AERtextitalic"/>
        </w:rPr>
        <w:t>Report prepared for the Australian Energy Regulator: Advice on the value of imputation credits</w:t>
      </w:r>
      <w:r w:rsidRPr="00874F27">
        <w:t>, 29 September 2014</w:t>
      </w:r>
      <w:r>
        <w:t xml:space="preserve">, pp. 24–25; </w:t>
      </w:r>
      <w:r w:rsidRPr="00582678">
        <w:t xml:space="preserve">M. Lally, </w:t>
      </w:r>
      <w:r w:rsidRPr="00582678">
        <w:rPr>
          <w:rStyle w:val="AERtextitalic"/>
        </w:rPr>
        <w:t>The estimation of gamma</w:t>
      </w:r>
      <w:r w:rsidRPr="00582678">
        <w:t>, 23 November 2013</w:t>
      </w:r>
      <w:r>
        <w:t>, pp. 11–12.</w:t>
      </w:r>
    </w:p>
  </w:footnote>
  <w:footnote w:id="510">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16.</w:t>
      </w:r>
    </w:p>
  </w:footnote>
  <w:footnote w:id="511">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16.</w:t>
      </w:r>
    </w:p>
  </w:footnote>
  <w:footnote w:id="512">
    <w:p w:rsidR="005E1FC3" w:rsidRDefault="005E1FC3" w:rsidP="001D37D5">
      <w:pPr>
        <w:pStyle w:val="FootnoteText"/>
      </w:pPr>
      <w:r>
        <w:rPr>
          <w:rStyle w:val="FootnoteReference"/>
        </w:rPr>
        <w:footnoteRef/>
      </w:r>
      <w:r>
        <w:t xml:space="preserve"> </w:t>
      </w:r>
      <w:r>
        <w:tab/>
      </w:r>
      <w:r w:rsidRPr="00853053">
        <w:t xml:space="preserve">Australian Bureau of Statistics, </w:t>
      </w:r>
      <w:r w:rsidRPr="00853053">
        <w:rPr>
          <w:rStyle w:val="AERtextitalic"/>
        </w:rPr>
        <w:t>Feature article: Foreign ownership of equity</w:t>
      </w:r>
      <w:r w:rsidRPr="00853053">
        <w:t xml:space="preserve">, </w:t>
      </w:r>
      <w:r>
        <w:t xml:space="preserve">September 2007. </w:t>
      </w:r>
      <w:r w:rsidRPr="00853053">
        <w:t xml:space="preserve">Available at: </w:t>
      </w:r>
      <w:r w:rsidRPr="00611553">
        <w:t>http://www.abs.gov.au/AUSSTATS/abs@.nsf/Previousproducts/5302.0Feature%20Article10Sep%202007?opendocument&amp;tabname=Summary&amp;prodno=5302.0&amp;issue=Sep%202007&amp;num=&amp;view</w:t>
      </w:r>
      <w:r>
        <w:t>. Accessed 9 April 2015.</w:t>
      </w:r>
    </w:p>
  </w:footnote>
  <w:footnote w:id="513">
    <w:p w:rsidR="005E1FC3" w:rsidRDefault="005E1FC3" w:rsidP="001D37D5">
      <w:pPr>
        <w:pStyle w:val="FootnoteText"/>
      </w:pPr>
      <w:r>
        <w:rPr>
          <w:rStyle w:val="FootnoteReference"/>
        </w:rPr>
        <w:footnoteRef/>
      </w:r>
      <w:r>
        <w:t xml:space="preserve"> </w:t>
      </w:r>
      <w:r>
        <w:tab/>
      </w:r>
      <w:r w:rsidRPr="00DF6BAC">
        <w:t xml:space="preserve">N. Hathaway, </w:t>
      </w:r>
      <w:r w:rsidRPr="00DF6BAC">
        <w:rPr>
          <w:rStyle w:val="AERtextitalic"/>
        </w:rPr>
        <w:t>Imputation credit redemption ATO data 1988–2011: Where have all the credits gone?</w:t>
      </w:r>
      <w:r>
        <w:t>, September 2013, figure 5.</w:t>
      </w:r>
    </w:p>
  </w:footnote>
  <w:footnote w:id="514">
    <w:p w:rsidR="005E1FC3" w:rsidRDefault="005E1FC3" w:rsidP="001D37D5">
      <w:pPr>
        <w:pStyle w:val="FootnoteText"/>
      </w:pPr>
      <w:r>
        <w:rPr>
          <w:rStyle w:val="FootnoteReference"/>
        </w:rPr>
        <w:footnoteRef/>
      </w:r>
      <w:r>
        <w:t xml:space="preserve"> </w:t>
      </w:r>
      <w:r>
        <w:tab/>
        <w:t>If governments are assumed to waste the credits they receive, the equity ownership approach supports an estimate of the utilisation rate of between 0.54 and 0.65 if all equity is considered, and between 0.38 and 0.54 if only listed equity is considered.</w:t>
      </w:r>
    </w:p>
  </w:footnote>
  <w:footnote w:id="515">
    <w:p w:rsidR="005E1FC3" w:rsidRDefault="005E1FC3" w:rsidP="001D37D5">
      <w:pPr>
        <w:pStyle w:val="FootnoteText"/>
      </w:pPr>
      <w:r>
        <w:rPr>
          <w:rStyle w:val="FootnoteReference"/>
        </w:rPr>
        <w:footnoteRef/>
      </w:r>
      <w:r>
        <w:t xml:space="preserve"> </w:t>
      </w:r>
      <w:r>
        <w:tab/>
      </w:r>
      <w:r w:rsidRPr="005F06A5">
        <w:t>Frontier, The appropriate use of tax statistics when estimating gamma, January 2016, p. </w:t>
      </w:r>
      <w:r>
        <w:t>7</w:t>
      </w:r>
      <w:r w:rsidRPr="005F06A5">
        <w:t>.</w:t>
      </w:r>
    </w:p>
  </w:footnote>
  <w:footnote w:id="516">
    <w:p w:rsidR="005E1FC3" w:rsidRDefault="005E1FC3" w:rsidP="001D37D5">
      <w:pPr>
        <w:pStyle w:val="FootnoteText"/>
      </w:pPr>
      <w:r>
        <w:rPr>
          <w:rStyle w:val="FootnoteReference"/>
        </w:rPr>
        <w:footnoteRef/>
      </w:r>
      <w:r>
        <w:t xml:space="preserve"> </w:t>
      </w:r>
      <w:r>
        <w:tab/>
        <w:t xml:space="preserve">ActewAGL, </w:t>
      </w:r>
      <w:r w:rsidRPr="009E4F6C">
        <w:rPr>
          <w:rStyle w:val="AERtextitalic"/>
        </w:rPr>
        <w:t>Revised Regulatory Proposal 2015-19</w:t>
      </w:r>
      <w:r>
        <w:t xml:space="preserve">, January 2015, pp. 485–486; Ausgrid, </w:t>
      </w:r>
      <w:r w:rsidRPr="00D75F7A">
        <w:rPr>
          <w:rStyle w:val="AERtextitalic"/>
        </w:rPr>
        <w:t>Ausgrid's revised proposal on gamma</w:t>
      </w:r>
      <w:r>
        <w:t xml:space="preserve">, January 2015, p. 1; Directlink, </w:t>
      </w:r>
      <w:r w:rsidRPr="0000771B">
        <w:rPr>
          <w:rStyle w:val="AERtextitalic"/>
        </w:rPr>
        <w:t>Directlink submission on gamma (updated)</w:t>
      </w:r>
      <w:r>
        <w:t xml:space="preserve">, January 2015, p. 1; Endeavour Energy, </w:t>
      </w:r>
      <w:r w:rsidRPr="00DF3162">
        <w:rPr>
          <w:rStyle w:val="AERtextitalic"/>
        </w:rPr>
        <w:t>Endeavour Energy's response to the AER draft decision re gamma</w:t>
      </w:r>
      <w:r>
        <w:t xml:space="preserve">, January 2015, p. 1; Essential Energy, </w:t>
      </w:r>
      <w:r w:rsidRPr="000E181F">
        <w:rPr>
          <w:rStyle w:val="AERtextitalic"/>
        </w:rPr>
        <w:t>Essential's response to AER draft decision re gamma</w:t>
      </w:r>
      <w:r>
        <w:t xml:space="preserve">, January 2015, p. 1; and JGN, </w:t>
      </w:r>
      <w:r w:rsidRPr="000E181F">
        <w:rPr>
          <w:rStyle w:val="AERtextitalic"/>
        </w:rPr>
        <w:t>Gamma - response to the draft decision</w:t>
      </w:r>
      <w:r>
        <w:t xml:space="preserve">, February 2015, p. 1; Jemena Electricity, </w:t>
      </w:r>
      <w:r w:rsidRPr="00596AF9">
        <w:rPr>
          <w:i/>
        </w:rPr>
        <w:t>Attachment 06-06 Gamma proposal</w:t>
      </w:r>
      <w:r>
        <w:t xml:space="preserve">, April 2015, p. 1:  Energex, </w:t>
      </w:r>
      <w:r w:rsidRPr="00596AF9">
        <w:rPr>
          <w:i/>
        </w:rPr>
        <w:t>Revised Regulatory Proposal</w:t>
      </w:r>
      <w:r>
        <w:t xml:space="preserve">, July 2015, p. 13;   Powercor, </w:t>
      </w:r>
      <w:r w:rsidRPr="00596AF9">
        <w:rPr>
          <w:i/>
        </w:rPr>
        <w:t>Regulatory Proposal 2016</w:t>
      </w:r>
      <w:r>
        <w:rPr>
          <w:i/>
        </w:rPr>
        <w:t>–</w:t>
      </w:r>
      <w:r w:rsidRPr="00596AF9">
        <w:rPr>
          <w:i/>
        </w:rPr>
        <w:t>20</w:t>
      </w:r>
      <w:r>
        <w:t xml:space="preserve">, April 2015, p. 249; CitiPower, </w:t>
      </w:r>
      <w:r w:rsidRPr="00596AF9">
        <w:rPr>
          <w:i/>
        </w:rPr>
        <w:t>Regulatory Proposal</w:t>
      </w:r>
      <w:r>
        <w:t xml:space="preserve">, April 2015, p. 241; AusNet Services, </w:t>
      </w:r>
      <w:r w:rsidRPr="00596AF9">
        <w:rPr>
          <w:i/>
        </w:rPr>
        <w:t>2016-20 Regulatory Proposal</w:t>
      </w:r>
      <w:r>
        <w:t xml:space="preserve">, April 2015, pp. 367–368; United Energy, </w:t>
      </w:r>
      <w:r w:rsidRPr="00596AF9">
        <w:rPr>
          <w:i/>
        </w:rPr>
        <w:t>Assessment of the Value of Imputation Credits - Gamma, Proposal for 2016 to 2020</w:t>
      </w:r>
      <w:r>
        <w:t xml:space="preserve">, April 2015, pp. 19–20.  </w:t>
      </w:r>
    </w:p>
  </w:footnote>
  <w:footnote w:id="517">
    <w:p w:rsidR="005E1FC3" w:rsidRDefault="005E1FC3" w:rsidP="001D37D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12.</w:t>
      </w:r>
    </w:p>
  </w:footnote>
  <w:footnote w:id="518">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18; ActewAGL, </w:t>
      </w:r>
      <w:r w:rsidRPr="00AF5B33">
        <w:rPr>
          <w:rStyle w:val="AERtextitalic"/>
        </w:rPr>
        <w:t>Appendix 5.01 Detailed response to rate of return, gamma and inflation</w:t>
      </w:r>
      <w:r>
        <w:t xml:space="preserve">, January 2016, pp. 121, 123; AusNet Electricity Services, </w:t>
      </w:r>
      <w:r w:rsidRPr="00AF5B33">
        <w:rPr>
          <w:rStyle w:val="AERtextitalic"/>
        </w:rPr>
        <w:t>Revised Regulatory Proposal</w:t>
      </w:r>
      <w:r>
        <w:t xml:space="preserve">, January 2016, pp. 7-90, 7-91; United Energy, </w:t>
      </w:r>
      <w:r w:rsidRPr="00AF5B33">
        <w:rPr>
          <w:rStyle w:val="AERtextitalic"/>
        </w:rPr>
        <w:t>Response to AER Preliminary Determination Re: Rate of return and gamma</w:t>
      </w:r>
      <w:r>
        <w:t xml:space="preserve">, January 2016, pp. 91, 92; CitiPower, </w:t>
      </w:r>
      <w:r w:rsidRPr="00AF5B33">
        <w:rPr>
          <w:rStyle w:val="AERtextitalic"/>
        </w:rPr>
        <w:t>Revised Regulatory Proposal 2016-2020</w:t>
      </w:r>
      <w:r>
        <w:t xml:space="preserve">; January 2016, pp. 368, 370; Jemena Electricity Networks, </w:t>
      </w:r>
      <w:r w:rsidRPr="00AF5B33">
        <w:rPr>
          <w:rStyle w:val="AERtextitalic"/>
        </w:rPr>
        <w:t>Attachment 6-1 Rate of return, gamma, forecast inflation, and debt and equity raising costs</w:t>
      </w:r>
      <w:r>
        <w:t xml:space="preserve">, January 2016, pp. 98, 99; Powercor, </w:t>
      </w:r>
      <w:r w:rsidRPr="00AF5B33">
        <w:rPr>
          <w:rStyle w:val="AERtextitalic"/>
        </w:rPr>
        <w:t>Revised Regulatory Proposal 2016-2020</w:t>
      </w:r>
      <w:r>
        <w:t>, January 2016, pp. 362, 364.</w:t>
      </w:r>
    </w:p>
  </w:footnote>
  <w:footnote w:id="519">
    <w:p w:rsidR="005E1FC3" w:rsidRDefault="005E1FC3" w:rsidP="001D37D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13.</w:t>
      </w:r>
    </w:p>
  </w:footnote>
  <w:footnote w:id="520">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17.</w:t>
      </w:r>
    </w:p>
  </w:footnote>
  <w:footnote w:id="521">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17.</w:t>
      </w:r>
    </w:p>
  </w:footnote>
  <w:footnote w:id="522">
    <w:p w:rsidR="005E1FC3" w:rsidRDefault="005E1FC3" w:rsidP="001D37D5">
      <w:pPr>
        <w:pStyle w:val="FootnoteText"/>
      </w:pPr>
      <w:r>
        <w:rPr>
          <w:rStyle w:val="FootnoteReference"/>
        </w:rPr>
        <w:footnoteRef/>
      </w:r>
      <w:r>
        <w:t xml:space="preserve"> </w:t>
      </w:r>
      <w:r>
        <w:tab/>
        <w:t xml:space="preserve">SFG, </w:t>
      </w:r>
      <w:r>
        <w:rPr>
          <w:rStyle w:val="AERtextitalic"/>
        </w:rPr>
        <w:t>Estimating gamma for regulatory purposes</w:t>
      </w:r>
      <w:r>
        <w:t>, 6 February 2015, para. 147(a).</w:t>
      </w:r>
    </w:p>
  </w:footnote>
  <w:footnote w:id="523">
    <w:p w:rsidR="005E1FC3" w:rsidRDefault="005E1FC3" w:rsidP="001D37D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footnote 16.</w:t>
      </w:r>
    </w:p>
  </w:footnote>
  <w:footnote w:id="524">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18; ActewAGL, </w:t>
      </w:r>
      <w:r w:rsidRPr="00AF5B33">
        <w:rPr>
          <w:rStyle w:val="AERtextitalic"/>
        </w:rPr>
        <w:t>Appendix 5.01 Detailed response to rate of return, gamma and inflation</w:t>
      </w:r>
      <w:r>
        <w:t xml:space="preserve">, January 2016, p. 123; AusNet Electricity Services, </w:t>
      </w:r>
      <w:r w:rsidRPr="00AF5B33">
        <w:rPr>
          <w:rStyle w:val="AERtextitalic"/>
        </w:rPr>
        <w:t>Revised Regulatory Proposal</w:t>
      </w:r>
      <w:r>
        <w:t xml:space="preserve">, January 2016, p. 7-91; United Energy, </w:t>
      </w:r>
      <w:r w:rsidRPr="00AF5B33">
        <w:rPr>
          <w:rStyle w:val="AERtextitalic"/>
        </w:rPr>
        <w:t>Response to AER Preliminary Determination Re: Rate of return and gamma</w:t>
      </w:r>
      <w:r>
        <w:t xml:space="preserve">, January 2016, p. 92; CitiPower, </w:t>
      </w:r>
      <w:r w:rsidRPr="00AF5B33">
        <w:rPr>
          <w:rStyle w:val="AERtextitalic"/>
        </w:rPr>
        <w:t>Revised Regulatory Proposal 2016-2020</w:t>
      </w:r>
      <w:r>
        <w:t xml:space="preserve">; January 2016, p. 370; Jemena Electricity Networks, </w:t>
      </w:r>
      <w:r w:rsidRPr="00AF5B33">
        <w:rPr>
          <w:rStyle w:val="AERtextitalic"/>
        </w:rPr>
        <w:t>Attachment 6-1 Rate of return, gamma, forecast inflation, and debt and equity raising costs</w:t>
      </w:r>
      <w:r>
        <w:t xml:space="preserve">, January 2016, p. 99; Powercor, </w:t>
      </w:r>
      <w:r w:rsidRPr="00AF5B33">
        <w:rPr>
          <w:rStyle w:val="AERtextitalic"/>
        </w:rPr>
        <w:t>Revised Regulatory Proposal 2016-2020</w:t>
      </w:r>
      <w:r>
        <w:t>, January 2016, p. 364.</w:t>
      </w:r>
    </w:p>
  </w:footnote>
  <w:footnote w:id="525">
    <w:p w:rsidR="005E1FC3" w:rsidRDefault="005E1FC3" w:rsidP="001D37D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xml:space="preserve">, June 2015, pp. 31–32; </w:t>
      </w:r>
      <w:r w:rsidRPr="00312B47">
        <w:t>Frontier, The appropriate use of tax statistics when estimating gamma, January 2016, p. </w:t>
      </w:r>
      <w:r>
        <w:t>7.</w:t>
      </w:r>
    </w:p>
  </w:footnote>
  <w:footnote w:id="526">
    <w:p w:rsidR="005E1FC3" w:rsidRDefault="005E1FC3" w:rsidP="001D37D5">
      <w:pPr>
        <w:pStyle w:val="FootnoteText"/>
      </w:pPr>
      <w:r>
        <w:rPr>
          <w:rStyle w:val="FootnoteReference"/>
        </w:rPr>
        <w:footnoteRef/>
      </w:r>
      <w:r>
        <w:t xml:space="preserve"> </w:t>
      </w:r>
      <w:r>
        <w:tab/>
      </w:r>
      <w:r w:rsidRPr="00AC2168">
        <w:t>United Energy, Submission on AER preliminary determination - Submission on gamma, 26 April 2016; Australian Competition Tribunal, Application by Public Interest Advocacy Centre Ltd and Ausgrid [2016] ACompT 1, 26 February 2016, para. 1093.</w:t>
      </w:r>
    </w:p>
  </w:footnote>
  <w:footnote w:id="527">
    <w:p w:rsidR="005E1FC3"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26 February 2016, para</w:t>
      </w:r>
      <w:r w:rsidRPr="00CE7082">
        <w:t xml:space="preserve">. </w:t>
      </w:r>
      <w:r w:rsidRPr="00AC2168">
        <w:t>1090.</w:t>
      </w:r>
    </w:p>
  </w:footnote>
  <w:footnote w:id="528">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16.</w:t>
      </w:r>
    </w:p>
  </w:footnote>
  <w:footnote w:id="529">
    <w:p w:rsidR="005E1FC3" w:rsidRDefault="005E1FC3" w:rsidP="001D37D5">
      <w:pPr>
        <w:pStyle w:val="FootnoteText"/>
      </w:pPr>
      <w:r>
        <w:rPr>
          <w:rStyle w:val="FootnoteReference"/>
        </w:rPr>
        <w:footnoteRef/>
      </w:r>
      <w:r>
        <w:t xml:space="preserve"> </w:t>
      </w:r>
      <w:r>
        <w:tab/>
      </w:r>
      <w:r w:rsidRPr="00AC2168">
        <w:t>United Energy, Submission on AER preliminary determination - Submission on gamma, 26 April 2016; Australian Competition Tribunal, Application by Public Interest Advocacy Centre Ltd and Ausgrid [2016] ACompT 1, 26 February 2016, para. 1100.</w:t>
      </w:r>
    </w:p>
  </w:footnote>
  <w:footnote w:id="530">
    <w:p w:rsidR="005E1FC3" w:rsidRDefault="005E1FC3" w:rsidP="001D37D5">
      <w:pPr>
        <w:pStyle w:val="FootnoteText"/>
      </w:pPr>
      <w:r>
        <w:rPr>
          <w:rStyle w:val="FootnoteReference"/>
        </w:rPr>
        <w:footnoteRef/>
      </w:r>
      <w:r>
        <w:t xml:space="preserve"> </w:t>
      </w:r>
      <w:r>
        <w:tab/>
        <w:t xml:space="preserve">These statistics are available at: </w:t>
      </w:r>
      <w:r w:rsidRPr="00611553">
        <w:t>https://www.ato.gov.au/About-ATO/Research-and-statistics/Taxation-statistics/</w:t>
      </w:r>
      <w:r>
        <w:t>. Accessed 9 April 2015.</w:t>
      </w:r>
    </w:p>
  </w:footnote>
  <w:footnote w:id="531">
    <w:p w:rsidR="005E1FC3" w:rsidRDefault="005E1FC3" w:rsidP="001D37D5">
      <w:pPr>
        <w:pStyle w:val="FootnoteText"/>
      </w:pPr>
      <w:r>
        <w:rPr>
          <w:rStyle w:val="FootnoteReference"/>
        </w:rPr>
        <w:footnoteRef/>
      </w:r>
      <w:r>
        <w:t xml:space="preserve"> </w:t>
      </w:r>
      <w:r>
        <w:tab/>
      </w:r>
      <w:r w:rsidRPr="000A5FAF">
        <w:t xml:space="preserve">N. Hathaway, </w:t>
      </w:r>
      <w:r w:rsidRPr="000A5FAF">
        <w:rPr>
          <w:rStyle w:val="AERtextitalic"/>
        </w:rPr>
        <w:t>Imputation credit redemption ATO data 1988–2011: Where have all the credits gone?</w:t>
      </w:r>
      <w:r w:rsidRPr="000A5FAF">
        <w:t>, September 2013.</w:t>
      </w:r>
      <w:r>
        <w:t xml:space="preserve"> Hathaway's calculations actually suggest estimates of the utilisation rate of 0.44 and 0.62 and corresponding estimates of the distribution rate of 0.69 and 0.49, respectively. However, we round these distribution rate estimates up to 0.7 and 0.5, which implies slightly higher amounts of credits distributed and therefore slightly lower utilisation rates of 0.43 and 0.61.  </w:t>
      </w:r>
    </w:p>
  </w:footnote>
  <w:footnote w:id="532">
    <w:p w:rsidR="005E1FC3" w:rsidRDefault="005E1FC3" w:rsidP="001D37D5">
      <w:pPr>
        <w:pStyle w:val="FootnoteText"/>
      </w:pPr>
      <w:r>
        <w:rPr>
          <w:rStyle w:val="FootnoteReference"/>
        </w:rPr>
        <w:footnoteRef/>
      </w:r>
      <w:r>
        <w:t xml:space="preserve"> </w:t>
      </w:r>
      <w:r>
        <w:tab/>
      </w:r>
      <w:r w:rsidRPr="009A018E">
        <w:t xml:space="preserve">N. Hathaway, </w:t>
      </w:r>
      <w:r w:rsidRPr="009A018E">
        <w:rPr>
          <w:rStyle w:val="AERtextitalic"/>
        </w:rPr>
        <w:t>Imputation credit redemption ATO data 1988–2011: Where have all the credits gone?</w:t>
      </w:r>
      <w:r>
        <w:t>, September 2013, para. 32.</w:t>
      </w:r>
    </w:p>
  </w:footnote>
  <w:footnote w:id="533">
    <w:p w:rsidR="005E1FC3" w:rsidRDefault="005E1FC3" w:rsidP="001D37D5">
      <w:pPr>
        <w:pStyle w:val="FootnoteText"/>
      </w:pPr>
      <w:r>
        <w:rPr>
          <w:rStyle w:val="FootnoteReference"/>
        </w:rPr>
        <w:footnoteRef/>
      </w:r>
      <w:r>
        <w:t xml:space="preserve"> </w:t>
      </w:r>
      <w:r>
        <w:tab/>
      </w:r>
      <w:r w:rsidRPr="00506F9B">
        <w:t xml:space="preserve">M. Lally, </w:t>
      </w:r>
      <w:r w:rsidRPr="00506F9B">
        <w:rPr>
          <w:rStyle w:val="AERtextitalic"/>
        </w:rPr>
        <w:t>Gamma and the ACT Decision</w:t>
      </w:r>
      <w:r w:rsidRPr="00506F9B">
        <w:t>, May 2016, p. </w:t>
      </w:r>
      <w:r>
        <w:t>20</w:t>
      </w:r>
      <w:r w:rsidRPr="00506F9B">
        <w:t>.</w:t>
      </w:r>
    </w:p>
  </w:footnote>
  <w:footnote w:id="534">
    <w:p w:rsidR="005E1FC3" w:rsidRDefault="005E1FC3" w:rsidP="001D37D5">
      <w:pPr>
        <w:pStyle w:val="FootnoteText"/>
      </w:pPr>
      <w:r>
        <w:rPr>
          <w:rStyle w:val="FootnoteReference"/>
        </w:rPr>
        <w:footnoteRef/>
      </w:r>
      <w:r>
        <w:t xml:space="preserve"> </w:t>
      </w:r>
      <w:r>
        <w:tab/>
        <w:t xml:space="preserve">NERA, </w:t>
      </w:r>
      <w:r w:rsidRPr="001763FD">
        <w:rPr>
          <w:rStyle w:val="AERtextitalic"/>
        </w:rPr>
        <w:t>Estimating distribution and redemption rates from taxation statistics</w:t>
      </w:r>
      <w:r>
        <w:t>, March 2015.</w:t>
      </w:r>
      <w:r w:rsidDel="002370AA">
        <w:t xml:space="preserve"> </w:t>
      </w:r>
    </w:p>
  </w:footnote>
  <w:footnote w:id="535">
    <w:p w:rsidR="005E1FC3" w:rsidRDefault="005E1FC3" w:rsidP="001D37D5">
      <w:pPr>
        <w:pStyle w:val="FootnoteText"/>
      </w:pPr>
      <w:r>
        <w:rPr>
          <w:rStyle w:val="FootnoteReference"/>
        </w:rPr>
        <w:footnoteRef/>
      </w:r>
      <w:r>
        <w:t xml:space="preserve"> </w:t>
      </w:r>
      <w:r>
        <w:tab/>
        <w:t xml:space="preserve">Frontier Economics, </w:t>
      </w:r>
      <w:r w:rsidRPr="00D14DE4">
        <w:rPr>
          <w:rStyle w:val="AERtextitalic"/>
        </w:rPr>
        <w:t>An appropriate regulatory estimate of gamma</w:t>
      </w:r>
      <w:r>
        <w:t xml:space="preserve">, June 2015, pp. 31–32; </w:t>
      </w:r>
      <w:r w:rsidRPr="00312B47">
        <w:t>Frontier, The appropriate use of tax statistics when estimating gamma, January 2016, p. </w:t>
      </w:r>
      <w:r>
        <w:t>31.</w:t>
      </w:r>
    </w:p>
  </w:footnote>
  <w:footnote w:id="536">
    <w:p w:rsidR="005E1FC3" w:rsidRDefault="005E1FC3" w:rsidP="001D37D5">
      <w:pPr>
        <w:pStyle w:val="FootnoteText"/>
      </w:pPr>
      <w:r>
        <w:rPr>
          <w:rStyle w:val="FootnoteReference"/>
        </w:rPr>
        <w:footnoteRef/>
      </w:r>
      <w:r>
        <w:t xml:space="preserve"> </w:t>
      </w:r>
      <w:r>
        <w:tab/>
      </w:r>
      <w:r w:rsidRPr="00AC2168">
        <w:t>United Energy, Submission on AER preliminary determination - Submission on gamma, 26 April 2016; Australian Competition Tribunal, Application by Public Interest Advocacy Centre Ltd and Ausgrid [2016] ACompT 1, 26 February 2016, paras. 1048, 1090 and 1095.</w:t>
      </w:r>
    </w:p>
  </w:footnote>
  <w:footnote w:id="537">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20.</w:t>
      </w:r>
    </w:p>
  </w:footnote>
  <w:footnote w:id="538">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20.</w:t>
      </w:r>
    </w:p>
  </w:footnote>
  <w:footnote w:id="539">
    <w:p w:rsidR="005E1FC3" w:rsidRDefault="005E1FC3" w:rsidP="001D37D5">
      <w:pPr>
        <w:pStyle w:val="FootnoteText"/>
      </w:pPr>
      <w:r>
        <w:rPr>
          <w:rStyle w:val="FootnoteReference"/>
        </w:rPr>
        <w:footnoteRef/>
      </w:r>
      <w:r>
        <w:t xml:space="preserve"> </w:t>
      </w:r>
      <w:r>
        <w:tab/>
      </w:r>
      <w:r w:rsidRPr="004635C5">
        <w:t xml:space="preserve">Lally, </w:t>
      </w:r>
      <w:r w:rsidRPr="005764F6">
        <w:rPr>
          <w:rStyle w:val="AERtextitalic"/>
        </w:rPr>
        <w:t>Gamma and the ACT Decision</w:t>
      </w:r>
      <w:r w:rsidRPr="004635C5">
        <w:t>, May 2016, p. 5.</w:t>
      </w:r>
    </w:p>
  </w:footnote>
  <w:footnote w:id="540">
    <w:p w:rsidR="005E1FC3"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AC2168">
        <w:t>para. 1090.</w:t>
      </w:r>
    </w:p>
  </w:footnote>
  <w:footnote w:id="541">
    <w:p w:rsidR="005E1FC3"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AC2168">
        <w:t>para. 109</w:t>
      </w:r>
      <w:r>
        <w:t>2</w:t>
      </w:r>
      <w:r w:rsidRPr="00AC2168">
        <w:t>.</w:t>
      </w:r>
    </w:p>
  </w:footnote>
  <w:footnote w:id="542">
    <w:p w:rsidR="005E1FC3" w:rsidRPr="00EB7A6C"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AC2168">
        <w:t>para. 109</w:t>
      </w:r>
      <w:r>
        <w:t>2</w:t>
      </w:r>
      <w:r w:rsidRPr="00AC2168">
        <w:t>.</w:t>
      </w:r>
    </w:p>
  </w:footnote>
  <w:footnote w:id="543">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21.</w:t>
      </w:r>
    </w:p>
  </w:footnote>
  <w:footnote w:id="544">
    <w:p w:rsidR="005E1FC3" w:rsidRDefault="005E1FC3" w:rsidP="001D37D5">
      <w:pPr>
        <w:pStyle w:val="FootnoteText"/>
      </w:pPr>
      <w:r>
        <w:rPr>
          <w:rStyle w:val="FootnoteReference"/>
        </w:rPr>
        <w:footnoteRef/>
      </w:r>
      <w:r>
        <w:t xml:space="preserve"> </w:t>
      </w:r>
      <w:r>
        <w:tab/>
      </w:r>
      <w:r w:rsidRPr="00645287">
        <w:t xml:space="preserve">Lally, </w:t>
      </w:r>
      <w:r w:rsidRPr="00E64E9B">
        <w:rPr>
          <w:rStyle w:val="AERtextitalic"/>
        </w:rPr>
        <w:t>Gamma and the ACT Decision</w:t>
      </w:r>
      <w:r w:rsidRPr="00645287">
        <w:t>, May 2016, p. 5.</w:t>
      </w:r>
    </w:p>
  </w:footnote>
  <w:footnote w:id="545">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20.</w:t>
      </w:r>
    </w:p>
  </w:footnote>
  <w:footnote w:id="546">
    <w:p w:rsidR="005E1FC3" w:rsidRPr="00EB7A6C"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AC2168">
        <w:t>para. 109</w:t>
      </w:r>
      <w:r>
        <w:t>2</w:t>
      </w:r>
      <w:r w:rsidRPr="00AC2168">
        <w:t>.</w:t>
      </w:r>
    </w:p>
  </w:footnote>
  <w:footnote w:id="547">
    <w:p w:rsidR="005E1FC3" w:rsidRDefault="005E1FC3" w:rsidP="001D37D5">
      <w:pPr>
        <w:pStyle w:val="FootnoteText"/>
      </w:pPr>
      <w:r>
        <w:rPr>
          <w:rStyle w:val="FootnoteReference"/>
        </w:rPr>
        <w:footnoteRef/>
      </w:r>
      <w:r>
        <w:t xml:space="preserve"> </w:t>
      </w:r>
      <w:r>
        <w:tab/>
      </w:r>
      <w:r w:rsidRPr="00913229">
        <w:t xml:space="preserve">D. Vo, B. Gellard and S. Mero, 'Estimating the market value of franking credits: Empirical evidence from Australia', </w:t>
      </w:r>
      <w:r w:rsidRPr="00913229">
        <w:rPr>
          <w:rStyle w:val="AERtextitalic"/>
        </w:rPr>
        <w:t>ERA working paper</w:t>
      </w:r>
      <w:r w:rsidRPr="00913229">
        <w:t>, April 2013.</w:t>
      </w:r>
    </w:p>
  </w:footnote>
  <w:footnote w:id="548">
    <w:p w:rsidR="005E1FC3" w:rsidRDefault="005E1FC3" w:rsidP="001D37D5">
      <w:pPr>
        <w:pStyle w:val="FootnoteText"/>
      </w:pPr>
      <w:r>
        <w:rPr>
          <w:rStyle w:val="FootnoteReference"/>
        </w:rPr>
        <w:footnoteRef/>
      </w:r>
      <w:r>
        <w:t xml:space="preserve"> </w:t>
      </w:r>
      <w:r>
        <w:tab/>
        <w:t xml:space="preserve">SFG, </w:t>
      </w:r>
      <w:r w:rsidRPr="002B2BAB">
        <w:rPr>
          <w:rStyle w:val="AERtextitalic"/>
        </w:rPr>
        <w:t>Updated dividend drop-off estimate of theta</w:t>
      </w:r>
      <w:r>
        <w:rPr>
          <w:rStyle w:val="AERtextitalic"/>
        </w:rPr>
        <w:t>: Report for the Energy Networks Association</w:t>
      </w:r>
      <w:r>
        <w:t>, 7 </w:t>
      </w:r>
      <w:r w:rsidRPr="00B86472">
        <w:t>June 2013.</w:t>
      </w:r>
    </w:p>
  </w:footnote>
  <w:footnote w:id="549">
    <w:p w:rsidR="005E1FC3" w:rsidRDefault="005E1FC3" w:rsidP="001D37D5">
      <w:pPr>
        <w:pStyle w:val="FootnoteText"/>
      </w:pPr>
      <w:r>
        <w:rPr>
          <w:rStyle w:val="FootnoteReference"/>
        </w:rPr>
        <w:footnoteRef/>
      </w:r>
      <w:r>
        <w:t xml:space="preserve"> </w:t>
      </w:r>
      <w:r>
        <w:tab/>
        <w:t xml:space="preserve">SFG, </w:t>
      </w:r>
      <w:r w:rsidRPr="00B86472">
        <w:rPr>
          <w:rStyle w:val="AERtextitalic"/>
        </w:rPr>
        <w:t>Dividend drop-off estimate of theta</w:t>
      </w:r>
      <w:r>
        <w:rPr>
          <w:rStyle w:val="AERtextitalic"/>
        </w:rPr>
        <w:t>, Final report, Re: Application by Energex Limited (No 2) [2010] ACompT 7,</w:t>
      </w:r>
      <w:r>
        <w:t xml:space="preserve"> 21 March 2011.</w:t>
      </w:r>
    </w:p>
  </w:footnote>
  <w:footnote w:id="550">
    <w:p w:rsidR="005E1FC3" w:rsidRDefault="005E1FC3" w:rsidP="001D37D5">
      <w:pPr>
        <w:pStyle w:val="FootnoteText"/>
      </w:pPr>
      <w:r>
        <w:rPr>
          <w:rStyle w:val="FootnoteReference"/>
        </w:rPr>
        <w:footnoteRef/>
      </w:r>
      <w:r>
        <w:t xml:space="preserve"> </w:t>
      </w:r>
      <w:r>
        <w:tab/>
        <w:t xml:space="preserve">A. Minney, 'The valuation of franking credits to investors', </w:t>
      </w:r>
      <w:r w:rsidRPr="00CD1C0D">
        <w:rPr>
          <w:rStyle w:val="AERtextitalic"/>
        </w:rPr>
        <w:t>JASSA: The FINS</w:t>
      </w:r>
      <w:r>
        <w:rPr>
          <w:rStyle w:val="AERtextitalic"/>
        </w:rPr>
        <w:t>I</w:t>
      </w:r>
      <w:r w:rsidRPr="00CD1C0D">
        <w:rPr>
          <w:rStyle w:val="AERtextitalic"/>
        </w:rPr>
        <w:t>A journal of applied finance</w:t>
      </w:r>
      <w:r>
        <w:t>, no. 2, 2010, pp. 29–34.</w:t>
      </w:r>
    </w:p>
  </w:footnote>
  <w:footnote w:id="551">
    <w:p w:rsidR="005E1FC3" w:rsidRDefault="005E1FC3" w:rsidP="001D37D5">
      <w:pPr>
        <w:pStyle w:val="FootnoteText"/>
      </w:pPr>
      <w:r>
        <w:rPr>
          <w:rStyle w:val="FootnoteReference"/>
        </w:rPr>
        <w:footnoteRef/>
      </w:r>
      <w:r>
        <w:t xml:space="preserve"> </w:t>
      </w:r>
      <w:r>
        <w:tab/>
        <w:t xml:space="preserve">D. Beggs and C. Skeels, 'Market arbitrage of cash dividends and franking credits', </w:t>
      </w:r>
      <w:r w:rsidRPr="00341F25">
        <w:rPr>
          <w:rStyle w:val="AERtextitalic"/>
        </w:rPr>
        <w:t>The economic record</w:t>
      </w:r>
      <w:r>
        <w:t>, vol. 82, 2006, pp. 239</w:t>
      </w:r>
      <w:r>
        <w:rPr>
          <w:rFonts w:cs="Gautami"/>
        </w:rPr>
        <w:t>–</w:t>
      </w:r>
      <w:r>
        <w:t>252.</w:t>
      </w:r>
    </w:p>
  </w:footnote>
  <w:footnote w:id="552">
    <w:p w:rsidR="005E1FC3" w:rsidRDefault="005E1FC3" w:rsidP="001D37D5">
      <w:pPr>
        <w:pStyle w:val="FootnoteText"/>
      </w:pPr>
      <w:r>
        <w:rPr>
          <w:rStyle w:val="FootnoteReference"/>
        </w:rPr>
        <w:footnoteRef/>
      </w:r>
      <w:r>
        <w:t xml:space="preserve"> </w:t>
      </w:r>
      <w:r>
        <w:tab/>
        <w:t xml:space="preserve">N. Hathaway and B. Officer, </w:t>
      </w:r>
      <w:r w:rsidRPr="00AF729D">
        <w:rPr>
          <w:rStyle w:val="AERtextitalic"/>
        </w:rPr>
        <w:t>The value of imputation tax cred</w:t>
      </w:r>
      <w:r>
        <w:rPr>
          <w:rStyle w:val="AERtextitalic"/>
        </w:rPr>
        <w:t xml:space="preserve">its, </w:t>
      </w:r>
      <w:r w:rsidRPr="00AF729D">
        <w:rPr>
          <w:rStyle w:val="AERtextitalic"/>
        </w:rPr>
        <w:t>Update 2004</w:t>
      </w:r>
      <w:r>
        <w:t>, November 2004.</w:t>
      </w:r>
    </w:p>
  </w:footnote>
  <w:footnote w:id="553">
    <w:p w:rsidR="005E1FC3" w:rsidRDefault="005E1FC3" w:rsidP="001D37D5">
      <w:pPr>
        <w:pStyle w:val="FootnoteText"/>
      </w:pPr>
      <w:r>
        <w:rPr>
          <w:rStyle w:val="FootnoteReference"/>
        </w:rPr>
        <w:footnoteRef/>
      </w:r>
      <w:r>
        <w:t xml:space="preserve"> </w:t>
      </w:r>
      <w:r>
        <w:tab/>
      </w:r>
      <w:r w:rsidRPr="003A3A99">
        <w:t xml:space="preserve">D. Bellamy and S. Gray, 'Using stock price changes to estimate the value of dividend franking credits', </w:t>
      </w:r>
      <w:r w:rsidRPr="003A3A99">
        <w:rPr>
          <w:rStyle w:val="AERtextitalic"/>
        </w:rPr>
        <w:t>working paper, University of Queensland Business School</w:t>
      </w:r>
      <w:r w:rsidRPr="003A3A99">
        <w:t>, March 2004.</w:t>
      </w:r>
    </w:p>
  </w:footnote>
  <w:footnote w:id="554">
    <w:p w:rsidR="005E1FC3" w:rsidRDefault="005E1FC3" w:rsidP="001D37D5">
      <w:pPr>
        <w:pStyle w:val="FootnoteText"/>
      </w:pPr>
      <w:r>
        <w:rPr>
          <w:rStyle w:val="FootnoteReference"/>
        </w:rPr>
        <w:footnoteRef/>
      </w:r>
      <w:r>
        <w:t xml:space="preserve"> </w:t>
      </w:r>
      <w:r>
        <w:tab/>
        <w:t>P. Bruckner, N. Dews and D. White, '</w:t>
      </w:r>
      <w:r w:rsidRPr="002B2BAB">
        <w:t xml:space="preserve">Capturing </w:t>
      </w:r>
      <w:r>
        <w:t>v</w:t>
      </w:r>
      <w:r w:rsidRPr="002B2BAB">
        <w:t xml:space="preserve">alue from </w:t>
      </w:r>
      <w:r>
        <w:t>d</w:t>
      </w:r>
      <w:r w:rsidRPr="002B2BAB">
        <w:t xml:space="preserve">ividend </w:t>
      </w:r>
      <w:r>
        <w:t>i</w:t>
      </w:r>
      <w:r w:rsidRPr="002B2BAB">
        <w:t xml:space="preserve">mputation: How Australian </w:t>
      </w:r>
      <w:r>
        <w:t>c</w:t>
      </w:r>
      <w:r w:rsidRPr="002B2BAB">
        <w:t xml:space="preserve">ompanies </w:t>
      </w:r>
      <w:r>
        <w:t>s</w:t>
      </w:r>
      <w:r w:rsidRPr="002B2BAB">
        <w:t xml:space="preserve">hould </w:t>
      </w:r>
      <w:r>
        <w:t>r</w:t>
      </w:r>
      <w:r w:rsidRPr="002B2BAB">
        <w:t xml:space="preserve">ecognize and </w:t>
      </w:r>
      <w:r>
        <w:t>c</w:t>
      </w:r>
      <w:r w:rsidRPr="002B2BAB">
        <w:t xml:space="preserve">apitalise on a </w:t>
      </w:r>
      <w:r>
        <w:t>m</w:t>
      </w:r>
      <w:r w:rsidRPr="002B2BAB">
        <w:t xml:space="preserve">ajor </w:t>
      </w:r>
      <w:r>
        <w:t>o</w:t>
      </w:r>
      <w:r w:rsidRPr="002B2BAB">
        <w:t xml:space="preserve">pportunity to </w:t>
      </w:r>
      <w:r>
        <w:t>i</w:t>
      </w:r>
      <w:r w:rsidRPr="002B2BAB">
        <w:t xml:space="preserve">ncrease </w:t>
      </w:r>
      <w:r>
        <w:t>s</w:t>
      </w:r>
      <w:r w:rsidRPr="002B2BAB">
        <w:t xml:space="preserve">hareholder </w:t>
      </w:r>
      <w:r>
        <w:t>v</w:t>
      </w:r>
      <w:r w:rsidRPr="002B2BAB">
        <w:t>alue</w:t>
      </w:r>
      <w:r>
        <w:t xml:space="preserve">', </w:t>
      </w:r>
      <w:r w:rsidRPr="0073373B">
        <w:rPr>
          <w:rStyle w:val="AERtextitalic"/>
        </w:rPr>
        <w:t>McKinsey and Company report</w:t>
      </w:r>
      <w:r w:rsidRPr="005A578B">
        <w:t>,</w:t>
      </w:r>
      <w:r>
        <w:t xml:space="preserve"> 1994.</w:t>
      </w:r>
    </w:p>
  </w:footnote>
  <w:footnote w:id="555">
    <w:p w:rsidR="005E1FC3" w:rsidRDefault="005E1FC3" w:rsidP="001D37D5">
      <w:pPr>
        <w:pStyle w:val="FootnoteText"/>
      </w:pPr>
      <w:r>
        <w:rPr>
          <w:rStyle w:val="FootnoteReference"/>
        </w:rPr>
        <w:footnoteRef/>
      </w:r>
      <w:r>
        <w:t xml:space="preserve"> </w:t>
      </w:r>
      <w:r>
        <w:tab/>
        <w:t xml:space="preserve">P. Brown and A. Clarke, 'The ex-dividend day behaviour of Australian share prices before and after dividend imputation', </w:t>
      </w:r>
      <w:r w:rsidRPr="00B86472">
        <w:rPr>
          <w:rStyle w:val="AERtextitalic"/>
        </w:rPr>
        <w:t xml:space="preserve">Australian </w:t>
      </w:r>
      <w:r>
        <w:rPr>
          <w:rStyle w:val="AERtextitalic"/>
        </w:rPr>
        <w:t>j</w:t>
      </w:r>
      <w:r w:rsidRPr="00B86472">
        <w:rPr>
          <w:rStyle w:val="AERtextitalic"/>
        </w:rPr>
        <w:t xml:space="preserve">ournal of </w:t>
      </w:r>
      <w:r>
        <w:rPr>
          <w:rStyle w:val="AERtextitalic"/>
        </w:rPr>
        <w:t>m</w:t>
      </w:r>
      <w:r w:rsidRPr="00B86472">
        <w:rPr>
          <w:rStyle w:val="AERtextitalic"/>
        </w:rPr>
        <w:t>anagement</w:t>
      </w:r>
      <w:r>
        <w:t>, vol. 18, June 1993, pp. 1–40.</w:t>
      </w:r>
    </w:p>
  </w:footnote>
  <w:footnote w:id="556">
    <w:p w:rsidR="005E1FC3" w:rsidRDefault="005E1FC3" w:rsidP="001D37D5">
      <w:pPr>
        <w:pStyle w:val="FootnoteText"/>
      </w:pPr>
      <w:r>
        <w:rPr>
          <w:rStyle w:val="FootnoteReference"/>
        </w:rPr>
        <w:footnoteRef/>
      </w:r>
      <w:r>
        <w:t xml:space="preserve"> </w:t>
      </w:r>
      <w:r>
        <w:tab/>
        <w:t xml:space="preserve">C. Feuerherdt, S. Gray and J. Hall, 'The value of imputation tax credits on Australian hybrid securities', </w:t>
      </w:r>
      <w:r w:rsidRPr="00C37255">
        <w:rPr>
          <w:rStyle w:val="AERtextitalic"/>
        </w:rPr>
        <w:t xml:space="preserve">International </w:t>
      </w:r>
      <w:r>
        <w:rPr>
          <w:rStyle w:val="AERtextitalic"/>
        </w:rPr>
        <w:t>r</w:t>
      </w:r>
      <w:r w:rsidRPr="00C37255">
        <w:rPr>
          <w:rStyle w:val="AERtextitalic"/>
        </w:rPr>
        <w:t xml:space="preserve">eview of </w:t>
      </w:r>
      <w:r>
        <w:rPr>
          <w:rStyle w:val="AERtextitalic"/>
        </w:rPr>
        <w:t>f</w:t>
      </w:r>
      <w:r w:rsidRPr="00C37255">
        <w:rPr>
          <w:rStyle w:val="AERtextitalic"/>
        </w:rPr>
        <w:t>inance,</w:t>
      </w:r>
      <w:r>
        <w:t xml:space="preserve"> vol. 10(3), 2010, pp. 365–401.</w:t>
      </w:r>
    </w:p>
  </w:footnote>
  <w:footnote w:id="557">
    <w:p w:rsidR="005E1FC3" w:rsidRDefault="005E1FC3" w:rsidP="001D37D5">
      <w:pPr>
        <w:pStyle w:val="FootnoteText"/>
      </w:pPr>
      <w:r>
        <w:rPr>
          <w:rStyle w:val="FootnoteReference"/>
        </w:rPr>
        <w:footnoteRef/>
      </w:r>
      <w:r>
        <w:t xml:space="preserve"> </w:t>
      </w:r>
      <w:r>
        <w:tab/>
        <w:t xml:space="preserve">SFG, </w:t>
      </w:r>
      <w:r w:rsidRPr="005E70ED">
        <w:rPr>
          <w:rStyle w:val="AERtextitalic"/>
        </w:rPr>
        <w:t>Using market data to estimate the equilibrium value of distributed imputation tax credits, Report for the Energy Networks Association</w:t>
      </w:r>
      <w:r>
        <w:t>, 3 October 2013.</w:t>
      </w:r>
    </w:p>
  </w:footnote>
  <w:footnote w:id="558">
    <w:p w:rsidR="005E1FC3" w:rsidRDefault="005E1FC3" w:rsidP="001D37D5">
      <w:pPr>
        <w:pStyle w:val="FootnoteText"/>
      </w:pPr>
      <w:r>
        <w:rPr>
          <w:rStyle w:val="FootnoteReference"/>
        </w:rPr>
        <w:footnoteRef/>
      </w:r>
      <w:r>
        <w:t xml:space="preserve"> </w:t>
      </w:r>
      <w:r>
        <w:tab/>
        <w:t xml:space="preserve">D. Cannavan, F. Finn, S. Gray, 'The value of dividend imputation tax credits in Australia', </w:t>
      </w:r>
      <w:r>
        <w:rPr>
          <w:rStyle w:val="AERtextitalic"/>
        </w:rPr>
        <w:t>Journal of financial economics</w:t>
      </w:r>
      <w:r>
        <w:t>, vol. 73, 2004, pp. 167</w:t>
      </w:r>
      <w:r>
        <w:rPr>
          <w:rFonts w:cs="Gautami"/>
        </w:rPr>
        <w:t>–</w:t>
      </w:r>
      <w:r>
        <w:t>197.</w:t>
      </w:r>
    </w:p>
  </w:footnote>
  <w:footnote w:id="559">
    <w:p w:rsidR="005E1FC3" w:rsidRDefault="005E1FC3" w:rsidP="001D37D5">
      <w:pPr>
        <w:pStyle w:val="FootnoteText"/>
      </w:pPr>
      <w:r>
        <w:rPr>
          <w:rStyle w:val="FootnoteReference"/>
        </w:rPr>
        <w:footnoteRef/>
      </w:r>
      <w:r>
        <w:t xml:space="preserve"> </w:t>
      </w:r>
      <w:r>
        <w:tab/>
        <w:t xml:space="preserve">J. Cummings and A. Frino, 'Tax effects on the pricing of Australian stock index futures', </w:t>
      </w:r>
      <w:r w:rsidRPr="00C37255">
        <w:rPr>
          <w:rStyle w:val="AERtextitalic"/>
        </w:rPr>
        <w:t xml:space="preserve">Australian </w:t>
      </w:r>
      <w:r>
        <w:rPr>
          <w:rStyle w:val="AERtextitalic"/>
        </w:rPr>
        <w:t>j</w:t>
      </w:r>
      <w:r w:rsidRPr="00C37255">
        <w:rPr>
          <w:rStyle w:val="AERtextitalic"/>
        </w:rPr>
        <w:t xml:space="preserve">ournal of </w:t>
      </w:r>
      <w:r>
        <w:rPr>
          <w:rStyle w:val="AERtextitalic"/>
        </w:rPr>
        <w:t>m</w:t>
      </w:r>
      <w:r w:rsidRPr="00C37255">
        <w:rPr>
          <w:rStyle w:val="AERtextitalic"/>
        </w:rPr>
        <w:t>anagement</w:t>
      </w:r>
      <w:r>
        <w:t>, vol. 33(2), December 2008, pp. 391</w:t>
      </w:r>
      <w:r w:rsidRPr="00CE4FAF">
        <w:t>–</w:t>
      </w:r>
      <w:r>
        <w:t>406.</w:t>
      </w:r>
    </w:p>
  </w:footnote>
  <w:footnote w:id="560">
    <w:p w:rsidR="005E1FC3" w:rsidRDefault="005E1FC3" w:rsidP="001D37D5">
      <w:pPr>
        <w:pStyle w:val="FootnoteText"/>
      </w:pPr>
      <w:r>
        <w:rPr>
          <w:rStyle w:val="FootnoteReference"/>
        </w:rPr>
        <w:footnoteRef/>
      </w:r>
      <w:r>
        <w:t xml:space="preserve"> </w:t>
      </w:r>
      <w:r>
        <w:tab/>
        <w:t xml:space="preserve">NERA, </w:t>
      </w:r>
      <w:r w:rsidRPr="004A02F9">
        <w:rPr>
          <w:rStyle w:val="AERtextitalic"/>
        </w:rPr>
        <w:t>Imputation credits and equity prices and returns, A report for the Energy Networks Association</w:t>
      </w:r>
      <w:r>
        <w:t xml:space="preserve">, October 2013. </w:t>
      </w:r>
    </w:p>
  </w:footnote>
  <w:footnote w:id="561">
    <w:p w:rsidR="005E1FC3" w:rsidRDefault="005E1FC3" w:rsidP="001D37D5">
      <w:pPr>
        <w:pStyle w:val="FootnoteText"/>
      </w:pPr>
      <w:r>
        <w:rPr>
          <w:rStyle w:val="FootnoteReference"/>
        </w:rPr>
        <w:footnoteRef/>
      </w:r>
      <w:r>
        <w:t xml:space="preserve"> </w:t>
      </w:r>
      <w:r>
        <w:tab/>
        <w:t xml:space="preserve">P. Lajbcygier and S. Wheatley, 'Imputation credits and equity returns', </w:t>
      </w:r>
      <w:r w:rsidRPr="00336C79">
        <w:rPr>
          <w:rStyle w:val="AERtextitalic"/>
        </w:rPr>
        <w:t>The economic record</w:t>
      </w:r>
      <w:r>
        <w:t>, vol. 88 (283), December 2012, pp. 476–494.</w:t>
      </w:r>
    </w:p>
  </w:footnote>
  <w:footnote w:id="562">
    <w:p w:rsidR="005E1FC3" w:rsidRDefault="005E1FC3" w:rsidP="001D37D5">
      <w:pPr>
        <w:pStyle w:val="FootnoteText"/>
      </w:pPr>
      <w:r>
        <w:rPr>
          <w:rStyle w:val="FootnoteReference"/>
        </w:rPr>
        <w:footnoteRef/>
      </w:r>
      <w:r>
        <w:t xml:space="preserve"> </w:t>
      </w:r>
      <w:r>
        <w:tab/>
        <w:t xml:space="preserve">K. Siau, S. Sault and G. Warren, 'Are imputation credits capitalised into stock prices', </w:t>
      </w:r>
      <w:r>
        <w:rPr>
          <w:rStyle w:val="AERtextitalic"/>
        </w:rPr>
        <w:t xml:space="preserve">ANU </w:t>
      </w:r>
      <w:r w:rsidRPr="00647825">
        <w:rPr>
          <w:rStyle w:val="AERtextitalic"/>
        </w:rPr>
        <w:t>working paper</w:t>
      </w:r>
      <w:r w:rsidRPr="00647825">
        <w:t>,</w:t>
      </w:r>
      <w:r>
        <w:t xml:space="preserve"> 18 June 2013.</w:t>
      </w:r>
    </w:p>
  </w:footnote>
  <w:footnote w:id="563">
    <w:p w:rsidR="005E1FC3" w:rsidRDefault="005E1FC3" w:rsidP="001D37D5">
      <w:pPr>
        <w:pStyle w:val="FootnoteText"/>
      </w:pPr>
      <w:r>
        <w:rPr>
          <w:rStyle w:val="FootnoteReference"/>
        </w:rPr>
        <w:footnoteRef/>
      </w:r>
      <w:r>
        <w:t xml:space="preserve"> </w:t>
      </w:r>
      <w:r>
        <w:tab/>
        <w:t xml:space="preserve">K. Siau, S. Sault and G. Warren, 'Are imputation credits capitalised into stock prices', </w:t>
      </w:r>
      <w:r>
        <w:rPr>
          <w:rStyle w:val="AERtextitalic"/>
        </w:rPr>
        <w:t>Accounting and Finance,</w:t>
      </w:r>
      <w:r>
        <w:t xml:space="preserve"> Vol. 55, 2015, pp. 241–277.</w:t>
      </w:r>
    </w:p>
  </w:footnote>
  <w:footnote w:id="564">
    <w:p w:rsidR="005E1FC3" w:rsidRDefault="005E1FC3" w:rsidP="001D37D5">
      <w:pPr>
        <w:pStyle w:val="FootnoteText"/>
      </w:pPr>
      <w:r>
        <w:rPr>
          <w:rStyle w:val="FootnoteReference"/>
        </w:rPr>
        <w:footnoteRef/>
      </w:r>
      <w:r>
        <w:t xml:space="preserve"> </w:t>
      </w:r>
      <w:r>
        <w:tab/>
        <w:t xml:space="preserve">NERA, </w:t>
      </w:r>
      <w:r>
        <w:rPr>
          <w:rStyle w:val="AERtextitalic"/>
        </w:rPr>
        <w:t>Do Imputation Credits Lower the Cost of Equity? Cross-Sectional Tests A report for United Energy</w:t>
      </w:r>
      <w:r>
        <w:t>, April 2015.</w:t>
      </w:r>
    </w:p>
  </w:footnote>
  <w:footnote w:id="565">
    <w:p w:rsidR="005E1FC3" w:rsidRDefault="005E1FC3" w:rsidP="001D37D5">
      <w:pPr>
        <w:pStyle w:val="FootnoteText"/>
      </w:pPr>
      <w:r>
        <w:rPr>
          <w:rStyle w:val="FootnoteReference"/>
        </w:rPr>
        <w:footnoteRef/>
      </w:r>
      <w:r>
        <w:t xml:space="preserve"> </w:t>
      </w:r>
      <w:r>
        <w:tab/>
        <w:t xml:space="preserve">H. Chu and G. Partington, 'The market valuation of cash dividends: The case of the CRA bonus issue, </w:t>
      </w:r>
      <w:r w:rsidRPr="00C37255">
        <w:rPr>
          <w:rStyle w:val="AERtextitalic"/>
        </w:rPr>
        <w:t>International review of finance</w:t>
      </w:r>
      <w:r>
        <w:t>, Vol. 8(2), June 2008, pp. 1</w:t>
      </w:r>
      <w:r w:rsidRPr="00CE4FAF">
        <w:t>–</w:t>
      </w:r>
      <w:r>
        <w:t>20.</w:t>
      </w:r>
    </w:p>
  </w:footnote>
  <w:footnote w:id="566">
    <w:p w:rsidR="005E1FC3" w:rsidRDefault="005E1FC3" w:rsidP="001D37D5">
      <w:pPr>
        <w:pStyle w:val="FootnoteText"/>
      </w:pPr>
      <w:r>
        <w:rPr>
          <w:rStyle w:val="FootnoteReference"/>
        </w:rPr>
        <w:footnoteRef/>
      </w:r>
      <w:r>
        <w:t xml:space="preserve"> </w:t>
      </w:r>
      <w:r>
        <w:tab/>
      </w:r>
      <w:r w:rsidRPr="009C64A5">
        <w:t xml:space="preserve">H. Chu and G. Partington, 'The market value of dividends: evidence from a new method', </w:t>
      </w:r>
      <w:r w:rsidRPr="009C64A5">
        <w:rPr>
          <w:rStyle w:val="AERtextitalic"/>
        </w:rPr>
        <w:t xml:space="preserve">Paper presented at the Accounting Association of Australia and New Zealand Annual Conference, Wellington, </w:t>
      </w:r>
      <w:r w:rsidRPr="009C64A5">
        <w:t>2001.</w:t>
      </w:r>
    </w:p>
  </w:footnote>
  <w:footnote w:id="567">
    <w:p w:rsidR="005E1FC3" w:rsidRDefault="005E1FC3" w:rsidP="001D37D5">
      <w:pPr>
        <w:pStyle w:val="FootnoteText"/>
      </w:pPr>
      <w:r>
        <w:rPr>
          <w:rStyle w:val="FootnoteReference"/>
        </w:rPr>
        <w:footnoteRef/>
      </w:r>
      <w:r>
        <w:t xml:space="preserve"> </w:t>
      </w:r>
      <w:r>
        <w:tab/>
        <w:t xml:space="preserve">S. Walker and G. Partington, 'The value of dividends: Evidence from cum-dividend trading in the ex-dividend period', </w:t>
      </w:r>
      <w:r w:rsidRPr="007D37C7">
        <w:rPr>
          <w:rStyle w:val="AERtextitalic"/>
        </w:rPr>
        <w:t>Accounting and Finance</w:t>
      </w:r>
      <w:r>
        <w:t>, vol. 39(3), November 1999, pp. 275</w:t>
      </w:r>
      <w:r w:rsidRPr="00CE4FAF">
        <w:t>–</w:t>
      </w:r>
      <w:r>
        <w:t>296.</w:t>
      </w:r>
    </w:p>
  </w:footnote>
  <w:footnote w:id="568">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20; ActewAGL, </w:t>
      </w:r>
      <w:r w:rsidRPr="00AF5B33">
        <w:rPr>
          <w:rStyle w:val="AERtextitalic"/>
        </w:rPr>
        <w:t>Appendix 5.01 Detailed response to rate of return, gamma and inflation</w:t>
      </w:r>
      <w:r>
        <w:t xml:space="preserve">, January 2016, p. 126; AusNet Electricity Services, </w:t>
      </w:r>
      <w:r w:rsidRPr="00AF5B33">
        <w:rPr>
          <w:rStyle w:val="AERtextitalic"/>
        </w:rPr>
        <w:t>Revised Regulatory Proposal</w:t>
      </w:r>
      <w:r>
        <w:t xml:space="preserve">, January 2016, p. 7-94; United Energy, </w:t>
      </w:r>
      <w:r w:rsidRPr="00AF5B33">
        <w:rPr>
          <w:rStyle w:val="AERtextitalic"/>
        </w:rPr>
        <w:t>Response to AER Preliminary Determination Re: Rate of return and gamma</w:t>
      </w:r>
      <w:r>
        <w:t xml:space="preserve">, January 2016, p. 95; CitiPower, </w:t>
      </w:r>
      <w:r w:rsidRPr="00AF5B33">
        <w:rPr>
          <w:rStyle w:val="AERtextitalic"/>
        </w:rPr>
        <w:t>Revised Regulatory Proposal 2016-2020</w:t>
      </w:r>
      <w:r>
        <w:t xml:space="preserve">; January 2016, p. 373; Jemena Electricity Networks, </w:t>
      </w:r>
      <w:r w:rsidRPr="00AF5B33">
        <w:rPr>
          <w:rStyle w:val="AERtextitalic"/>
        </w:rPr>
        <w:t>Attachment 6-1 Rate of return, gamma, forecast inflation, and debt and equity raising costs</w:t>
      </w:r>
      <w:r>
        <w:t xml:space="preserve">, January 2016, p. 102; Powercor, </w:t>
      </w:r>
      <w:r w:rsidRPr="00AF5B33">
        <w:rPr>
          <w:rStyle w:val="AERtextitalic"/>
        </w:rPr>
        <w:t>Revised Regulatory Proposal 2016-2020</w:t>
      </w:r>
      <w:r>
        <w:t>, January 2016, p. 367.</w:t>
      </w:r>
    </w:p>
  </w:footnote>
  <w:footnote w:id="569">
    <w:p w:rsidR="005E1FC3" w:rsidRDefault="005E1FC3" w:rsidP="001D37D5">
      <w:pPr>
        <w:pStyle w:val="FootnoteText"/>
      </w:pPr>
      <w:r>
        <w:rPr>
          <w:rStyle w:val="FootnoteReference"/>
        </w:rPr>
        <w:footnoteRef/>
      </w:r>
      <w:r>
        <w:t xml:space="preserve"> </w:t>
      </w:r>
      <w:r>
        <w:tab/>
        <w:t xml:space="preserve">Australian Competition Tribunal, </w:t>
      </w:r>
      <w:r w:rsidRPr="000F2066">
        <w:rPr>
          <w:rStyle w:val="AERtextitalic"/>
        </w:rPr>
        <w:t>Application by</w:t>
      </w:r>
      <w:r>
        <w:rPr>
          <w:rStyle w:val="AERtextitalic"/>
        </w:rPr>
        <w:t xml:space="preserve"> Public Interest Advocacy Centre Ltd and Ausgrid</w:t>
      </w:r>
      <w:r w:rsidRPr="000F2066">
        <w:rPr>
          <w:rStyle w:val="AERtextitalic"/>
        </w:rPr>
        <w:t xml:space="preserve"> [20</w:t>
      </w:r>
      <w:r>
        <w:rPr>
          <w:rStyle w:val="AERtextitalic"/>
        </w:rPr>
        <w:t>16</w:t>
      </w:r>
      <w:r w:rsidRPr="000F2066">
        <w:rPr>
          <w:rStyle w:val="AERtextitalic"/>
        </w:rPr>
        <w:t xml:space="preserve">] ACompT </w:t>
      </w:r>
      <w:r>
        <w:rPr>
          <w:rStyle w:val="AERtextitalic"/>
        </w:rPr>
        <w:t>1</w:t>
      </w:r>
      <w:r>
        <w:t xml:space="preserve">, 26 February 2016, </w:t>
      </w:r>
      <w:r w:rsidRPr="00AC2168">
        <w:t>para. 1092.</w:t>
      </w:r>
    </w:p>
  </w:footnote>
  <w:footnote w:id="570">
    <w:p w:rsidR="005E1FC3" w:rsidRDefault="005E1FC3" w:rsidP="001D37D5">
      <w:pPr>
        <w:pStyle w:val="FootnoteText"/>
      </w:pPr>
      <w:r>
        <w:rPr>
          <w:rStyle w:val="FootnoteReference"/>
        </w:rPr>
        <w:footnoteRef/>
      </w:r>
      <w:r>
        <w:t xml:space="preserve"> </w:t>
      </w:r>
      <w:r>
        <w:tab/>
      </w:r>
      <w:r w:rsidRPr="00913229">
        <w:t xml:space="preserve">D. Vo, B. Gellard and S. Mero, 'Estimating the market value of franking credits: Empirical evidence from Australia', </w:t>
      </w:r>
      <w:r w:rsidRPr="00913229">
        <w:rPr>
          <w:rStyle w:val="AERtextitalic"/>
        </w:rPr>
        <w:t>ERA working paper</w:t>
      </w:r>
      <w:r w:rsidRPr="00913229">
        <w:t>, April 2013.</w:t>
      </w:r>
    </w:p>
  </w:footnote>
  <w:footnote w:id="571">
    <w:p w:rsidR="005E1FC3" w:rsidRDefault="005E1FC3" w:rsidP="001D37D5">
      <w:pPr>
        <w:pStyle w:val="FootnoteText"/>
      </w:pPr>
      <w:r>
        <w:rPr>
          <w:rStyle w:val="FootnoteReference"/>
        </w:rPr>
        <w:footnoteRef/>
      </w:r>
      <w:r>
        <w:t xml:space="preserve"> </w:t>
      </w:r>
      <w:r>
        <w:tab/>
        <w:t xml:space="preserve">SFG, </w:t>
      </w:r>
      <w:r w:rsidRPr="002B2BAB">
        <w:rPr>
          <w:rStyle w:val="AERtextitalic"/>
        </w:rPr>
        <w:t>Updated dividend drop-off estimate of theta</w:t>
      </w:r>
      <w:r>
        <w:rPr>
          <w:rStyle w:val="AERtextitalic"/>
        </w:rPr>
        <w:t>: Report for the Energy Networks Association</w:t>
      </w:r>
      <w:r>
        <w:t>, 7 </w:t>
      </w:r>
      <w:r w:rsidRPr="00B86472">
        <w:t>June 2013</w:t>
      </w:r>
      <w:r>
        <w:t>, p. 1</w:t>
      </w:r>
      <w:r w:rsidRPr="00B86472">
        <w:t>.</w:t>
      </w:r>
    </w:p>
  </w:footnote>
  <w:footnote w:id="572">
    <w:p w:rsidR="005E1FC3" w:rsidRDefault="005E1FC3" w:rsidP="001D37D5">
      <w:pPr>
        <w:pStyle w:val="FootnoteText"/>
      </w:pPr>
      <w:r>
        <w:rPr>
          <w:rStyle w:val="FootnoteReference"/>
        </w:rPr>
        <w:footnoteRef/>
      </w:r>
      <w:r>
        <w:t xml:space="preserve"> </w:t>
      </w:r>
      <w:r>
        <w:tab/>
        <w:t xml:space="preserve">SFG, </w:t>
      </w:r>
      <w:r w:rsidRPr="00B86472">
        <w:rPr>
          <w:rStyle w:val="AERtextitalic"/>
        </w:rPr>
        <w:t>Dividend drop-off estimate of theta</w:t>
      </w:r>
      <w:r>
        <w:rPr>
          <w:rStyle w:val="AERtextitalic"/>
        </w:rPr>
        <w:t>, Final report, Re: Application by Energex Limited (No 2) [2010] ACompT 7,</w:t>
      </w:r>
      <w:r>
        <w:t xml:space="preserve"> 21 March 2011, p. 3.</w:t>
      </w:r>
    </w:p>
  </w:footnote>
  <w:footnote w:id="573">
    <w:p w:rsidR="005E1FC3" w:rsidRDefault="005E1FC3" w:rsidP="001D37D5">
      <w:pPr>
        <w:pStyle w:val="FootnoteText"/>
      </w:pPr>
      <w:r>
        <w:rPr>
          <w:rStyle w:val="FootnoteReference"/>
        </w:rPr>
        <w:footnoteRef/>
      </w:r>
      <w:r>
        <w:t xml:space="preserve"> </w:t>
      </w:r>
      <w:r>
        <w:tab/>
        <w:t xml:space="preserve">A. Minney, 'The valuation of franking credits to investors', </w:t>
      </w:r>
      <w:r w:rsidRPr="00CD1C0D">
        <w:rPr>
          <w:rStyle w:val="AERtextitalic"/>
        </w:rPr>
        <w:t>JASSA: The FINS</w:t>
      </w:r>
      <w:r>
        <w:rPr>
          <w:rStyle w:val="AERtextitalic"/>
        </w:rPr>
        <w:t>I</w:t>
      </w:r>
      <w:r w:rsidRPr="00CD1C0D">
        <w:rPr>
          <w:rStyle w:val="AERtextitalic"/>
        </w:rPr>
        <w:t>A journal of applied finance</w:t>
      </w:r>
      <w:r>
        <w:t>, no. 2, 2010, p. 32.</w:t>
      </w:r>
    </w:p>
  </w:footnote>
  <w:footnote w:id="574">
    <w:p w:rsidR="005E1FC3" w:rsidRDefault="005E1FC3" w:rsidP="001D37D5">
      <w:pPr>
        <w:pStyle w:val="FootnoteText"/>
      </w:pPr>
      <w:r>
        <w:rPr>
          <w:rStyle w:val="FootnoteReference"/>
        </w:rPr>
        <w:footnoteRef/>
      </w:r>
      <w:r>
        <w:t xml:space="preserve"> </w:t>
      </w:r>
      <w:r>
        <w:tab/>
        <w:t xml:space="preserve">D. Beggs and C. Skeels, 'Market arbitrage of cash dividends and franking credits', </w:t>
      </w:r>
      <w:r w:rsidRPr="00341F25">
        <w:rPr>
          <w:rStyle w:val="AERtextitalic"/>
        </w:rPr>
        <w:t>The economic record</w:t>
      </w:r>
      <w:r>
        <w:t>, vol. 82, 2006, p. 247.</w:t>
      </w:r>
    </w:p>
  </w:footnote>
  <w:footnote w:id="575">
    <w:p w:rsidR="005E1FC3" w:rsidRDefault="005E1FC3" w:rsidP="001D37D5">
      <w:pPr>
        <w:pStyle w:val="FootnoteText"/>
      </w:pPr>
      <w:r>
        <w:rPr>
          <w:rStyle w:val="FootnoteReference"/>
        </w:rPr>
        <w:footnoteRef/>
      </w:r>
      <w:r>
        <w:t xml:space="preserve"> </w:t>
      </w:r>
      <w:r>
        <w:tab/>
        <w:t xml:space="preserve">N. Hathaway and B. Officer, </w:t>
      </w:r>
      <w:r w:rsidRPr="00AF729D">
        <w:rPr>
          <w:rStyle w:val="AERtextitalic"/>
        </w:rPr>
        <w:t>The value of imputation tax credits</w:t>
      </w:r>
      <w:r>
        <w:rPr>
          <w:rStyle w:val="AERtextitalic"/>
        </w:rPr>
        <w:t xml:space="preserve">, </w:t>
      </w:r>
      <w:r w:rsidRPr="00AF729D">
        <w:rPr>
          <w:rStyle w:val="AERtextitalic"/>
        </w:rPr>
        <w:t>Update 2004</w:t>
      </w:r>
      <w:r>
        <w:t>, November 2004, p. 21.</w:t>
      </w:r>
    </w:p>
  </w:footnote>
  <w:footnote w:id="576">
    <w:p w:rsidR="005E1FC3" w:rsidRDefault="005E1FC3" w:rsidP="001D37D5">
      <w:pPr>
        <w:pStyle w:val="FootnoteText"/>
      </w:pPr>
      <w:r>
        <w:rPr>
          <w:rStyle w:val="FootnoteReference"/>
        </w:rPr>
        <w:footnoteRef/>
      </w:r>
      <w:r>
        <w:t xml:space="preserve"> </w:t>
      </w:r>
      <w:r>
        <w:tab/>
      </w:r>
      <w:r w:rsidRPr="003A3A99">
        <w:t xml:space="preserve">D. Bellamy and S. Gray, 'Using stock price changes to estimate the value of dividend franking credits', </w:t>
      </w:r>
      <w:r w:rsidRPr="003A3A99">
        <w:rPr>
          <w:rStyle w:val="AERtextitalic"/>
        </w:rPr>
        <w:t>working paper, University of Queensland Business School</w:t>
      </w:r>
      <w:r>
        <w:t>, March 2004, pp. 5 and 21.</w:t>
      </w:r>
    </w:p>
  </w:footnote>
  <w:footnote w:id="577">
    <w:p w:rsidR="005E1FC3" w:rsidRDefault="005E1FC3" w:rsidP="001D37D5">
      <w:pPr>
        <w:pStyle w:val="FootnoteText"/>
      </w:pPr>
      <w:r>
        <w:rPr>
          <w:rStyle w:val="FootnoteReference"/>
        </w:rPr>
        <w:footnoteRef/>
      </w:r>
      <w:r>
        <w:t xml:space="preserve"> </w:t>
      </w:r>
      <w:r>
        <w:tab/>
        <w:t>P. Bruckner, N. Dews and D. White, '</w:t>
      </w:r>
      <w:r w:rsidRPr="002B2BAB">
        <w:t xml:space="preserve">Capturing </w:t>
      </w:r>
      <w:r>
        <w:t>v</w:t>
      </w:r>
      <w:r w:rsidRPr="002B2BAB">
        <w:t xml:space="preserve">alue from </w:t>
      </w:r>
      <w:r>
        <w:t>d</w:t>
      </w:r>
      <w:r w:rsidRPr="002B2BAB">
        <w:t xml:space="preserve">ividend </w:t>
      </w:r>
      <w:r>
        <w:t>i</w:t>
      </w:r>
      <w:r w:rsidRPr="002B2BAB">
        <w:t xml:space="preserve">mputation: How Australian </w:t>
      </w:r>
      <w:r>
        <w:t>c</w:t>
      </w:r>
      <w:r w:rsidRPr="002B2BAB">
        <w:t xml:space="preserve">ompanies </w:t>
      </w:r>
      <w:r>
        <w:t>s</w:t>
      </w:r>
      <w:r w:rsidRPr="002B2BAB">
        <w:t xml:space="preserve">hould </w:t>
      </w:r>
      <w:r>
        <w:t>r</w:t>
      </w:r>
      <w:r w:rsidRPr="002B2BAB">
        <w:t xml:space="preserve">ecognize and </w:t>
      </w:r>
      <w:r>
        <w:t>c</w:t>
      </w:r>
      <w:r w:rsidRPr="002B2BAB">
        <w:t xml:space="preserve">apitalise on a </w:t>
      </w:r>
      <w:r>
        <w:t>m</w:t>
      </w:r>
      <w:r w:rsidRPr="002B2BAB">
        <w:t xml:space="preserve">ajor </w:t>
      </w:r>
      <w:r>
        <w:t>o</w:t>
      </w:r>
      <w:r w:rsidRPr="002B2BAB">
        <w:t xml:space="preserve">pportunity to </w:t>
      </w:r>
      <w:r>
        <w:t>i</w:t>
      </w:r>
      <w:r w:rsidRPr="002B2BAB">
        <w:t xml:space="preserve">ncrease </w:t>
      </w:r>
      <w:r>
        <w:t>s</w:t>
      </w:r>
      <w:r w:rsidRPr="002B2BAB">
        <w:t xml:space="preserve">hareholder </w:t>
      </w:r>
      <w:r>
        <w:t>v</w:t>
      </w:r>
      <w:r w:rsidRPr="002B2BAB">
        <w:t>alue</w:t>
      </w:r>
      <w:r>
        <w:t xml:space="preserve">', </w:t>
      </w:r>
      <w:r w:rsidRPr="0073373B">
        <w:rPr>
          <w:rStyle w:val="AERtextitalic"/>
        </w:rPr>
        <w:t>McKinsey and Company report</w:t>
      </w:r>
      <w:r w:rsidRPr="005A578B">
        <w:t>,</w:t>
      </w:r>
      <w:r>
        <w:t xml:space="preserve"> 1994, p. 27.</w:t>
      </w:r>
    </w:p>
  </w:footnote>
  <w:footnote w:id="578">
    <w:p w:rsidR="005E1FC3" w:rsidRDefault="005E1FC3" w:rsidP="001D37D5">
      <w:pPr>
        <w:pStyle w:val="FootnoteText"/>
      </w:pPr>
      <w:r>
        <w:rPr>
          <w:rStyle w:val="FootnoteReference"/>
        </w:rPr>
        <w:footnoteRef/>
      </w:r>
      <w:r>
        <w:t xml:space="preserve"> </w:t>
      </w:r>
      <w:r>
        <w:tab/>
        <w:t xml:space="preserve">P. Brown and A. Clarke, 'The ex-dividend day behaviour of Australian share prices before and after dividend imputation', </w:t>
      </w:r>
      <w:r w:rsidRPr="00B86472">
        <w:rPr>
          <w:rStyle w:val="AERtextitalic"/>
        </w:rPr>
        <w:t xml:space="preserve">Australian </w:t>
      </w:r>
      <w:r>
        <w:rPr>
          <w:rStyle w:val="AERtextitalic"/>
        </w:rPr>
        <w:t>j</w:t>
      </w:r>
      <w:r w:rsidRPr="00B86472">
        <w:rPr>
          <w:rStyle w:val="AERtextitalic"/>
        </w:rPr>
        <w:t xml:space="preserve">ournal of </w:t>
      </w:r>
      <w:r>
        <w:rPr>
          <w:rStyle w:val="AERtextitalic"/>
        </w:rPr>
        <w:t>m</w:t>
      </w:r>
      <w:r w:rsidRPr="00B86472">
        <w:rPr>
          <w:rStyle w:val="AERtextitalic"/>
        </w:rPr>
        <w:t>anagement</w:t>
      </w:r>
      <w:r>
        <w:t>, vol. 18, June 1993, p. 1.</w:t>
      </w:r>
    </w:p>
  </w:footnote>
  <w:footnote w:id="579">
    <w:p w:rsidR="005E1FC3" w:rsidRDefault="005E1FC3" w:rsidP="001D37D5">
      <w:pPr>
        <w:pStyle w:val="FootnoteText"/>
      </w:pPr>
      <w:r>
        <w:rPr>
          <w:rStyle w:val="FootnoteReference"/>
        </w:rPr>
        <w:footnoteRef/>
      </w:r>
      <w:r>
        <w:t xml:space="preserve"> </w:t>
      </w:r>
      <w:r>
        <w:tab/>
        <w:t xml:space="preserve">A. Ainsworth, G. Partington and G. Warren, </w:t>
      </w:r>
      <w:r w:rsidRPr="00814197">
        <w:rPr>
          <w:rStyle w:val="AERtextitalic"/>
        </w:rPr>
        <w:t>Do franking credits matter? Exploring the financial implications of dividend imputation</w:t>
      </w:r>
      <w:r>
        <w:t>, May 2015, p. 17.</w:t>
      </w:r>
    </w:p>
  </w:footnote>
  <w:footnote w:id="580">
    <w:p w:rsidR="005E1FC3" w:rsidRDefault="005E1FC3" w:rsidP="001D37D5">
      <w:pPr>
        <w:pStyle w:val="FootnoteText"/>
      </w:pPr>
      <w:r>
        <w:rPr>
          <w:rStyle w:val="FootnoteReference"/>
        </w:rPr>
        <w:footnoteRef/>
      </w:r>
      <w:r>
        <w:t xml:space="preserve"> </w:t>
      </w:r>
      <w:r>
        <w:tab/>
        <w:t xml:space="preserve">C. Feuerherdt, S. Gray and J. Hall, 'The value of imputation tax credits on Australian hybrid securities', </w:t>
      </w:r>
      <w:r w:rsidRPr="00C37255">
        <w:rPr>
          <w:rStyle w:val="AERtextitalic"/>
        </w:rPr>
        <w:t xml:space="preserve">International </w:t>
      </w:r>
      <w:r>
        <w:rPr>
          <w:rStyle w:val="AERtextitalic"/>
        </w:rPr>
        <w:t>r</w:t>
      </w:r>
      <w:r w:rsidRPr="00C37255">
        <w:rPr>
          <w:rStyle w:val="AERtextitalic"/>
        </w:rPr>
        <w:t xml:space="preserve">eview of </w:t>
      </w:r>
      <w:r>
        <w:rPr>
          <w:rStyle w:val="AERtextitalic"/>
        </w:rPr>
        <w:t>f</w:t>
      </w:r>
      <w:r w:rsidRPr="00C37255">
        <w:rPr>
          <w:rStyle w:val="AERtextitalic"/>
        </w:rPr>
        <w:t>inance,</w:t>
      </w:r>
      <w:r>
        <w:t xml:space="preserve"> vol. 10(3), 2010, pp. 365–401.</w:t>
      </w:r>
    </w:p>
  </w:footnote>
  <w:footnote w:id="581">
    <w:p w:rsidR="005E1FC3" w:rsidRDefault="005E1FC3" w:rsidP="001D37D5">
      <w:pPr>
        <w:pStyle w:val="FootnoteText"/>
      </w:pPr>
      <w:r>
        <w:rPr>
          <w:rStyle w:val="FootnoteReference"/>
        </w:rPr>
        <w:footnoteRef/>
      </w:r>
      <w:r>
        <w:t xml:space="preserve"> </w:t>
      </w:r>
      <w:r>
        <w:tab/>
        <w:t xml:space="preserve">SFG, </w:t>
      </w:r>
      <w:r w:rsidRPr="005E70ED">
        <w:rPr>
          <w:rStyle w:val="AERtextitalic"/>
        </w:rPr>
        <w:t>Using market data to estimate the equilibrium value of distributed imputation tax credits, Report for the Energy Networks Association</w:t>
      </w:r>
      <w:r>
        <w:t>, 3 October 2013, p. 3.</w:t>
      </w:r>
    </w:p>
  </w:footnote>
  <w:footnote w:id="582">
    <w:p w:rsidR="005E1FC3" w:rsidRDefault="005E1FC3" w:rsidP="001D37D5">
      <w:pPr>
        <w:pStyle w:val="FootnoteText"/>
      </w:pPr>
      <w:r>
        <w:rPr>
          <w:rStyle w:val="FootnoteReference"/>
        </w:rPr>
        <w:footnoteRef/>
      </w:r>
      <w:r>
        <w:t xml:space="preserve"> </w:t>
      </w:r>
      <w:r>
        <w:tab/>
        <w:t xml:space="preserve">D. Cannavan, F. Finn, S. Gray, 'The value of dividend imputation tax credits in Australia', </w:t>
      </w:r>
      <w:r>
        <w:rPr>
          <w:rStyle w:val="AERtextitalic"/>
        </w:rPr>
        <w:t>Journal of financial economics</w:t>
      </w:r>
      <w:r>
        <w:t>, vol. 73, 2004, pp. 167</w:t>
      </w:r>
      <w:r w:rsidRPr="003C16EB">
        <w:t>–</w:t>
      </w:r>
      <w:r>
        <w:t>197.</w:t>
      </w:r>
    </w:p>
  </w:footnote>
  <w:footnote w:id="583">
    <w:p w:rsidR="005E1FC3" w:rsidRDefault="005E1FC3" w:rsidP="001D37D5">
      <w:pPr>
        <w:pStyle w:val="FootnoteText"/>
      </w:pPr>
      <w:r>
        <w:rPr>
          <w:rStyle w:val="FootnoteReference"/>
        </w:rPr>
        <w:footnoteRef/>
      </w:r>
      <w:r>
        <w:t xml:space="preserve"> </w:t>
      </w:r>
      <w:r>
        <w:tab/>
        <w:t xml:space="preserve">J. Cummings and A. Frino, 'Tax effects on the pricing of Australian stock index futures', </w:t>
      </w:r>
      <w:r w:rsidRPr="00C37255">
        <w:rPr>
          <w:rStyle w:val="AERtextitalic"/>
        </w:rPr>
        <w:t xml:space="preserve">Australian </w:t>
      </w:r>
      <w:r>
        <w:rPr>
          <w:rStyle w:val="AERtextitalic"/>
        </w:rPr>
        <w:t>j</w:t>
      </w:r>
      <w:r w:rsidRPr="00C37255">
        <w:rPr>
          <w:rStyle w:val="AERtextitalic"/>
        </w:rPr>
        <w:t xml:space="preserve">ournal of </w:t>
      </w:r>
      <w:r>
        <w:rPr>
          <w:rStyle w:val="AERtextitalic"/>
        </w:rPr>
        <w:t>m</w:t>
      </w:r>
      <w:r w:rsidRPr="00C37255">
        <w:rPr>
          <w:rStyle w:val="AERtextitalic"/>
        </w:rPr>
        <w:t>anagement</w:t>
      </w:r>
      <w:r>
        <w:t>, vol. 33(2), December 2008, pp. 391</w:t>
      </w:r>
      <w:r w:rsidRPr="00CE4FAF">
        <w:t>–</w:t>
      </w:r>
      <w:r>
        <w:t>406.</w:t>
      </w:r>
    </w:p>
  </w:footnote>
  <w:footnote w:id="584">
    <w:p w:rsidR="005E1FC3" w:rsidRDefault="005E1FC3" w:rsidP="001D37D5">
      <w:pPr>
        <w:pStyle w:val="FootnoteText"/>
      </w:pPr>
      <w:r>
        <w:rPr>
          <w:rStyle w:val="FootnoteReference"/>
        </w:rPr>
        <w:footnoteRef/>
      </w:r>
      <w:r>
        <w:t xml:space="preserve"> </w:t>
      </w:r>
      <w:r>
        <w:tab/>
        <w:t xml:space="preserve">NERA, </w:t>
      </w:r>
      <w:r w:rsidRPr="004A02F9">
        <w:rPr>
          <w:rStyle w:val="AERtextitalic"/>
        </w:rPr>
        <w:t>Imputation credits and equity prices and returns, A report for the Energy Networks Association</w:t>
      </w:r>
      <w:r>
        <w:t>, October 2013, p. 22.</w:t>
      </w:r>
    </w:p>
  </w:footnote>
  <w:footnote w:id="585">
    <w:p w:rsidR="005E1FC3" w:rsidRDefault="005E1FC3" w:rsidP="001D37D5">
      <w:pPr>
        <w:pStyle w:val="FootnoteText"/>
      </w:pPr>
      <w:r>
        <w:rPr>
          <w:rStyle w:val="FootnoteReference"/>
        </w:rPr>
        <w:footnoteRef/>
      </w:r>
      <w:r>
        <w:t xml:space="preserve"> </w:t>
      </w:r>
      <w:r>
        <w:tab/>
        <w:t xml:space="preserve">P. Lajbcygier and S. Wheatley, 'Imputation credits and equity returns', </w:t>
      </w:r>
      <w:r w:rsidRPr="00336C79">
        <w:rPr>
          <w:rStyle w:val="AERtextitalic"/>
        </w:rPr>
        <w:t>The economic record</w:t>
      </w:r>
      <w:r>
        <w:t>, vol. 88 (283), December 2012, p. 490.</w:t>
      </w:r>
    </w:p>
  </w:footnote>
  <w:footnote w:id="586">
    <w:p w:rsidR="005E1FC3" w:rsidRDefault="005E1FC3" w:rsidP="001D37D5">
      <w:pPr>
        <w:pStyle w:val="FootnoteText"/>
      </w:pPr>
      <w:r>
        <w:rPr>
          <w:rStyle w:val="FootnoteReference"/>
        </w:rPr>
        <w:footnoteRef/>
      </w:r>
      <w:r>
        <w:t xml:space="preserve"> </w:t>
      </w:r>
      <w:r>
        <w:tab/>
        <w:t xml:space="preserve">K. Siau, S. Sault and G. Warren, 'Are imputation credits capitalised into stock </w:t>
      </w:r>
      <w:r w:rsidRPr="00647825">
        <w:t xml:space="preserve">prices', </w:t>
      </w:r>
      <w:r w:rsidRPr="00647825">
        <w:rPr>
          <w:rStyle w:val="AERtextitalic"/>
        </w:rPr>
        <w:t>ANU working paper</w:t>
      </w:r>
      <w:r w:rsidRPr="00647825">
        <w:t>, 18 June</w:t>
      </w:r>
      <w:r>
        <w:t xml:space="preserve"> 2013, pp. 24 and 27.</w:t>
      </w:r>
    </w:p>
  </w:footnote>
  <w:footnote w:id="587">
    <w:p w:rsidR="005E1FC3" w:rsidRDefault="005E1FC3" w:rsidP="001D37D5">
      <w:pPr>
        <w:pStyle w:val="FootnoteText"/>
      </w:pPr>
      <w:r>
        <w:rPr>
          <w:rStyle w:val="FootnoteReference"/>
        </w:rPr>
        <w:footnoteRef/>
      </w:r>
      <w:r>
        <w:t xml:space="preserve"> </w:t>
      </w:r>
      <w:r>
        <w:tab/>
        <w:t xml:space="preserve">K. Siau, S. Sault and G. Warren, 'Are imputation credits capitalised into stock prices', </w:t>
      </w:r>
      <w:r>
        <w:rPr>
          <w:rStyle w:val="AERtextitalic"/>
        </w:rPr>
        <w:t>Accounting and Finance,</w:t>
      </w:r>
      <w:r>
        <w:t xml:space="preserve"> Vol. 55, 2015, pp. 241–277.</w:t>
      </w:r>
    </w:p>
  </w:footnote>
  <w:footnote w:id="588">
    <w:p w:rsidR="005E1FC3" w:rsidRDefault="005E1FC3" w:rsidP="001D37D5">
      <w:pPr>
        <w:pStyle w:val="FootnoteText"/>
      </w:pPr>
      <w:r>
        <w:rPr>
          <w:rStyle w:val="FootnoteReference"/>
        </w:rPr>
        <w:footnoteRef/>
      </w:r>
      <w:r>
        <w:t xml:space="preserve"> </w:t>
      </w:r>
      <w:r>
        <w:tab/>
        <w:t xml:space="preserve">NERA, </w:t>
      </w:r>
      <w:r>
        <w:rPr>
          <w:rStyle w:val="AERtextitalic"/>
        </w:rPr>
        <w:t>Do Imputation Credits Lower the Cost of Equity? Cross-Sectional Tests A report for United Energy</w:t>
      </w:r>
      <w:r>
        <w:t>, April 2015, pp. 21,23.</w:t>
      </w:r>
    </w:p>
  </w:footnote>
  <w:footnote w:id="589">
    <w:p w:rsidR="005E1FC3" w:rsidRDefault="005E1FC3" w:rsidP="001D37D5">
      <w:pPr>
        <w:pStyle w:val="FootnoteText"/>
      </w:pPr>
      <w:r>
        <w:rPr>
          <w:rStyle w:val="FootnoteReference"/>
        </w:rPr>
        <w:footnoteRef/>
      </w:r>
      <w:r>
        <w:t xml:space="preserve"> </w:t>
      </w:r>
      <w:r>
        <w:tab/>
        <w:t xml:space="preserve">H. Chu and G. Partington, 'The market valuation of cash dividends: The case of the CRA bonus issue, </w:t>
      </w:r>
      <w:r w:rsidRPr="00C37255">
        <w:rPr>
          <w:rStyle w:val="AERtextitalic"/>
        </w:rPr>
        <w:t>International review of finance</w:t>
      </w:r>
      <w:r>
        <w:t>, Vol. 8(2), June 2008, pp. 1</w:t>
      </w:r>
      <w:r w:rsidRPr="00CE4FAF">
        <w:t>–</w:t>
      </w:r>
      <w:r>
        <w:t>20.</w:t>
      </w:r>
    </w:p>
  </w:footnote>
  <w:footnote w:id="590">
    <w:p w:rsidR="005E1FC3" w:rsidRDefault="005E1FC3" w:rsidP="001D37D5">
      <w:pPr>
        <w:pStyle w:val="FootnoteText"/>
      </w:pPr>
      <w:r>
        <w:rPr>
          <w:rStyle w:val="FootnoteReference"/>
        </w:rPr>
        <w:footnoteRef/>
      </w:r>
      <w:r>
        <w:t xml:space="preserve"> </w:t>
      </w:r>
      <w:r>
        <w:tab/>
        <w:t xml:space="preserve">S. Walker and G. Partington, 'The value of dividends: Evidence from cum-dividend trading in the ex-dividend period', </w:t>
      </w:r>
      <w:r w:rsidRPr="007D37C7">
        <w:rPr>
          <w:rStyle w:val="AERtextitalic"/>
        </w:rPr>
        <w:t>Accounting and Finance</w:t>
      </w:r>
      <w:r>
        <w:t>, vol. 39(3), November 1999, p. 293.</w:t>
      </w:r>
    </w:p>
  </w:footnote>
  <w:footnote w:id="591">
    <w:p w:rsidR="005E1FC3" w:rsidRDefault="005E1FC3" w:rsidP="001D37D5">
      <w:pPr>
        <w:pStyle w:val="FootnoteText"/>
      </w:pPr>
      <w:r>
        <w:rPr>
          <w:rStyle w:val="FootnoteReference"/>
        </w:rPr>
        <w:footnoteRef/>
      </w:r>
      <w:r>
        <w:t xml:space="preserve"> </w:t>
      </w:r>
      <w:r>
        <w:tab/>
        <w:t>H. Chu and G. Partington</w:t>
      </w:r>
      <w:r w:rsidRPr="00623152">
        <w:t xml:space="preserve">, 'The value of dividends: evidence from a new method', </w:t>
      </w:r>
      <w:r w:rsidRPr="00623152">
        <w:rPr>
          <w:rStyle w:val="AERtextitalic"/>
        </w:rPr>
        <w:t>Paper presented at the Accounting Association of Australia and New Zealand Annual Conference, Wellington</w:t>
      </w:r>
      <w:r>
        <w:rPr>
          <w:rStyle w:val="AERtextitalic"/>
        </w:rPr>
        <w:t xml:space="preserve">, </w:t>
      </w:r>
      <w:r>
        <w:t>2001, p. 2.</w:t>
      </w:r>
    </w:p>
  </w:footnote>
  <w:footnote w:id="592">
    <w:p w:rsidR="005E1FC3" w:rsidRDefault="005E1FC3" w:rsidP="001D37D5">
      <w:pPr>
        <w:pStyle w:val="FootnoteText"/>
      </w:pPr>
      <w:r>
        <w:rPr>
          <w:rStyle w:val="FootnoteReference"/>
        </w:rPr>
        <w:footnoteRef/>
      </w:r>
      <w:r>
        <w:t xml:space="preserve"> </w:t>
      </w:r>
      <w:r>
        <w:tab/>
        <w:t xml:space="preserve">The earlier working paper, although substantively the same as the 2015 paper, remains referenced in this decision because this was the paper considered by us in making our decisions released in April and June 2015. </w:t>
      </w:r>
    </w:p>
  </w:footnote>
  <w:footnote w:id="593">
    <w:p w:rsidR="005E1FC3" w:rsidRDefault="005E1FC3" w:rsidP="001D37D5">
      <w:pPr>
        <w:pStyle w:val="FootnoteText"/>
      </w:pPr>
      <w:r>
        <w:rPr>
          <w:rStyle w:val="FootnoteReference"/>
        </w:rPr>
        <w:footnoteRef/>
      </w:r>
      <w:r>
        <w:t xml:space="preserve"> </w:t>
      </w:r>
      <w:r>
        <w:tab/>
        <w:t xml:space="preserve">NERA, </w:t>
      </w:r>
      <w:r>
        <w:rPr>
          <w:rStyle w:val="AERtextitalic"/>
        </w:rPr>
        <w:t>Do Imputation Credits Lower the Cost of Equity? Cross-Sectional Tests A report for United Energy</w:t>
      </w:r>
      <w:r>
        <w:t xml:space="preserve">, April 2015, p vii; </w:t>
      </w:r>
      <w:r w:rsidRPr="00582678">
        <w:t xml:space="preserve">M. Lally, </w:t>
      </w:r>
      <w:r w:rsidRPr="00582678">
        <w:rPr>
          <w:rStyle w:val="AERtextitalic"/>
        </w:rPr>
        <w:t>The estimation of gamma</w:t>
      </w:r>
      <w:r w:rsidRPr="00582678">
        <w:t>, 23 November 2013</w:t>
      </w:r>
      <w:r>
        <w:t>, p. 25.</w:t>
      </w:r>
    </w:p>
  </w:footnote>
  <w:footnote w:id="594">
    <w:p w:rsidR="005E1FC3" w:rsidRDefault="005E1FC3" w:rsidP="001D37D5">
      <w:pPr>
        <w:pStyle w:val="FootnoteText"/>
        <w:ind w:left="364" w:hanging="364"/>
      </w:pPr>
      <w:r>
        <w:rPr>
          <w:rStyle w:val="FootnoteReference"/>
        </w:rPr>
        <w:footnoteRef/>
      </w:r>
      <w:r>
        <w:t xml:space="preserve"> </w:t>
      </w:r>
      <w:r>
        <w:tab/>
        <w:t xml:space="preserve">NERA, </w:t>
      </w:r>
      <w:r>
        <w:rPr>
          <w:rStyle w:val="AERtextitalic"/>
        </w:rPr>
        <w:t>Do Imputation Credits Lower the Cost of Equity? Cross-Sectional Tests A report for United Energy</w:t>
      </w:r>
      <w:r>
        <w:t>, April 2015, p vii.</w:t>
      </w:r>
    </w:p>
  </w:footnote>
  <w:footnote w:id="595">
    <w:p w:rsidR="005E1FC3" w:rsidRDefault="005E1FC3" w:rsidP="001D37D5">
      <w:pPr>
        <w:pStyle w:val="FootnoteText"/>
      </w:pPr>
      <w:r>
        <w:rPr>
          <w:rStyle w:val="FootnoteReference"/>
        </w:rPr>
        <w:footnoteRef/>
      </w:r>
      <w:r>
        <w:t xml:space="preserve"> </w:t>
      </w:r>
      <w:r>
        <w:tab/>
        <w:t>Concerns around the reliability of the estimates of the return on equity from the Black CAPM are discussed in the rate of return attachment to this final decision.</w:t>
      </w:r>
    </w:p>
  </w:footnote>
  <w:footnote w:id="596">
    <w:p w:rsidR="005E1FC3" w:rsidRDefault="005E1FC3" w:rsidP="001D37D5">
      <w:pPr>
        <w:pStyle w:val="FootnoteText"/>
      </w:pPr>
      <w:r>
        <w:rPr>
          <w:rStyle w:val="FootnoteReference"/>
        </w:rPr>
        <w:footnoteRef/>
      </w:r>
      <w:r>
        <w:t xml:space="preserve"> </w:t>
      </w:r>
      <w:r>
        <w:tab/>
        <w:t xml:space="preserve">A. Ainsworth, G. Partington and G. Warren, </w:t>
      </w:r>
      <w:r w:rsidRPr="00814197">
        <w:rPr>
          <w:rStyle w:val="AERtextitalic"/>
        </w:rPr>
        <w:t>Do franking credits matter? Exploring the financial implications of dividend imputation</w:t>
      </w:r>
      <w:r>
        <w:t>, May 2015.</w:t>
      </w:r>
    </w:p>
  </w:footnote>
  <w:footnote w:id="597">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13; ActewAGL, </w:t>
      </w:r>
      <w:r w:rsidRPr="00AF5B33">
        <w:rPr>
          <w:rStyle w:val="AERtextitalic"/>
        </w:rPr>
        <w:t>Appendix 5.01 Detailed response to rate of return, gamma and inflation</w:t>
      </w:r>
      <w:r>
        <w:t xml:space="preserve">, January 2016, p. 117; AusNet Electricity Services, </w:t>
      </w:r>
      <w:r w:rsidRPr="00AF5B33">
        <w:rPr>
          <w:rStyle w:val="AERtextitalic"/>
        </w:rPr>
        <w:t>Revised Regulatory Proposal</w:t>
      </w:r>
      <w:r>
        <w:t xml:space="preserve">, January 2016, p. 7-85; United Energy, </w:t>
      </w:r>
      <w:r w:rsidRPr="00AF5B33">
        <w:rPr>
          <w:rStyle w:val="AERtextitalic"/>
        </w:rPr>
        <w:t>Response to AER Preliminary Determination Re: Rate of return and gamma</w:t>
      </w:r>
      <w:r>
        <w:t xml:space="preserve">, January 2016, p. 87; CitiPower, </w:t>
      </w:r>
      <w:r w:rsidRPr="00AF5B33">
        <w:rPr>
          <w:rStyle w:val="AERtextitalic"/>
        </w:rPr>
        <w:t>Revised Regulatory Proposal 2016-2020</w:t>
      </w:r>
      <w:r>
        <w:t xml:space="preserve">; January 2016, p. 365; Jemena Electricity Networks, </w:t>
      </w:r>
      <w:r w:rsidRPr="00AF5B33">
        <w:rPr>
          <w:rStyle w:val="AERtextitalic"/>
        </w:rPr>
        <w:t>Attachment 6-1 Rate of return, gamma, forecast inflation, and debt and equity raising costs</w:t>
      </w:r>
      <w:r>
        <w:t xml:space="preserve">, January 2016, p. 93; Powercor, </w:t>
      </w:r>
      <w:r w:rsidRPr="00AF5B33">
        <w:rPr>
          <w:rStyle w:val="AERtextitalic"/>
        </w:rPr>
        <w:t>Revised Regulatory Proposal 2016-2020</w:t>
      </w:r>
      <w:r>
        <w:t xml:space="preserve">, January 2016, p. 359; APNT, </w:t>
      </w:r>
      <w:r w:rsidRPr="00903ED1">
        <w:rPr>
          <w:rStyle w:val="AERtextitalic"/>
        </w:rPr>
        <w:t>Access Arrangement Revised Proposal to Draft Decision</w:t>
      </w:r>
      <w:r>
        <w:t>, January 2016, p. 93.</w:t>
      </w:r>
    </w:p>
  </w:footnote>
  <w:footnote w:id="598">
    <w:p w:rsidR="005E1FC3" w:rsidRDefault="005E1FC3" w:rsidP="001D37D5">
      <w:pPr>
        <w:pStyle w:val="FootnoteText"/>
      </w:pPr>
      <w:r>
        <w:rPr>
          <w:rStyle w:val="FootnoteReference"/>
        </w:rPr>
        <w:footnoteRef/>
      </w:r>
      <w:r>
        <w:t xml:space="preserve"> </w:t>
      </w:r>
      <w:r>
        <w:tab/>
        <w:t xml:space="preserve">SFG, </w:t>
      </w:r>
      <w:r>
        <w:rPr>
          <w:rStyle w:val="AERtextitalic"/>
        </w:rPr>
        <w:t>Estimating gamma for regulatory purposes</w:t>
      </w:r>
      <w:r>
        <w:t>, 6 February 2015, para. 79.</w:t>
      </w:r>
    </w:p>
  </w:footnote>
  <w:footnote w:id="599">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15.</w:t>
      </w:r>
    </w:p>
  </w:footnote>
  <w:footnote w:id="600">
    <w:p w:rsidR="005E1FC3" w:rsidRDefault="005E1FC3" w:rsidP="001D37D5">
      <w:pPr>
        <w:pStyle w:val="FootnoteText"/>
      </w:pPr>
      <w:r>
        <w:rPr>
          <w:rStyle w:val="FootnoteReference"/>
        </w:rPr>
        <w:footnoteRef/>
      </w:r>
      <w:r>
        <w:t xml:space="preserve"> </w:t>
      </w:r>
      <w:r>
        <w:tab/>
        <w:t xml:space="preserve">SFG, </w:t>
      </w:r>
      <w:r>
        <w:rPr>
          <w:rStyle w:val="AERtextitalic"/>
        </w:rPr>
        <w:t>Estimating gamma for regulatory purposes</w:t>
      </w:r>
      <w:r>
        <w:t xml:space="preserve">, 6 February 2015, para. 78; Frontier Economics, </w:t>
      </w:r>
      <w:r w:rsidRPr="00D14DE4">
        <w:rPr>
          <w:rStyle w:val="AERtextitalic"/>
        </w:rPr>
        <w:t>An appropriate regulatory estimate of gamma</w:t>
      </w:r>
      <w:r>
        <w:t>, June 2015, p. 36.</w:t>
      </w:r>
    </w:p>
  </w:footnote>
  <w:footnote w:id="601">
    <w:p w:rsidR="005E1FC3" w:rsidRDefault="005E1FC3" w:rsidP="001D37D5">
      <w:pPr>
        <w:pStyle w:val="FootnoteText"/>
      </w:pPr>
      <w:r>
        <w:rPr>
          <w:rStyle w:val="FootnoteReference"/>
        </w:rPr>
        <w:footnoteRef/>
      </w:r>
      <w:r>
        <w:t xml:space="preserve"> </w:t>
      </w:r>
      <w:r>
        <w:tab/>
        <w:t>SFG</w:t>
      </w:r>
      <w:r w:rsidRPr="007C38AD">
        <w:rPr>
          <w:rStyle w:val="AERtextitalic"/>
        </w:rPr>
        <w:t>, Equity beta</w:t>
      </w:r>
      <w:r>
        <w:t>, 12 May 2014, para. 15.</w:t>
      </w:r>
    </w:p>
  </w:footnote>
  <w:footnote w:id="602">
    <w:p w:rsidR="005E1FC3" w:rsidRDefault="005E1FC3" w:rsidP="001D37D5">
      <w:pPr>
        <w:pStyle w:val="FootnoteText"/>
      </w:pPr>
      <w:r>
        <w:rPr>
          <w:rStyle w:val="FootnoteReference"/>
        </w:rPr>
        <w:footnoteRef/>
      </w:r>
      <w:r>
        <w:t xml:space="preserve"> </w:t>
      </w:r>
      <w:r>
        <w:tab/>
        <w:t xml:space="preserve">SFG, </w:t>
      </w:r>
      <w:r>
        <w:rPr>
          <w:rStyle w:val="AERtextitalic"/>
        </w:rPr>
        <w:t>Estimating gamma for regulatory purposes</w:t>
      </w:r>
      <w:r>
        <w:t>, 6 February 2015, para. 52.</w:t>
      </w:r>
    </w:p>
  </w:footnote>
  <w:footnote w:id="603">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xml:space="preserve">, January 2016, p. 7; ActewAGL, </w:t>
      </w:r>
      <w:r w:rsidRPr="00AF5B33">
        <w:rPr>
          <w:rStyle w:val="AERtextitalic"/>
        </w:rPr>
        <w:t>Appendix 5.01 Detailed response to rate of return, gamma and inflation</w:t>
      </w:r>
      <w:r>
        <w:t xml:space="preserve">, January 2016, p. 116; AusNet Electricity Services, </w:t>
      </w:r>
      <w:r w:rsidRPr="00AF5B33">
        <w:rPr>
          <w:rStyle w:val="AERtextitalic"/>
        </w:rPr>
        <w:t>Revised Regulatory Proposal</w:t>
      </w:r>
      <w:r>
        <w:t xml:space="preserve">, January 2016, p. 7-85; United Energy, </w:t>
      </w:r>
      <w:r w:rsidRPr="00AF5B33">
        <w:rPr>
          <w:rStyle w:val="AERtextitalic"/>
        </w:rPr>
        <w:t>Response to AER Preliminary Determination Re: Rate of return and gamma</w:t>
      </w:r>
      <w:r>
        <w:t xml:space="preserve">, January 2016, p. 86; CitiPower, </w:t>
      </w:r>
      <w:r w:rsidRPr="00AF5B33">
        <w:rPr>
          <w:rStyle w:val="AERtextitalic"/>
        </w:rPr>
        <w:t>Revised Regulatory Proposal 2016-2020</w:t>
      </w:r>
      <w:r>
        <w:t xml:space="preserve">; January 2016, p. 364; Jemena Electricity Networks, </w:t>
      </w:r>
      <w:r w:rsidRPr="00AF5B33">
        <w:rPr>
          <w:rStyle w:val="AERtextitalic"/>
        </w:rPr>
        <w:t>Attachment 6-1 Rate of return, gamma, forecast inflation, and debt and equity raising costs</w:t>
      </w:r>
      <w:r>
        <w:t xml:space="preserve">, January 2016, p. 93; Powercor, </w:t>
      </w:r>
      <w:r w:rsidRPr="00AF5B33">
        <w:rPr>
          <w:rStyle w:val="AERtextitalic"/>
        </w:rPr>
        <w:t>Revised Regulatory Proposal 2016-2020</w:t>
      </w:r>
      <w:r>
        <w:t>, January 2016, p. 358.</w:t>
      </w:r>
    </w:p>
  </w:footnote>
  <w:footnote w:id="604">
    <w:p w:rsidR="005E1FC3" w:rsidRDefault="005E1FC3" w:rsidP="001D37D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5.</w:t>
      </w:r>
    </w:p>
  </w:footnote>
  <w:footnote w:id="605">
    <w:p w:rsidR="005E1FC3" w:rsidRDefault="005E1FC3" w:rsidP="001D37D5">
      <w:pPr>
        <w:pStyle w:val="FootnoteText"/>
      </w:pPr>
      <w:r>
        <w:rPr>
          <w:rStyle w:val="FootnoteReference"/>
        </w:rPr>
        <w:footnoteRef/>
      </w:r>
      <w:r>
        <w:t xml:space="preserve"> </w:t>
      </w:r>
      <w:r>
        <w:tab/>
        <w:t>In equation (2) in Elton and Gruber (1970) if tax on ordinary income and capital gains tax are the same (t</w:t>
      </w:r>
      <w:r w:rsidRPr="005764F6">
        <w:rPr>
          <w:rStyle w:val="AERsubscript"/>
        </w:rPr>
        <w:t>o</w:t>
      </w:r>
      <w:r>
        <w:t xml:space="preserve"> = t</w:t>
      </w:r>
      <w:r w:rsidRPr="005764F6">
        <w:rPr>
          <w:rStyle w:val="AERsubscript"/>
        </w:rPr>
        <w:t>c</w:t>
      </w:r>
      <w:r>
        <w:t>) then P</w:t>
      </w:r>
      <w:r w:rsidRPr="005764F6">
        <w:rPr>
          <w:rStyle w:val="AERsubscript"/>
        </w:rPr>
        <w:t>A</w:t>
      </w:r>
      <w:r>
        <w:t xml:space="preserve"> = P</w:t>
      </w:r>
      <w:r w:rsidRPr="005764F6">
        <w:rPr>
          <w:rStyle w:val="AERsubscript"/>
        </w:rPr>
        <w:t>B</w:t>
      </w:r>
      <w:r>
        <w:t xml:space="preserve"> + D. See: </w:t>
      </w:r>
      <w:r w:rsidRPr="00A47F4F">
        <w:t>Edwin J. Elton and Martin J. Gruber, 'Marginal Stockholder Tax Rates and the Clientele effect' The Review of Economics and Statistics, Vol. 52, No.1 (Feb 1970)</w:t>
      </w:r>
      <w:r>
        <w:t>, p</w:t>
      </w:r>
      <w:r w:rsidRPr="00A47F4F">
        <w:t>. 6</w:t>
      </w:r>
      <w:r>
        <w:t>9.</w:t>
      </w:r>
    </w:p>
  </w:footnote>
  <w:footnote w:id="606">
    <w:p w:rsidR="005E1FC3" w:rsidRDefault="005E1FC3" w:rsidP="001D37D5">
      <w:pPr>
        <w:pStyle w:val="FootnoteText"/>
      </w:pPr>
      <w:r>
        <w:rPr>
          <w:rStyle w:val="FootnoteReference"/>
        </w:rPr>
        <w:footnoteRef/>
      </w:r>
      <w:r>
        <w:t xml:space="preserve"> </w:t>
      </w:r>
      <w:r>
        <w:tab/>
        <w:t>Defined as 20 minus 0.6928.</w:t>
      </w:r>
    </w:p>
  </w:footnote>
  <w:footnote w:id="607">
    <w:p w:rsidR="005E1FC3" w:rsidRDefault="005E1FC3" w:rsidP="001D37D5">
      <w:pPr>
        <w:pStyle w:val="FootnoteText"/>
      </w:pPr>
      <w:r>
        <w:rPr>
          <w:rStyle w:val="FootnoteReference"/>
        </w:rPr>
        <w:footnoteRef/>
      </w:r>
      <w:r>
        <w:t xml:space="preserve"> </w:t>
      </w:r>
      <w:r>
        <w:tab/>
        <w:t>We also note distributed dividends are directly observable.</w:t>
      </w:r>
    </w:p>
  </w:footnote>
  <w:footnote w:id="608">
    <w:p w:rsidR="005E1FC3" w:rsidRDefault="005E1FC3" w:rsidP="001D37D5">
      <w:pPr>
        <w:pStyle w:val="FootnoteText"/>
      </w:pPr>
      <w:r>
        <w:rPr>
          <w:rStyle w:val="FootnoteReference"/>
        </w:rPr>
        <w:footnoteRef/>
      </w:r>
      <w:r>
        <w:t xml:space="preserve"> </w:t>
      </w:r>
      <w:r>
        <w:tab/>
        <w:t>Edwin J. Elton and Martin J. Gruber, 'Marginal Stockholder Tax Rates and the Clientele effect' The Review of Economics and Statistics, Vol. 52, No.1 (Feb 1970), pp. 68-74, pin point ref: 69.</w:t>
      </w:r>
    </w:p>
  </w:footnote>
  <w:footnote w:id="609">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24.</w:t>
      </w:r>
    </w:p>
  </w:footnote>
  <w:footnote w:id="610">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24.</w:t>
      </w:r>
    </w:p>
  </w:footnote>
  <w:footnote w:id="611">
    <w:p w:rsidR="005E1FC3" w:rsidRDefault="005E1FC3" w:rsidP="001D37D5">
      <w:pPr>
        <w:pStyle w:val="FootnoteText"/>
      </w:pPr>
      <w:r>
        <w:rPr>
          <w:rStyle w:val="FootnoteReference"/>
        </w:rPr>
        <w:footnoteRef/>
      </w:r>
      <w:r>
        <w:t xml:space="preserve"> </w:t>
      </w:r>
      <w:r>
        <w:tab/>
        <w:t>In practice super funds have a CGT discount of 0.33 and not 0.5. However, in order to not complicate the analysis we do not introduce an additional CGT discount rate.</w:t>
      </w:r>
    </w:p>
  </w:footnote>
  <w:footnote w:id="612">
    <w:p w:rsidR="005E1FC3" w:rsidRDefault="005E1FC3" w:rsidP="001D37D5">
      <w:pPr>
        <w:pStyle w:val="FootnoteText"/>
      </w:pPr>
      <w:r>
        <w:rPr>
          <w:rStyle w:val="FootnoteReference"/>
        </w:rPr>
        <w:footnoteRef/>
      </w:r>
      <w:r>
        <w:t xml:space="preserve"> </w:t>
      </w:r>
      <w:r>
        <w:tab/>
        <w:t>Edwin J. Elton and Martin J. Gruber, 'Marginal Stockholder Tax Rates and the Clientele effect' The Review of Economics and Statistics, Vol. 52, No.1 (Feb 1970), p. 6.</w:t>
      </w:r>
    </w:p>
  </w:footnote>
  <w:footnote w:id="613">
    <w:p w:rsidR="005E1FC3" w:rsidRPr="00F267EC" w:rsidRDefault="005E1FC3" w:rsidP="001D37D5">
      <w:pPr>
        <w:pStyle w:val="FootnoteText"/>
      </w:pPr>
      <w:r>
        <w:rPr>
          <w:rStyle w:val="FootnoteReference"/>
        </w:rPr>
        <w:footnoteRef/>
      </w:r>
      <w:r>
        <w:t xml:space="preserve"> </w:t>
      </w:r>
      <w:r>
        <w:tab/>
      </w:r>
      <w:r w:rsidRPr="005764F6">
        <w:rPr>
          <w:rStyle w:val="FootnoteReference"/>
          <w:vertAlign w:val="baseline"/>
        </w:rPr>
        <w:t>Ainsworth A, K Fong, D Gallagher, and G Partington (2015),’Institutional Trading around the ex-dividend day’, Australian Journal of Management, January, pp. 1-25.</w:t>
      </w:r>
      <w:r w:rsidRPr="00F267EC">
        <w:t xml:space="preserve"> </w:t>
      </w:r>
    </w:p>
    <w:p w:rsidR="005E1FC3" w:rsidRDefault="005E1FC3" w:rsidP="001D37D5">
      <w:pPr>
        <w:pStyle w:val="FootnoteText"/>
      </w:pPr>
    </w:p>
  </w:footnote>
  <w:footnote w:id="614">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January 2016, p. 13</w:t>
      </w:r>
      <w:r w:rsidRPr="00511278">
        <w:t xml:space="preserve">; ActewAGL, </w:t>
      </w:r>
      <w:r w:rsidRPr="00511278">
        <w:rPr>
          <w:rStyle w:val="AERtextitalic"/>
        </w:rPr>
        <w:t>Appendix 5.01 Detailed response to rate of return, gamma and inflation</w:t>
      </w:r>
      <w:r w:rsidRPr="00511278">
        <w:t>, January 2016</w:t>
      </w:r>
      <w:r>
        <w:t>, pp</w:t>
      </w:r>
      <w:r w:rsidRPr="00511278">
        <w:t>. </w:t>
      </w:r>
      <w:r>
        <w:t>117, 126-127</w:t>
      </w:r>
      <w:r w:rsidRPr="00511278">
        <w:t xml:space="preserve">; AusNet Electricity Services, </w:t>
      </w:r>
      <w:r w:rsidRPr="00511278">
        <w:rPr>
          <w:rStyle w:val="AERtextitalic"/>
        </w:rPr>
        <w:t>Revised Regulatory Proposal</w:t>
      </w:r>
      <w:r w:rsidRPr="00511278">
        <w:t xml:space="preserve">, January 2016, </w:t>
      </w:r>
      <w:r>
        <w:t>p</w:t>
      </w:r>
      <w:r w:rsidRPr="00511278">
        <w:t>p. </w:t>
      </w:r>
      <w:r>
        <w:t>7-86, 7-94</w:t>
      </w:r>
      <w:r w:rsidRPr="00511278">
        <w:t xml:space="preserve">; United Energy, </w:t>
      </w:r>
      <w:r w:rsidRPr="00511278">
        <w:rPr>
          <w:rStyle w:val="AERtextitalic"/>
        </w:rPr>
        <w:t>Response to AER Preliminary Determination Re: Rate of return and gamma</w:t>
      </w:r>
      <w:r w:rsidRPr="00511278">
        <w:t>, January 2016, p</w:t>
      </w:r>
      <w:r>
        <w:t>p</w:t>
      </w:r>
      <w:r w:rsidRPr="00511278">
        <w:t>. </w:t>
      </w:r>
      <w:r>
        <w:t>87, 95</w:t>
      </w:r>
      <w:r w:rsidRPr="00511278">
        <w:t xml:space="preserve">; CitiPower, </w:t>
      </w:r>
      <w:r w:rsidRPr="00511278">
        <w:rPr>
          <w:rStyle w:val="AERtextitalic"/>
        </w:rPr>
        <w:t>Revised Regulatory Proposal 2016-2020</w:t>
      </w:r>
      <w:r w:rsidRPr="00511278">
        <w:t>; January 2016, p</w:t>
      </w:r>
      <w:r>
        <w:t>p</w:t>
      </w:r>
      <w:r w:rsidRPr="00511278">
        <w:t>. </w:t>
      </w:r>
      <w:r>
        <w:t>365, 373-374</w:t>
      </w:r>
      <w:r w:rsidRPr="00511278">
        <w:t xml:space="preserve">; Jemena Electricity Networks, </w:t>
      </w:r>
      <w:r w:rsidRPr="00511278">
        <w:rPr>
          <w:rStyle w:val="AERtextitalic"/>
        </w:rPr>
        <w:t>Attachment 6-1 Rate of return, gamma, forecast inflation, and debt and equity raising costs</w:t>
      </w:r>
      <w:r w:rsidRPr="00511278">
        <w:t xml:space="preserve">, January 2016, </w:t>
      </w:r>
      <w:r>
        <w:t>pp</w:t>
      </w:r>
      <w:r w:rsidRPr="00511278">
        <w:t>. </w:t>
      </w:r>
      <w:r>
        <w:t>94, 102-103</w:t>
      </w:r>
      <w:r w:rsidRPr="00511278">
        <w:t xml:space="preserve">; Powercor, </w:t>
      </w:r>
      <w:r w:rsidRPr="00511278">
        <w:rPr>
          <w:rStyle w:val="AERtextitalic"/>
        </w:rPr>
        <w:t>Revised Regulatory Proposal 2016-2020</w:t>
      </w:r>
      <w:r w:rsidRPr="00511278">
        <w:t>, January 2016, p. </w:t>
      </w:r>
      <w:r>
        <w:t>359, 367-368</w:t>
      </w:r>
      <w:r w:rsidRPr="00511278">
        <w:t>.</w:t>
      </w:r>
    </w:p>
  </w:footnote>
  <w:footnote w:id="615">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January 2016, p. 13</w:t>
      </w:r>
      <w:r w:rsidRPr="00511278">
        <w:t xml:space="preserve">; ActewAGL, </w:t>
      </w:r>
      <w:r w:rsidRPr="00511278">
        <w:rPr>
          <w:rStyle w:val="AERtextitalic"/>
        </w:rPr>
        <w:t>Appendix 5.01 Detailed response to rate of return, gamma and inflation</w:t>
      </w:r>
      <w:r w:rsidRPr="00511278">
        <w:t>, January 2016</w:t>
      </w:r>
      <w:r>
        <w:t>, pp</w:t>
      </w:r>
      <w:r w:rsidRPr="00511278">
        <w:t>. </w:t>
      </w:r>
      <w:r>
        <w:t>117, 126-127</w:t>
      </w:r>
      <w:r w:rsidRPr="00511278">
        <w:t xml:space="preserve">; AusNet Electricity Services, </w:t>
      </w:r>
      <w:r w:rsidRPr="00511278">
        <w:rPr>
          <w:rStyle w:val="AERtextitalic"/>
        </w:rPr>
        <w:t>Revised Regulatory Proposal</w:t>
      </w:r>
      <w:r w:rsidRPr="00511278">
        <w:t xml:space="preserve">, January 2016, </w:t>
      </w:r>
      <w:r>
        <w:t>p</w:t>
      </w:r>
      <w:r w:rsidRPr="00511278">
        <w:t>p. </w:t>
      </w:r>
      <w:r>
        <w:t>7-86, 7-94</w:t>
      </w:r>
      <w:r w:rsidRPr="00511278">
        <w:t xml:space="preserve">; United Energy, </w:t>
      </w:r>
      <w:r w:rsidRPr="00511278">
        <w:rPr>
          <w:rStyle w:val="AERtextitalic"/>
        </w:rPr>
        <w:t>Response to AER Preliminary Determination Re: Rate of return and gamma</w:t>
      </w:r>
      <w:r w:rsidRPr="00511278">
        <w:t>, January 2016, p</w:t>
      </w:r>
      <w:r>
        <w:t>p</w:t>
      </w:r>
      <w:r w:rsidRPr="00511278">
        <w:t>. </w:t>
      </w:r>
      <w:r>
        <w:t>87, 95</w:t>
      </w:r>
      <w:r w:rsidRPr="00511278">
        <w:t xml:space="preserve">; CitiPower, </w:t>
      </w:r>
      <w:r w:rsidRPr="00511278">
        <w:rPr>
          <w:rStyle w:val="AERtextitalic"/>
        </w:rPr>
        <w:t>Revised Regulatory Proposal 2016-2020</w:t>
      </w:r>
      <w:r w:rsidRPr="00511278">
        <w:t>; January 2016, p</w:t>
      </w:r>
      <w:r>
        <w:t>p</w:t>
      </w:r>
      <w:r w:rsidRPr="00511278">
        <w:t>. </w:t>
      </w:r>
      <w:r>
        <w:t>365, 373-374</w:t>
      </w:r>
      <w:r w:rsidRPr="00511278">
        <w:t xml:space="preserve">; Jemena Electricity Networks, </w:t>
      </w:r>
      <w:r w:rsidRPr="00511278">
        <w:rPr>
          <w:rStyle w:val="AERtextitalic"/>
        </w:rPr>
        <w:t>Attachment 6-1 Rate of return, gamma, forecast inflation, and debt and equity raising costs</w:t>
      </w:r>
      <w:r w:rsidRPr="00511278">
        <w:t xml:space="preserve">, January 2016, </w:t>
      </w:r>
      <w:r>
        <w:t>pp</w:t>
      </w:r>
      <w:r w:rsidRPr="00511278">
        <w:t>. </w:t>
      </w:r>
      <w:r>
        <w:t>94, 102-103</w:t>
      </w:r>
      <w:r w:rsidRPr="00511278">
        <w:t xml:space="preserve">; Powercor, </w:t>
      </w:r>
      <w:r w:rsidRPr="00511278">
        <w:rPr>
          <w:rStyle w:val="AERtextitalic"/>
        </w:rPr>
        <w:t>Revised Regulatory Proposal 2016-2020</w:t>
      </w:r>
      <w:r w:rsidRPr="00511278">
        <w:t>, January 2016, p. </w:t>
      </w:r>
      <w:r>
        <w:t xml:space="preserve">359, 367-368; APNT, </w:t>
      </w:r>
      <w:r w:rsidRPr="00903ED1">
        <w:rPr>
          <w:rStyle w:val="AERtextitalic"/>
        </w:rPr>
        <w:t>Access Arrangement Revised Proposal to Draft Decision</w:t>
      </w:r>
      <w:r>
        <w:t>, January 2016, p. 94.</w:t>
      </w:r>
    </w:p>
  </w:footnote>
  <w:footnote w:id="616">
    <w:p w:rsidR="005E1FC3" w:rsidRDefault="005E1FC3" w:rsidP="001D37D5">
      <w:pPr>
        <w:pStyle w:val="FootnoteText"/>
      </w:pPr>
      <w:r>
        <w:rPr>
          <w:rStyle w:val="FootnoteReference"/>
        </w:rPr>
        <w:footnoteRef/>
      </w:r>
      <w:r>
        <w:t xml:space="preserve"> </w:t>
      </w:r>
      <w:r>
        <w:tab/>
        <w:t xml:space="preserve">SFG, </w:t>
      </w:r>
      <w:r>
        <w:rPr>
          <w:rStyle w:val="AERtextitalic"/>
        </w:rPr>
        <w:t>Estimating gamma for regulatory purposes</w:t>
      </w:r>
      <w:r>
        <w:t>, 6 February 2015, p</w:t>
      </w:r>
      <w:r w:rsidRPr="00D01050">
        <w:t>ara</w:t>
      </w:r>
      <w:r>
        <w:t>.</w:t>
      </w:r>
      <w:r w:rsidRPr="00D01050">
        <w:t xml:space="preserve"> 50</w:t>
      </w:r>
      <w:r>
        <w:t>.</w:t>
      </w:r>
    </w:p>
  </w:footnote>
  <w:footnote w:id="617">
    <w:p w:rsidR="005E1FC3" w:rsidRDefault="005E1FC3" w:rsidP="001D37D5">
      <w:pPr>
        <w:pStyle w:val="FootnoteText"/>
      </w:pPr>
      <w:r>
        <w:rPr>
          <w:rStyle w:val="FootnoteReference"/>
        </w:rPr>
        <w:footnoteRef/>
      </w:r>
      <w:r>
        <w:t xml:space="preserve"> </w:t>
      </w:r>
      <w:r>
        <w:tab/>
        <w:t xml:space="preserve">SFG, </w:t>
      </w:r>
      <w:r w:rsidRPr="00C014CC">
        <w:rPr>
          <w:rStyle w:val="AERtextitalic"/>
        </w:rPr>
        <w:t>An appropriate regulatory estimate of gamma</w:t>
      </w:r>
      <w:r>
        <w:t>, 21 May 2014, para. 65.</w:t>
      </w:r>
    </w:p>
  </w:footnote>
  <w:footnote w:id="618">
    <w:p w:rsidR="005E1FC3" w:rsidRDefault="005E1FC3" w:rsidP="001D37D5">
      <w:pPr>
        <w:pStyle w:val="FootnoteText"/>
      </w:pPr>
      <w:r>
        <w:rPr>
          <w:rStyle w:val="FootnoteReference"/>
        </w:rPr>
        <w:footnoteRef/>
      </w:r>
      <w:r>
        <w:t xml:space="preserve"> </w:t>
      </w:r>
      <w:r>
        <w:tab/>
      </w:r>
      <w:r w:rsidRPr="00712BC2">
        <w:t xml:space="preserve">M. Lally, </w:t>
      </w:r>
      <w:r>
        <w:rPr>
          <w:rStyle w:val="AERtextitalic"/>
        </w:rPr>
        <w:t>Gamma and the ACT Decision</w:t>
      </w:r>
      <w:r>
        <w:t>, May 2016, p. 24.</w:t>
      </w:r>
    </w:p>
  </w:footnote>
  <w:footnote w:id="619">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January 2016, pp. 13-16</w:t>
      </w:r>
      <w:r w:rsidRPr="00511278">
        <w:t xml:space="preserve">; ActewAGL, </w:t>
      </w:r>
      <w:r w:rsidRPr="00511278">
        <w:rPr>
          <w:rStyle w:val="AERtextitalic"/>
        </w:rPr>
        <w:t>Appendix 5.01 Detailed response to rate of return, gamma and inflation</w:t>
      </w:r>
      <w:r w:rsidRPr="00511278">
        <w:t>, January 2016</w:t>
      </w:r>
      <w:r>
        <w:t>, pp</w:t>
      </w:r>
      <w:r w:rsidRPr="00511278">
        <w:t>. </w:t>
      </w:r>
      <w:r>
        <w:t>117-118, 125-126</w:t>
      </w:r>
      <w:r w:rsidRPr="00511278">
        <w:t xml:space="preserve">; AusNet Electricity Services, </w:t>
      </w:r>
      <w:r w:rsidRPr="00511278">
        <w:rPr>
          <w:rStyle w:val="AERtextitalic"/>
        </w:rPr>
        <w:t>Revised Regulatory Proposal</w:t>
      </w:r>
      <w:r w:rsidRPr="00511278">
        <w:t>, January 2016, p</w:t>
      </w:r>
      <w:r>
        <w:t>p</w:t>
      </w:r>
      <w:r w:rsidRPr="00511278">
        <w:t>. </w:t>
      </w:r>
      <w:r>
        <w:t>7-86, 7-87, 7-93</w:t>
      </w:r>
      <w:r w:rsidRPr="00511278">
        <w:t xml:space="preserve">; United Energy, </w:t>
      </w:r>
      <w:r w:rsidRPr="00511278">
        <w:rPr>
          <w:rStyle w:val="AERtextitalic"/>
        </w:rPr>
        <w:t>Response to AER Preliminary Determination Re: Rate of return and gamma</w:t>
      </w:r>
      <w:r w:rsidRPr="00511278">
        <w:t>, January 2016, p</w:t>
      </w:r>
      <w:r>
        <w:t>p</w:t>
      </w:r>
      <w:r w:rsidRPr="00511278">
        <w:t>. </w:t>
      </w:r>
      <w:r>
        <w:t>87-88, 94</w:t>
      </w:r>
      <w:r w:rsidRPr="00511278">
        <w:t xml:space="preserve">; CitiPower, </w:t>
      </w:r>
      <w:r w:rsidRPr="00511278">
        <w:rPr>
          <w:rStyle w:val="AERtextitalic"/>
        </w:rPr>
        <w:t>Revised Regulatory Proposal 2016-2020</w:t>
      </w:r>
      <w:r w:rsidRPr="00511278">
        <w:t>; January 2016, p</w:t>
      </w:r>
      <w:r>
        <w:t>p</w:t>
      </w:r>
      <w:r w:rsidRPr="00511278">
        <w:t>. </w:t>
      </w:r>
      <w:r>
        <w:t>365-366, 372</w:t>
      </w:r>
      <w:r w:rsidRPr="00511278">
        <w:t xml:space="preserve">; Jemena Electricity Networks, </w:t>
      </w:r>
      <w:r w:rsidRPr="00511278">
        <w:rPr>
          <w:rStyle w:val="AERtextitalic"/>
        </w:rPr>
        <w:t>Attachment 6-1 Rate of return, gamma, forecast inflation, and debt and equity raising costs</w:t>
      </w:r>
      <w:r w:rsidRPr="00511278">
        <w:t xml:space="preserve">, January 2016, </w:t>
      </w:r>
      <w:r>
        <w:t>p</w:t>
      </w:r>
      <w:r w:rsidRPr="00511278">
        <w:t>p. </w:t>
      </w:r>
      <w:r>
        <w:t>94-95, 102</w:t>
      </w:r>
      <w:r w:rsidRPr="00511278">
        <w:t xml:space="preserve">; Powercor, </w:t>
      </w:r>
      <w:r w:rsidRPr="00511278">
        <w:rPr>
          <w:rStyle w:val="AERtextitalic"/>
        </w:rPr>
        <w:t>Revised Regulatory Proposal 2016-2020</w:t>
      </w:r>
      <w:r w:rsidRPr="00511278">
        <w:t xml:space="preserve">, January 2016, </w:t>
      </w:r>
      <w:r>
        <w:t>p</w:t>
      </w:r>
      <w:r w:rsidRPr="00511278">
        <w:t>p. </w:t>
      </w:r>
      <w:r>
        <w:t>359-360, 366.</w:t>
      </w:r>
    </w:p>
  </w:footnote>
  <w:footnote w:id="620">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January 2016, pp. 13-16</w:t>
      </w:r>
      <w:r w:rsidRPr="00511278">
        <w:t xml:space="preserve">; ActewAGL, </w:t>
      </w:r>
      <w:r w:rsidRPr="00511278">
        <w:rPr>
          <w:rStyle w:val="AERtextitalic"/>
        </w:rPr>
        <w:t>Appendix 5.01 Detailed response to rate of return, gamma and inflation</w:t>
      </w:r>
      <w:r>
        <w:t xml:space="preserve">, January 2016, </w:t>
      </w:r>
      <w:r w:rsidRPr="00511278">
        <w:t>p. </w:t>
      </w:r>
      <w:r>
        <w:t>117</w:t>
      </w:r>
      <w:r w:rsidRPr="00511278">
        <w:t xml:space="preserve">; AusNet Electricity Services, </w:t>
      </w:r>
      <w:r w:rsidRPr="00511278">
        <w:rPr>
          <w:rStyle w:val="AERtextitalic"/>
        </w:rPr>
        <w:t>Revised Regulatory Proposal</w:t>
      </w:r>
      <w:r w:rsidRPr="00511278">
        <w:t>, January 2016, p. </w:t>
      </w:r>
      <w:r>
        <w:t>7-86</w:t>
      </w:r>
      <w:r w:rsidRPr="00511278">
        <w:t xml:space="preserve">; United Energy, </w:t>
      </w:r>
      <w:r w:rsidRPr="00511278">
        <w:rPr>
          <w:rStyle w:val="AERtextitalic"/>
        </w:rPr>
        <w:t>Response to AER Preliminary Determination Re: Rate of return and gamma</w:t>
      </w:r>
      <w:r w:rsidRPr="00511278">
        <w:t>, January 2016, p. </w:t>
      </w:r>
      <w:r>
        <w:t>87</w:t>
      </w:r>
      <w:r w:rsidRPr="00511278">
        <w:t xml:space="preserve">; CitiPower, </w:t>
      </w:r>
      <w:r w:rsidRPr="00511278">
        <w:rPr>
          <w:rStyle w:val="AERtextitalic"/>
        </w:rPr>
        <w:t>Revised Regulatory Proposal 2016-2020</w:t>
      </w:r>
      <w:r w:rsidRPr="00511278">
        <w:t>; January 2016, p</w:t>
      </w:r>
      <w:r>
        <w:t>p</w:t>
      </w:r>
      <w:r w:rsidRPr="00511278">
        <w:t>. </w:t>
      </w:r>
      <w:r>
        <w:t>365-366</w:t>
      </w:r>
      <w:r w:rsidRPr="00511278">
        <w:t xml:space="preserve">; Jemena Electricity Networks, </w:t>
      </w:r>
      <w:r w:rsidRPr="00511278">
        <w:rPr>
          <w:rStyle w:val="AERtextitalic"/>
        </w:rPr>
        <w:t>Attachment 6-1 Rate of return, gamma, forecast inflation, and debt and equity raising costs</w:t>
      </w:r>
      <w:r w:rsidRPr="00511278">
        <w:t>, January 2016, p. </w:t>
      </w:r>
      <w:r>
        <w:t>94</w:t>
      </w:r>
      <w:r w:rsidRPr="00511278">
        <w:t xml:space="preserve">; Powercor, </w:t>
      </w:r>
      <w:r w:rsidRPr="00511278">
        <w:rPr>
          <w:rStyle w:val="AERtextitalic"/>
        </w:rPr>
        <w:t>Revised Regulatory Proposal 2016-2020</w:t>
      </w:r>
      <w:r w:rsidRPr="00511278">
        <w:t xml:space="preserve">, January 2016, </w:t>
      </w:r>
      <w:r>
        <w:t>p</w:t>
      </w:r>
      <w:r w:rsidRPr="00511278">
        <w:t>p. </w:t>
      </w:r>
      <w:r>
        <w:t>359-360</w:t>
      </w:r>
      <w:r w:rsidRPr="00511278">
        <w:t>.</w:t>
      </w:r>
    </w:p>
  </w:footnote>
  <w:footnote w:id="621">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January 2016, p. 20</w:t>
      </w:r>
      <w:r w:rsidRPr="00511278">
        <w:t xml:space="preserve">; ActewAGL, </w:t>
      </w:r>
      <w:r w:rsidRPr="00511278">
        <w:rPr>
          <w:rStyle w:val="AERtextitalic"/>
        </w:rPr>
        <w:t>Appendix 5.01 Detailed response to rate of return, gamma and inflation</w:t>
      </w:r>
      <w:r>
        <w:t xml:space="preserve">, January 2016, </w:t>
      </w:r>
      <w:r w:rsidRPr="00511278">
        <w:t>p. </w:t>
      </w:r>
      <w:r>
        <w:t>125</w:t>
      </w:r>
      <w:r w:rsidRPr="00511278">
        <w:t xml:space="preserve">; AusNet Electricity Services, </w:t>
      </w:r>
      <w:r w:rsidRPr="00511278">
        <w:rPr>
          <w:rStyle w:val="AERtextitalic"/>
        </w:rPr>
        <w:t>Revised Regulatory Proposal</w:t>
      </w:r>
      <w:r w:rsidRPr="00511278">
        <w:t>, January 2016, p. </w:t>
      </w:r>
      <w:r>
        <w:t>7-93</w:t>
      </w:r>
      <w:r w:rsidRPr="00511278">
        <w:t xml:space="preserve">; United Energy, </w:t>
      </w:r>
      <w:r w:rsidRPr="00511278">
        <w:rPr>
          <w:rStyle w:val="AERtextitalic"/>
        </w:rPr>
        <w:t>Response to AER Preliminary Determination Re: Rate of return and gamma</w:t>
      </w:r>
      <w:r w:rsidRPr="00511278">
        <w:t>, January 2016, p. </w:t>
      </w:r>
      <w:r>
        <w:t>94</w:t>
      </w:r>
      <w:r w:rsidRPr="00511278">
        <w:t xml:space="preserve">; CitiPower, </w:t>
      </w:r>
      <w:r w:rsidRPr="00511278">
        <w:rPr>
          <w:rStyle w:val="AERtextitalic"/>
        </w:rPr>
        <w:t>Revised Regulatory Proposal 2016-2020</w:t>
      </w:r>
      <w:r w:rsidRPr="00511278">
        <w:t>; January 2016, p. </w:t>
      </w:r>
      <w:r>
        <w:t>372</w:t>
      </w:r>
      <w:r w:rsidRPr="00511278">
        <w:t xml:space="preserve">; Jemena Electricity Networks, </w:t>
      </w:r>
      <w:r w:rsidRPr="00511278">
        <w:rPr>
          <w:rStyle w:val="AERtextitalic"/>
        </w:rPr>
        <w:t>Attachment 6-1 Rate of return, gamma, forecast inflation, and debt and equity raising costs</w:t>
      </w:r>
      <w:r w:rsidRPr="00511278">
        <w:t>, January 2016, p. </w:t>
      </w:r>
      <w:r>
        <w:t>101</w:t>
      </w:r>
      <w:r w:rsidRPr="00511278">
        <w:t xml:space="preserve">; Powercor, </w:t>
      </w:r>
      <w:r w:rsidRPr="00511278">
        <w:rPr>
          <w:rStyle w:val="AERtextitalic"/>
        </w:rPr>
        <w:t>Revised Regulatory Proposal 2016-2020</w:t>
      </w:r>
      <w:r w:rsidRPr="00511278">
        <w:t>, January 2016, p. </w:t>
      </w:r>
      <w:r>
        <w:t>366.</w:t>
      </w:r>
    </w:p>
  </w:footnote>
  <w:footnote w:id="622">
    <w:p w:rsidR="005E1FC3" w:rsidRDefault="005E1FC3" w:rsidP="001D37D5">
      <w:pPr>
        <w:pStyle w:val="FootnoteText"/>
      </w:pPr>
      <w:r>
        <w:rPr>
          <w:rStyle w:val="FootnoteReference"/>
        </w:rPr>
        <w:footnoteRef/>
      </w:r>
      <w:r>
        <w:t xml:space="preserve"> </w:t>
      </w:r>
      <w:r>
        <w:tab/>
      </w:r>
      <w:r w:rsidRPr="00F267EC">
        <w:t xml:space="preserve">Frontier Economics, </w:t>
      </w:r>
      <w:r w:rsidRPr="00F267EC">
        <w:rPr>
          <w:rStyle w:val="AERtextitalic"/>
        </w:rPr>
        <w:t>The appropriate use of tax statistics when estimating gamma</w:t>
      </w:r>
      <w:r w:rsidRPr="00F267EC">
        <w:t>, January 2016.</w:t>
      </w:r>
    </w:p>
  </w:footnote>
  <w:footnote w:id="623">
    <w:p w:rsidR="005E1FC3" w:rsidRDefault="005E1FC3" w:rsidP="001D37D5">
      <w:pPr>
        <w:pStyle w:val="FootnoteText"/>
      </w:pPr>
      <w:r>
        <w:rPr>
          <w:rStyle w:val="FootnoteReference"/>
        </w:rPr>
        <w:footnoteRef/>
      </w:r>
      <w:r>
        <w:t xml:space="preserve"> </w:t>
      </w:r>
      <w:r>
        <w:tab/>
      </w:r>
      <w:r w:rsidRPr="004D735C">
        <w:t xml:space="preserve">J. Handley, </w:t>
      </w:r>
      <w:r w:rsidRPr="008916E4">
        <w:rPr>
          <w:rStyle w:val="AERtextitalic"/>
        </w:rPr>
        <w:t>Report prepared for the Australian Energy Regulator: Advice on the value of imputation credits</w:t>
      </w:r>
      <w:r w:rsidRPr="004D735C">
        <w:t>, 29 September 201</w:t>
      </w:r>
      <w:r>
        <w:t xml:space="preserve">4, pp. 43–44; J. Handley, </w:t>
      </w:r>
      <w:r w:rsidRPr="00626887">
        <w:rPr>
          <w:rStyle w:val="AERtextitalic"/>
        </w:rPr>
        <w:t>Report prepared for the Australian Energy Regulator: Further advice on the value of imputation credits</w:t>
      </w:r>
      <w:r>
        <w:t xml:space="preserve">, 16 April 2015, p. 16; </w:t>
      </w:r>
      <w:r w:rsidRPr="00582678">
        <w:t xml:space="preserve">M. Lally, </w:t>
      </w:r>
      <w:r w:rsidRPr="00582678">
        <w:rPr>
          <w:rStyle w:val="AERtextitalic"/>
        </w:rPr>
        <w:t>The estimation of gamma</w:t>
      </w:r>
      <w:r w:rsidRPr="00582678">
        <w:t>, 23 November 2013</w:t>
      </w:r>
      <w:r>
        <w:t>, p. 21.</w:t>
      </w:r>
    </w:p>
  </w:footnote>
  <w:footnote w:id="624">
    <w:p w:rsidR="005E1FC3" w:rsidRDefault="005E1FC3" w:rsidP="001D37D5">
      <w:pPr>
        <w:pStyle w:val="FootnoteText"/>
      </w:pPr>
      <w:r>
        <w:rPr>
          <w:rStyle w:val="FootnoteReference"/>
        </w:rPr>
        <w:footnoteRef/>
      </w:r>
      <w:r>
        <w:t xml:space="preserve"> </w:t>
      </w:r>
      <w:r>
        <w:tab/>
        <w:t xml:space="preserve">ActewAGL, </w:t>
      </w:r>
      <w:r w:rsidRPr="000E181F">
        <w:rPr>
          <w:rStyle w:val="AERtextitalic"/>
        </w:rPr>
        <w:t>Detailed response to the AER's draft decision in relation to gamma</w:t>
      </w:r>
      <w:r>
        <w:t xml:space="preserve">, January 2015, p. 7; Ausgrid, </w:t>
      </w:r>
      <w:r w:rsidRPr="00D75F7A">
        <w:rPr>
          <w:rStyle w:val="AERtextitalic"/>
        </w:rPr>
        <w:t>Ausgrid's revised proposal on gamma</w:t>
      </w:r>
      <w:r>
        <w:t xml:space="preserve">, January 2015, p. 8; Directlink, </w:t>
      </w:r>
      <w:r w:rsidRPr="0000771B">
        <w:rPr>
          <w:rStyle w:val="AERtextitalic"/>
        </w:rPr>
        <w:t>Directlink submission on gamma (updated)</w:t>
      </w:r>
      <w:r>
        <w:t xml:space="preserve">, January 2015, p. 11; Endeavour Energy, </w:t>
      </w:r>
      <w:r w:rsidRPr="00DF3162">
        <w:rPr>
          <w:rStyle w:val="AERtextitalic"/>
        </w:rPr>
        <w:t>Endeavour Energy's response to the AER draft decision re gamma</w:t>
      </w:r>
      <w:r>
        <w:t xml:space="preserve">, January 2015, p. 8; Essential Energy, </w:t>
      </w:r>
      <w:r w:rsidRPr="000E181F">
        <w:rPr>
          <w:rStyle w:val="AERtextitalic"/>
        </w:rPr>
        <w:t>Essential's response to AER draft decision re gamma</w:t>
      </w:r>
      <w:r>
        <w:t xml:space="preserve">, January 2015, p. 8; and JGN, </w:t>
      </w:r>
      <w:r w:rsidRPr="000E181F">
        <w:rPr>
          <w:rStyle w:val="AERtextitalic"/>
        </w:rPr>
        <w:t>Gamma - response to the draft decision</w:t>
      </w:r>
      <w:r>
        <w:t>, February 2015, p. 10.</w:t>
      </w:r>
    </w:p>
  </w:footnote>
  <w:footnote w:id="625">
    <w:p w:rsidR="005E1FC3" w:rsidRDefault="005E1FC3" w:rsidP="001D37D5">
      <w:pPr>
        <w:pStyle w:val="FootnoteText"/>
      </w:pPr>
      <w:r>
        <w:rPr>
          <w:rStyle w:val="FootnoteReference"/>
        </w:rPr>
        <w:footnoteRef/>
      </w:r>
      <w:r>
        <w:t xml:space="preserve"> </w:t>
      </w:r>
      <w:r>
        <w:tab/>
        <w:t xml:space="preserve">SFG, </w:t>
      </w:r>
      <w:r>
        <w:rPr>
          <w:rStyle w:val="AERtextitalic"/>
        </w:rPr>
        <w:t>Estimating gamma for regulatory purposes</w:t>
      </w:r>
      <w:r>
        <w:t xml:space="preserve">, 6 February 2015, para. 185(c); Australian Gas Networks, </w:t>
      </w:r>
      <w:r>
        <w:rPr>
          <w:rStyle w:val="AERtextitalic"/>
        </w:rPr>
        <w:t>Attachment 11 Response to Draft Decision: Cost of Tax</w:t>
      </w:r>
      <w:r>
        <w:t>, January 2016, p. 16.</w:t>
      </w:r>
    </w:p>
  </w:footnote>
  <w:footnote w:id="626">
    <w:p w:rsidR="005E1FC3" w:rsidRDefault="005E1FC3" w:rsidP="001D37D5">
      <w:pPr>
        <w:pStyle w:val="FootnoteText"/>
      </w:pPr>
      <w:r>
        <w:rPr>
          <w:rStyle w:val="FootnoteReference"/>
        </w:rPr>
        <w:footnoteRef/>
      </w:r>
      <w:r>
        <w:t xml:space="preserve"> </w:t>
      </w:r>
      <w:r>
        <w:tab/>
      </w:r>
      <w:r w:rsidRPr="00582678">
        <w:t xml:space="preserve">M. Lally, </w:t>
      </w:r>
      <w:r w:rsidRPr="00582678">
        <w:rPr>
          <w:rStyle w:val="AERtextitalic"/>
        </w:rPr>
        <w:t>The estimation of gamma</w:t>
      </w:r>
      <w:r w:rsidRPr="00582678">
        <w:t>, 23 November 2013</w:t>
      </w:r>
      <w:r>
        <w:t>, p. 20.</w:t>
      </w:r>
    </w:p>
  </w:footnote>
  <w:footnote w:id="627">
    <w:p w:rsidR="005E1FC3" w:rsidRDefault="005E1FC3" w:rsidP="001D37D5">
      <w:pPr>
        <w:pStyle w:val="FootnoteText"/>
      </w:pPr>
      <w:r>
        <w:rPr>
          <w:rStyle w:val="FootnoteReference"/>
        </w:rPr>
        <w:footnoteRef/>
      </w:r>
      <w:r>
        <w:t xml:space="preserve"> </w:t>
      </w:r>
      <w:r>
        <w:tab/>
      </w:r>
      <w:r w:rsidRPr="00582678">
        <w:t xml:space="preserve">M. Lally, </w:t>
      </w:r>
      <w:r w:rsidRPr="00582678">
        <w:rPr>
          <w:rStyle w:val="AERtextitalic"/>
        </w:rPr>
        <w:t>The estimation of gamma</w:t>
      </w:r>
      <w:r w:rsidRPr="00582678">
        <w:t>, 23 November 2013</w:t>
      </w:r>
      <w:r>
        <w:t>, p. 26.</w:t>
      </w:r>
    </w:p>
  </w:footnote>
  <w:footnote w:id="628">
    <w:p w:rsidR="005E1FC3" w:rsidRDefault="005E1FC3" w:rsidP="001D37D5">
      <w:pPr>
        <w:pStyle w:val="FootnoteText"/>
      </w:pPr>
      <w:r>
        <w:rPr>
          <w:rStyle w:val="FootnoteReference"/>
        </w:rPr>
        <w:footnoteRef/>
      </w:r>
      <w:r>
        <w:t xml:space="preserve"> </w:t>
      </w:r>
      <w:r>
        <w:tab/>
      </w:r>
      <w:r w:rsidRPr="00582678">
        <w:t xml:space="preserve">M. Lally, </w:t>
      </w:r>
      <w:r w:rsidRPr="00582678">
        <w:rPr>
          <w:rStyle w:val="AERtextitalic"/>
        </w:rPr>
        <w:t>The estimation of gamma</w:t>
      </w:r>
      <w:r w:rsidRPr="00582678">
        <w:t>, 23 November 2013</w:t>
      </w:r>
      <w:r>
        <w:t>, p. 29.</w:t>
      </w:r>
    </w:p>
  </w:footnote>
  <w:footnote w:id="629">
    <w:p w:rsidR="005E1FC3" w:rsidRDefault="005E1FC3" w:rsidP="001D37D5">
      <w:pPr>
        <w:pStyle w:val="FootnoteText"/>
      </w:pPr>
      <w:r>
        <w:rPr>
          <w:rStyle w:val="FootnoteReference"/>
        </w:rPr>
        <w:footnoteRef/>
      </w:r>
      <w:r>
        <w:t xml:space="preserve"> </w:t>
      </w:r>
      <w:r>
        <w:tab/>
      </w:r>
      <w:r w:rsidRPr="004D735C">
        <w:t xml:space="preserve">J. Handley, </w:t>
      </w:r>
      <w:r w:rsidRPr="008916E4">
        <w:rPr>
          <w:rStyle w:val="AERtextitalic"/>
        </w:rPr>
        <w:t>Report prepared for the Australian Energy Regulator: Advice on the value of imputation credits</w:t>
      </w:r>
      <w:r w:rsidRPr="004D735C">
        <w:t>, 29 September 201</w:t>
      </w:r>
      <w:r>
        <w:t>4, p. 44.</w:t>
      </w:r>
    </w:p>
  </w:footnote>
  <w:footnote w:id="630">
    <w:p w:rsidR="005E1FC3" w:rsidRDefault="005E1FC3" w:rsidP="001D37D5">
      <w:pPr>
        <w:pStyle w:val="FootnoteText"/>
      </w:pPr>
      <w:r>
        <w:rPr>
          <w:rStyle w:val="FootnoteReference"/>
        </w:rPr>
        <w:footnoteRef/>
      </w:r>
      <w:r>
        <w:t xml:space="preserve"> </w:t>
      </w:r>
      <w:r>
        <w:tab/>
        <w:t xml:space="preserve">J. Handley, </w:t>
      </w:r>
      <w:r w:rsidRPr="00626887">
        <w:rPr>
          <w:rStyle w:val="AERtextitalic"/>
        </w:rPr>
        <w:t>Report prepared for the Australian Energy Regulator: Further advice on the value of imputation credits</w:t>
      </w:r>
      <w:r>
        <w:t>, 16 April 2015, p. 18.</w:t>
      </w:r>
    </w:p>
  </w:footnote>
  <w:footnote w:id="631">
    <w:p w:rsidR="005E1FC3" w:rsidRDefault="005E1FC3" w:rsidP="001D37D5">
      <w:pPr>
        <w:pStyle w:val="FootnoteText"/>
      </w:pPr>
      <w:r>
        <w:rPr>
          <w:rStyle w:val="FootnoteReference"/>
        </w:rPr>
        <w:footnoteRef/>
      </w:r>
      <w:r>
        <w:t xml:space="preserve"> </w:t>
      </w:r>
      <w:r>
        <w:tab/>
        <w:t xml:space="preserve">SA Centre for Economic Studies (2015), </w:t>
      </w:r>
      <w:r>
        <w:rPr>
          <w:rStyle w:val="AERtextitalic"/>
        </w:rPr>
        <w:t>Independent e</w:t>
      </w:r>
      <w:r w:rsidRPr="00253C46">
        <w:rPr>
          <w:rStyle w:val="AERtextitalic"/>
        </w:rPr>
        <w:t>stimate of the WACC for SA Power Networks 2015 to 2020</w:t>
      </w:r>
      <w:r>
        <w:rPr>
          <w:rStyle w:val="AERtextitalic"/>
        </w:rPr>
        <w:t xml:space="preserve">: </w:t>
      </w:r>
      <w:r w:rsidRPr="00EB47DF">
        <w:rPr>
          <w:rStyle w:val="AERtextitalic"/>
        </w:rPr>
        <w:t>Report commissioned by the</w:t>
      </w:r>
      <w:r>
        <w:rPr>
          <w:rStyle w:val="AERtextitalic"/>
        </w:rPr>
        <w:t xml:space="preserve"> SA</w:t>
      </w:r>
      <w:r w:rsidRPr="00EB47DF">
        <w:rPr>
          <w:rStyle w:val="AERtextitalic"/>
        </w:rPr>
        <w:t xml:space="preserve"> Council of Social Services</w:t>
      </w:r>
      <w:r>
        <w:t>, January 2015, p. 17.</w:t>
      </w:r>
    </w:p>
  </w:footnote>
  <w:footnote w:id="632">
    <w:p w:rsidR="005E1FC3" w:rsidRDefault="005E1FC3" w:rsidP="001D37D5">
      <w:pPr>
        <w:pStyle w:val="FootnoteText"/>
      </w:pPr>
      <w:r>
        <w:rPr>
          <w:rStyle w:val="FootnoteReference"/>
        </w:rPr>
        <w:footnoteRef/>
      </w:r>
      <w:r>
        <w:t xml:space="preserve"> </w:t>
      </w:r>
      <w:r>
        <w:tab/>
      </w:r>
      <w:r w:rsidRPr="00B04480">
        <w:t xml:space="preserve">SFG, </w:t>
      </w:r>
      <w:r w:rsidRPr="00B04480">
        <w:rPr>
          <w:rStyle w:val="AERtextitalic"/>
        </w:rPr>
        <w:t>Dividend drop-off estimate of theta, Final report, Re: Application by Energex Limited (No 2) [2010] ACompT 7,</w:t>
      </w:r>
      <w:r w:rsidRPr="00B04480">
        <w:t xml:space="preserve"> 21 March 2011</w:t>
      </w:r>
      <w:r>
        <w:t xml:space="preserve">; </w:t>
      </w:r>
      <w:r w:rsidRPr="00B04480">
        <w:t xml:space="preserve">SFG, </w:t>
      </w:r>
      <w:r w:rsidRPr="00B04480">
        <w:rPr>
          <w:rStyle w:val="AERtextitalic"/>
        </w:rPr>
        <w:t>Updated dividend drop-off estimate of theta: Report for the Energy Networks Association</w:t>
      </w:r>
      <w:r w:rsidRPr="00B04480">
        <w:t>, 7 June 2013.</w:t>
      </w:r>
      <w:r>
        <w:t xml:space="preserve"> </w:t>
      </w:r>
    </w:p>
  </w:footnote>
  <w:footnote w:id="633">
    <w:p w:rsidR="005E1FC3" w:rsidRDefault="005E1FC3" w:rsidP="001D37D5">
      <w:pPr>
        <w:pStyle w:val="FootnoteText"/>
      </w:pPr>
      <w:r>
        <w:rPr>
          <w:rStyle w:val="FootnoteReference"/>
        </w:rPr>
        <w:footnoteRef/>
      </w:r>
      <w:r>
        <w:t xml:space="preserve"> </w:t>
      </w:r>
      <w:r>
        <w:tab/>
        <w:t xml:space="preserve">Australian Gas Networks, </w:t>
      </w:r>
      <w:r>
        <w:rPr>
          <w:rStyle w:val="AERtextitalic"/>
        </w:rPr>
        <w:t>Attachment 11 Response to Draft Decision: Cost of Tax</w:t>
      </w:r>
      <w:r>
        <w:t>, January 2016, p. 16</w:t>
      </w:r>
      <w:r w:rsidRPr="00511278">
        <w:t xml:space="preserve">; ActewAGL, </w:t>
      </w:r>
      <w:r w:rsidRPr="00511278">
        <w:rPr>
          <w:rStyle w:val="AERtextitalic"/>
        </w:rPr>
        <w:t>Appendix 5.01 Detailed response to rate of return, gamma and inflation</w:t>
      </w:r>
      <w:r>
        <w:t xml:space="preserve">, January 2016, </w:t>
      </w:r>
      <w:r w:rsidRPr="00511278">
        <w:t>p. </w:t>
      </w:r>
      <w:r>
        <w:t>120</w:t>
      </w:r>
      <w:r w:rsidRPr="00511278">
        <w:t xml:space="preserve">; AusNet Electricity Services, </w:t>
      </w:r>
      <w:r w:rsidRPr="00511278">
        <w:rPr>
          <w:rStyle w:val="AERtextitalic"/>
        </w:rPr>
        <w:t>Revised Regulatory Proposal</w:t>
      </w:r>
      <w:r w:rsidRPr="00511278">
        <w:t>, January 2016, p. </w:t>
      </w:r>
      <w:r>
        <w:t>7-89</w:t>
      </w:r>
      <w:r w:rsidRPr="00511278">
        <w:t xml:space="preserve">; United Energy, </w:t>
      </w:r>
      <w:r w:rsidRPr="00511278">
        <w:rPr>
          <w:rStyle w:val="AERtextitalic"/>
        </w:rPr>
        <w:t>Response to AER Preliminary Determination Re: Rate of return and gamma</w:t>
      </w:r>
      <w:r w:rsidRPr="00511278">
        <w:t>, January 2016, p. </w:t>
      </w:r>
      <w:r>
        <w:t>90</w:t>
      </w:r>
      <w:r w:rsidRPr="00511278">
        <w:t xml:space="preserve">; CitiPower, </w:t>
      </w:r>
      <w:r w:rsidRPr="00511278">
        <w:rPr>
          <w:rStyle w:val="AERtextitalic"/>
        </w:rPr>
        <w:t>Revised Regulatory Proposal 2016-2020</w:t>
      </w:r>
      <w:r w:rsidRPr="00511278">
        <w:t>; January 2016, p. </w:t>
      </w:r>
      <w:r>
        <w:t>368</w:t>
      </w:r>
      <w:r w:rsidRPr="00511278">
        <w:t xml:space="preserve">; Jemena Electricity Networks, </w:t>
      </w:r>
      <w:r w:rsidRPr="00511278">
        <w:rPr>
          <w:rStyle w:val="AERtextitalic"/>
        </w:rPr>
        <w:t>Attachment 6-1 Rate of return, gamma, forecast inflation, and debt and equity raising costs</w:t>
      </w:r>
      <w:r w:rsidRPr="00511278">
        <w:t>, January 2016, p. </w:t>
      </w:r>
      <w:r>
        <w:t>97</w:t>
      </w:r>
      <w:r w:rsidRPr="00511278">
        <w:t xml:space="preserve">; Powercor, </w:t>
      </w:r>
      <w:r w:rsidRPr="00511278">
        <w:rPr>
          <w:rStyle w:val="AERtextitalic"/>
        </w:rPr>
        <w:t>Revised Regulatory Proposal 2016-2020</w:t>
      </w:r>
      <w:r w:rsidRPr="00511278">
        <w:t>, January 2016, p. </w:t>
      </w:r>
      <w:r>
        <w:t>362.</w:t>
      </w:r>
    </w:p>
  </w:footnote>
  <w:footnote w:id="634">
    <w:p w:rsidR="005E1FC3" w:rsidRDefault="005E1FC3" w:rsidP="001D37D5">
      <w:pPr>
        <w:pStyle w:val="FootnoteText"/>
      </w:pPr>
      <w:r>
        <w:rPr>
          <w:rStyle w:val="FootnoteReference"/>
        </w:rPr>
        <w:footnoteRef/>
      </w:r>
      <w:r>
        <w:t xml:space="preserve"> </w:t>
      </w:r>
      <w:r>
        <w:tab/>
      </w:r>
      <w:r w:rsidRPr="00B04480">
        <w:t xml:space="preserve">SFG, </w:t>
      </w:r>
      <w:r w:rsidRPr="00B04480">
        <w:rPr>
          <w:rStyle w:val="AERtextitalic"/>
        </w:rPr>
        <w:t>Dividend drop-off estimate of theta, Final report, Re: Application by Energex Limited (No 2) [2010] ACompT 7,</w:t>
      </w:r>
      <w:r w:rsidRPr="00B04480">
        <w:t xml:space="preserve"> 21 March 2011</w:t>
      </w:r>
      <w:r>
        <w:t xml:space="preserve">; </w:t>
      </w:r>
      <w:r w:rsidRPr="00B04480">
        <w:t xml:space="preserve">Australian Competition Tribunal, </w:t>
      </w:r>
      <w:r w:rsidRPr="00B04480">
        <w:rPr>
          <w:rStyle w:val="AERtextitalic"/>
        </w:rPr>
        <w:t>Application by Energex Limited (Gamma) (No 5) [2011] ACompT 9</w:t>
      </w:r>
      <w:r w:rsidRPr="00B04480">
        <w:t>, May 2011</w:t>
      </w:r>
      <w:r>
        <w:t xml:space="preserve">, para. 38; </w:t>
      </w:r>
      <w:r w:rsidRPr="00B04480">
        <w:t xml:space="preserve">SFG, </w:t>
      </w:r>
      <w:r w:rsidRPr="00B04480">
        <w:rPr>
          <w:rStyle w:val="AERtextitalic"/>
        </w:rPr>
        <w:t>Updated dividend drop-off estimate of theta: Report for the Energy Networks Association</w:t>
      </w:r>
      <w:r w:rsidRPr="00B04480">
        <w:t>, 7 June 2013.</w:t>
      </w:r>
    </w:p>
  </w:footnote>
  <w:footnote w:id="635">
    <w:p w:rsidR="005E1FC3" w:rsidRDefault="005E1FC3" w:rsidP="001D37D5">
      <w:pPr>
        <w:pStyle w:val="FootnoteText"/>
      </w:pPr>
      <w:r>
        <w:rPr>
          <w:rStyle w:val="FootnoteReference"/>
        </w:rPr>
        <w:footnoteRef/>
      </w:r>
      <w:r>
        <w:t xml:space="preserve"> </w:t>
      </w:r>
      <w:r>
        <w:tab/>
      </w:r>
      <w:r w:rsidRPr="006C192F">
        <w:t xml:space="preserve">D. Cannavan, F. Finn, S. Gray, 'The value of dividend imputation tax credits in Australia', </w:t>
      </w:r>
      <w:r w:rsidRPr="006C192F">
        <w:rPr>
          <w:rStyle w:val="AERtextitalic"/>
        </w:rPr>
        <w:t>Journal of financial economics</w:t>
      </w:r>
      <w:r>
        <w:t>, vol. 73, 2004, p. 175.</w:t>
      </w:r>
    </w:p>
  </w:footnote>
  <w:footnote w:id="636">
    <w:p w:rsidR="005E1FC3" w:rsidRDefault="005E1FC3" w:rsidP="001D37D5">
      <w:pPr>
        <w:pStyle w:val="FootnoteText"/>
      </w:pPr>
      <w:r>
        <w:rPr>
          <w:rStyle w:val="FootnoteReference"/>
        </w:rPr>
        <w:footnoteRef/>
      </w:r>
      <w:r>
        <w:t xml:space="preserve"> </w:t>
      </w:r>
      <w:r>
        <w:tab/>
      </w:r>
      <w:r w:rsidRPr="006C192F">
        <w:t xml:space="preserve">K. Siau, S. Sault and G. Warren, 'Are imputation credits capitalised into stock prices', </w:t>
      </w:r>
      <w:r w:rsidRPr="006C192F">
        <w:rPr>
          <w:rStyle w:val="AERtextitalic"/>
        </w:rPr>
        <w:t>ANU working paper</w:t>
      </w:r>
      <w:r w:rsidRPr="006C192F">
        <w:t>, 18 June 2013, p. 2 and pp. 8–9</w:t>
      </w:r>
      <w:r>
        <w:t>.</w:t>
      </w:r>
    </w:p>
  </w:footnote>
  <w:footnote w:id="637">
    <w:p w:rsidR="005E1FC3" w:rsidRDefault="005E1FC3" w:rsidP="001D37D5">
      <w:pPr>
        <w:pStyle w:val="FootnoteText"/>
      </w:pPr>
      <w:r>
        <w:rPr>
          <w:rStyle w:val="FootnoteReference"/>
        </w:rPr>
        <w:footnoteRef/>
      </w:r>
      <w:r>
        <w:t xml:space="preserve"> </w:t>
      </w:r>
      <w:r>
        <w:tab/>
      </w:r>
      <w:r w:rsidRPr="00BE4458">
        <w:t xml:space="preserve">M. McKenzie and G. Partington, </w:t>
      </w:r>
      <w:r w:rsidRPr="00BE4458">
        <w:rPr>
          <w:rStyle w:val="AERtextitalic"/>
        </w:rPr>
        <w:t>Report to the Queensland Resources Council: Review of Aurizon Network’s draft access undertaking</w:t>
      </w:r>
      <w:r>
        <w:t>, 5 October 2013,</w:t>
      </w:r>
      <w:r w:rsidRPr="00BE4458">
        <w:t xml:space="preserve"> </w:t>
      </w:r>
      <w:r>
        <w:t>pp. 33</w:t>
      </w:r>
      <w:r w:rsidRPr="00BE4458">
        <w:t>–</w:t>
      </w:r>
      <w:r>
        <w:t>34.</w:t>
      </w:r>
    </w:p>
  </w:footnote>
  <w:footnote w:id="638">
    <w:p w:rsidR="005E1FC3" w:rsidRDefault="005E1FC3" w:rsidP="001D37D5">
      <w:pPr>
        <w:pStyle w:val="FootnoteText"/>
      </w:pPr>
      <w:r>
        <w:rPr>
          <w:rStyle w:val="FootnoteReference"/>
        </w:rPr>
        <w:footnoteRef/>
      </w:r>
      <w:r>
        <w:t xml:space="preserve"> </w:t>
      </w:r>
      <w:r>
        <w:tab/>
      </w:r>
      <w:r w:rsidRPr="002015C5">
        <w:t xml:space="preserve">M. Lally, </w:t>
      </w:r>
      <w:r w:rsidRPr="002015C5">
        <w:rPr>
          <w:rStyle w:val="AERtextitalic"/>
        </w:rPr>
        <w:t>The estimation of gamma</w:t>
      </w:r>
      <w:r>
        <w:t>, 23 November 2013, p. 20.</w:t>
      </w:r>
    </w:p>
  </w:footnote>
  <w:footnote w:id="639">
    <w:p w:rsidR="005E1FC3" w:rsidRDefault="005E1FC3" w:rsidP="001D37D5">
      <w:pPr>
        <w:pStyle w:val="FootnoteText"/>
      </w:pPr>
      <w:r>
        <w:rPr>
          <w:rStyle w:val="FootnoteReference"/>
        </w:rPr>
        <w:footnoteRef/>
      </w:r>
      <w:r>
        <w:t xml:space="preserve"> </w:t>
      </w:r>
      <w:r>
        <w:tab/>
      </w:r>
      <w:r w:rsidRPr="00D24127">
        <w:t xml:space="preserve">J. Handley, </w:t>
      </w:r>
      <w:r w:rsidRPr="00D24127">
        <w:rPr>
          <w:rStyle w:val="AERtextitalic"/>
        </w:rPr>
        <w:t>Report prepared for the Australian Energy Regulator: Advice on the value of imputation credits</w:t>
      </w:r>
      <w:r w:rsidRPr="00D24127">
        <w:t>, 29 September 2014</w:t>
      </w:r>
      <w:r>
        <w:t>, p. 44.</w:t>
      </w:r>
    </w:p>
  </w:footnote>
  <w:footnote w:id="640">
    <w:p w:rsidR="005E1FC3" w:rsidRDefault="005E1FC3" w:rsidP="001D37D5">
      <w:pPr>
        <w:pStyle w:val="FootnoteText"/>
      </w:pPr>
      <w:r>
        <w:rPr>
          <w:rStyle w:val="FootnoteReference"/>
        </w:rPr>
        <w:footnoteRef/>
      </w:r>
      <w:r>
        <w:t xml:space="preserve"> </w:t>
      </w:r>
      <w:r>
        <w:tab/>
        <w:t xml:space="preserve">SA Centre for Economic Studies (2015), </w:t>
      </w:r>
      <w:r>
        <w:rPr>
          <w:rStyle w:val="AERtextitalic"/>
        </w:rPr>
        <w:t>Independent e</w:t>
      </w:r>
      <w:r w:rsidRPr="00253C46">
        <w:rPr>
          <w:rStyle w:val="AERtextitalic"/>
        </w:rPr>
        <w:t>stimate of the WACC for SA Power Networks 2015 to 2020</w:t>
      </w:r>
      <w:r>
        <w:rPr>
          <w:rStyle w:val="AERtextitalic"/>
        </w:rPr>
        <w:t xml:space="preserve">: </w:t>
      </w:r>
      <w:r w:rsidRPr="00EB47DF">
        <w:rPr>
          <w:rStyle w:val="AERtextitalic"/>
        </w:rPr>
        <w:t>Report commissioned by the</w:t>
      </w:r>
      <w:r>
        <w:rPr>
          <w:rStyle w:val="AERtextitalic"/>
        </w:rPr>
        <w:t xml:space="preserve"> SA</w:t>
      </w:r>
      <w:r w:rsidRPr="00EB47DF">
        <w:rPr>
          <w:rStyle w:val="AERtextitalic"/>
        </w:rPr>
        <w:t xml:space="preserve"> Council of Social Services</w:t>
      </w:r>
      <w:r>
        <w:t>, January 2015, pp. 16–17.</w:t>
      </w:r>
    </w:p>
  </w:footnote>
  <w:footnote w:id="641">
    <w:p w:rsidR="005E1FC3" w:rsidRDefault="005E1FC3" w:rsidP="001D37D5">
      <w:pPr>
        <w:pStyle w:val="FootnoteText"/>
      </w:pPr>
      <w:r>
        <w:rPr>
          <w:rStyle w:val="FootnoteReference"/>
        </w:rPr>
        <w:footnoteRef/>
      </w:r>
      <w:r>
        <w:t xml:space="preserve"> </w:t>
      </w:r>
      <w:r>
        <w:tab/>
      </w:r>
      <w:r w:rsidRPr="00A403E6">
        <w:t xml:space="preserve">Queensland Competition Authority, </w:t>
      </w:r>
      <w:r w:rsidRPr="00A403E6">
        <w:rPr>
          <w:rStyle w:val="AERtextitalic"/>
        </w:rPr>
        <w:t>Cost of capital: Market parameters</w:t>
      </w:r>
      <w:r>
        <w:t>, August 2014,</w:t>
      </w:r>
      <w:r w:rsidRPr="00A403E6">
        <w:t xml:space="preserve"> </w:t>
      </w:r>
      <w:r>
        <w:t>pp. 27</w:t>
      </w:r>
      <w:r w:rsidRPr="00A403E6">
        <w:t>–</w:t>
      </w:r>
      <w:r>
        <w:t>28.</w:t>
      </w:r>
    </w:p>
  </w:footnote>
  <w:footnote w:id="642">
    <w:p w:rsidR="005E1FC3" w:rsidRDefault="005E1FC3" w:rsidP="001D37D5">
      <w:pPr>
        <w:pStyle w:val="FootnoteText"/>
      </w:pPr>
      <w:r>
        <w:rPr>
          <w:rStyle w:val="FootnoteReference"/>
        </w:rPr>
        <w:footnoteRef/>
      </w:r>
      <w:r>
        <w:t xml:space="preserve"> </w:t>
      </w:r>
      <w:r>
        <w:tab/>
      </w:r>
      <w:r w:rsidRPr="00E443A3">
        <w:t xml:space="preserve">Economic Regulation Authority, </w:t>
      </w:r>
      <w:r w:rsidRPr="00E443A3">
        <w:rPr>
          <w:rStyle w:val="AERtextitalic"/>
        </w:rPr>
        <w:t>Explanatory Statement for the Rate of Return Guidelines</w:t>
      </w:r>
      <w:r>
        <w:t xml:space="preserve">, December </w:t>
      </w:r>
      <w:r w:rsidRPr="00E443A3">
        <w:t>2013</w:t>
      </w:r>
      <w:r>
        <w:t xml:space="preserve">, para. 920. As noted, the ERA has published a revised draft Guideline, which no longer prefers the use of dividend drop off studies: Economic Regulation Authority, </w:t>
      </w:r>
      <w:r w:rsidRPr="00792648">
        <w:rPr>
          <w:rStyle w:val="AERtextitalic"/>
        </w:rPr>
        <w:t xml:space="preserve">Review of the method for estimating the weighted average cost of capital for </w:t>
      </w:r>
      <w:r>
        <w:rPr>
          <w:rStyle w:val="AERtextitalic"/>
        </w:rPr>
        <w:t>regulated</w:t>
      </w:r>
      <w:r w:rsidRPr="00792648">
        <w:rPr>
          <w:rStyle w:val="AERtextitalic"/>
        </w:rPr>
        <w:t xml:space="preserve"> railway networks, </w:t>
      </w:r>
      <w:r>
        <w:rPr>
          <w:rStyle w:val="AERtextitalic"/>
        </w:rPr>
        <w:t>Revised d</w:t>
      </w:r>
      <w:r w:rsidRPr="00792648">
        <w:rPr>
          <w:rStyle w:val="AERtextitalic"/>
        </w:rPr>
        <w:t xml:space="preserve">raft </w:t>
      </w:r>
      <w:r>
        <w:rPr>
          <w:rStyle w:val="AERtextitalic"/>
        </w:rPr>
        <w:t>decision</w:t>
      </w:r>
      <w:r>
        <w:t>, 28 November 2014.</w:t>
      </w:r>
    </w:p>
  </w:footnote>
  <w:footnote w:id="643">
    <w:p w:rsidR="005E1FC3" w:rsidRDefault="005E1FC3" w:rsidP="001D37D5">
      <w:pPr>
        <w:pStyle w:val="FootnoteText"/>
      </w:pPr>
      <w:r>
        <w:rPr>
          <w:rStyle w:val="FootnoteReference"/>
        </w:rPr>
        <w:footnoteRef/>
      </w:r>
      <w:r>
        <w:t xml:space="preserve"> </w:t>
      </w:r>
      <w:r>
        <w:tab/>
        <w:t xml:space="preserve">SA Power Networks, </w:t>
      </w:r>
      <w:r>
        <w:rPr>
          <w:rStyle w:val="AERtextitalic"/>
        </w:rPr>
        <w:t>Revised regulatory proposal 2015-20</w:t>
      </w:r>
      <w:r>
        <w:t>, July 2015, p. 373.</w:t>
      </w:r>
    </w:p>
  </w:footnote>
  <w:footnote w:id="644">
    <w:p w:rsidR="005E1FC3" w:rsidRDefault="005E1FC3" w:rsidP="001D37D5">
      <w:pPr>
        <w:pStyle w:val="FootnoteText"/>
      </w:pPr>
      <w:r>
        <w:rPr>
          <w:rStyle w:val="FootnoteReference"/>
        </w:rPr>
        <w:footnoteRef/>
      </w:r>
      <w:r>
        <w:t xml:space="preserve"> </w:t>
      </w:r>
      <w:r>
        <w:tab/>
      </w:r>
      <w:r w:rsidRPr="00D24127">
        <w:t xml:space="preserve">J. Handley, </w:t>
      </w:r>
      <w:r w:rsidRPr="00D24127">
        <w:rPr>
          <w:rStyle w:val="AERtextitalic"/>
        </w:rPr>
        <w:t>Report prepared for the Australian Energy Regulator: Advice on the value of imputation credits</w:t>
      </w:r>
      <w:r w:rsidRPr="00D24127">
        <w:t>, 29 September 2014</w:t>
      </w:r>
      <w:r>
        <w:t>, p. 22.</w:t>
      </w:r>
    </w:p>
  </w:footnote>
  <w:footnote w:id="645">
    <w:p w:rsidR="005E1FC3" w:rsidRDefault="005E1FC3" w:rsidP="001D37D5">
      <w:pPr>
        <w:pStyle w:val="FootnoteText"/>
      </w:pPr>
      <w:r>
        <w:rPr>
          <w:rStyle w:val="FootnoteReference"/>
        </w:rPr>
        <w:footnoteRef/>
      </w:r>
      <w:r>
        <w:t xml:space="preserve"> </w:t>
      </w:r>
      <w:r>
        <w:tab/>
        <w:t>Note that the standard Sharpe–Lintner CAPM also assumes segmented capital markets. In effect, the Officer CAPM is the standard Sharpe-Lintner CAPM adjusted to incorporate imputation credits.</w:t>
      </w:r>
    </w:p>
  </w:footnote>
  <w:footnote w:id="646">
    <w:p w:rsidR="005E1FC3" w:rsidRDefault="005E1FC3" w:rsidP="001D37D5">
      <w:pPr>
        <w:pStyle w:val="FootnoteText"/>
      </w:pPr>
      <w:r>
        <w:rPr>
          <w:rStyle w:val="FootnoteReference"/>
        </w:rPr>
        <w:footnoteRef/>
      </w:r>
      <w:r>
        <w:t xml:space="preserve"> </w:t>
      </w:r>
      <w:r>
        <w:tab/>
      </w:r>
      <w:r w:rsidRPr="002B01D6">
        <w:t xml:space="preserve">Lally, </w:t>
      </w:r>
      <w:r w:rsidRPr="002B01D6">
        <w:rPr>
          <w:rStyle w:val="AERtextitalic"/>
        </w:rPr>
        <w:t>The estimation of gamma</w:t>
      </w:r>
      <w:r>
        <w:t>, 23 November 2013, p. 3.</w:t>
      </w:r>
    </w:p>
  </w:footnote>
  <w:footnote w:id="647">
    <w:p w:rsidR="005E1FC3" w:rsidRDefault="005E1FC3" w:rsidP="001D37D5">
      <w:pPr>
        <w:pStyle w:val="FootnoteText"/>
      </w:pPr>
      <w:r>
        <w:rPr>
          <w:rStyle w:val="FootnoteReference"/>
        </w:rPr>
        <w:footnoteRef/>
      </w:r>
      <w:r>
        <w:t xml:space="preserve"> </w:t>
      </w:r>
      <w:r>
        <w:tab/>
      </w:r>
      <w:r w:rsidRPr="002B01D6">
        <w:t xml:space="preserve">Lally, </w:t>
      </w:r>
      <w:r w:rsidRPr="00A70E2C">
        <w:rPr>
          <w:rStyle w:val="AERtextitalic"/>
        </w:rPr>
        <w:t>The estimation of gamma</w:t>
      </w:r>
      <w:r>
        <w:t>, 23 November 2013, pp. 3 and 4.</w:t>
      </w:r>
    </w:p>
  </w:footnote>
  <w:footnote w:id="648">
    <w:p w:rsidR="005E1FC3" w:rsidRDefault="005E1FC3" w:rsidP="001D37D5">
      <w:pPr>
        <w:pStyle w:val="FootnoteText"/>
      </w:pPr>
      <w:r>
        <w:rPr>
          <w:rStyle w:val="FootnoteReference"/>
        </w:rPr>
        <w:footnoteRef/>
      </w:r>
      <w:r>
        <w:t xml:space="preserve"> </w:t>
      </w:r>
      <w:r>
        <w:tab/>
      </w:r>
      <w:r w:rsidRPr="002B01D6">
        <w:t xml:space="preserve">Lally, </w:t>
      </w:r>
      <w:r w:rsidRPr="002B01D6">
        <w:rPr>
          <w:rStyle w:val="AERtextitalic"/>
        </w:rPr>
        <w:t>The estimation of gamma</w:t>
      </w:r>
      <w:r>
        <w:t>, 23 November 2013, p. 14.</w:t>
      </w:r>
    </w:p>
  </w:footnote>
  <w:footnote w:id="649">
    <w:p w:rsidR="005E1FC3" w:rsidRDefault="005E1FC3" w:rsidP="001D37D5">
      <w:pPr>
        <w:pStyle w:val="FootnoteText"/>
      </w:pPr>
      <w:r>
        <w:rPr>
          <w:rStyle w:val="FootnoteReference"/>
        </w:rPr>
        <w:footnoteRef/>
      </w:r>
      <w:r>
        <w:t xml:space="preserve"> </w:t>
      </w:r>
      <w:r>
        <w:tab/>
      </w:r>
      <w:r w:rsidRPr="002B01D6">
        <w:t xml:space="preserve">Lally, </w:t>
      </w:r>
      <w:r w:rsidRPr="002B01D6">
        <w:rPr>
          <w:rStyle w:val="AERtextitalic"/>
        </w:rPr>
        <w:t>The estimation of gamma</w:t>
      </w:r>
      <w:r>
        <w:t>, 23 November 2013, p. 38.</w:t>
      </w:r>
    </w:p>
  </w:footnote>
  <w:footnote w:id="650">
    <w:p w:rsidR="005E1FC3" w:rsidRDefault="005E1FC3" w:rsidP="001D37D5">
      <w:pPr>
        <w:pStyle w:val="FootnoteText"/>
      </w:pPr>
      <w:r>
        <w:rPr>
          <w:rStyle w:val="FootnoteReference"/>
        </w:rPr>
        <w:footnoteRef/>
      </w:r>
      <w:r>
        <w:t xml:space="preserve"> </w:t>
      </w:r>
      <w:r>
        <w:tab/>
      </w:r>
      <w:r w:rsidRPr="002B01D6">
        <w:t xml:space="preserve">Lally, </w:t>
      </w:r>
      <w:r w:rsidRPr="002B01D6">
        <w:rPr>
          <w:rStyle w:val="AERtextitalic"/>
        </w:rPr>
        <w:t>The estimation of gamma</w:t>
      </w:r>
      <w:r>
        <w:t>, 23 November 2013, pp. 38–47.</w:t>
      </w:r>
    </w:p>
  </w:footnote>
  <w:footnote w:id="651">
    <w:p w:rsidR="005E1FC3" w:rsidRDefault="005E1FC3" w:rsidP="001D37D5">
      <w:pPr>
        <w:pStyle w:val="FootnoteText"/>
      </w:pPr>
      <w:r>
        <w:rPr>
          <w:rStyle w:val="FootnoteReference"/>
        </w:rPr>
        <w:footnoteRef/>
      </w:r>
      <w:r>
        <w:t xml:space="preserve"> </w:t>
      </w:r>
      <w:r>
        <w:tab/>
      </w:r>
      <w:r w:rsidRPr="002B01D6">
        <w:t xml:space="preserve">Lally, </w:t>
      </w:r>
      <w:r w:rsidRPr="002B01D6">
        <w:rPr>
          <w:rStyle w:val="AERtextitalic"/>
        </w:rPr>
        <w:t>The estimation of gamma</w:t>
      </w:r>
      <w:r>
        <w:t>, 23 November 2013, pp. 46–47.</w:t>
      </w:r>
    </w:p>
  </w:footnote>
  <w:footnote w:id="652">
    <w:p w:rsidR="005E1FC3" w:rsidRDefault="005E1FC3" w:rsidP="001D37D5">
      <w:pPr>
        <w:pStyle w:val="FootnoteText"/>
      </w:pPr>
      <w:r>
        <w:rPr>
          <w:rStyle w:val="FootnoteReference"/>
        </w:rPr>
        <w:footnoteRef/>
      </w:r>
      <w:r>
        <w:t xml:space="preserve"> </w:t>
      </w:r>
      <w:r>
        <w:tab/>
      </w:r>
      <w:r w:rsidRPr="00D24127">
        <w:t xml:space="preserve">J. Handley, </w:t>
      </w:r>
      <w:r w:rsidRPr="00D24127">
        <w:rPr>
          <w:rStyle w:val="AERtextitalic"/>
        </w:rPr>
        <w:t>Report prepared for the Australian Energy Regulator: Advice on the value of imputation credits</w:t>
      </w:r>
      <w:r w:rsidRPr="00D24127">
        <w:t>, 29 September 2014</w:t>
      </w:r>
      <w:r>
        <w:t>, pp. 31–32.</w:t>
      </w:r>
    </w:p>
  </w:footnote>
  <w:footnote w:id="653">
    <w:p w:rsidR="005E1FC3" w:rsidRDefault="005E1FC3" w:rsidP="001D37D5">
      <w:pPr>
        <w:pStyle w:val="FootnoteText"/>
      </w:pPr>
      <w:r>
        <w:rPr>
          <w:rStyle w:val="FootnoteReference"/>
        </w:rPr>
        <w:footnoteRef/>
      </w:r>
      <w:r>
        <w:t xml:space="preserve"> </w:t>
      </w:r>
      <w:r>
        <w:tab/>
      </w:r>
      <w:r w:rsidRPr="00D24127">
        <w:t xml:space="preserve">J. Handley, </w:t>
      </w:r>
      <w:r w:rsidRPr="00D24127">
        <w:rPr>
          <w:rStyle w:val="AERtextitalic"/>
        </w:rPr>
        <w:t>Report prepared for the Australian Energy Regulator: Advice on the value of imputation credits</w:t>
      </w:r>
      <w:r w:rsidRPr="00D24127">
        <w:t>, 29 September 2014</w:t>
      </w:r>
      <w:r>
        <w:t>, p. 23.</w:t>
      </w:r>
    </w:p>
  </w:footnote>
  <w:footnote w:id="654">
    <w:p w:rsidR="005E1FC3" w:rsidRDefault="005E1FC3" w:rsidP="001D37D5">
      <w:pPr>
        <w:pStyle w:val="FootnoteText"/>
      </w:pPr>
      <w:r>
        <w:rPr>
          <w:rStyle w:val="FootnoteReference"/>
        </w:rPr>
        <w:footnoteRef/>
      </w:r>
      <w:r>
        <w:t xml:space="preserve"> </w:t>
      </w:r>
      <w:r>
        <w:tab/>
      </w:r>
      <w:r w:rsidRPr="00D24127">
        <w:t xml:space="preserve">J. Handley, </w:t>
      </w:r>
      <w:r w:rsidRPr="00D24127">
        <w:rPr>
          <w:rStyle w:val="AERtextitalic"/>
        </w:rPr>
        <w:t>Report prepared for the Australian Energy Regulator: Advice on the value of imputation credits</w:t>
      </w:r>
      <w:r w:rsidRPr="00D24127">
        <w:t>, 29 September 2014</w:t>
      </w:r>
      <w:r>
        <w:t>, pp. 3 and 32.</w:t>
      </w:r>
    </w:p>
  </w:footnote>
  <w:footnote w:id="655">
    <w:p w:rsidR="005E1FC3" w:rsidRDefault="005E1FC3" w:rsidP="001D37D5">
      <w:pPr>
        <w:pStyle w:val="FootnoteText"/>
      </w:pPr>
      <w:r>
        <w:rPr>
          <w:rStyle w:val="FootnoteReference"/>
        </w:rPr>
        <w:footnoteRef/>
      </w:r>
      <w:r>
        <w:t xml:space="preserve"> </w:t>
      </w:r>
      <w:r>
        <w:tab/>
      </w:r>
      <w:r w:rsidRPr="00FC33A4">
        <w:t xml:space="preserve">SFG, </w:t>
      </w:r>
      <w:r w:rsidRPr="00FC33A4">
        <w:rPr>
          <w:rStyle w:val="AERtextitalic"/>
        </w:rPr>
        <w:t>An appropriate regulatory estimate of gamma</w:t>
      </w:r>
      <w:r>
        <w:t>, 21 May 2014,</w:t>
      </w:r>
      <w:r w:rsidRPr="00FC33A4">
        <w:t xml:space="preserve"> </w:t>
      </w:r>
      <w:r>
        <w:t xml:space="preserve">pp. 88–93; </w:t>
      </w:r>
      <w:r w:rsidRPr="00FC33A4">
        <w:t xml:space="preserve">M. Lally, </w:t>
      </w:r>
      <w:r w:rsidRPr="00FC33A4">
        <w:rPr>
          <w:rStyle w:val="AERtextitalic"/>
        </w:rPr>
        <w:t>Review of submissions to the QCA on the MRP, risk-free rate and gamma</w:t>
      </w:r>
      <w:r>
        <w:t>, 12 March 2014, pp. 31</w:t>
      </w:r>
      <w:r w:rsidRPr="00FC33A4">
        <w:t>–</w:t>
      </w:r>
      <w:r>
        <w:t>33.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FC3" w:rsidRDefault="005E1FC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31C7FA6"/>
    <w:multiLevelType w:val="hybridMultilevel"/>
    <w:tmpl w:val="1A7E9E04"/>
    <w:lvl w:ilvl="0" w:tplc="A356B254">
      <w:start w:val="1"/>
      <w:numFmt w:val="bullet"/>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0">
    <w:nsid w:val="03C00B7F"/>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1">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2">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4">
    <w:nsid w:val="19B737F8"/>
    <w:multiLevelType w:val="multilevel"/>
    <w:tmpl w:val="6FB04ABA"/>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4418" w:hanging="1440"/>
      </w:pPr>
      <w:rPr>
        <w:rFonts w:hint="default"/>
      </w:rPr>
    </w:lvl>
    <w:lvl w:ilvl="8">
      <w:start w:val="1"/>
      <w:numFmt w:val="decimal"/>
      <w:lvlText w:val="%1.%2.%3.%4.%5.%6.%7.%8.%9"/>
      <w:lvlJc w:val="left"/>
      <w:pPr>
        <w:ind w:left="1584" w:hanging="1584"/>
      </w:pPr>
      <w:rPr>
        <w:rFonts w:hint="default"/>
      </w:rPr>
    </w:lvl>
  </w:abstractNum>
  <w:abstractNum w:abstractNumId="15">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6">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7">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8">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9">
    <w:nsid w:val="30667494"/>
    <w:multiLevelType w:val="hybridMultilevel"/>
    <w:tmpl w:val="3A227B48"/>
    <w:lvl w:ilvl="0" w:tplc="3568627A">
      <w:start w:val="1"/>
      <w:numFmt w:val="bullet"/>
      <w:lvlText w:val="-"/>
      <w:lvlJc w:val="left"/>
      <w:pPr>
        <w:ind w:left="720" w:hanging="360"/>
      </w:pPr>
      <w:rPr>
        <w:rFonts w:ascii="Arial" w:eastAsiaTheme="minorHAnsi"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3AF336BC"/>
    <w:multiLevelType w:val="hybridMultilevel"/>
    <w:tmpl w:val="955A02CC"/>
    <w:lvl w:ilvl="0" w:tplc="C90C7928">
      <w:start w:val="1"/>
      <w:numFmt w:val="bullet"/>
      <w:lvlText w:val=""/>
      <w:lvlJc w:val="left"/>
      <w:pPr>
        <w:ind w:left="786"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6">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8">
    <w:nsid w:val="5ECE4384"/>
    <w:multiLevelType w:val="multilevel"/>
    <w:tmpl w:val="69F8BF12"/>
    <w:lvl w:ilvl="0">
      <w:start w:val="4"/>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1004"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9">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30">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nsid w:val="7AAC6DD7"/>
    <w:multiLevelType w:val="multilevel"/>
    <w:tmpl w:val="950A1C52"/>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32">
    <w:nsid w:val="7AEA3AE1"/>
    <w:multiLevelType w:val="hybridMultilevel"/>
    <w:tmpl w:val="52969776"/>
    <w:lvl w:ilvl="0" w:tplc="1B665800">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3"/>
  </w:num>
  <w:num w:numId="2">
    <w:abstractNumId w:val="33"/>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9"/>
  </w:num>
  <w:num w:numId="13">
    <w:abstractNumId w:val="21"/>
  </w:num>
  <w:num w:numId="14">
    <w:abstractNumId w:val="12"/>
  </w:num>
  <w:num w:numId="15">
    <w:abstractNumId w:val="15"/>
  </w:num>
  <w:num w:numId="16">
    <w:abstractNumId w:val="23"/>
  </w:num>
  <w:num w:numId="17">
    <w:abstractNumId w:val="11"/>
  </w:num>
  <w:num w:numId="18">
    <w:abstractNumId w:val="17"/>
  </w:num>
  <w:num w:numId="19">
    <w:abstractNumId w:val="24"/>
  </w:num>
  <w:num w:numId="20">
    <w:abstractNumId w:val="30"/>
  </w:num>
  <w:num w:numId="21">
    <w:abstractNumId w:val="27"/>
  </w:num>
  <w:num w:numId="22">
    <w:abstractNumId w:val="25"/>
  </w:num>
  <w:num w:numId="23">
    <w:abstractNumId w:val="18"/>
  </w:num>
  <w:num w:numId="24">
    <w:abstractNumId w:val="26"/>
  </w:num>
  <w:num w:numId="25">
    <w:abstractNumId w:val="28"/>
  </w:num>
  <w:num w:numId="26">
    <w:abstractNumId w:val="20"/>
  </w:num>
  <w:num w:numId="27">
    <w:abstractNumId w:val="16"/>
  </w:num>
  <w:num w:numId="28">
    <w:abstractNumId w:val="32"/>
  </w:num>
  <w:num w:numId="29">
    <w:abstractNumId w:val="22"/>
  </w:num>
  <w:num w:numId="30">
    <w:abstractNumId w:val="9"/>
  </w:num>
  <w:num w:numId="31">
    <w:abstractNumId w:val="31"/>
    <w:lvlOverride w:ilvl="0">
      <w:lvl w:ilvl="0">
        <w:start w:val="1"/>
        <w:numFmt w:val="none"/>
        <w:lvlText w:val="%1"/>
        <w:lvlJc w:val="left"/>
        <w:pPr>
          <w:tabs>
            <w:tab w:val="num" w:pos="0"/>
          </w:tabs>
          <w:ind w:left="0" w:firstLine="0"/>
        </w:pPr>
        <w:rPr>
          <w:rFonts w:hint="default"/>
        </w:rPr>
      </w:lvl>
    </w:lvlOverride>
    <w:lvlOverride w:ilvl="1">
      <w:lvl w:ilvl="1">
        <w:start w:val="1"/>
        <w:numFmt w:val="decimal"/>
        <w:lvlText w:val="%1%2"/>
        <w:lvlJc w:val="left"/>
        <w:pPr>
          <w:tabs>
            <w:tab w:val="num" w:pos="0"/>
          </w:tabs>
          <w:ind w:left="0" w:hanging="851"/>
        </w:pPr>
        <w:rPr>
          <w:rFonts w:hint="default"/>
        </w:rPr>
      </w:lvl>
    </w:lvlOverride>
    <w:lvlOverride w:ilvl="2">
      <w:lvl w:ilvl="2">
        <w:start w:val="1"/>
        <w:numFmt w:val="decimal"/>
        <w:lvlText w:val="%1%2.%3"/>
        <w:lvlJc w:val="left"/>
        <w:pPr>
          <w:tabs>
            <w:tab w:val="num" w:pos="0"/>
          </w:tabs>
          <w:ind w:left="0" w:hanging="851"/>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lvlText w:val="%2.%3.%4"/>
        <w:lvlJc w:val="left"/>
        <w:pPr>
          <w:tabs>
            <w:tab w:val="num" w:pos="0"/>
          </w:tabs>
          <w:ind w:left="0" w:hanging="851"/>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32">
    <w:abstractNumId w:val="18"/>
    <w:lvlOverride w:ilvl="3">
      <w:lvl w:ilvl="3">
        <w:start w:val="1"/>
        <w:numFmt w:val="decimal"/>
        <w:lvlText w:val="%2.%3.%4"/>
        <w:lvlJc w:val="left"/>
        <w:pPr>
          <w:tabs>
            <w:tab w:val="num" w:pos="0"/>
          </w:tabs>
          <w:ind w:left="0" w:hanging="851"/>
        </w:pPr>
        <w:rPr>
          <w:rFonts w:hint="default"/>
        </w:rPr>
      </w:lvl>
    </w:lvlOverride>
  </w:num>
  <w:num w:numId="33">
    <w:abstractNumId w:val="14"/>
  </w:num>
  <w:num w:numId="34">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9"/>
  </w:num>
  <w:num w:numId="3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9"/>
  </w:num>
  <w:num w:numId="38">
    <w:abstractNumId w:val="18"/>
    <w:lvlOverride w:ilvl="0">
      <w:lvl w:ilvl="0">
        <w:start w:val="1"/>
        <w:numFmt w:val="decimal"/>
        <w:lvlRestart w:val="0"/>
        <w:lvlText w:val="%1"/>
        <w:lvlJc w:val="left"/>
        <w:pPr>
          <w:tabs>
            <w:tab w:val="num" w:pos="720"/>
          </w:tabs>
          <w:ind w:left="0" w:hanging="720"/>
        </w:pPr>
        <w:rPr>
          <w:rFonts w:hint="default"/>
          <w:sz w:val="20"/>
        </w:rPr>
      </w:lvl>
    </w:lvlOverride>
  </w:num>
  <w:num w:numId="39">
    <w:abstractNumId w:val="10"/>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0"/>
  <w:defaultTabStop w:val="340"/>
  <w:characterSpacingControl w:val="doNotCompress"/>
  <w:hdrShapeDefaults>
    <o:shapedefaults v:ext="edit" spidmax="25395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TRIM\TEMP\HPTRIM.5864\AER15 4377  AER - Final decision AusNet distribution determination - Attachment 5 - Regulatory depreciation - April 2016.DOCX"/>
  </w:docVars>
  <w:rsids>
    <w:rsidRoot w:val="00961A4A"/>
    <w:rsid w:val="000051DC"/>
    <w:rsid w:val="0000658F"/>
    <w:rsid w:val="0001507B"/>
    <w:rsid w:val="00020016"/>
    <w:rsid w:val="00021202"/>
    <w:rsid w:val="00021C2B"/>
    <w:rsid w:val="0002498B"/>
    <w:rsid w:val="0002517F"/>
    <w:rsid w:val="00026187"/>
    <w:rsid w:val="000266FC"/>
    <w:rsid w:val="000273B3"/>
    <w:rsid w:val="00027E2D"/>
    <w:rsid w:val="0003578C"/>
    <w:rsid w:val="00044DA3"/>
    <w:rsid w:val="000474DF"/>
    <w:rsid w:val="00055A67"/>
    <w:rsid w:val="00063247"/>
    <w:rsid w:val="0006624E"/>
    <w:rsid w:val="00070F9F"/>
    <w:rsid w:val="0007137B"/>
    <w:rsid w:val="00073B74"/>
    <w:rsid w:val="00076416"/>
    <w:rsid w:val="00077383"/>
    <w:rsid w:val="000805A8"/>
    <w:rsid w:val="0008190B"/>
    <w:rsid w:val="000836D9"/>
    <w:rsid w:val="00085663"/>
    <w:rsid w:val="00085EBF"/>
    <w:rsid w:val="00091B15"/>
    <w:rsid w:val="00095186"/>
    <w:rsid w:val="000A0E71"/>
    <w:rsid w:val="000A1C0C"/>
    <w:rsid w:val="000A3020"/>
    <w:rsid w:val="000A4840"/>
    <w:rsid w:val="000A62C1"/>
    <w:rsid w:val="000A6A79"/>
    <w:rsid w:val="000A6C7B"/>
    <w:rsid w:val="000B0A7B"/>
    <w:rsid w:val="000B1173"/>
    <w:rsid w:val="000B5827"/>
    <w:rsid w:val="000B7037"/>
    <w:rsid w:val="000C02D1"/>
    <w:rsid w:val="000C0C63"/>
    <w:rsid w:val="000C2B40"/>
    <w:rsid w:val="000C5255"/>
    <w:rsid w:val="000D07A7"/>
    <w:rsid w:val="000D122C"/>
    <w:rsid w:val="000D75B0"/>
    <w:rsid w:val="000E1819"/>
    <w:rsid w:val="000E4821"/>
    <w:rsid w:val="000E4AA9"/>
    <w:rsid w:val="000E6C72"/>
    <w:rsid w:val="000E7F39"/>
    <w:rsid w:val="000F0F0A"/>
    <w:rsid w:val="00100EA2"/>
    <w:rsid w:val="00101AA1"/>
    <w:rsid w:val="00102338"/>
    <w:rsid w:val="00104566"/>
    <w:rsid w:val="00104FF6"/>
    <w:rsid w:val="001114AA"/>
    <w:rsid w:val="00115743"/>
    <w:rsid w:val="00116EB2"/>
    <w:rsid w:val="0012132C"/>
    <w:rsid w:val="00124609"/>
    <w:rsid w:val="00126A4C"/>
    <w:rsid w:val="001270E3"/>
    <w:rsid w:val="00132D43"/>
    <w:rsid w:val="00133366"/>
    <w:rsid w:val="00133F47"/>
    <w:rsid w:val="00134029"/>
    <w:rsid w:val="00142C2D"/>
    <w:rsid w:val="00144C96"/>
    <w:rsid w:val="0014573B"/>
    <w:rsid w:val="001463A3"/>
    <w:rsid w:val="0015073A"/>
    <w:rsid w:val="001573E4"/>
    <w:rsid w:val="00160756"/>
    <w:rsid w:val="00161DC8"/>
    <w:rsid w:val="00166760"/>
    <w:rsid w:val="0017232E"/>
    <w:rsid w:val="00174102"/>
    <w:rsid w:val="001754EE"/>
    <w:rsid w:val="00180157"/>
    <w:rsid w:val="001809BC"/>
    <w:rsid w:val="00180E97"/>
    <w:rsid w:val="001820B4"/>
    <w:rsid w:val="00184351"/>
    <w:rsid w:val="00184AC8"/>
    <w:rsid w:val="00185BA5"/>
    <w:rsid w:val="00185CB9"/>
    <w:rsid w:val="00185DBE"/>
    <w:rsid w:val="00186ADC"/>
    <w:rsid w:val="00186F77"/>
    <w:rsid w:val="001877A4"/>
    <w:rsid w:val="001926A4"/>
    <w:rsid w:val="00192AD5"/>
    <w:rsid w:val="00194597"/>
    <w:rsid w:val="00194E00"/>
    <w:rsid w:val="0019745E"/>
    <w:rsid w:val="00197B16"/>
    <w:rsid w:val="001A530D"/>
    <w:rsid w:val="001A5FB3"/>
    <w:rsid w:val="001A7155"/>
    <w:rsid w:val="001B45A0"/>
    <w:rsid w:val="001B680E"/>
    <w:rsid w:val="001D055E"/>
    <w:rsid w:val="001D37D5"/>
    <w:rsid w:val="001E1B3F"/>
    <w:rsid w:val="001E7161"/>
    <w:rsid w:val="001F05A4"/>
    <w:rsid w:val="001F3D4A"/>
    <w:rsid w:val="001F492E"/>
    <w:rsid w:val="001F64EF"/>
    <w:rsid w:val="001F6DA3"/>
    <w:rsid w:val="002010BC"/>
    <w:rsid w:val="002016E7"/>
    <w:rsid w:val="00202E03"/>
    <w:rsid w:val="002033B9"/>
    <w:rsid w:val="002043D0"/>
    <w:rsid w:val="0020492C"/>
    <w:rsid w:val="00204EC9"/>
    <w:rsid w:val="00206505"/>
    <w:rsid w:val="0020743F"/>
    <w:rsid w:val="00216C93"/>
    <w:rsid w:val="00223051"/>
    <w:rsid w:val="00224DB9"/>
    <w:rsid w:val="0022569A"/>
    <w:rsid w:val="0023005C"/>
    <w:rsid w:val="00231012"/>
    <w:rsid w:val="00233775"/>
    <w:rsid w:val="0023414B"/>
    <w:rsid w:val="00243635"/>
    <w:rsid w:val="00247000"/>
    <w:rsid w:val="00247079"/>
    <w:rsid w:val="00251745"/>
    <w:rsid w:val="002552BA"/>
    <w:rsid w:val="00260016"/>
    <w:rsid w:val="00263AC0"/>
    <w:rsid w:val="00264264"/>
    <w:rsid w:val="0026689B"/>
    <w:rsid w:val="0026772D"/>
    <w:rsid w:val="002730B2"/>
    <w:rsid w:val="00274C7E"/>
    <w:rsid w:val="002777CF"/>
    <w:rsid w:val="002810F2"/>
    <w:rsid w:val="00286874"/>
    <w:rsid w:val="00290C63"/>
    <w:rsid w:val="00290F66"/>
    <w:rsid w:val="00291A99"/>
    <w:rsid w:val="00293B6D"/>
    <w:rsid w:val="00294B08"/>
    <w:rsid w:val="0029518C"/>
    <w:rsid w:val="002963DD"/>
    <w:rsid w:val="00296B65"/>
    <w:rsid w:val="002A7DEF"/>
    <w:rsid w:val="002B0696"/>
    <w:rsid w:val="002C0222"/>
    <w:rsid w:val="002C1499"/>
    <w:rsid w:val="002C233C"/>
    <w:rsid w:val="002C517B"/>
    <w:rsid w:val="002D3509"/>
    <w:rsid w:val="002D5457"/>
    <w:rsid w:val="002D72E8"/>
    <w:rsid w:val="002D79AD"/>
    <w:rsid w:val="002E268F"/>
    <w:rsid w:val="002E78DD"/>
    <w:rsid w:val="002E7B22"/>
    <w:rsid w:val="002F12EC"/>
    <w:rsid w:val="002F7986"/>
    <w:rsid w:val="00301B40"/>
    <w:rsid w:val="00301C82"/>
    <w:rsid w:val="003029EE"/>
    <w:rsid w:val="00304D38"/>
    <w:rsid w:val="00305CC8"/>
    <w:rsid w:val="00307F6D"/>
    <w:rsid w:val="00314D83"/>
    <w:rsid w:val="0031571F"/>
    <w:rsid w:val="003177A2"/>
    <w:rsid w:val="00317E02"/>
    <w:rsid w:val="003271B5"/>
    <w:rsid w:val="00327A1E"/>
    <w:rsid w:val="00327E28"/>
    <w:rsid w:val="00331264"/>
    <w:rsid w:val="00334C8D"/>
    <w:rsid w:val="003378BD"/>
    <w:rsid w:val="003424EA"/>
    <w:rsid w:val="00342C2F"/>
    <w:rsid w:val="003436EB"/>
    <w:rsid w:val="00343A18"/>
    <w:rsid w:val="00345744"/>
    <w:rsid w:val="003518B3"/>
    <w:rsid w:val="00351C40"/>
    <w:rsid w:val="00353E79"/>
    <w:rsid w:val="00364EA0"/>
    <w:rsid w:val="00366981"/>
    <w:rsid w:val="00370678"/>
    <w:rsid w:val="0037214E"/>
    <w:rsid w:val="00372C85"/>
    <w:rsid w:val="00373845"/>
    <w:rsid w:val="003744E3"/>
    <w:rsid w:val="00375F71"/>
    <w:rsid w:val="00376219"/>
    <w:rsid w:val="0037663E"/>
    <w:rsid w:val="0037699E"/>
    <w:rsid w:val="00377A29"/>
    <w:rsid w:val="00377C69"/>
    <w:rsid w:val="0038415D"/>
    <w:rsid w:val="0038461C"/>
    <w:rsid w:val="003846F1"/>
    <w:rsid w:val="00390E6A"/>
    <w:rsid w:val="00393ABE"/>
    <w:rsid w:val="00395DB6"/>
    <w:rsid w:val="00397398"/>
    <w:rsid w:val="003A371A"/>
    <w:rsid w:val="003A59CD"/>
    <w:rsid w:val="003A6B00"/>
    <w:rsid w:val="003B30B2"/>
    <w:rsid w:val="003B484F"/>
    <w:rsid w:val="003B504B"/>
    <w:rsid w:val="003B5179"/>
    <w:rsid w:val="003B685C"/>
    <w:rsid w:val="003B7FBA"/>
    <w:rsid w:val="003C5A87"/>
    <w:rsid w:val="003C6537"/>
    <w:rsid w:val="003C6A13"/>
    <w:rsid w:val="003C764A"/>
    <w:rsid w:val="003C78BA"/>
    <w:rsid w:val="003D41F1"/>
    <w:rsid w:val="003D42AB"/>
    <w:rsid w:val="003D5B94"/>
    <w:rsid w:val="003E0D3A"/>
    <w:rsid w:val="003E3AAB"/>
    <w:rsid w:val="003E7FE9"/>
    <w:rsid w:val="003F07D4"/>
    <w:rsid w:val="003F174D"/>
    <w:rsid w:val="003F2329"/>
    <w:rsid w:val="00400FD2"/>
    <w:rsid w:val="00403711"/>
    <w:rsid w:val="00403720"/>
    <w:rsid w:val="00404C52"/>
    <w:rsid w:val="004156D5"/>
    <w:rsid w:val="00415BA9"/>
    <w:rsid w:val="00415F31"/>
    <w:rsid w:val="0041691D"/>
    <w:rsid w:val="0042000C"/>
    <w:rsid w:val="0042090E"/>
    <w:rsid w:val="00421F27"/>
    <w:rsid w:val="004238D8"/>
    <w:rsid w:val="00423A77"/>
    <w:rsid w:val="00424DF1"/>
    <w:rsid w:val="004324F4"/>
    <w:rsid w:val="00434544"/>
    <w:rsid w:val="00441F4E"/>
    <w:rsid w:val="00445D43"/>
    <w:rsid w:val="00446CD2"/>
    <w:rsid w:val="004523B2"/>
    <w:rsid w:val="0045777E"/>
    <w:rsid w:val="00465258"/>
    <w:rsid w:val="00471BC6"/>
    <w:rsid w:val="00476221"/>
    <w:rsid w:val="004766F5"/>
    <w:rsid w:val="00480B4B"/>
    <w:rsid w:val="004838D8"/>
    <w:rsid w:val="00485DC4"/>
    <w:rsid w:val="00494D04"/>
    <w:rsid w:val="004A40BA"/>
    <w:rsid w:val="004A43D1"/>
    <w:rsid w:val="004A492B"/>
    <w:rsid w:val="004B4412"/>
    <w:rsid w:val="004B6269"/>
    <w:rsid w:val="004C348C"/>
    <w:rsid w:val="004C462E"/>
    <w:rsid w:val="004C6CA3"/>
    <w:rsid w:val="004C7F5E"/>
    <w:rsid w:val="004D343C"/>
    <w:rsid w:val="004D372A"/>
    <w:rsid w:val="004D55BA"/>
    <w:rsid w:val="004D720C"/>
    <w:rsid w:val="004E0FA7"/>
    <w:rsid w:val="004E22EC"/>
    <w:rsid w:val="004F0BFA"/>
    <w:rsid w:val="004F13DA"/>
    <w:rsid w:val="004F4D69"/>
    <w:rsid w:val="004F6883"/>
    <w:rsid w:val="004F6A0E"/>
    <w:rsid w:val="004F6BB3"/>
    <w:rsid w:val="005009CD"/>
    <w:rsid w:val="00504E5F"/>
    <w:rsid w:val="0051337E"/>
    <w:rsid w:val="00513FA7"/>
    <w:rsid w:val="0051768F"/>
    <w:rsid w:val="00522DC2"/>
    <w:rsid w:val="00530128"/>
    <w:rsid w:val="00532467"/>
    <w:rsid w:val="005332A9"/>
    <w:rsid w:val="0053603C"/>
    <w:rsid w:val="00537871"/>
    <w:rsid w:val="00542FE9"/>
    <w:rsid w:val="00544598"/>
    <w:rsid w:val="00544C8D"/>
    <w:rsid w:val="00544DFD"/>
    <w:rsid w:val="00556B1E"/>
    <w:rsid w:val="00564A4D"/>
    <w:rsid w:val="0056598C"/>
    <w:rsid w:val="00566E0B"/>
    <w:rsid w:val="00567BA5"/>
    <w:rsid w:val="00571B35"/>
    <w:rsid w:val="00571B43"/>
    <w:rsid w:val="00571D57"/>
    <w:rsid w:val="00573A3B"/>
    <w:rsid w:val="00577716"/>
    <w:rsid w:val="00577A09"/>
    <w:rsid w:val="005829C2"/>
    <w:rsid w:val="00584D8F"/>
    <w:rsid w:val="00587A18"/>
    <w:rsid w:val="00587ADE"/>
    <w:rsid w:val="005A0BEC"/>
    <w:rsid w:val="005A404D"/>
    <w:rsid w:val="005B1E3C"/>
    <w:rsid w:val="005B6518"/>
    <w:rsid w:val="005B704A"/>
    <w:rsid w:val="005B72D7"/>
    <w:rsid w:val="005C045F"/>
    <w:rsid w:val="005C16FE"/>
    <w:rsid w:val="005C1FAB"/>
    <w:rsid w:val="005C21A4"/>
    <w:rsid w:val="005C26CC"/>
    <w:rsid w:val="005C4463"/>
    <w:rsid w:val="005D06E1"/>
    <w:rsid w:val="005D3D88"/>
    <w:rsid w:val="005D4692"/>
    <w:rsid w:val="005D48C4"/>
    <w:rsid w:val="005D6208"/>
    <w:rsid w:val="005D6366"/>
    <w:rsid w:val="005D7BA2"/>
    <w:rsid w:val="005E1FC3"/>
    <w:rsid w:val="005E36C2"/>
    <w:rsid w:val="005E4AF4"/>
    <w:rsid w:val="005F387E"/>
    <w:rsid w:val="005F7078"/>
    <w:rsid w:val="005F73CF"/>
    <w:rsid w:val="00601E0B"/>
    <w:rsid w:val="0060258B"/>
    <w:rsid w:val="00610EF9"/>
    <w:rsid w:val="00612F4F"/>
    <w:rsid w:val="00613ECD"/>
    <w:rsid w:val="00614EA0"/>
    <w:rsid w:val="00615C6B"/>
    <w:rsid w:val="00617D4C"/>
    <w:rsid w:val="00621DCE"/>
    <w:rsid w:val="00621FC5"/>
    <w:rsid w:val="00624F2C"/>
    <w:rsid w:val="00632D6D"/>
    <w:rsid w:val="00636569"/>
    <w:rsid w:val="00636EF9"/>
    <w:rsid w:val="00642C3E"/>
    <w:rsid w:val="00644A01"/>
    <w:rsid w:val="00651E2D"/>
    <w:rsid w:val="00652324"/>
    <w:rsid w:val="006577FB"/>
    <w:rsid w:val="0066104A"/>
    <w:rsid w:val="00663066"/>
    <w:rsid w:val="00663DAD"/>
    <w:rsid w:val="00664206"/>
    <w:rsid w:val="006649E7"/>
    <w:rsid w:val="00666634"/>
    <w:rsid w:val="00671692"/>
    <w:rsid w:val="00675E20"/>
    <w:rsid w:val="00676679"/>
    <w:rsid w:val="006807D9"/>
    <w:rsid w:val="00683C89"/>
    <w:rsid w:val="0068497E"/>
    <w:rsid w:val="00691B53"/>
    <w:rsid w:val="00697D0B"/>
    <w:rsid w:val="006A12BA"/>
    <w:rsid w:val="006A4739"/>
    <w:rsid w:val="006A66A1"/>
    <w:rsid w:val="006B032D"/>
    <w:rsid w:val="006B2395"/>
    <w:rsid w:val="006B40AC"/>
    <w:rsid w:val="006B4CF9"/>
    <w:rsid w:val="006B797C"/>
    <w:rsid w:val="006B7AC8"/>
    <w:rsid w:val="006C1736"/>
    <w:rsid w:val="006C329B"/>
    <w:rsid w:val="006C6303"/>
    <w:rsid w:val="006D550F"/>
    <w:rsid w:val="006D6146"/>
    <w:rsid w:val="006D7F7E"/>
    <w:rsid w:val="006E0CFF"/>
    <w:rsid w:val="006F0D92"/>
    <w:rsid w:val="006F267D"/>
    <w:rsid w:val="0070011E"/>
    <w:rsid w:val="00701CAB"/>
    <w:rsid w:val="007023BB"/>
    <w:rsid w:val="00704DD7"/>
    <w:rsid w:val="00707563"/>
    <w:rsid w:val="00715F61"/>
    <w:rsid w:val="00722132"/>
    <w:rsid w:val="007228F7"/>
    <w:rsid w:val="0072348C"/>
    <w:rsid w:val="00724A37"/>
    <w:rsid w:val="007303C3"/>
    <w:rsid w:val="00731188"/>
    <w:rsid w:val="007356CC"/>
    <w:rsid w:val="007368E6"/>
    <w:rsid w:val="007375DF"/>
    <w:rsid w:val="007429BE"/>
    <w:rsid w:val="00743223"/>
    <w:rsid w:val="00743349"/>
    <w:rsid w:val="0074403A"/>
    <w:rsid w:val="00746E01"/>
    <w:rsid w:val="00751DCD"/>
    <w:rsid w:val="00755084"/>
    <w:rsid w:val="00757364"/>
    <w:rsid w:val="00757A77"/>
    <w:rsid w:val="00757BDF"/>
    <w:rsid w:val="007609D0"/>
    <w:rsid w:val="00761454"/>
    <w:rsid w:val="0076193D"/>
    <w:rsid w:val="00763E5D"/>
    <w:rsid w:val="00767740"/>
    <w:rsid w:val="00767B5E"/>
    <w:rsid w:val="00770064"/>
    <w:rsid w:val="00775460"/>
    <w:rsid w:val="00777EE6"/>
    <w:rsid w:val="00782EEA"/>
    <w:rsid w:val="00786CA4"/>
    <w:rsid w:val="007909B4"/>
    <w:rsid w:val="00790E86"/>
    <w:rsid w:val="007949D7"/>
    <w:rsid w:val="0079769A"/>
    <w:rsid w:val="007A0143"/>
    <w:rsid w:val="007A34C2"/>
    <w:rsid w:val="007A396C"/>
    <w:rsid w:val="007A4B02"/>
    <w:rsid w:val="007B0BE3"/>
    <w:rsid w:val="007B1816"/>
    <w:rsid w:val="007B186E"/>
    <w:rsid w:val="007B25DC"/>
    <w:rsid w:val="007B2C72"/>
    <w:rsid w:val="007B3789"/>
    <w:rsid w:val="007B651F"/>
    <w:rsid w:val="007B7BB5"/>
    <w:rsid w:val="007C1C53"/>
    <w:rsid w:val="007C284C"/>
    <w:rsid w:val="007C4B82"/>
    <w:rsid w:val="007C74BB"/>
    <w:rsid w:val="007C7F64"/>
    <w:rsid w:val="007D0A95"/>
    <w:rsid w:val="007D0EB5"/>
    <w:rsid w:val="007D456E"/>
    <w:rsid w:val="007D5837"/>
    <w:rsid w:val="007D7AB7"/>
    <w:rsid w:val="007E4904"/>
    <w:rsid w:val="007E4CB5"/>
    <w:rsid w:val="007E4DAE"/>
    <w:rsid w:val="007F066B"/>
    <w:rsid w:val="007F4EAB"/>
    <w:rsid w:val="007F5B16"/>
    <w:rsid w:val="007F7C9D"/>
    <w:rsid w:val="008033C4"/>
    <w:rsid w:val="00806731"/>
    <w:rsid w:val="00806C88"/>
    <w:rsid w:val="0081034E"/>
    <w:rsid w:val="00810806"/>
    <w:rsid w:val="00815882"/>
    <w:rsid w:val="00820454"/>
    <w:rsid w:val="00822AC7"/>
    <w:rsid w:val="00822E86"/>
    <w:rsid w:val="008303AA"/>
    <w:rsid w:val="008344F6"/>
    <w:rsid w:val="0083510F"/>
    <w:rsid w:val="00837BF3"/>
    <w:rsid w:val="008415DE"/>
    <w:rsid w:val="008420DE"/>
    <w:rsid w:val="00845865"/>
    <w:rsid w:val="0084799B"/>
    <w:rsid w:val="00850C90"/>
    <w:rsid w:val="00851209"/>
    <w:rsid w:val="0085171F"/>
    <w:rsid w:val="00856A10"/>
    <w:rsid w:val="008658A1"/>
    <w:rsid w:val="0086716A"/>
    <w:rsid w:val="00870613"/>
    <w:rsid w:val="0087380F"/>
    <w:rsid w:val="0087648F"/>
    <w:rsid w:val="00876612"/>
    <w:rsid w:val="0087718C"/>
    <w:rsid w:val="00882BB1"/>
    <w:rsid w:val="008837AC"/>
    <w:rsid w:val="008909DC"/>
    <w:rsid w:val="00894255"/>
    <w:rsid w:val="008945AD"/>
    <w:rsid w:val="00896D92"/>
    <w:rsid w:val="008A0645"/>
    <w:rsid w:val="008A1C02"/>
    <w:rsid w:val="008A370D"/>
    <w:rsid w:val="008A587D"/>
    <w:rsid w:val="008B1646"/>
    <w:rsid w:val="008B16B0"/>
    <w:rsid w:val="008B1BD5"/>
    <w:rsid w:val="008B35CD"/>
    <w:rsid w:val="008B4093"/>
    <w:rsid w:val="008B5FCC"/>
    <w:rsid w:val="008B6A2F"/>
    <w:rsid w:val="008B7F36"/>
    <w:rsid w:val="008C357F"/>
    <w:rsid w:val="008C5486"/>
    <w:rsid w:val="008D1661"/>
    <w:rsid w:val="008D27E0"/>
    <w:rsid w:val="008D5F90"/>
    <w:rsid w:val="008D6800"/>
    <w:rsid w:val="008D72F1"/>
    <w:rsid w:val="008E1691"/>
    <w:rsid w:val="008E4089"/>
    <w:rsid w:val="008E5AFF"/>
    <w:rsid w:val="008E7031"/>
    <w:rsid w:val="008E77DE"/>
    <w:rsid w:val="008F040C"/>
    <w:rsid w:val="008F07A3"/>
    <w:rsid w:val="008F3322"/>
    <w:rsid w:val="008F3519"/>
    <w:rsid w:val="008F3A0D"/>
    <w:rsid w:val="008F78AD"/>
    <w:rsid w:val="009001B6"/>
    <w:rsid w:val="00900E1B"/>
    <w:rsid w:val="0090131F"/>
    <w:rsid w:val="00907683"/>
    <w:rsid w:val="009132B7"/>
    <w:rsid w:val="00916A2C"/>
    <w:rsid w:val="009233EE"/>
    <w:rsid w:val="00930B1A"/>
    <w:rsid w:val="00932612"/>
    <w:rsid w:val="009327DC"/>
    <w:rsid w:val="009338D9"/>
    <w:rsid w:val="009339BD"/>
    <w:rsid w:val="009356CF"/>
    <w:rsid w:val="00945E53"/>
    <w:rsid w:val="009460AA"/>
    <w:rsid w:val="00951978"/>
    <w:rsid w:val="00952C8B"/>
    <w:rsid w:val="00961A4A"/>
    <w:rsid w:val="00961D0A"/>
    <w:rsid w:val="009661DE"/>
    <w:rsid w:val="00972C7C"/>
    <w:rsid w:val="009776F4"/>
    <w:rsid w:val="00982DA2"/>
    <w:rsid w:val="00983C25"/>
    <w:rsid w:val="0098466D"/>
    <w:rsid w:val="009856B7"/>
    <w:rsid w:val="009859D6"/>
    <w:rsid w:val="00985C86"/>
    <w:rsid w:val="009A5FC3"/>
    <w:rsid w:val="009B6F84"/>
    <w:rsid w:val="009B74B0"/>
    <w:rsid w:val="009C0152"/>
    <w:rsid w:val="009C18DC"/>
    <w:rsid w:val="009C1A74"/>
    <w:rsid w:val="009C3D42"/>
    <w:rsid w:val="009C491E"/>
    <w:rsid w:val="009D0DF1"/>
    <w:rsid w:val="009D22D6"/>
    <w:rsid w:val="009D2C84"/>
    <w:rsid w:val="009D3906"/>
    <w:rsid w:val="009D5E35"/>
    <w:rsid w:val="009D6B46"/>
    <w:rsid w:val="009E35B6"/>
    <w:rsid w:val="009E5ABC"/>
    <w:rsid w:val="009F3BBA"/>
    <w:rsid w:val="009F43B4"/>
    <w:rsid w:val="009F4940"/>
    <w:rsid w:val="009F5BA1"/>
    <w:rsid w:val="00A02A88"/>
    <w:rsid w:val="00A02D8C"/>
    <w:rsid w:val="00A04012"/>
    <w:rsid w:val="00A046FA"/>
    <w:rsid w:val="00A0562E"/>
    <w:rsid w:val="00A0726D"/>
    <w:rsid w:val="00A073AE"/>
    <w:rsid w:val="00A12204"/>
    <w:rsid w:val="00A12750"/>
    <w:rsid w:val="00A13CB0"/>
    <w:rsid w:val="00A1561F"/>
    <w:rsid w:val="00A16544"/>
    <w:rsid w:val="00A30BF5"/>
    <w:rsid w:val="00A31BE6"/>
    <w:rsid w:val="00A32FBB"/>
    <w:rsid w:val="00A40068"/>
    <w:rsid w:val="00A40BE9"/>
    <w:rsid w:val="00A428EE"/>
    <w:rsid w:val="00A443C2"/>
    <w:rsid w:val="00A4478A"/>
    <w:rsid w:val="00A44852"/>
    <w:rsid w:val="00A50502"/>
    <w:rsid w:val="00A5087B"/>
    <w:rsid w:val="00A53409"/>
    <w:rsid w:val="00A53796"/>
    <w:rsid w:val="00A53848"/>
    <w:rsid w:val="00A56945"/>
    <w:rsid w:val="00A56A6E"/>
    <w:rsid w:val="00A57D04"/>
    <w:rsid w:val="00A60A26"/>
    <w:rsid w:val="00A61598"/>
    <w:rsid w:val="00A61777"/>
    <w:rsid w:val="00A63646"/>
    <w:rsid w:val="00A63914"/>
    <w:rsid w:val="00A8334F"/>
    <w:rsid w:val="00A84A99"/>
    <w:rsid w:val="00A84F46"/>
    <w:rsid w:val="00A85E87"/>
    <w:rsid w:val="00A86AEA"/>
    <w:rsid w:val="00A871F4"/>
    <w:rsid w:val="00A9431A"/>
    <w:rsid w:val="00A95988"/>
    <w:rsid w:val="00A959DF"/>
    <w:rsid w:val="00A97A1B"/>
    <w:rsid w:val="00AA2927"/>
    <w:rsid w:val="00AB2CB8"/>
    <w:rsid w:val="00AB4617"/>
    <w:rsid w:val="00AC1B2C"/>
    <w:rsid w:val="00AC3264"/>
    <w:rsid w:val="00AC46AD"/>
    <w:rsid w:val="00AC4D2D"/>
    <w:rsid w:val="00AC58EC"/>
    <w:rsid w:val="00AC7282"/>
    <w:rsid w:val="00AC7961"/>
    <w:rsid w:val="00AD314E"/>
    <w:rsid w:val="00AD5FCD"/>
    <w:rsid w:val="00AD6B48"/>
    <w:rsid w:val="00AD7A3A"/>
    <w:rsid w:val="00AE1BF1"/>
    <w:rsid w:val="00AE23AB"/>
    <w:rsid w:val="00AE58FB"/>
    <w:rsid w:val="00AE5AF0"/>
    <w:rsid w:val="00AE663D"/>
    <w:rsid w:val="00AE73B3"/>
    <w:rsid w:val="00AF07E7"/>
    <w:rsid w:val="00AF0DD2"/>
    <w:rsid w:val="00AF31E1"/>
    <w:rsid w:val="00AF3BBA"/>
    <w:rsid w:val="00AF4231"/>
    <w:rsid w:val="00B00B0E"/>
    <w:rsid w:val="00B00B26"/>
    <w:rsid w:val="00B02385"/>
    <w:rsid w:val="00B02F9D"/>
    <w:rsid w:val="00B05766"/>
    <w:rsid w:val="00B13048"/>
    <w:rsid w:val="00B13883"/>
    <w:rsid w:val="00B1716D"/>
    <w:rsid w:val="00B17A1D"/>
    <w:rsid w:val="00B207A0"/>
    <w:rsid w:val="00B21C21"/>
    <w:rsid w:val="00B22F54"/>
    <w:rsid w:val="00B24A7E"/>
    <w:rsid w:val="00B25C0C"/>
    <w:rsid w:val="00B304B5"/>
    <w:rsid w:val="00B308A9"/>
    <w:rsid w:val="00B31047"/>
    <w:rsid w:val="00B33148"/>
    <w:rsid w:val="00B35CDF"/>
    <w:rsid w:val="00B403C2"/>
    <w:rsid w:val="00B405A1"/>
    <w:rsid w:val="00B4438A"/>
    <w:rsid w:val="00B45AA2"/>
    <w:rsid w:val="00B479CA"/>
    <w:rsid w:val="00B5084F"/>
    <w:rsid w:val="00B514DD"/>
    <w:rsid w:val="00B52AF0"/>
    <w:rsid w:val="00B53D5F"/>
    <w:rsid w:val="00B54051"/>
    <w:rsid w:val="00B561BD"/>
    <w:rsid w:val="00B56E03"/>
    <w:rsid w:val="00B62765"/>
    <w:rsid w:val="00B65DF5"/>
    <w:rsid w:val="00B7679F"/>
    <w:rsid w:val="00B77159"/>
    <w:rsid w:val="00B8080B"/>
    <w:rsid w:val="00B82223"/>
    <w:rsid w:val="00B87BA5"/>
    <w:rsid w:val="00B87C39"/>
    <w:rsid w:val="00B93891"/>
    <w:rsid w:val="00B9562D"/>
    <w:rsid w:val="00BA21DA"/>
    <w:rsid w:val="00BA2B60"/>
    <w:rsid w:val="00BA3C93"/>
    <w:rsid w:val="00BA4665"/>
    <w:rsid w:val="00BA7FD7"/>
    <w:rsid w:val="00BB1681"/>
    <w:rsid w:val="00BB2FB2"/>
    <w:rsid w:val="00BB3304"/>
    <w:rsid w:val="00BB6551"/>
    <w:rsid w:val="00BC4A10"/>
    <w:rsid w:val="00BD30F4"/>
    <w:rsid w:val="00BD3446"/>
    <w:rsid w:val="00BD59CF"/>
    <w:rsid w:val="00BE1312"/>
    <w:rsid w:val="00BE1F1B"/>
    <w:rsid w:val="00BE3F89"/>
    <w:rsid w:val="00BE47B5"/>
    <w:rsid w:val="00BE5FCE"/>
    <w:rsid w:val="00C0079E"/>
    <w:rsid w:val="00C0572A"/>
    <w:rsid w:val="00C13EBD"/>
    <w:rsid w:val="00C1631B"/>
    <w:rsid w:val="00C163AB"/>
    <w:rsid w:val="00C170F0"/>
    <w:rsid w:val="00C25962"/>
    <w:rsid w:val="00C25FA6"/>
    <w:rsid w:val="00C3099D"/>
    <w:rsid w:val="00C33011"/>
    <w:rsid w:val="00C343A2"/>
    <w:rsid w:val="00C362C1"/>
    <w:rsid w:val="00C41950"/>
    <w:rsid w:val="00C42C3B"/>
    <w:rsid w:val="00C51672"/>
    <w:rsid w:val="00C538A9"/>
    <w:rsid w:val="00C53B5A"/>
    <w:rsid w:val="00C53CB4"/>
    <w:rsid w:val="00C53E41"/>
    <w:rsid w:val="00C54909"/>
    <w:rsid w:val="00C54AF3"/>
    <w:rsid w:val="00C54F5A"/>
    <w:rsid w:val="00C569B4"/>
    <w:rsid w:val="00C57DDE"/>
    <w:rsid w:val="00C61468"/>
    <w:rsid w:val="00C61A97"/>
    <w:rsid w:val="00C61E44"/>
    <w:rsid w:val="00C64FF3"/>
    <w:rsid w:val="00C662AD"/>
    <w:rsid w:val="00C666BF"/>
    <w:rsid w:val="00C67A92"/>
    <w:rsid w:val="00C71280"/>
    <w:rsid w:val="00C717BF"/>
    <w:rsid w:val="00C75E3E"/>
    <w:rsid w:val="00C76178"/>
    <w:rsid w:val="00C84560"/>
    <w:rsid w:val="00C86679"/>
    <w:rsid w:val="00C8792F"/>
    <w:rsid w:val="00C90472"/>
    <w:rsid w:val="00C91D6E"/>
    <w:rsid w:val="00CA489E"/>
    <w:rsid w:val="00CB0279"/>
    <w:rsid w:val="00CB666B"/>
    <w:rsid w:val="00CB734B"/>
    <w:rsid w:val="00CC058C"/>
    <w:rsid w:val="00CC41B6"/>
    <w:rsid w:val="00CC7ADA"/>
    <w:rsid w:val="00CC7F1D"/>
    <w:rsid w:val="00CD0A88"/>
    <w:rsid w:val="00CD125D"/>
    <w:rsid w:val="00CD283C"/>
    <w:rsid w:val="00CD3641"/>
    <w:rsid w:val="00CD66EA"/>
    <w:rsid w:val="00CD7432"/>
    <w:rsid w:val="00CE0FA5"/>
    <w:rsid w:val="00CE2A23"/>
    <w:rsid w:val="00CE31C8"/>
    <w:rsid w:val="00CE484B"/>
    <w:rsid w:val="00CE7CBA"/>
    <w:rsid w:val="00CF0DEE"/>
    <w:rsid w:val="00CF42AA"/>
    <w:rsid w:val="00CF5EAA"/>
    <w:rsid w:val="00CF6AE3"/>
    <w:rsid w:val="00CF77BB"/>
    <w:rsid w:val="00D006AE"/>
    <w:rsid w:val="00D00905"/>
    <w:rsid w:val="00D010C1"/>
    <w:rsid w:val="00D01CF0"/>
    <w:rsid w:val="00D0442A"/>
    <w:rsid w:val="00D12A7B"/>
    <w:rsid w:val="00D12ADB"/>
    <w:rsid w:val="00D15E63"/>
    <w:rsid w:val="00D25A39"/>
    <w:rsid w:val="00D27CFA"/>
    <w:rsid w:val="00D310FA"/>
    <w:rsid w:val="00D325C6"/>
    <w:rsid w:val="00D37213"/>
    <w:rsid w:val="00D4360D"/>
    <w:rsid w:val="00D5607F"/>
    <w:rsid w:val="00D61388"/>
    <w:rsid w:val="00D61A54"/>
    <w:rsid w:val="00D62108"/>
    <w:rsid w:val="00D64AA4"/>
    <w:rsid w:val="00D64DEA"/>
    <w:rsid w:val="00D64F84"/>
    <w:rsid w:val="00D663CD"/>
    <w:rsid w:val="00D6726A"/>
    <w:rsid w:val="00D7001B"/>
    <w:rsid w:val="00D7160D"/>
    <w:rsid w:val="00D7168E"/>
    <w:rsid w:val="00D71E57"/>
    <w:rsid w:val="00D72D27"/>
    <w:rsid w:val="00D7786B"/>
    <w:rsid w:val="00D80893"/>
    <w:rsid w:val="00D82519"/>
    <w:rsid w:val="00D84854"/>
    <w:rsid w:val="00D924AE"/>
    <w:rsid w:val="00D92CF1"/>
    <w:rsid w:val="00D92D38"/>
    <w:rsid w:val="00D9309B"/>
    <w:rsid w:val="00D950F5"/>
    <w:rsid w:val="00D97379"/>
    <w:rsid w:val="00DA4752"/>
    <w:rsid w:val="00DA4C09"/>
    <w:rsid w:val="00DA61F3"/>
    <w:rsid w:val="00DA7CB3"/>
    <w:rsid w:val="00DB0D00"/>
    <w:rsid w:val="00DB0F93"/>
    <w:rsid w:val="00DB1A67"/>
    <w:rsid w:val="00DB3721"/>
    <w:rsid w:val="00DB4E34"/>
    <w:rsid w:val="00DB5074"/>
    <w:rsid w:val="00DC0281"/>
    <w:rsid w:val="00DC1930"/>
    <w:rsid w:val="00DC1C76"/>
    <w:rsid w:val="00DC4DBF"/>
    <w:rsid w:val="00DC4E19"/>
    <w:rsid w:val="00DC65FE"/>
    <w:rsid w:val="00DC7981"/>
    <w:rsid w:val="00DD4C07"/>
    <w:rsid w:val="00DD577D"/>
    <w:rsid w:val="00DD5ADC"/>
    <w:rsid w:val="00DE1093"/>
    <w:rsid w:val="00DE4EFA"/>
    <w:rsid w:val="00DE5520"/>
    <w:rsid w:val="00DE563D"/>
    <w:rsid w:val="00DE7AB5"/>
    <w:rsid w:val="00DF0152"/>
    <w:rsid w:val="00DF1958"/>
    <w:rsid w:val="00E04818"/>
    <w:rsid w:val="00E06442"/>
    <w:rsid w:val="00E06952"/>
    <w:rsid w:val="00E11E61"/>
    <w:rsid w:val="00E157B2"/>
    <w:rsid w:val="00E16055"/>
    <w:rsid w:val="00E2332D"/>
    <w:rsid w:val="00E23993"/>
    <w:rsid w:val="00E2574F"/>
    <w:rsid w:val="00E25951"/>
    <w:rsid w:val="00E25B8C"/>
    <w:rsid w:val="00E30BB4"/>
    <w:rsid w:val="00E31CF6"/>
    <w:rsid w:val="00E34A4A"/>
    <w:rsid w:val="00E35AFC"/>
    <w:rsid w:val="00E41D39"/>
    <w:rsid w:val="00E44852"/>
    <w:rsid w:val="00E50A02"/>
    <w:rsid w:val="00E54106"/>
    <w:rsid w:val="00E54697"/>
    <w:rsid w:val="00E57A08"/>
    <w:rsid w:val="00E63631"/>
    <w:rsid w:val="00E64C2A"/>
    <w:rsid w:val="00E65C85"/>
    <w:rsid w:val="00E66199"/>
    <w:rsid w:val="00E70526"/>
    <w:rsid w:val="00E754B4"/>
    <w:rsid w:val="00E755EC"/>
    <w:rsid w:val="00E7624D"/>
    <w:rsid w:val="00E81724"/>
    <w:rsid w:val="00E819A4"/>
    <w:rsid w:val="00E833FA"/>
    <w:rsid w:val="00E84B74"/>
    <w:rsid w:val="00E87066"/>
    <w:rsid w:val="00E966BF"/>
    <w:rsid w:val="00EA0C04"/>
    <w:rsid w:val="00EA3D42"/>
    <w:rsid w:val="00EA6B1B"/>
    <w:rsid w:val="00EB1CBD"/>
    <w:rsid w:val="00EB3A34"/>
    <w:rsid w:val="00EB3C3F"/>
    <w:rsid w:val="00EC04F1"/>
    <w:rsid w:val="00EC237F"/>
    <w:rsid w:val="00EC573A"/>
    <w:rsid w:val="00ED35C8"/>
    <w:rsid w:val="00ED3968"/>
    <w:rsid w:val="00ED7323"/>
    <w:rsid w:val="00EE28F3"/>
    <w:rsid w:val="00EE50D1"/>
    <w:rsid w:val="00EE7614"/>
    <w:rsid w:val="00EF5110"/>
    <w:rsid w:val="00EF5890"/>
    <w:rsid w:val="00EF76BA"/>
    <w:rsid w:val="00F0231A"/>
    <w:rsid w:val="00F03463"/>
    <w:rsid w:val="00F036B7"/>
    <w:rsid w:val="00F0700F"/>
    <w:rsid w:val="00F07F1F"/>
    <w:rsid w:val="00F10411"/>
    <w:rsid w:val="00F10A9A"/>
    <w:rsid w:val="00F11B2D"/>
    <w:rsid w:val="00F121C2"/>
    <w:rsid w:val="00F1485B"/>
    <w:rsid w:val="00F15882"/>
    <w:rsid w:val="00F170C7"/>
    <w:rsid w:val="00F171E0"/>
    <w:rsid w:val="00F20BD3"/>
    <w:rsid w:val="00F2722C"/>
    <w:rsid w:val="00F322E9"/>
    <w:rsid w:val="00F3231B"/>
    <w:rsid w:val="00F33808"/>
    <w:rsid w:val="00F373A5"/>
    <w:rsid w:val="00F37864"/>
    <w:rsid w:val="00F404F9"/>
    <w:rsid w:val="00F44B0A"/>
    <w:rsid w:val="00F470C7"/>
    <w:rsid w:val="00F47559"/>
    <w:rsid w:val="00F50B30"/>
    <w:rsid w:val="00F51F5F"/>
    <w:rsid w:val="00F52D75"/>
    <w:rsid w:val="00F55582"/>
    <w:rsid w:val="00F57647"/>
    <w:rsid w:val="00F62A14"/>
    <w:rsid w:val="00F644AB"/>
    <w:rsid w:val="00F64C7B"/>
    <w:rsid w:val="00F676DD"/>
    <w:rsid w:val="00F67AB6"/>
    <w:rsid w:val="00F70028"/>
    <w:rsid w:val="00F70434"/>
    <w:rsid w:val="00F75A26"/>
    <w:rsid w:val="00F76706"/>
    <w:rsid w:val="00F77D6D"/>
    <w:rsid w:val="00F80206"/>
    <w:rsid w:val="00F83034"/>
    <w:rsid w:val="00F83FAD"/>
    <w:rsid w:val="00F844C6"/>
    <w:rsid w:val="00F85E40"/>
    <w:rsid w:val="00F92FA6"/>
    <w:rsid w:val="00F9353B"/>
    <w:rsid w:val="00F937F1"/>
    <w:rsid w:val="00F952A0"/>
    <w:rsid w:val="00FA31B1"/>
    <w:rsid w:val="00FA3320"/>
    <w:rsid w:val="00FA3C7F"/>
    <w:rsid w:val="00FA6246"/>
    <w:rsid w:val="00FB24ED"/>
    <w:rsid w:val="00FB3304"/>
    <w:rsid w:val="00FB5005"/>
    <w:rsid w:val="00FB60FE"/>
    <w:rsid w:val="00FB74E2"/>
    <w:rsid w:val="00FB778B"/>
    <w:rsid w:val="00FD5614"/>
    <w:rsid w:val="00FD5E78"/>
    <w:rsid w:val="00FE0BE1"/>
    <w:rsid w:val="00FE11BB"/>
    <w:rsid w:val="00FE1DE9"/>
    <w:rsid w:val="00FE36AF"/>
    <w:rsid w:val="00FE39C2"/>
    <w:rsid w:val="00FE3C32"/>
    <w:rsid w:val="00FE64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539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1" w:unhideWhenUsed="0"/>
    <w:lsdException w:name="footnote text" w:qFormat="1"/>
    <w:lsdException w:name="header" w:uiPriority="0" w:qFormat="1"/>
    <w:lsdException w:name="footer" w:qFormat="1"/>
    <w:lsdException w:name="caption" w:uiPriority="35" w:qFormat="1"/>
    <w:lsdException w:name="footnote reference" w:qFormat="1"/>
    <w:lsdException w:name="page number" w:uiPriority="0"/>
    <w:lsdException w:name="List" w:uiPriority="0" w:qFormat="1"/>
    <w:lsdException w:name="List Bullet" w:uiPriority="0"/>
    <w:lsdException w:name="List Number" w:uiPriority="0" w:qFormat="1"/>
    <w:lsdException w:name="List Bullet 2" w:qFormat="1"/>
    <w:lsdException w:name="List Bullet 3" w:uiPriority="0" w:qFormat="1"/>
    <w:lsdException w:name="Title" w:semiHidden="0" w:uiPriority="0" w:unhideWhenUsed="0" w:qFormat="1"/>
    <w:lsdException w:name="Default Paragraph Font" w:uiPriority="1"/>
    <w:lsdException w:name="Body Text" w:uiPriority="0"/>
    <w:lsdException w:name="Body Text Indent" w:uiPriority="0"/>
    <w:lsdException w:name="List Continue" w:uiPriority="0" w:qFormat="1"/>
    <w:lsdException w:name="List Continue 2" w:uiPriority="0" w:qFormat="1"/>
    <w:lsdException w:name="List Continue 3" w:uiPriority="0" w:qFormat="1"/>
    <w:lsdException w:name="Subtitle" w:semiHidden="0" w:uiPriority="11" w:unhideWhenUsed="0"/>
    <w:lsdException w:name="Body Text 2" w:uiPriority="0"/>
    <w:lsdException w:name="Body Text 3" w:uiPriority="0"/>
    <w:lsdException w:name="Body Text Indent 3" w:uiPriority="0"/>
    <w:lsdException w:name="Hyperlink" w:qFormat="1"/>
    <w:lsdException w:name="FollowedHyperlink" w:uiPriority="0"/>
    <w:lsdException w:name="Strong" w:semiHidden="0" w:uiPriority="0" w:unhideWhenUsed="0" w:qFormat="1"/>
    <w:lsdException w:name="Emphasis" w:semiHidden="0" w:uiPriority="20" w:unhideWhenUsed="0" w:qFormat="1"/>
    <w:lsdException w:name="Document Map" w:uiPriority="0"/>
    <w:lsdException w:name="annotation subject" w:uiPriority="0"/>
    <w:lsdException w:name="Outline List 3"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qFormat/>
    <w:rsid w:val="00CB0279"/>
    <w:pPr>
      <w:numPr>
        <w:numId w:val="27"/>
      </w:numPr>
      <w:tabs>
        <w:tab w:val="clear" w:pos="680"/>
        <w:tab w:val="left" w:pos="1021"/>
      </w:tabs>
      <w:outlineLvl w:val="7"/>
    </w:pPr>
  </w:style>
  <w:style w:type="paragraph" w:styleId="Heading9">
    <w:name w:val="heading 9"/>
    <w:basedOn w:val="Heading3"/>
    <w:next w:val="Normal"/>
    <w:link w:val="Heading9Char"/>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rsid w:val="005D7BA2"/>
    <w:pPr>
      <w:tabs>
        <w:tab w:val="right" w:leader="dot" w:pos="8363"/>
      </w:tabs>
      <w:spacing w:after="100"/>
      <w:ind w:left="2977"/>
    </w:pPr>
    <w:rPr>
      <w:noProof/>
    </w:rPr>
  </w:style>
  <w:style w:type="paragraph" w:styleId="TOC9">
    <w:name w:val="toc 9"/>
    <w:basedOn w:val="Normal"/>
    <w:next w:val="Normal"/>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aliases w:val="Footer Base"/>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aliases w:val="Footer Base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rsid w:val="005D7BA2"/>
    <w:pPr>
      <w:tabs>
        <w:tab w:val="right" w:leader="dot" w:pos="8363"/>
      </w:tabs>
      <w:spacing w:after="100"/>
      <w:ind w:left="1276"/>
    </w:pPr>
    <w:rPr>
      <w:noProof/>
    </w:rPr>
  </w:style>
  <w:style w:type="paragraph" w:styleId="TOC5">
    <w:name w:val="toc 5"/>
    <w:basedOn w:val="Normal"/>
    <w:next w:val="Normal"/>
    <w:rsid w:val="005D7BA2"/>
    <w:pPr>
      <w:tabs>
        <w:tab w:val="right" w:leader="dot" w:pos="8363"/>
      </w:tabs>
      <w:spacing w:after="100"/>
      <w:ind w:left="1701"/>
    </w:pPr>
    <w:rPr>
      <w:noProof/>
    </w:rPr>
  </w:style>
  <w:style w:type="paragraph" w:styleId="TOC6">
    <w:name w:val="toc 6"/>
    <w:basedOn w:val="Normal"/>
    <w:next w:val="Normal"/>
    <w:rsid w:val="005D7BA2"/>
    <w:pPr>
      <w:tabs>
        <w:tab w:val="right" w:leader="dot" w:pos="8363"/>
      </w:tabs>
      <w:spacing w:after="100"/>
      <w:ind w:left="2126"/>
    </w:pPr>
    <w:rPr>
      <w:noProof/>
    </w:rPr>
  </w:style>
  <w:style w:type="paragraph" w:styleId="TOC7">
    <w:name w:val="toc 7"/>
    <w:basedOn w:val="Normal"/>
    <w:next w:val="Normal"/>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AD7A3A"/>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AD7A3A"/>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AD7A3A"/>
    <w:rPr>
      <w:rFonts w:ascii="Verdana" w:eastAsia="Times New Roman" w:hAnsi="Verdana" w:cs="Times New Roman"/>
      <w:sz w:val="24"/>
      <w:szCs w:val="24"/>
      <w:lang w:eastAsia="en-AU"/>
    </w:rPr>
  </w:style>
  <w:style w:type="paragraph" w:styleId="BodyText">
    <w:name w:val="Body Text"/>
    <w:basedOn w:val="Normal"/>
    <w:link w:val="BodyTextChar"/>
    <w:unhideWhenUsed/>
    <w:rsid w:val="00AD7A3A"/>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semiHidden/>
    <w:rsid w:val="00AD7A3A"/>
    <w:rPr>
      <w:rFonts w:ascii="Gautami" w:eastAsia="Calibri" w:hAnsi="Gautami" w:cs="Times New Roman"/>
      <w:sz w:val="20"/>
      <w:szCs w:val="20"/>
    </w:rPr>
  </w:style>
  <w:style w:type="paragraph" w:styleId="BodyTextIndent3">
    <w:name w:val="Body Text Indent 3"/>
    <w:basedOn w:val="Normal"/>
    <w:link w:val="BodyTextIndent3Char"/>
    <w:rsid w:val="001D37D5"/>
    <w:pPr>
      <w:tabs>
        <w:tab w:val="num" w:pos="284"/>
        <w:tab w:val="left" w:pos="1418"/>
      </w:tabs>
      <w:spacing w:before="0" w:line="240" w:lineRule="auto"/>
      <w:ind w:left="426"/>
    </w:pPr>
    <w:rPr>
      <w:rFonts w:ascii="Arial Narrow" w:eastAsia="Times New Roman" w:hAnsi="Arial Narrow" w:cs="Times New Roman"/>
      <w:sz w:val="24"/>
      <w:szCs w:val="20"/>
      <w:lang w:val="en-US" w:eastAsia="en-AU"/>
    </w:rPr>
  </w:style>
  <w:style w:type="character" w:customStyle="1" w:styleId="BodyTextIndent3Char">
    <w:name w:val="Body Text Indent 3 Char"/>
    <w:basedOn w:val="DefaultParagraphFont"/>
    <w:link w:val="BodyTextIndent3"/>
    <w:rsid w:val="001D37D5"/>
    <w:rPr>
      <w:rFonts w:ascii="Arial Narrow" w:eastAsia="Times New Roman" w:hAnsi="Arial Narrow" w:cs="Times New Roman"/>
      <w:sz w:val="24"/>
      <w:szCs w:val="20"/>
      <w:lang w:val="en-US" w:eastAsia="en-AU"/>
    </w:rPr>
  </w:style>
  <w:style w:type="numbering" w:styleId="ArticleSection">
    <w:name w:val="Outline List 3"/>
    <w:basedOn w:val="NoList"/>
    <w:semiHidden/>
    <w:rsid w:val="001D37D5"/>
    <w:pPr>
      <w:numPr>
        <w:numId w:val="39"/>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1" w:unhideWhenUsed="0"/>
    <w:lsdException w:name="footnote text" w:qFormat="1"/>
    <w:lsdException w:name="header" w:uiPriority="0" w:qFormat="1"/>
    <w:lsdException w:name="footer" w:qFormat="1"/>
    <w:lsdException w:name="caption" w:uiPriority="35" w:qFormat="1"/>
    <w:lsdException w:name="footnote reference" w:qFormat="1"/>
    <w:lsdException w:name="page number" w:uiPriority="0"/>
    <w:lsdException w:name="List" w:uiPriority="0" w:qFormat="1"/>
    <w:lsdException w:name="List Bullet" w:uiPriority="0"/>
    <w:lsdException w:name="List Number" w:uiPriority="0" w:qFormat="1"/>
    <w:lsdException w:name="List Bullet 2" w:qFormat="1"/>
    <w:lsdException w:name="List Bullet 3" w:uiPriority="0" w:qFormat="1"/>
    <w:lsdException w:name="Title" w:semiHidden="0" w:uiPriority="0" w:unhideWhenUsed="0" w:qFormat="1"/>
    <w:lsdException w:name="Default Paragraph Font" w:uiPriority="1"/>
    <w:lsdException w:name="Body Text" w:uiPriority="0"/>
    <w:lsdException w:name="Body Text Indent" w:uiPriority="0"/>
    <w:lsdException w:name="List Continue" w:uiPriority="0" w:qFormat="1"/>
    <w:lsdException w:name="List Continue 2" w:uiPriority="0" w:qFormat="1"/>
    <w:lsdException w:name="List Continue 3" w:uiPriority="0" w:qFormat="1"/>
    <w:lsdException w:name="Subtitle" w:semiHidden="0" w:uiPriority="11" w:unhideWhenUsed="0"/>
    <w:lsdException w:name="Body Text 2" w:uiPriority="0"/>
    <w:lsdException w:name="Body Text 3" w:uiPriority="0"/>
    <w:lsdException w:name="Body Text Indent 3" w:uiPriority="0"/>
    <w:lsdException w:name="Hyperlink" w:qFormat="1"/>
    <w:lsdException w:name="FollowedHyperlink" w:uiPriority="0"/>
    <w:lsdException w:name="Strong" w:semiHidden="0" w:uiPriority="0" w:unhideWhenUsed="0" w:qFormat="1"/>
    <w:lsdException w:name="Emphasis" w:semiHidden="0" w:uiPriority="20" w:unhideWhenUsed="0" w:qFormat="1"/>
    <w:lsdException w:name="Document Map" w:uiPriority="0"/>
    <w:lsdException w:name="annotation subject" w:uiPriority="0"/>
    <w:lsdException w:name="Outline List 3"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qFormat/>
    <w:rsid w:val="00CB0279"/>
    <w:pPr>
      <w:numPr>
        <w:numId w:val="27"/>
      </w:numPr>
      <w:tabs>
        <w:tab w:val="clear" w:pos="680"/>
        <w:tab w:val="left" w:pos="1021"/>
      </w:tabs>
      <w:outlineLvl w:val="7"/>
    </w:pPr>
  </w:style>
  <w:style w:type="paragraph" w:styleId="Heading9">
    <w:name w:val="heading 9"/>
    <w:basedOn w:val="Heading3"/>
    <w:next w:val="Normal"/>
    <w:link w:val="Heading9Char"/>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rsid w:val="005D7BA2"/>
    <w:pPr>
      <w:tabs>
        <w:tab w:val="right" w:leader="dot" w:pos="8363"/>
      </w:tabs>
      <w:spacing w:after="100"/>
      <w:ind w:left="2977"/>
    </w:pPr>
    <w:rPr>
      <w:noProof/>
    </w:rPr>
  </w:style>
  <w:style w:type="paragraph" w:styleId="TOC9">
    <w:name w:val="toc 9"/>
    <w:basedOn w:val="Normal"/>
    <w:next w:val="Normal"/>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aliases w:val="Footer Base"/>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aliases w:val="Footer Base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qFormat/>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rsid w:val="005D7BA2"/>
    <w:pPr>
      <w:tabs>
        <w:tab w:val="right" w:leader="dot" w:pos="8363"/>
      </w:tabs>
      <w:spacing w:after="100"/>
      <w:ind w:left="1276"/>
    </w:pPr>
    <w:rPr>
      <w:noProof/>
    </w:rPr>
  </w:style>
  <w:style w:type="paragraph" w:styleId="TOC5">
    <w:name w:val="toc 5"/>
    <w:basedOn w:val="Normal"/>
    <w:next w:val="Normal"/>
    <w:rsid w:val="005D7BA2"/>
    <w:pPr>
      <w:tabs>
        <w:tab w:val="right" w:leader="dot" w:pos="8363"/>
      </w:tabs>
      <w:spacing w:after="100"/>
      <w:ind w:left="1701"/>
    </w:pPr>
    <w:rPr>
      <w:noProof/>
    </w:rPr>
  </w:style>
  <w:style w:type="paragraph" w:styleId="TOC6">
    <w:name w:val="toc 6"/>
    <w:basedOn w:val="Normal"/>
    <w:next w:val="Normal"/>
    <w:rsid w:val="005D7BA2"/>
    <w:pPr>
      <w:tabs>
        <w:tab w:val="right" w:leader="dot" w:pos="8363"/>
      </w:tabs>
      <w:spacing w:after="100"/>
      <w:ind w:left="2126"/>
    </w:pPr>
    <w:rPr>
      <w:noProof/>
    </w:rPr>
  </w:style>
  <w:style w:type="paragraph" w:styleId="TOC7">
    <w:name w:val="toc 7"/>
    <w:basedOn w:val="Normal"/>
    <w:next w:val="Normal"/>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AD7A3A"/>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AD7A3A"/>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AD7A3A"/>
    <w:rPr>
      <w:rFonts w:ascii="Verdana" w:eastAsia="Times New Roman" w:hAnsi="Verdana" w:cs="Times New Roman"/>
      <w:sz w:val="24"/>
      <w:szCs w:val="24"/>
      <w:lang w:eastAsia="en-AU"/>
    </w:rPr>
  </w:style>
  <w:style w:type="paragraph" w:styleId="BodyText">
    <w:name w:val="Body Text"/>
    <w:basedOn w:val="Normal"/>
    <w:link w:val="BodyTextChar"/>
    <w:unhideWhenUsed/>
    <w:rsid w:val="00AD7A3A"/>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semiHidden/>
    <w:rsid w:val="00AD7A3A"/>
    <w:rPr>
      <w:rFonts w:ascii="Gautami" w:eastAsia="Calibri" w:hAnsi="Gautami" w:cs="Times New Roman"/>
      <w:sz w:val="20"/>
      <w:szCs w:val="20"/>
    </w:rPr>
  </w:style>
  <w:style w:type="paragraph" w:styleId="BodyTextIndent3">
    <w:name w:val="Body Text Indent 3"/>
    <w:basedOn w:val="Normal"/>
    <w:link w:val="BodyTextIndent3Char"/>
    <w:rsid w:val="001D37D5"/>
    <w:pPr>
      <w:tabs>
        <w:tab w:val="num" w:pos="284"/>
        <w:tab w:val="left" w:pos="1418"/>
      </w:tabs>
      <w:spacing w:before="0" w:line="240" w:lineRule="auto"/>
      <w:ind w:left="426"/>
    </w:pPr>
    <w:rPr>
      <w:rFonts w:ascii="Arial Narrow" w:eastAsia="Times New Roman" w:hAnsi="Arial Narrow" w:cs="Times New Roman"/>
      <w:sz w:val="24"/>
      <w:szCs w:val="20"/>
      <w:lang w:val="en-US" w:eastAsia="en-AU"/>
    </w:rPr>
  </w:style>
  <w:style w:type="character" w:customStyle="1" w:styleId="BodyTextIndent3Char">
    <w:name w:val="Body Text Indent 3 Char"/>
    <w:basedOn w:val="DefaultParagraphFont"/>
    <w:link w:val="BodyTextIndent3"/>
    <w:rsid w:val="001D37D5"/>
    <w:rPr>
      <w:rFonts w:ascii="Arial Narrow" w:eastAsia="Times New Roman" w:hAnsi="Arial Narrow" w:cs="Times New Roman"/>
      <w:sz w:val="24"/>
      <w:szCs w:val="20"/>
      <w:lang w:val="en-US" w:eastAsia="en-AU"/>
    </w:rPr>
  </w:style>
  <w:style w:type="numbering" w:styleId="ArticleSection">
    <w:name w:val="Outline List 3"/>
    <w:basedOn w:val="NoList"/>
    <w:semiHidden/>
    <w:rsid w:val="001D37D5"/>
    <w:pPr>
      <w:numPr>
        <w:numId w:val="3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5823670">
      <w:bodyDiv w:val="1"/>
      <w:marLeft w:val="0"/>
      <w:marRight w:val="0"/>
      <w:marTop w:val="0"/>
      <w:marBottom w:val="0"/>
      <w:divBdr>
        <w:top w:val="none" w:sz="0" w:space="0" w:color="auto"/>
        <w:left w:val="none" w:sz="0" w:space="0" w:color="auto"/>
        <w:bottom w:val="none" w:sz="0" w:space="0" w:color="auto"/>
        <w:right w:val="none" w:sz="0" w:space="0" w:color="auto"/>
      </w:divBdr>
    </w:div>
    <w:div w:id="456605257">
      <w:bodyDiv w:val="1"/>
      <w:marLeft w:val="0"/>
      <w:marRight w:val="0"/>
      <w:marTop w:val="0"/>
      <w:marBottom w:val="0"/>
      <w:divBdr>
        <w:top w:val="none" w:sz="0" w:space="0" w:color="auto"/>
        <w:left w:val="none" w:sz="0" w:space="0" w:color="auto"/>
        <w:bottom w:val="none" w:sz="0" w:space="0" w:color="auto"/>
        <w:right w:val="none" w:sz="0" w:space="0" w:color="auto"/>
      </w:divBdr>
    </w:div>
    <w:div w:id="488448612">
      <w:bodyDiv w:val="1"/>
      <w:marLeft w:val="0"/>
      <w:marRight w:val="0"/>
      <w:marTop w:val="0"/>
      <w:marBottom w:val="0"/>
      <w:divBdr>
        <w:top w:val="none" w:sz="0" w:space="0" w:color="auto"/>
        <w:left w:val="none" w:sz="0" w:space="0" w:color="auto"/>
        <w:bottom w:val="none" w:sz="0" w:space="0" w:color="auto"/>
        <w:right w:val="none" w:sz="0" w:space="0" w:color="auto"/>
      </w:divBdr>
    </w:div>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834535643">
      <w:bodyDiv w:val="1"/>
      <w:marLeft w:val="0"/>
      <w:marRight w:val="0"/>
      <w:marTop w:val="0"/>
      <w:marBottom w:val="0"/>
      <w:divBdr>
        <w:top w:val="none" w:sz="0" w:space="0" w:color="auto"/>
        <w:left w:val="none" w:sz="0" w:space="0" w:color="auto"/>
        <w:bottom w:val="none" w:sz="0" w:space="0" w:color="auto"/>
        <w:right w:val="none" w:sz="0" w:space="0" w:color="auto"/>
      </w:divBdr>
    </w:div>
    <w:div w:id="983241265">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974406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image" Target="media/image3.emf"/><Relationship Id="rId3" Type="http://schemas.openxmlformats.org/officeDocument/2006/relationships/numbering" Target="numbering.xml"/><Relationship Id="rId21" Type="http://schemas.openxmlformats.org/officeDocument/2006/relationships/header" Target="header1.xml"/><Relationship Id="rId7" Type="http://schemas.openxmlformats.org/officeDocument/2006/relationships/webSettings" Target="webSettings.xml"/><Relationship Id="rId12" Type="http://schemas.openxmlformats.org/officeDocument/2006/relationships/hyperlink" Target="mailto:AERInquiry@aer.gov.au" TargetMode="External"/><Relationship Id="rId17" Type="http://schemas.openxmlformats.org/officeDocument/2006/relationships/footer" Target="footer5.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chart" Target="charts/chart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24" Type="http://schemas.openxmlformats.org/officeDocument/2006/relationships/fontTable" Target="fontTable.xml"/><Relationship Id="rId5" Type="http://schemas.microsoft.com/office/2007/relationships/stylesWithEffects" Target="stylesWithEffects.xml"/><Relationship Id="rId15" Type="http://schemas.openxmlformats.org/officeDocument/2006/relationships/footer" Target="footer3.xml"/><Relationship Id="rId23" Type="http://schemas.openxmlformats.org/officeDocument/2006/relationships/footer" Target="footer7.xml"/><Relationship Id="rId10" Type="http://schemas.openxmlformats.org/officeDocument/2006/relationships/image" Target="media/image1.jpg"/><Relationship Id="rId19" Type="http://schemas.openxmlformats.org/officeDocument/2006/relationships/image" Target="media/image4.emf"/><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2.xml"/><Relationship Id="rId22" Type="http://schemas.openxmlformats.org/officeDocument/2006/relationships/footer" Target="footer6.xml"/></Relationships>
</file>

<file path=word/charts/_rels/chart1.xml.rels><?xml version="1.0" encoding="UTF-8" standalone="yes"?>
<Relationships xmlns="http://schemas.openxmlformats.org/package/2006/relationships"><Relationship Id="rId1" Type="http://schemas.openxmlformats.org/officeDocument/2006/relationships/oleObject" Target="../embeddings/oleObject1.bin"/></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v>Listed equity</c:v>
          </c:tx>
          <c:marker>
            <c:symbol val="none"/>
          </c:marker>
          <c:cat>
            <c:numRef>
              <c:f>'[Equity ownership approach calculations - data to December 2015_final.xlsx]Listed_byownership'!$AY$1:$DH$1</c:f>
              <c:numCache>
                <c:formatCode>mmm\-yyyy</c:formatCode>
                <c:ptCount val="62"/>
                <c:pt idx="0">
                  <c:v>36770</c:v>
                </c:pt>
                <c:pt idx="1">
                  <c:v>36861</c:v>
                </c:pt>
                <c:pt idx="2">
                  <c:v>36951</c:v>
                </c:pt>
                <c:pt idx="3">
                  <c:v>37043</c:v>
                </c:pt>
                <c:pt idx="4">
                  <c:v>37135</c:v>
                </c:pt>
                <c:pt idx="5">
                  <c:v>37226</c:v>
                </c:pt>
                <c:pt idx="6">
                  <c:v>37316</c:v>
                </c:pt>
                <c:pt idx="7">
                  <c:v>37408</c:v>
                </c:pt>
                <c:pt idx="8">
                  <c:v>37500</c:v>
                </c:pt>
                <c:pt idx="9">
                  <c:v>37591</c:v>
                </c:pt>
                <c:pt idx="10">
                  <c:v>37681</c:v>
                </c:pt>
                <c:pt idx="11">
                  <c:v>37773</c:v>
                </c:pt>
                <c:pt idx="12">
                  <c:v>37865</c:v>
                </c:pt>
                <c:pt idx="13">
                  <c:v>37956</c:v>
                </c:pt>
                <c:pt idx="14">
                  <c:v>38047</c:v>
                </c:pt>
                <c:pt idx="15">
                  <c:v>38139</c:v>
                </c:pt>
                <c:pt idx="16">
                  <c:v>38231</c:v>
                </c:pt>
                <c:pt idx="17">
                  <c:v>38322</c:v>
                </c:pt>
                <c:pt idx="18">
                  <c:v>38412</c:v>
                </c:pt>
                <c:pt idx="19">
                  <c:v>38504</c:v>
                </c:pt>
                <c:pt idx="20">
                  <c:v>38596</c:v>
                </c:pt>
                <c:pt idx="21">
                  <c:v>38687</c:v>
                </c:pt>
                <c:pt idx="22">
                  <c:v>38777</c:v>
                </c:pt>
                <c:pt idx="23">
                  <c:v>38869</c:v>
                </c:pt>
                <c:pt idx="24">
                  <c:v>38961</c:v>
                </c:pt>
                <c:pt idx="25">
                  <c:v>39052</c:v>
                </c:pt>
                <c:pt idx="26">
                  <c:v>39142</c:v>
                </c:pt>
                <c:pt idx="27">
                  <c:v>39234</c:v>
                </c:pt>
                <c:pt idx="28">
                  <c:v>39326</c:v>
                </c:pt>
                <c:pt idx="29">
                  <c:v>39417</c:v>
                </c:pt>
                <c:pt idx="30">
                  <c:v>39508</c:v>
                </c:pt>
                <c:pt idx="31">
                  <c:v>39600</c:v>
                </c:pt>
                <c:pt idx="32">
                  <c:v>39692</c:v>
                </c:pt>
                <c:pt idx="33">
                  <c:v>39783</c:v>
                </c:pt>
                <c:pt idx="34">
                  <c:v>39873</c:v>
                </c:pt>
                <c:pt idx="35">
                  <c:v>39965</c:v>
                </c:pt>
                <c:pt idx="36">
                  <c:v>40057</c:v>
                </c:pt>
                <c:pt idx="37">
                  <c:v>40148</c:v>
                </c:pt>
                <c:pt idx="38">
                  <c:v>40238</c:v>
                </c:pt>
                <c:pt idx="39">
                  <c:v>40330</c:v>
                </c:pt>
                <c:pt idx="40">
                  <c:v>40422</c:v>
                </c:pt>
                <c:pt idx="41">
                  <c:v>40513</c:v>
                </c:pt>
                <c:pt idx="42">
                  <c:v>40603</c:v>
                </c:pt>
                <c:pt idx="43">
                  <c:v>40695</c:v>
                </c:pt>
                <c:pt idx="44">
                  <c:v>40787</c:v>
                </c:pt>
                <c:pt idx="45">
                  <c:v>40878</c:v>
                </c:pt>
                <c:pt idx="46">
                  <c:v>40969</c:v>
                </c:pt>
                <c:pt idx="47">
                  <c:v>41061</c:v>
                </c:pt>
                <c:pt idx="48">
                  <c:v>41153</c:v>
                </c:pt>
                <c:pt idx="49">
                  <c:v>41244</c:v>
                </c:pt>
                <c:pt idx="50">
                  <c:v>41334</c:v>
                </c:pt>
                <c:pt idx="51">
                  <c:v>41426</c:v>
                </c:pt>
                <c:pt idx="52">
                  <c:v>41518</c:v>
                </c:pt>
                <c:pt idx="53">
                  <c:v>41609</c:v>
                </c:pt>
                <c:pt idx="54">
                  <c:v>41699</c:v>
                </c:pt>
                <c:pt idx="55">
                  <c:v>41791</c:v>
                </c:pt>
                <c:pt idx="56">
                  <c:v>41883</c:v>
                </c:pt>
                <c:pt idx="57">
                  <c:v>41974</c:v>
                </c:pt>
                <c:pt idx="58">
                  <c:v>42064</c:v>
                </c:pt>
                <c:pt idx="59">
                  <c:v>42156</c:v>
                </c:pt>
                <c:pt idx="60">
                  <c:v>42248</c:v>
                </c:pt>
                <c:pt idx="61">
                  <c:v>42339</c:v>
                </c:pt>
              </c:numCache>
            </c:numRef>
          </c:cat>
          <c:val>
            <c:numRef>
              <c:f>'[Equity ownership approach calculations - data to December 2015_final.xlsx]Listed_byownership'!$AY$26:$DH$26</c:f>
              <c:numCache>
                <c:formatCode>0.000</c:formatCode>
                <c:ptCount val="62"/>
                <c:pt idx="0">
                  <c:v>0.51331445057490632</c:v>
                </c:pt>
                <c:pt idx="1">
                  <c:v>0.54740179008912082</c:v>
                </c:pt>
                <c:pt idx="2">
                  <c:v>0.54310171127191231</c:v>
                </c:pt>
                <c:pt idx="3">
                  <c:v>0.53875567644088151</c:v>
                </c:pt>
                <c:pt idx="4">
                  <c:v>0.51811696504201321</c:v>
                </c:pt>
                <c:pt idx="5">
                  <c:v>0.52607619800155792</c:v>
                </c:pt>
                <c:pt idx="6">
                  <c:v>0.53580042518168736</c:v>
                </c:pt>
                <c:pt idx="7">
                  <c:v>0.5267941424621374</c:v>
                </c:pt>
                <c:pt idx="8">
                  <c:v>0.50738287658747039</c:v>
                </c:pt>
                <c:pt idx="9">
                  <c:v>0.4949847392152148</c:v>
                </c:pt>
                <c:pt idx="10">
                  <c:v>0.48632985120039407</c:v>
                </c:pt>
                <c:pt idx="11">
                  <c:v>0.48046657766441003</c:v>
                </c:pt>
                <c:pt idx="12">
                  <c:v>0.48121142657072408</c:v>
                </c:pt>
                <c:pt idx="13">
                  <c:v>0.48297981379279192</c:v>
                </c:pt>
                <c:pt idx="14">
                  <c:v>0.49225038368125401</c:v>
                </c:pt>
                <c:pt idx="15">
                  <c:v>0.49178262124711314</c:v>
                </c:pt>
                <c:pt idx="16">
                  <c:v>0.50714313460001781</c:v>
                </c:pt>
                <c:pt idx="17">
                  <c:v>0.54665246613076113</c:v>
                </c:pt>
                <c:pt idx="18">
                  <c:v>0.54442826845200165</c:v>
                </c:pt>
                <c:pt idx="19">
                  <c:v>0.54528860416761127</c:v>
                </c:pt>
                <c:pt idx="20">
                  <c:v>0.55002511606485549</c:v>
                </c:pt>
                <c:pt idx="21">
                  <c:v>0.54618689642612106</c:v>
                </c:pt>
                <c:pt idx="22">
                  <c:v>0.54941445210130901</c:v>
                </c:pt>
                <c:pt idx="23">
                  <c:v>0.54639100487001557</c:v>
                </c:pt>
                <c:pt idx="24">
                  <c:v>0.54088739492994631</c:v>
                </c:pt>
                <c:pt idx="25">
                  <c:v>0.54784288148077342</c:v>
                </c:pt>
                <c:pt idx="26">
                  <c:v>0.54698404663904909</c:v>
                </c:pt>
                <c:pt idx="27">
                  <c:v>0.54839503960161373</c:v>
                </c:pt>
                <c:pt idx="28">
                  <c:v>0.54862432239755754</c:v>
                </c:pt>
                <c:pt idx="29">
                  <c:v>0.54581431321268947</c:v>
                </c:pt>
                <c:pt idx="30">
                  <c:v>0.50080266551432184</c:v>
                </c:pt>
                <c:pt idx="31">
                  <c:v>0.49310591510999369</c:v>
                </c:pt>
                <c:pt idx="32">
                  <c:v>0.47518261512886678</c:v>
                </c:pt>
                <c:pt idx="33">
                  <c:v>0.4400887438346871</c:v>
                </c:pt>
                <c:pt idx="34">
                  <c:v>0.42028507683039051</c:v>
                </c:pt>
                <c:pt idx="35">
                  <c:v>0.43888922149010823</c:v>
                </c:pt>
                <c:pt idx="36">
                  <c:v>0.4688934244047932</c:v>
                </c:pt>
                <c:pt idx="37">
                  <c:v>0.46857039216103596</c:v>
                </c:pt>
                <c:pt idx="38">
                  <c:v>0.46569326706426883</c:v>
                </c:pt>
                <c:pt idx="39">
                  <c:v>0.4517250628939764</c:v>
                </c:pt>
                <c:pt idx="40">
                  <c:v>0.45701627138621825</c:v>
                </c:pt>
                <c:pt idx="41">
                  <c:v>0.46077574179146125</c:v>
                </c:pt>
                <c:pt idx="42">
                  <c:v>0.46704651190893381</c:v>
                </c:pt>
                <c:pt idx="43">
                  <c:v>0.43321316580584668</c:v>
                </c:pt>
                <c:pt idx="44">
                  <c:v>0.40000364987402565</c:v>
                </c:pt>
                <c:pt idx="45">
                  <c:v>0.38832911992922337</c:v>
                </c:pt>
                <c:pt idx="46">
                  <c:v>0.39525208293579506</c:v>
                </c:pt>
                <c:pt idx="47">
                  <c:v>0.3846074377987253</c:v>
                </c:pt>
                <c:pt idx="48">
                  <c:v>0.40725904966997734</c:v>
                </c:pt>
                <c:pt idx="49">
                  <c:v>0.41704727575059758</c:v>
                </c:pt>
                <c:pt idx="50">
                  <c:v>0.43167592705827418</c:v>
                </c:pt>
                <c:pt idx="51">
                  <c:v>0.41920787609111326</c:v>
                </c:pt>
                <c:pt idx="52">
                  <c:v>0.44430963220828112</c:v>
                </c:pt>
                <c:pt idx="53">
                  <c:v>0.45249814720650611</c:v>
                </c:pt>
                <c:pt idx="54">
                  <c:v>0.45263727434433881</c:v>
                </c:pt>
                <c:pt idx="55">
                  <c:v>0.45734709600266771</c:v>
                </c:pt>
                <c:pt idx="56">
                  <c:v>0.44580911277835844</c:v>
                </c:pt>
                <c:pt idx="57">
                  <c:v>0.45884872337610794</c:v>
                </c:pt>
                <c:pt idx="58">
                  <c:v>0.47037516224552661</c:v>
                </c:pt>
                <c:pt idx="59">
                  <c:v>0.45228304751021392</c:v>
                </c:pt>
                <c:pt idx="60">
                  <c:v>0.44637540341855242</c:v>
                </c:pt>
                <c:pt idx="61">
                  <c:v>0.46688489512706266</c:v>
                </c:pt>
              </c:numCache>
            </c:numRef>
          </c:val>
          <c:smooth val="0"/>
        </c:ser>
        <c:ser>
          <c:idx val="1"/>
          <c:order val="1"/>
          <c:tx>
            <c:v>Total equity</c:v>
          </c:tx>
          <c:marker>
            <c:symbol val="none"/>
          </c:marker>
          <c:cat>
            <c:numRef>
              <c:f>'[Equity ownership approach calculations - data to December 2015_final.xlsx]Listed_byownership'!$AY$1:$DH$1</c:f>
              <c:numCache>
                <c:formatCode>mmm\-yyyy</c:formatCode>
                <c:ptCount val="62"/>
                <c:pt idx="0">
                  <c:v>36770</c:v>
                </c:pt>
                <c:pt idx="1">
                  <c:v>36861</c:v>
                </c:pt>
                <c:pt idx="2">
                  <c:v>36951</c:v>
                </c:pt>
                <c:pt idx="3">
                  <c:v>37043</c:v>
                </c:pt>
                <c:pt idx="4">
                  <c:v>37135</c:v>
                </c:pt>
                <c:pt idx="5">
                  <c:v>37226</c:v>
                </c:pt>
                <c:pt idx="6">
                  <c:v>37316</c:v>
                </c:pt>
                <c:pt idx="7">
                  <c:v>37408</c:v>
                </c:pt>
                <c:pt idx="8">
                  <c:v>37500</c:v>
                </c:pt>
                <c:pt idx="9">
                  <c:v>37591</c:v>
                </c:pt>
                <c:pt idx="10">
                  <c:v>37681</c:v>
                </c:pt>
                <c:pt idx="11">
                  <c:v>37773</c:v>
                </c:pt>
                <c:pt idx="12">
                  <c:v>37865</c:v>
                </c:pt>
                <c:pt idx="13">
                  <c:v>37956</c:v>
                </c:pt>
                <c:pt idx="14">
                  <c:v>38047</c:v>
                </c:pt>
                <c:pt idx="15">
                  <c:v>38139</c:v>
                </c:pt>
                <c:pt idx="16">
                  <c:v>38231</c:v>
                </c:pt>
                <c:pt idx="17">
                  <c:v>38322</c:v>
                </c:pt>
                <c:pt idx="18">
                  <c:v>38412</c:v>
                </c:pt>
                <c:pt idx="19">
                  <c:v>38504</c:v>
                </c:pt>
                <c:pt idx="20">
                  <c:v>38596</c:v>
                </c:pt>
                <c:pt idx="21">
                  <c:v>38687</c:v>
                </c:pt>
                <c:pt idx="22">
                  <c:v>38777</c:v>
                </c:pt>
                <c:pt idx="23">
                  <c:v>38869</c:v>
                </c:pt>
                <c:pt idx="24">
                  <c:v>38961</c:v>
                </c:pt>
                <c:pt idx="25">
                  <c:v>39052</c:v>
                </c:pt>
                <c:pt idx="26">
                  <c:v>39142</c:v>
                </c:pt>
                <c:pt idx="27">
                  <c:v>39234</c:v>
                </c:pt>
                <c:pt idx="28">
                  <c:v>39326</c:v>
                </c:pt>
                <c:pt idx="29">
                  <c:v>39417</c:v>
                </c:pt>
                <c:pt idx="30">
                  <c:v>39508</c:v>
                </c:pt>
                <c:pt idx="31">
                  <c:v>39600</c:v>
                </c:pt>
                <c:pt idx="32">
                  <c:v>39692</c:v>
                </c:pt>
                <c:pt idx="33">
                  <c:v>39783</c:v>
                </c:pt>
                <c:pt idx="34">
                  <c:v>39873</c:v>
                </c:pt>
                <c:pt idx="35">
                  <c:v>39965</c:v>
                </c:pt>
                <c:pt idx="36">
                  <c:v>40057</c:v>
                </c:pt>
                <c:pt idx="37">
                  <c:v>40148</c:v>
                </c:pt>
                <c:pt idx="38">
                  <c:v>40238</c:v>
                </c:pt>
                <c:pt idx="39">
                  <c:v>40330</c:v>
                </c:pt>
                <c:pt idx="40">
                  <c:v>40422</c:v>
                </c:pt>
                <c:pt idx="41">
                  <c:v>40513</c:v>
                </c:pt>
                <c:pt idx="42">
                  <c:v>40603</c:v>
                </c:pt>
                <c:pt idx="43">
                  <c:v>40695</c:v>
                </c:pt>
                <c:pt idx="44">
                  <c:v>40787</c:v>
                </c:pt>
                <c:pt idx="45">
                  <c:v>40878</c:v>
                </c:pt>
                <c:pt idx="46">
                  <c:v>40969</c:v>
                </c:pt>
                <c:pt idx="47">
                  <c:v>41061</c:v>
                </c:pt>
                <c:pt idx="48">
                  <c:v>41153</c:v>
                </c:pt>
                <c:pt idx="49">
                  <c:v>41244</c:v>
                </c:pt>
                <c:pt idx="50">
                  <c:v>41334</c:v>
                </c:pt>
                <c:pt idx="51">
                  <c:v>41426</c:v>
                </c:pt>
                <c:pt idx="52">
                  <c:v>41518</c:v>
                </c:pt>
                <c:pt idx="53">
                  <c:v>41609</c:v>
                </c:pt>
                <c:pt idx="54">
                  <c:v>41699</c:v>
                </c:pt>
                <c:pt idx="55">
                  <c:v>41791</c:v>
                </c:pt>
                <c:pt idx="56">
                  <c:v>41883</c:v>
                </c:pt>
                <c:pt idx="57">
                  <c:v>41974</c:v>
                </c:pt>
                <c:pt idx="58">
                  <c:v>42064</c:v>
                </c:pt>
                <c:pt idx="59">
                  <c:v>42156</c:v>
                </c:pt>
                <c:pt idx="60">
                  <c:v>42248</c:v>
                </c:pt>
                <c:pt idx="61">
                  <c:v>42339</c:v>
                </c:pt>
              </c:numCache>
            </c:numRef>
          </c:cat>
          <c:val>
            <c:numRef>
              <c:f>'[Equity ownership approach calculations - data to December 2015_final.xlsx]Total_byownership'!$AY$26:$DH$26</c:f>
              <c:numCache>
                <c:formatCode>0.000</c:formatCode>
                <c:ptCount val="62"/>
                <c:pt idx="0">
                  <c:v>0.58425201354567091</c:v>
                </c:pt>
                <c:pt idx="1">
                  <c:v>0.60569815065071397</c:v>
                </c:pt>
                <c:pt idx="2">
                  <c:v>0.60585932636479833</c:v>
                </c:pt>
                <c:pt idx="3">
                  <c:v>0.60411136464342363</c:v>
                </c:pt>
                <c:pt idx="4">
                  <c:v>0.59600586521449883</c:v>
                </c:pt>
                <c:pt idx="5">
                  <c:v>0.59914602920931159</c:v>
                </c:pt>
                <c:pt idx="6">
                  <c:v>0.61036165613900506</c:v>
                </c:pt>
                <c:pt idx="7">
                  <c:v>0.60607191119291004</c:v>
                </c:pt>
                <c:pt idx="8">
                  <c:v>0.60124506132103772</c:v>
                </c:pt>
                <c:pt idx="9">
                  <c:v>0.58628237752466172</c:v>
                </c:pt>
                <c:pt idx="10">
                  <c:v>0.58746355213379808</c:v>
                </c:pt>
                <c:pt idx="11">
                  <c:v>0.58404309773350904</c:v>
                </c:pt>
                <c:pt idx="12">
                  <c:v>0.58115942028985512</c:v>
                </c:pt>
                <c:pt idx="13">
                  <c:v>0.58447012205323123</c:v>
                </c:pt>
                <c:pt idx="14">
                  <c:v>0.59983973280644987</c:v>
                </c:pt>
                <c:pt idx="15">
                  <c:v>0.6093910163636469</c:v>
                </c:pt>
                <c:pt idx="16">
                  <c:v>0.61943081095565988</c:v>
                </c:pt>
                <c:pt idx="17">
                  <c:v>0.6231669790248916</c:v>
                </c:pt>
                <c:pt idx="18">
                  <c:v>0.63606341769160424</c:v>
                </c:pt>
                <c:pt idx="19">
                  <c:v>0.67538619366119979</c:v>
                </c:pt>
                <c:pt idx="20">
                  <c:v>0.67567348433165919</c:v>
                </c:pt>
                <c:pt idx="21">
                  <c:v>0.67147220720107614</c:v>
                </c:pt>
                <c:pt idx="22">
                  <c:v>0.66250234450862655</c:v>
                </c:pt>
                <c:pt idx="23">
                  <c:v>0.66774648596032493</c:v>
                </c:pt>
                <c:pt idx="24">
                  <c:v>0.66579368560086194</c:v>
                </c:pt>
                <c:pt idx="25">
                  <c:v>0.66250703930813359</c:v>
                </c:pt>
                <c:pt idx="26">
                  <c:v>0.65222264149974718</c:v>
                </c:pt>
                <c:pt idx="27">
                  <c:v>0.64801594602580037</c:v>
                </c:pt>
                <c:pt idx="28">
                  <c:v>0.64219582047024315</c:v>
                </c:pt>
                <c:pt idx="29">
                  <c:v>0.64199405052179848</c:v>
                </c:pt>
                <c:pt idx="30">
                  <c:v>0.62525118389789125</c:v>
                </c:pt>
                <c:pt idx="31">
                  <c:v>0.61844866856343517</c:v>
                </c:pt>
                <c:pt idx="32">
                  <c:v>0.61941034964637787</c:v>
                </c:pt>
                <c:pt idx="33">
                  <c:v>0.59912025856652684</c:v>
                </c:pt>
                <c:pt idx="34">
                  <c:v>0.58989934731681193</c:v>
                </c:pt>
                <c:pt idx="35">
                  <c:v>0.59010157700773058</c:v>
                </c:pt>
                <c:pt idx="36">
                  <c:v>0.59097963446241641</c:v>
                </c:pt>
                <c:pt idx="37">
                  <c:v>0.59132725785343854</c:v>
                </c:pt>
                <c:pt idx="38">
                  <c:v>0.58815798155776733</c:v>
                </c:pt>
                <c:pt idx="39">
                  <c:v>0.58690759525051373</c:v>
                </c:pt>
                <c:pt idx="40">
                  <c:v>0.58698907949536139</c:v>
                </c:pt>
                <c:pt idx="41">
                  <c:v>0.58006919492542774</c:v>
                </c:pt>
                <c:pt idx="42">
                  <c:v>0.57699228785063705</c:v>
                </c:pt>
                <c:pt idx="43">
                  <c:v>0.5784555901055225</c:v>
                </c:pt>
                <c:pt idx="44">
                  <c:v>0.57241174823519236</c:v>
                </c:pt>
                <c:pt idx="45">
                  <c:v>0.57102041665191194</c:v>
                </c:pt>
                <c:pt idx="46">
                  <c:v>0.57066374198177838</c:v>
                </c:pt>
                <c:pt idx="47">
                  <c:v>0.573975586818951</c:v>
                </c:pt>
                <c:pt idx="48">
                  <c:v>0.58178023265492662</c:v>
                </c:pt>
                <c:pt idx="49">
                  <c:v>0.58892609723211853</c:v>
                </c:pt>
                <c:pt idx="50">
                  <c:v>0.59434860972347159</c:v>
                </c:pt>
                <c:pt idx="51">
                  <c:v>0.59468550643131446</c:v>
                </c:pt>
                <c:pt idx="52">
                  <c:v>0.60202898917035941</c:v>
                </c:pt>
                <c:pt idx="53">
                  <c:v>0.61326745671333549</c:v>
                </c:pt>
                <c:pt idx="54">
                  <c:v>0.6112989503971592</c:v>
                </c:pt>
                <c:pt idx="55">
                  <c:v>0.61423966958422771</c:v>
                </c:pt>
                <c:pt idx="56">
                  <c:v>0.61006228785386851</c:v>
                </c:pt>
                <c:pt idx="57">
                  <c:v>0.615877741945138</c:v>
                </c:pt>
                <c:pt idx="58">
                  <c:v>0.61864746156337391</c:v>
                </c:pt>
                <c:pt idx="59">
                  <c:v>0.61404019966608048</c:v>
                </c:pt>
                <c:pt idx="60">
                  <c:v>0.61357941309484532</c:v>
                </c:pt>
                <c:pt idx="61">
                  <c:v>0.62011794036813961</c:v>
                </c:pt>
              </c:numCache>
            </c:numRef>
          </c:val>
          <c:smooth val="0"/>
        </c:ser>
        <c:dLbls>
          <c:showLegendKey val="0"/>
          <c:showVal val="0"/>
          <c:showCatName val="0"/>
          <c:showSerName val="0"/>
          <c:showPercent val="0"/>
          <c:showBubbleSize val="0"/>
        </c:dLbls>
        <c:marker val="1"/>
        <c:smooth val="0"/>
        <c:axId val="84135936"/>
        <c:axId val="84137472"/>
      </c:lineChart>
      <c:dateAx>
        <c:axId val="84135936"/>
        <c:scaling>
          <c:orientation val="minMax"/>
        </c:scaling>
        <c:delete val="0"/>
        <c:axPos val="b"/>
        <c:numFmt formatCode="mmm\-yyyy" sourceLinked="1"/>
        <c:majorTickMark val="out"/>
        <c:minorTickMark val="none"/>
        <c:tickLblPos val="nextTo"/>
        <c:crossAx val="84137472"/>
        <c:crosses val="autoZero"/>
        <c:auto val="0"/>
        <c:lblOffset val="100"/>
        <c:baseTimeUnit val="months"/>
        <c:majorUnit val="12"/>
        <c:majorTimeUnit val="months"/>
      </c:dateAx>
      <c:valAx>
        <c:axId val="84137472"/>
        <c:scaling>
          <c:orientation val="minMax"/>
          <c:max val="0.70000000000000007"/>
          <c:min val="0.30000000000000004"/>
        </c:scaling>
        <c:delete val="0"/>
        <c:axPos val="l"/>
        <c:majorGridlines/>
        <c:title>
          <c:tx>
            <c:rich>
              <a:bodyPr rot="0" vert="horz"/>
              <a:lstStyle/>
              <a:p>
                <a:pPr>
                  <a:defRPr/>
                </a:pPr>
                <a:r>
                  <a:rPr lang="en-AU"/>
                  <a:t>Refined domestic ownership</a:t>
                </a:r>
                <a:r>
                  <a:rPr lang="en-AU" baseline="0"/>
                  <a:t> share of Australian equity </a:t>
                </a:r>
              </a:p>
            </c:rich>
          </c:tx>
          <c:layout/>
          <c:overlay val="0"/>
        </c:title>
        <c:numFmt formatCode="0.000" sourceLinked="1"/>
        <c:majorTickMark val="out"/>
        <c:minorTickMark val="none"/>
        <c:tickLblPos val="nextTo"/>
        <c:crossAx val="84135936"/>
        <c:crossesAt val="36770"/>
        <c:crossBetween val="midCat"/>
        <c:majorUnit val="5.000000000000001E-2"/>
        <c:minorUnit val="4.000000000000001E-3"/>
      </c:valAx>
    </c:plotArea>
    <c:legend>
      <c:legendPos val="b"/>
      <c:layout/>
      <c:overlay val="0"/>
    </c:legend>
    <c:plotVisOnly val="1"/>
    <c:dispBlanksAs val="gap"/>
    <c:showDLblsOverMax val="0"/>
  </c:chart>
  <c:spPr>
    <a:ln>
      <a:noFill/>
    </a:ln>
  </c:spPr>
  <c:externalData r:id="rId1">
    <c:autoUpdate val="0"/>
  </c:externalData>
</c:chartSpace>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1A0D090-BE66-4835-8874-E6E3F65CFF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84E06F20</Template>
  <TotalTime>0</TotalTime>
  <Pages>176</Pages>
  <Words>59201</Words>
  <Characters>337449</Characters>
  <Application>Microsoft Office Word</Application>
  <DocSecurity>0</DocSecurity>
  <Lines>2812</Lines>
  <Paragraphs>791</Paragraphs>
  <ScaleCrop>false</ScaleCrop>
  <LinksUpToDate>false</LinksUpToDate>
  <CharactersWithSpaces>395859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2016-05-25T03:14:00Z</dcterms:created>
  <dcterms:modified xsi:type="dcterms:W3CDTF">2016-05-25T03:14:00Z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URI">
    <vt:lpwstr>8578125</vt:lpwstr>
  </property>
</Properties>
</file>