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1A39783B" wp14:editId="29C63724">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343E3366" wp14:editId="5146A94B">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DB4E34" w:rsidP="008F07A3">
          <w:pPr>
            <w:pStyle w:val="ReportSubtitle"/>
          </w:pPr>
          <w:r>
            <w:t>AusNet Services</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403720">
            <w:t>9</w:t>
          </w:r>
          <w:r w:rsidR="000474DF">
            <w:t xml:space="preserve"> </w:t>
          </w:r>
          <w:r w:rsidR="00185BA5">
            <w:t>–</w:t>
          </w:r>
          <w:r w:rsidR="000474DF">
            <w:t xml:space="preserve"> </w:t>
          </w:r>
          <w:r w:rsidR="00C666BF">
            <w:t>Efficiency benefit</w:t>
          </w:r>
          <w:r w:rsidR="00077383">
            <w:t xml:space="preserve"> sharing</w:t>
          </w:r>
          <w:r w:rsidR="00896D92">
            <w:t xml:space="preserve"> scheme</w:t>
          </w:r>
        </w:p>
        <w:p w:rsidR="000A6C7B" w:rsidRPr="00327A1E" w:rsidRDefault="00C95C11"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530011"/>
      <w:r>
        <w:lastRenderedPageBreak/>
        <w:t>Note</w:t>
      </w:r>
      <w:bookmarkEnd w:id="2"/>
      <w:bookmarkEnd w:id="3"/>
      <w:bookmarkEnd w:id="4"/>
    </w:p>
    <w:p w:rsidR="00761454" w:rsidRDefault="00761454" w:rsidP="00761454">
      <w:pPr>
        <w:numPr>
          <w:ilvl w:val="0"/>
          <w:numId w:val="24"/>
        </w:numPr>
      </w:pPr>
      <w:r>
        <w:t xml:space="preserve">This </w:t>
      </w:r>
      <w:r w:rsidR="00FE7A2A">
        <w:t>attachment</w:t>
      </w:r>
      <w:r>
        <w:t xml:space="preserve"> forms part of the AER's </w:t>
      </w:r>
      <w:r w:rsidR="00DB4E34">
        <w:t>final</w:t>
      </w:r>
      <w:r w:rsidR="000474DF">
        <w:t xml:space="preserve"> </w:t>
      </w:r>
      <w:r>
        <w:t xml:space="preserve">decision on </w:t>
      </w:r>
      <w:r w:rsidR="00DB4E34">
        <w:t>AusNet Services'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530012"/>
      <w:r>
        <w:t>Contents</w:t>
      </w:r>
      <w:bookmarkEnd w:id="9"/>
      <w:bookmarkEnd w:id="10"/>
    </w:p>
    <w:p w:rsidR="00CE2A23" w:rsidRDefault="00CE2A23" w:rsidP="00CE2A23"/>
    <w:sdt>
      <w:sdtPr>
        <w:id w:val="1269200322"/>
        <w:docPartObj>
          <w:docPartGallery w:val="Table of Contents"/>
          <w:docPartUnique/>
        </w:docPartObj>
      </w:sdtPr>
      <w:sdtEndPr/>
      <w:sdtContent>
        <w:p w:rsidR="00395E07"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51530011" w:history="1">
            <w:r w:rsidR="00395E07" w:rsidRPr="00B8278B">
              <w:rPr>
                <w:rStyle w:val="Hyperlink"/>
              </w:rPr>
              <w:t>Note</w:t>
            </w:r>
            <w:r w:rsidR="00395E07">
              <w:rPr>
                <w:webHidden/>
              </w:rPr>
              <w:tab/>
            </w:r>
            <w:r w:rsidR="00395E07">
              <w:rPr>
                <w:webHidden/>
              </w:rPr>
              <w:fldChar w:fldCharType="begin"/>
            </w:r>
            <w:r w:rsidR="00395E07">
              <w:rPr>
                <w:webHidden/>
              </w:rPr>
              <w:instrText xml:space="preserve"> PAGEREF _Toc451530011 \h </w:instrText>
            </w:r>
            <w:r w:rsidR="00395E07">
              <w:rPr>
                <w:webHidden/>
              </w:rPr>
            </w:r>
            <w:r w:rsidR="00395E07">
              <w:rPr>
                <w:webHidden/>
              </w:rPr>
              <w:fldChar w:fldCharType="separate"/>
            </w:r>
            <w:r w:rsidR="00395E07">
              <w:rPr>
                <w:webHidden/>
              </w:rPr>
              <w:t>9-2</w:t>
            </w:r>
            <w:r w:rsidR="00395E07">
              <w:rPr>
                <w:webHidden/>
              </w:rPr>
              <w:fldChar w:fldCharType="end"/>
            </w:r>
          </w:hyperlink>
        </w:p>
        <w:p w:rsidR="00395E07" w:rsidRDefault="00395E07">
          <w:pPr>
            <w:pStyle w:val="TOC1"/>
            <w:rPr>
              <w:rFonts w:asciiTheme="minorHAnsi" w:eastAsiaTheme="minorEastAsia" w:hAnsiTheme="minorHAnsi"/>
              <w:b w:val="0"/>
              <w:color w:val="auto"/>
              <w:sz w:val="22"/>
              <w:lang w:val="en-AU" w:eastAsia="en-AU"/>
            </w:rPr>
          </w:pPr>
          <w:hyperlink w:anchor="_Toc451530012" w:history="1">
            <w:r w:rsidRPr="00B8278B">
              <w:rPr>
                <w:rStyle w:val="Hyperlink"/>
              </w:rPr>
              <w:t>Contents</w:t>
            </w:r>
            <w:r>
              <w:rPr>
                <w:webHidden/>
              </w:rPr>
              <w:tab/>
            </w:r>
            <w:r>
              <w:rPr>
                <w:webHidden/>
              </w:rPr>
              <w:fldChar w:fldCharType="begin"/>
            </w:r>
            <w:r>
              <w:rPr>
                <w:webHidden/>
              </w:rPr>
              <w:instrText xml:space="preserve"> PAGEREF _Toc451530012 \h </w:instrText>
            </w:r>
            <w:r>
              <w:rPr>
                <w:webHidden/>
              </w:rPr>
            </w:r>
            <w:r>
              <w:rPr>
                <w:webHidden/>
              </w:rPr>
              <w:fldChar w:fldCharType="separate"/>
            </w:r>
            <w:r>
              <w:rPr>
                <w:webHidden/>
              </w:rPr>
              <w:t>9-3</w:t>
            </w:r>
            <w:r>
              <w:rPr>
                <w:webHidden/>
              </w:rPr>
              <w:fldChar w:fldCharType="end"/>
            </w:r>
          </w:hyperlink>
        </w:p>
        <w:p w:rsidR="00395E07" w:rsidRDefault="00395E07">
          <w:pPr>
            <w:pStyle w:val="TOC1"/>
            <w:rPr>
              <w:rFonts w:asciiTheme="minorHAnsi" w:eastAsiaTheme="minorEastAsia" w:hAnsiTheme="minorHAnsi"/>
              <w:b w:val="0"/>
              <w:color w:val="auto"/>
              <w:sz w:val="22"/>
              <w:lang w:val="en-AU" w:eastAsia="en-AU"/>
            </w:rPr>
          </w:pPr>
          <w:hyperlink w:anchor="_Toc451530013" w:history="1">
            <w:r w:rsidRPr="00B8278B">
              <w:rPr>
                <w:rStyle w:val="Hyperlink"/>
              </w:rPr>
              <w:t>Shortened forms</w:t>
            </w:r>
            <w:r>
              <w:rPr>
                <w:webHidden/>
              </w:rPr>
              <w:tab/>
            </w:r>
            <w:r>
              <w:rPr>
                <w:webHidden/>
              </w:rPr>
              <w:fldChar w:fldCharType="begin"/>
            </w:r>
            <w:r>
              <w:rPr>
                <w:webHidden/>
              </w:rPr>
              <w:instrText xml:space="preserve"> PAGEREF _Toc451530013 \h </w:instrText>
            </w:r>
            <w:r>
              <w:rPr>
                <w:webHidden/>
              </w:rPr>
            </w:r>
            <w:r>
              <w:rPr>
                <w:webHidden/>
              </w:rPr>
              <w:fldChar w:fldCharType="separate"/>
            </w:r>
            <w:r>
              <w:rPr>
                <w:webHidden/>
              </w:rPr>
              <w:t>9-4</w:t>
            </w:r>
            <w:r>
              <w:rPr>
                <w:webHidden/>
              </w:rPr>
              <w:fldChar w:fldCharType="end"/>
            </w:r>
          </w:hyperlink>
        </w:p>
        <w:p w:rsidR="00395E07" w:rsidRDefault="00395E07">
          <w:pPr>
            <w:pStyle w:val="TOC1"/>
            <w:rPr>
              <w:rFonts w:asciiTheme="minorHAnsi" w:eastAsiaTheme="minorEastAsia" w:hAnsiTheme="minorHAnsi"/>
              <w:b w:val="0"/>
              <w:color w:val="auto"/>
              <w:sz w:val="22"/>
              <w:lang w:val="en-AU" w:eastAsia="en-AU"/>
            </w:rPr>
          </w:pPr>
          <w:hyperlink w:anchor="_Toc451530014" w:history="1">
            <w:r w:rsidRPr="00B8278B">
              <w:rPr>
                <w:rStyle w:val="Hyperlink"/>
              </w:rPr>
              <w:t>9</w:t>
            </w:r>
            <w:r>
              <w:rPr>
                <w:rFonts w:asciiTheme="minorHAnsi" w:eastAsiaTheme="minorEastAsia" w:hAnsiTheme="minorHAnsi"/>
                <w:b w:val="0"/>
                <w:color w:val="auto"/>
                <w:sz w:val="22"/>
                <w:lang w:val="en-AU" w:eastAsia="en-AU"/>
              </w:rPr>
              <w:tab/>
            </w:r>
            <w:r w:rsidRPr="00B8278B">
              <w:rPr>
                <w:rStyle w:val="Hyperlink"/>
              </w:rPr>
              <w:t>Efficiency benefit sharing scheme</w:t>
            </w:r>
            <w:r>
              <w:rPr>
                <w:webHidden/>
              </w:rPr>
              <w:tab/>
            </w:r>
            <w:r>
              <w:rPr>
                <w:webHidden/>
              </w:rPr>
              <w:fldChar w:fldCharType="begin"/>
            </w:r>
            <w:r>
              <w:rPr>
                <w:webHidden/>
              </w:rPr>
              <w:instrText xml:space="preserve"> PAGEREF _Toc451530014 \h </w:instrText>
            </w:r>
            <w:r>
              <w:rPr>
                <w:webHidden/>
              </w:rPr>
            </w:r>
            <w:r>
              <w:rPr>
                <w:webHidden/>
              </w:rPr>
              <w:fldChar w:fldCharType="separate"/>
            </w:r>
            <w:r>
              <w:rPr>
                <w:webHidden/>
              </w:rPr>
              <w:t>9-6</w:t>
            </w:r>
            <w:r>
              <w:rPr>
                <w:webHidden/>
              </w:rPr>
              <w:fldChar w:fldCharType="end"/>
            </w:r>
          </w:hyperlink>
        </w:p>
        <w:p w:rsidR="00395E07" w:rsidRDefault="00395E07">
          <w:pPr>
            <w:pStyle w:val="TOC2"/>
            <w:rPr>
              <w:rFonts w:asciiTheme="minorHAnsi" w:eastAsiaTheme="minorEastAsia" w:hAnsiTheme="minorHAnsi"/>
              <w:b w:val="0"/>
              <w:color w:val="auto"/>
              <w:sz w:val="22"/>
              <w:lang w:eastAsia="en-AU"/>
            </w:rPr>
          </w:pPr>
          <w:hyperlink w:anchor="_Toc451530015" w:history="1">
            <w:r w:rsidRPr="00B8278B">
              <w:rPr>
                <w:rStyle w:val="Hyperlink"/>
              </w:rPr>
              <w:t>9.1</w:t>
            </w:r>
            <w:r>
              <w:rPr>
                <w:rFonts w:asciiTheme="minorHAnsi" w:eastAsiaTheme="minorEastAsia" w:hAnsiTheme="minorHAnsi"/>
                <w:b w:val="0"/>
                <w:color w:val="auto"/>
                <w:sz w:val="22"/>
                <w:lang w:eastAsia="en-AU"/>
              </w:rPr>
              <w:tab/>
            </w:r>
            <w:r w:rsidRPr="00B8278B">
              <w:rPr>
                <w:rStyle w:val="Hyperlink"/>
              </w:rPr>
              <w:t>Final decision</w:t>
            </w:r>
            <w:r>
              <w:rPr>
                <w:webHidden/>
              </w:rPr>
              <w:tab/>
            </w:r>
            <w:r>
              <w:rPr>
                <w:webHidden/>
              </w:rPr>
              <w:fldChar w:fldCharType="begin"/>
            </w:r>
            <w:r>
              <w:rPr>
                <w:webHidden/>
              </w:rPr>
              <w:instrText xml:space="preserve"> PAGEREF _Toc451530015 \h </w:instrText>
            </w:r>
            <w:r>
              <w:rPr>
                <w:webHidden/>
              </w:rPr>
            </w:r>
            <w:r>
              <w:rPr>
                <w:webHidden/>
              </w:rPr>
              <w:fldChar w:fldCharType="separate"/>
            </w:r>
            <w:r>
              <w:rPr>
                <w:webHidden/>
              </w:rPr>
              <w:t>9-6</w:t>
            </w:r>
            <w:r>
              <w:rPr>
                <w:webHidden/>
              </w:rPr>
              <w:fldChar w:fldCharType="end"/>
            </w:r>
          </w:hyperlink>
        </w:p>
        <w:p w:rsidR="00395E07" w:rsidRDefault="00395E07">
          <w:pPr>
            <w:pStyle w:val="TOC2"/>
            <w:rPr>
              <w:rFonts w:asciiTheme="minorHAnsi" w:eastAsiaTheme="minorEastAsia" w:hAnsiTheme="minorHAnsi"/>
              <w:b w:val="0"/>
              <w:color w:val="auto"/>
              <w:sz w:val="22"/>
              <w:lang w:eastAsia="en-AU"/>
            </w:rPr>
          </w:pPr>
          <w:hyperlink w:anchor="_Toc451530016" w:history="1">
            <w:r w:rsidRPr="00B8278B">
              <w:rPr>
                <w:rStyle w:val="Hyperlink"/>
              </w:rPr>
              <w:t>9.2</w:t>
            </w:r>
            <w:r>
              <w:rPr>
                <w:rFonts w:asciiTheme="minorHAnsi" w:eastAsiaTheme="minorEastAsia" w:hAnsiTheme="minorHAnsi"/>
                <w:b w:val="0"/>
                <w:color w:val="auto"/>
                <w:sz w:val="22"/>
                <w:lang w:eastAsia="en-AU"/>
              </w:rPr>
              <w:tab/>
            </w:r>
            <w:r w:rsidRPr="00B8278B">
              <w:rPr>
                <w:rStyle w:val="Hyperlink"/>
              </w:rPr>
              <w:t>Preliminary decision</w:t>
            </w:r>
            <w:r>
              <w:rPr>
                <w:webHidden/>
              </w:rPr>
              <w:tab/>
            </w:r>
            <w:r>
              <w:rPr>
                <w:webHidden/>
              </w:rPr>
              <w:fldChar w:fldCharType="begin"/>
            </w:r>
            <w:r>
              <w:rPr>
                <w:webHidden/>
              </w:rPr>
              <w:instrText xml:space="preserve"> PAGEREF _Toc451530016 \h </w:instrText>
            </w:r>
            <w:r>
              <w:rPr>
                <w:webHidden/>
              </w:rPr>
            </w:r>
            <w:r>
              <w:rPr>
                <w:webHidden/>
              </w:rPr>
              <w:fldChar w:fldCharType="separate"/>
            </w:r>
            <w:r>
              <w:rPr>
                <w:webHidden/>
              </w:rPr>
              <w:t>9-7</w:t>
            </w:r>
            <w:r>
              <w:rPr>
                <w:webHidden/>
              </w:rPr>
              <w:fldChar w:fldCharType="end"/>
            </w:r>
          </w:hyperlink>
        </w:p>
        <w:p w:rsidR="00395E07" w:rsidRDefault="00395E07">
          <w:pPr>
            <w:pStyle w:val="TOC2"/>
            <w:rPr>
              <w:rFonts w:asciiTheme="minorHAnsi" w:eastAsiaTheme="minorEastAsia" w:hAnsiTheme="minorHAnsi"/>
              <w:b w:val="0"/>
              <w:color w:val="auto"/>
              <w:sz w:val="22"/>
              <w:lang w:eastAsia="en-AU"/>
            </w:rPr>
          </w:pPr>
          <w:hyperlink w:anchor="_Toc451530017" w:history="1">
            <w:r w:rsidRPr="00B8278B">
              <w:rPr>
                <w:rStyle w:val="Hyperlink"/>
              </w:rPr>
              <w:t>9.3</w:t>
            </w:r>
            <w:r>
              <w:rPr>
                <w:rFonts w:asciiTheme="minorHAnsi" w:eastAsiaTheme="minorEastAsia" w:hAnsiTheme="minorHAnsi"/>
                <w:b w:val="0"/>
                <w:color w:val="auto"/>
                <w:sz w:val="22"/>
                <w:lang w:eastAsia="en-AU"/>
              </w:rPr>
              <w:tab/>
            </w:r>
            <w:r w:rsidRPr="00B8278B">
              <w:rPr>
                <w:rStyle w:val="Hyperlink"/>
              </w:rPr>
              <w:t>AusNet Services' revised proposal and submissions</w:t>
            </w:r>
            <w:r>
              <w:rPr>
                <w:webHidden/>
              </w:rPr>
              <w:tab/>
            </w:r>
            <w:r>
              <w:rPr>
                <w:webHidden/>
              </w:rPr>
              <w:fldChar w:fldCharType="begin"/>
            </w:r>
            <w:r>
              <w:rPr>
                <w:webHidden/>
              </w:rPr>
              <w:instrText xml:space="preserve"> PAGEREF _Toc451530017 \h </w:instrText>
            </w:r>
            <w:r>
              <w:rPr>
                <w:webHidden/>
              </w:rPr>
            </w:r>
            <w:r>
              <w:rPr>
                <w:webHidden/>
              </w:rPr>
              <w:fldChar w:fldCharType="separate"/>
            </w:r>
            <w:r>
              <w:rPr>
                <w:webHidden/>
              </w:rPr>
              <w:t>9-8</w:t>
            </w:r>
            <w:r>
              <w:rPr>
                <w:webHidden/>
              </w:rPr>
              <w:fldChar w:fldCharType="end"/>
            </w:r>
          </w:hyperlink>
        </w:p>
        <w:p w:rsidR="00395E07" w:rsidRDefault="00395E07">
          <w:pPr>
            <w:pStyle w:val="TOC2"/>
            <w:rPr>
              <w:rFonts w:asciiTheme="minorHAnsi" w:eastAsiaTheme="minorEastAsia" w:hAnsiTheme="minorHAnsi"/>
              <w:b w:val="0"/>
              <w:color w:val="auto"/>
              <w:sz w:val="22"/>
              <w:lang w:eastAsia="en-AU"/>
            </w:rPr>
          </w:pPr>
          <w:hyperlink w:anchor="_Toc451530018" w:history="1">
            <w:r w:rsidRPr="00B8278B">
              <w:rPr>
                <w:rStyle w:val="Hyperlink"/>
              </w:rPr>
              <w:t>9.4</w:t>
            </w:r>
            <w:r>
              <w:rPr>
                <w:rFonts w:asciiTheme="minorHAnsi" w:eastAsiaTheme="minorEastAsia" w:hAnsiTheme="minorHAnsi"/>
                <w:b w:val="0"/>
                <w:color w:val="auto"/>
                <w:sz w:val="22"/>
                <w:lang w:eastAsia="en-AU"/>
              </w:rPr>
              <w:tab/>
            </w:r>
            <w:r w:rsidRPr="00B8278B">
              <w:rPr>
                <w:rStyle w:val="Hyperlink"/>
              </w:rPr>
              <w:t>Assessment approach</w:t>
            </w:r>
            <w:r>
              <w:rPr>
                <w:webHidden/>
              </w:rPr>
              <w:tab/>
            </w:r>
            <w:r>
              <w:rPr>
                <w:webHidden/>
              </w:rPr>
              <w:fldChar w:fldCharType="begin"/>
            </w:r>
            <w:r>
              <w:rPr>
                <w:webHidden/>
              </w:rPr>
              <w:instrText xml:space="preserve"> PAGEREF _Toc451530018 \h </w:instrText>
            </w:r>
            <w:r>
              <w:rPr>
                <w:webHidden/>
              </w:rPr>
            </w:r>
            <w:r>
              <w:rPr>
                <w:webHidden/>
              </w:rPr>
              <w:fldChar w:fldCharType="separate"/>
            </w:r>
            <w:r>
              <w:rPr>
                <w:webHidden/>
              </w:rPr>
              <w:t>9-8</w:t>
            </w:r>
            <w:r>
              <w:rPr>
                <w:webHidden/>
              </w:rPr>
              <w:fldChar w:fldCharType="end"/>
            </w:r>
          </w:hyperlink>
        </w:p>
        <w:p w:rsidR="00395E07" w:rsidRDefault="00395E07">
          <w:pPr>
            <w:pStyle w:val="TOC3"/>
            <w:rPr>
              <w:rFonts w:asciiTheme="minorHAnsi" w:eastAsiaTheme="minorEastAsia" w:hAnsiTheme="minorHAnsi"/>
              <w:lang w:eastAsia="en-AU"/>
            </w:rPr>
          </w:pPr>
          <w:hyperlink w:anchor="_Toc451530019" w:history="1">
            <w:r w:rsidRPr="00B8278B">
              <w:rPr>
                <w:rStyle w:val="Hyperlink"/>
              </w:rPr>
              <w:t>9.4.1</w:t>
            </w:r>
            <w:r>
              <w:rPr>
                <w:rFonts w:asciiTheme="minorHAnsi" w:eastAsiaTheme="minorEastAsia" w:hAnsiTheme="minorHAnsi"/>
                <w:lang w:eastAsia="en-AU"/>
              </w:rPr>
              <w:tab/>
            </w:r>
            <w:r w:rsidRPr="00B8278B">
              <w:rPr>
                <w:rStyle w:val="Hyperlink"/>
              </w:rPr>
              <w:t>Interrelationships</w:t>
            </w:r>
            <w:r>
              <w:rPr>
                <w:webHidden/>
              </w:rPr>
              <w:tab/>
            </w:r>
            <w:r>
              <w:rPr>
                <w:webHidden/>
              </w:rPr>
              <w:fldChar w:fldCharType="begin"/>
            </w:r>
            <w:r>
              <w:rPr>
                <w:webHidden/>
              </w:rPr>
              <w:instrText xml:space="preserve"> PAGEREF _Toc451530019 \h </w:instrText>
            </w:r>
            <w:r>
              <w:rPr>
                <w:webHidden/>
              </w:rPr>
            </w:r>
            <w:r>
              <w:rPr>
                <w:webHidden/>
              </w:rPr>
              <w:fldChar w:fldCharType="separate"/>
            </w:r>
            <w:r>
              <w:rPr>
                <w:webHidden/>
              </w:rPr>
              <w:t>9-9</w:t>
            </w:r>
            <w:r>
              <w:rPr>
                <w:webHidden/>
              </w:rPr>
              <w:fldChar w:fldCharType="end"/>
            </w:r>
          </w:hyperlink>
        </w:p>
        <w:p w:rsidR="00395E07" w:rsidRDefault="00395E07">
          <w:pPr>
            <w:pStyle w:val="TOC2"/>
            <w:rPr>
              <w:rFonts w:asciiTheme="minorHAnsi" w:eastAsiaTheme="minorEastAsia" w:hAnsiTheme="minorHAnsi"/>
              <w:b w:val="0"/>
              <w:color w:val="auto"/>
              <w:sz w:val="22"/>
              <w:lang w:eastAsia="en-AU"/>
            </w:rPr>
          </w:pPr>
          <w:hyperlink w:anchor="_Toc451530020" w:history="1">
            <w:r w:rsidRPr="00B8278B">
              <w:rPr>
                <w:rStyle w:val="Hyperlink"/>
              </w:rPr>
              <w:t>9.5</w:t>
            </w:r>
            <w:r>
              <w:rPr>
                <w:rFonts w:asciiTheme="minorHAnsi" w:eastAsiaTheme="minorEastAsia" w:hAnsiTheme="minorHAnsi"/>
                <w:b w:val="0"/>
                <w:color w:val="auto"/>
                <w:sz w:val="22"/>
                <w:lang w:eastAsia="en-AU"/>
              </w:rPr>
              <w:tab/>
            </w:r>
            <w:r w:rsidRPr="00B8278B">
              <w:rPr>
                <w:rStyle w:val="Hyperlink"/>
              </w:rPr>
              <w:t>Reasons for final decision</w:t>
            </w:r>
            <w:r>
              <w:rPr>
                <w:webHidden/>
              </w:rPr>
              <w:tab/>
            </w:r>
            <w:r>
              <w:rPr>
                <w:webHidden/>
              </w:rPr>
              <w:fldChar w:fldCharType="begin"/>
            </w:r>
            <w:r>
              <w:rPr>
                <w:webHidden/>
              </w:rPr>
              <w:instrText xml:space="preserve"> PAGEREF _Toc451530020 \h </w:instrText>
            </w:r>
            <w:r>
              <w:rPr>
                <w:webHidden/>
              </w:rPr>
            </w:r>
            <w:r>
              <w:rPr>
                <w:webHidden/>
              </w:rPr>
              <w:fldChar w:fldCharType="separate"/>
            </w:r>
            <w:r>
              <w:rPr>
                <w:webHidden/>
              </w:rPr>
              <w:t>9-10</w:t>
            </w:r>
            <w:r>
              <w:rPr>
                <w:webHidden/>
              </w:rPr>
              <w:fldChar w:fldCharType="end"/>
            </w:r>
          </w:hyperlink>
        </w:p>
        <w:p w:rsidR="00395E07" w:rsidRDefault="00395E07">
          <w:pPr>
            <w:pStyle w:val="TOC3"/>
            <w:rPr>
              <w:rFonts w:asciiTheme="minorHAnsi" w:eastAsiaTheme="minorEastAsia" w:hAnsiTheme="minorHAnsi"/>
              <w:lang w:eastAsia="en-AU"/>
            </w:rPr>
          </w:pPr>
          <w:hyperlink w:anchor="_Toc451530021" w:history="1">
            <w:r w:rsidRPr="00B8278B">
              <w:rPr>
                <w:rStyle w:val="Hyperlink"/>
              </w:rPr>
              <w:t>9.5.1</w:t>
            </w:r>
            <w:r>
              <w:rPr>
                <w:rFonts w:asciiTheme="minorHAnsi" w:eastAsiaTheme="minorEastAsia" w:hAnsiTheme="minorHAnsi"/>
                <w:lang w:eastAsia="en-AU"/>
              </w:rPr>
              <w:tab/>
            </w:r>
            <w:r w:rsidRPr="00B8278B">
              <w:rPr>
                <w:rStyle w:val="Hyperlink"/>
              </w:rPr>
              <w:t>Carryover amounts from the 2011–15 regulatory control period</w:t>
            </w:r>
            <w:r>
              <w:rPr>
                <w:webHidden/>
              </w:rPr>
              <w:tab/>
            </w:r>
            <w:r>
              <w:rPr>
                <w:webHidden/>
              </w:rPr>
              <w:fldChar w:fldCharType="begin"/>
            </w:r>
            <w:r>
              <w:rPr>
                <w:webHidden/>
              </w:rPr>
              <w:instrText xml:space="preserve"> PAGEREF _Toc451530021 \h </w:instrText>
            </w:r>
            <w:r>
              <w:rPr>
                <w:webHidden/>
              </w:rPr>
            </w:r>
            <w:r>
              <w:rPr>
                <w:webHidden/>
              </w:rPr>
              <w:fldChar w:fldCharType="separate"/>
            </w:r>
            <w:r>
              <w:rPr>
                <w:webHidden/>
              </w:rPr>
              <w:t>9-10</w:t>
            </w:r>
            <w:r>
              <w:rPr>
                <w:webHidden/>
              </w:rPr>
              <w:fldChar w:fldCharType="end"/>
            </w:r>
          </w:hyperlink>
        </w:p>
        <w:p w:rsidR="00395E07" w:rsidRDefault="00395E07">
          <w:pPr>
            <w:pStyle w:val="TOC3"/>
            <w:rPr>
              <w:rFonts w:asciiTheme="minorHAnsi" w:eastAsiaTheme="minorEastAsia" w:hAnsiTheme="minorHAnsi"/>
              <w:lang w:eastAsia="en-AU"/>
            </w:rPr>
          </w:pPr>
          <w:hyperlink w:anchor="_Toc451530022" w:history="1">
            <w:r w:rsidRPr="00B8278B">
              <w:rPr>
                <w:rStyle w:val="Hyperlink"/>
              </w:rPr>
              <w:t>9.5.2</w:t>
            </w:r>
            <w:r>
              <w:rPr>
                <w:rFonts w:asciiTheme="minorHAnsi" w:eastAsiaTheme="minorEastAsia" w:hAnsiTheme="minorHAnsi"/>
                <w:lang w:eastAsia="en-AU"/>
              </w:rPr>
              <w:tab/>
            </w:r>
            <w:r w:rsidRPr="00B8278B">
              <w:rPr>
                <w:rStyle w:val="Hyperlink"/>
              </w:rPr>
              <w:t>How the EBSS will apply in the 2016–20 regulatory control period</w:t>
            </w:r>
            <w:r>
              <w:rPr>
                <w:webHidden/>
              </w:rPr>
              <w:tab/>
            </w:r>
            <w:r>
              <w:rPr>
                <w:webHidden/>
              </w:rPr>
              <w:fldChar w:fldCharType="begin"/>
            </w:r>
            <w:r>
              <w:rPr>
                <w:webHidden/>
              </w:rPr>
              <w:instrText xml:space="preserve"> PAGEREF _Toc451530022 \h </w:instrText>
            </w:r>
            <w:r>
              <w:rPr>
                <w:webHidden/>
              </w:rPr>
            </w:r>
            <w:r>
              <w:rPr>
                <w:webHidden/>
              </w:rPr>
              <w:fldChar w:fldCharType="separate"/>
            </w:r>
            <w:r>
              <w:rPr>
                <w:webHidden/>
              </w:rPr>
              <w:t>9-15</w:t>
            </w:r>
            <w:r>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530013"/>
      <w:r>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7336EA" w:rsidRDefault="007336EA" w:rsidP="007336EA">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32860763"/>
      <w:bookmarkStart w:id="72" w:name="_Toc451530014"/>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F760AF">
        <w:t>Efficiency benefit sharing scheme</w:t>
      </w:r>
      <w:bookmarkEnd w:id="71"/>
      <w:bookmarkEnd w:id="72"/>
    </w:p>
    <w:p w:rsidR="007336EA" w:rsidRPr="000C2EF1" w:rsidRDefault="007336EA" w:rsidP="007336EA">
      <w:pPr>
        <w:rPr>
          <w:rStyle w:val="AERbody"/>
        </w:rPr>
      </w:pPr>
      <w:r w:rsidRPr="00BD6729">
        <w:rPr>
          <w:rStyle w:val="AERbody"/>
        </w:rPr>
        <w:t>The efficiency benefit sharing scheme (EBSS) provides a</w:t>
      </w:r>
      <w:r>
        <w:rPr>
          <w:rStyle w:val="AERbody"/>
        </w:rPr>
        <w:t xml:space="preserve">n additional </w:t>
      </w:r>
      <w:r w:rsidRPr="00BD6729">
        <w:rPr>
          <w:rStyle w:val="AERbody"/>
        </w:rPr>
        <w:t xml:space="preserve">incentive for </w:t>
      </w:r>
      <w:r>
        <w:rPr>
          <w:rStyle w:val="AERbody"/>
        </w:rPr>
        <w:t>service providers</w:t>
      </w:r>
      <w:r w:rsidRPr="00BD6729">
        <w:rPr>
          <w:rStyle w:val="AERbody"/>
        </w:rPr>
        <w:t xml:space="preserve"> to pursue efficiency improve</w:t>
      </w:r>
      <w:r>
        <w:rPr>
          <w:rStyle w:val="AERbody"/>
        </w:rPr>
        <w:t>ments in opex.</w:t>
      </w:r>
      <w:r w:rsidRPr="000C2EF1">
        <w:rPr>
          <w:rStyle w:val="AERbody"/>
        </w:rPr>
        <w:t xml:space="preserve"> </w:t>
      </w:r>
    </w:p>
    <w:p w:rsidR="007336EA" w:rsidRPr="000C2EF1" w:rsidRDefault="007336EA" w:rsidP="007336EA">
      <w:pPr>
        <w:rPr>
          <w:rStyle w:val="AERbody"/>
        </w:rPr>
      </w:pPr>
      <w:r w:rsidRPr="000C2EF1">
        <w:rPr>
          <w:rStyle w:val="AERbody"/>
        </w:rPr>
        <w:t xml:space="preserve">To encourage a </w:t>
      </w:r>
      <w:r>
        <w:rPr>
          <w:rStyle w:val="AERbody"/>
        </w:rPr>
        <w:t>service provider</w:t>
      </w:r>
      <w:r w:rsidRPr="000C2EF1">
        <w:rPr>
          <w:rStyle w:val="AERbody"/>
        </w:rPr>
        <w:t xml:space="preserve"> to become more efficient</w:t>
      </w:r>
      <w:r w:rsidR="00CF161E">
        <w:rPr>
          <w:rStyle w:val="AERbody"/>
        </w:rPr>
        <w:t>,</w:t>
      </w:r>
      <w:r w:rsidRPr="000C2EF1">
        <w:rPr>
          <w:rStyle w:val="AERbody"/>
        </w:rPr>
        <w:t xml:space="preserve"> it is allowed to keep any </w:t>
      </w:r>
      <w:r>
        <w:t>difference between its approved forecast and its actual opex during</w:t>
      </w:r>
      <w:r w:rsidRPr="000C2EF1">
        <w:rPr>
          <w:rStyle w:val="AERbody"/>
        </w:rPr>
        <w:t xml:space="preserve"> a regulatory control period. This is supplemented by the EBSS which provides the </w:t>
      </w:r>
      <w:r>
        <w:rPr>
          <w:rStyle w:val="AERbody"/>
        </w:rPr>
        <w:t>service provider</w:t>
      </w:r>
      <w:r w:rsidRPr="000C2EF1">
        <w:rPr>
          <w:rStyle w:val="AERbody"/>
        </w:rPr>
        <w:t xml:space="preserve"> with an additional reward for reductions in opex and </w:t>
      </w:r>
      <w:r>
        <w:rPr>
          <w:rStyle w:val="AERbody"/>
        </w:rPr>
        <w:t>additional penalties for in</w:t>
      </w:r>
      <w:r w:rsidRPr="000C2EF1">
        <w:rPr>
          <w:rStyle w:val="AERbody"/>
        </w:rPr>
        <w:t xml:space="preserve">creases in opex. In total these rewards and penalties work together to provide a </w:t>
      </w:r>
      <w:r>
        <w:rPr>
          <w:rStyle w:val="AERbody"/>
        </w:rPr>
        <w:t>continuous</w:t>
      </w:r>
      <w:r w:rsidRPr="000C2EF1">
        <w:rPr>
          <w:rStyle w:val="AERbody"/>
        </w:rPr>
        <w:t xml:space="preserve"> incentive for a </w:t>
      </w:r>
      <w:r>
        <w:rPr>
          <w:rStyle w:val="AERbody"/>
        </w:rPr>
        <w:t>service provider</w:t>
      </w:r>
      <w:r w:rsidRPr="000C2EF1">
        <w:rPr>
          <w:rStyle w:val="AERbody"/>
        </w:rPr>
        <w:t xml:space="preserve"> to pursue efficiency gains over the regulatory control period. The EBSS also discourages a </w:t>
      </w:r>
      <w:r>
        <w:rPr>
          <w:rStyle w:val="AERbody"/>
        </w:rPr>
        <w:t>service provider</w:t>
      </w:r>
      <w:r w:rsidRPr="000C2EF1">
        <w:rPr>
          <w:rStyle w:val="AERbody"/>
        </w:rPr>
        <w:t xml:space="preserve"> from </w:t>
      </w:r>
      <w:r>
        <w:t xml:space="preserve">incurring opex </w:t>
      </w:r>
      <w:r w:rsidRPr="000C2EF1">
        <w:rPr>
          <w:rStyle w:val="AERbody"/>
        </w:rPr>
        <w:t>in the expected base year in order to receive a higher opex allowance in the following regulatory control period.</w:t>
      </w:r>
    </w:p>
    <w:p w:rsidR="007336EA" w:rsidRDefault="007336EA" w:rsidP="007336EA">
      <w:bookmarkStart w:id="73" w:name="_Toc406679044"/>
      <w:bookmarkStart w:id="74" w:name="_Toc432860764"/>
      <w:r>
        <w:t>During the 2011</w:t>
      </w:r>
      <w:r w:rsidRPr="0030169A">
        <w:t>–</w:t>
      </w:r>
      <w:r>
        <w:t>15 regulatory control period, AusNet Services</w:t>
      </w:r>
      <w:r w:rsidRPr="0030169A">
        <w:t xml:space="preserve"> operated under</w:t>
      </w:r>
      <w:r>
        <w:t xml:space="preserve"> the Electricity distribution network service providers' EBSS released in June 2008.</w:t>
      </w:r>
      <w:r>
        <w:rPr>
          <w:rStyle w:val="FootnoteReference"/>
        </w:rPr>
        <w:footnoteReference w:id="1"/>
      </w:r>
    </w:p>
    <w:p w:rsidR="007336EA" w:rsidDel="00F06B4B" w:rsidRDefault="007336EA" w:rsidP="007336EA">
      <w:pPr>
        <w:pStyle w:val="Heading2"/>
      </w:pPr>
      <w:bookmarkStart w:id="75" w:name="_Toc451530015"/>
      <w:r w:rsidDel="00F06B4B">
        <w:t xml:space="preserve">Final </w:t>
      </w:r>
      <w:r w:rsidRPr="00F760AF" w:rsidDel="00F06B4B">
        <w:t>decision</w:t>
      </w:r>
      <w:bookmarkEnd w:id="73"/>
      <w:bookmarkEnd w:id="74"/>
      <w:bookmarkEnd w:id="75"/>
    </w:p>
    <w:p w:rsidR="003C3309" w:rsidDel="00F06B4B" w:rsidRDefault="007336EA" w:rsidP="00A23ECA">
      <w:r w:rsidRPr="00A81852" w:rsidDel="00F06B4B">
        <w:t xml:space="preserve">Our final decision is to approve an EBSS carryover amount of </w:t>
      </w:r>
      <w:r w:rsidR="00B977F2" w:rsidDel="00F06B4B">
        <w:t>$</w:t>
      </w:r>
      <w:r w:rsidR="00931A27">
        <w:t>25.9</w:t>
      </w:r>
      <w:r w:rsidDel="00F06B4B">
        <w:t xml:space="preserve"> million </w:t>
      </w:r>
      <w:r w:rsidDel="00F06B4B">
        <w:br/>
        <w:t>($20</w:t>
      </w:r>
      <w:r w:rsidRPr="00A81852" w:rsidDel="00F06B4B">
        <w:t>15) from the app</w:t>
      </w:r>
      <w:r w:rsidDel="00F06B4B">
        <w:t>lication of the EBSS in the 2011</w:t>
      </w:r>
      <w:r w:rsidRPr="00A81852" w:rsidDel="00F06B4B">
        <w:t>–15 regulatory control period.</w:t>
      </w:r>
      <w:r w:rsidRPr="00A81852" w:rsidDel="00F06B4B">
        <w:rPr>
          <w:rStyle w:val="FootnoteReference"/>
        </w:rPr>
        <w:footnoteReference w:id="2"/>
      </w:r>
      <w:r w:rsidDel="00F06B4B">
        <w:t xml:space="preserve"> It is different to AusNet Servic</w:t>
      </w:r>
      <w:r w:rsidR="003C3309" w:rsidDel="00F06B4B">
        <w:t xml:space="preserve">es' revised proposal because we used a different approach to adjust for inflation. </w:t>
      </w:r>
      <w:r w:rsidR="00423568">
        <w:t>Our</w:t>
      </w:r>
      <w:r w:rsidR="00D15769" w:rsidDel="00F06B4B">
        <w:t xml:space="preserve"> </w:t>
      </w:r>
      <w:r w:rsidR="00A231C3">
        <w:t>final decision</w:t>
      </w:r>
      <w:r w:rsidR="00D15769" w:rsidDel="00F06B4B">
        <w:t xml:space="preserve"> </w:t>
      </w:r>
      <w:r w:rsidR="00A231C3">
        <w:t xml:space="preserve">EBSS </w:t>
      </w:r>
      <w:r w:rsidR="00F309B3" w:rsidDel="00F06B4B">
        <w:t xml:space="preserve">carryover </w:t>
      </w:r>
      <w:r w:rsidR="00A231C3">
        <w:t>is higher than</w:t>
      </w:r>
      <w:r w:rsidR="00D15769" w:rsidDel="00F06B4B">
        <w:t xml:space="preserve"> </w:t>
      </w:r>
      <w:r w:rsidR="00423568">
        <w:t>our</w:t>
      </w:r>
      <w:r w:rsidR="00D15769" w:rsidDel="00F06B4B">
        <w:t xml:space="preserve"> preliminary decision </w:t>
      </w:r>
      <w:r w:rsidR="00A231C3">
        <w:t>carryover because we changed the way we adjusted</w:t>
      </w:r>
      <w:r w:rsidR="00D15769" w:rsidDel="00F06B4B">
        <w:t xml:space="preserve"> movement</w:t>
      </w:r>
      <w:r w:rsidR="00FE2F53">
        <w:t>s</w:t>
      </w:r>
      <w:r w:rsidR="00D15769" w:rsidDel="00F06B4B">
        <w:t xml:space="preserve"> in provisions</w:t>
      </w:r>
      <w:r w:rsidR="00F309B3" w:rsidDel="00F06B4B">
        <w:t>.</w:t>
      </w:r>
    </w:p>
    <w:p w:rsidR="007336EA" w:rsidRPr="00A23ECA" w:rsidDel="00F06B4B" w:rsidRDefault="007336EA" w:rsidP="00A23ECA">
      <w:r w:rsidRPr="00A23ECA" w:rsidDel="00F06B4B">
        <w:t xml:space="preserve">Our final decision for the EBSS carryover amounts from the 2011–15 regulatory control period is outlined in </w:t>
      </w:r>
      <w:r w:rsidRPr="00A23ECA" w:rsidDel="00F06B4B">
        <w:fldChar w:fldCharType="begin"/>
      </w:r>
      <w:r w:rsidRPr="00A23ECA" w:rsidDel="00F06B4B">
        <w:instrText xml:space="preserve"> REF _Ref406741455 \h </w:instrText>
      </w:r>
      <w:r w:rsidR="00A23ECA" w:rsidDel="00F06B4B">
        <w:instrText xml:space="preserve"> \* MERGEFORMAT </w:instrText>
      </w:r>
      <w:r w:rsidRPr="00A23ECA" w:rsidDel="00F06B4B">
        <w:fldChar w:fldCharType="separate"/>
      </w:r>
      <w:r w:rsidR="00B47923" w:rsidDel="00F06B4B">
        <w:t xml:space="preserve">Table </w:t>
      </w:r>
      <w:r w:rsidR="00B47923">
        <w:t>9</w:t>
      </w:r>
      <w:r w:rsidR="00B47923" w:rsidDel="00F06B4B">
        <w:t>.</w:t>
      </w:r>
      <w:r w:rsidR="00B47923">
        <w:t>1</w:t>
      </w:r>
      <w:r w:rsidRPr="00A23ECA" w:rsidDel="00F06B4B">
        <w:fldChar w:fldCharType="end"/>
      </w:r>
      <w:r w:rsidRPr="00A23ECA" w:rsidDel="00F06B4B">
        <w:t>.</w:t>
      </w:r>
    </w:p>
    <w:p w:rsidR="007336EA" w:rsidRPr="00BA7C17" w:rsidDel="00F06B4B" w:rsidRDefault="007336EA" w:rsidP="007336EA">
      <w:pPr>
        <w:pStyle w:val="Caption"/>
      </w:pPr>
      <w:bookmarkStart w:id="76" w:name="_Ref406741455"/>
      <w:r w:rsidDel="00F06B4B">
        <w:t xml:space="preserve">Table </w:t>
      </w:r>
      <w:r w:rsidRPr="00524D34" w:rsidDel="00F06B4B">
        <w:rPr>
          <w:b w:val="0"/>
          <w:bCs w:val="0"/>
        </w:rPr>
        <w:fldChar w:fldCharType="begin"/>
      </w:r>
      <w:r w:rsidDel="00F06B4B">
        <w:instrText xml:space="preserve"> STYLEREF 1 \s </w:instrText>
      </w:r>
      <w:r w:rsidRPr="00524D34" w:rsidDel="00F06B4B">
        <w:rPr>
          <w:b w:val="0"/>
          <w:bCs w:val="0"/>
        </w:rPr>
        <w:fldChar w:fldCharType="separate"/>
      </w:r>
      <w:r w:rsidR="00B47923">
        <w:rPr>
          <w:noProof/>
        </w:rPr>
        <w:t>9</w:t>
      </w:r>
      <w:r w:rsidRPr="00524D34" w:rsidDel="00F06B4B">
        <w:rPr>
          <w:b w:val="0"/>
          <w:bCs w:val="0"/>
        </w:rPr>
        <w:fldChar w:fldCharType="end"/>
      </w:r>
      <w:r w:rsidDel="00F06B4B">
        <w:t>.</w:t>
      </w:r>
      <w:r w:rsidRPr="00524D34" w:rsidDel="00F06B4B">
        <w:rPr>
          <w:b w:val="0"/>
          <w:bCs w:val="0"/>
        </w:rPr>
        <w:fldChar w:fldCharType="begin"/>
      </w:r>
      <w:r w:rsidDel="00F06B4B">
        <w:instrText xml:space="preserve"> SEQ Table \* ARABIC \s 1 </w:instrText>
      </w:r>
      <w:r w:rsidRPr="00524D34" w:rsidDel="00F06B4B">
        <w:rPr>
          <w:b w:val="0"/>
          <w:bCs w:val="0"/>
        </w:rPr>
        <w:fldChar w:fldCharType="separate"/>
      </w:r>
      <w:r w:rsidR="00B47923">
        <w:rPr>
          <w:noProof/>
        </w:rPr>
        <w:t>1</w:t>
      </w:r>
      <w:r w:rsidRPr="00524D34" w:rsidDel="00F06B4B">
        <w:rPr>
          <w:b w:val="0"/>
          <w:bCs w:val="0"/>
        </w:rPr>
        <w:fldChar w:fldCharType="end"/>
      </w:r>
      <w:bookmarkEnd w:id="76"/>
      <w:r w:rsidDel="00F06B4B">
        <w:tab/>
        <w:t>AER’s final decision on AusNet Services' EBSS carryover amounts ($ million, 2015)</w:t>
      </w:r>
    </w:p>
    <w:tbl>
      <w:tblPr>
        <w:tblStyle w:val="AERtable-numbers"/>
        <w:tblW w:w="0" w:type="auto"/>
        <w:tblLook w:val="04A0" w:firstRow="1" w:lastRow="0" w:firstColumn="1" w:lastColumn="0" w:noHBand="0" w:noVBand="1"/>
      </w:tblPr>
      <w:tblGrid>
        <w:gridCol w:w="2696"/>
        <w:gridCol w:w="998"/>
        <w:gridCol w:w="999"/>
        <w:gridCol w:w="999"/>
        <w:gridCol w:w="999"/>
        <w:gridCol w:w="999"/>
        <w:gridCol w:w="1003"/>
      </w:tblGrid>
      <w:tr w:rsidR="007336EA" w:rsidDel="00F06B4B" w:rsidTr="00B70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7336EA" w:rsidDel="00F06B4B" w:rsidRDefault="007336EA" w:rsidP="007336EA">
            <w:pPr>
              <w:pStyle w:val="AERtabletextleft"/>
            </w:pPr>
          </w:p>
        </w:tc>
        <w:tc>
          <w:tcPr>
            <w:tcW w:w="1049" w:type="dxa"/>
          </w:tcPr>
          <w:p w:rsidR="007336EA" w:rsidRPr="007336EA" w:rsidDel="00F06B4B" w:rsidRDefault="007336EA" w:rsidP="007336EA">
            <w:pPr>
              <w:pStyle w:val="AERtabletextright"/>
              <w:cnfStyle w:val="100000000000" w:firstRow="1" w:lastRow="0" w:firstColumn="0" w:lastColumn="0" w:oddVBand="0" w:evenVBand="0" w:oddHBand="0" w:evenHBand="0" w:firstRowFirstColumn="0" w:firstRowLastColumn="0" w:lastRowFirstColumn="0" w:lastRowLastColumn="0"/>
            </w:pPr>
            <w:r w:rsidDel="00F06B4B">
              <w:t>20</w:t>
            </w:r>
            <w:r w:rsidRPr="007336EA" w:rsidDel="00F06B4B">
              <w:t>16</w:t>
            </w:r>
          </w:p>
        </w:tc>
        <w:tc>
          <w:tcPr>
            <w:tcW w:w="1050" w:type="dxa"/>
          </w:tcPr>
          <w:p w:rsidR="007336EA" w:rsidRPr="007336EA" w:rsidDel="00F06B4B" w:rsidRDefault="007336EA" w:rsidP="007336EA">
            <w:pPr>
              <w:pStyle w:val="AERtabletextright"/>
              <w:cnfStyle w:val="100000000000" w:firstRow="1" w:lastRow="0" w:firstColumn="0" w:lastColumn="0" w:oddVBand="0" w:evenVBand="0" w:oddHBand="0" w:evenHBand="0" w:firstRowFirstColumn="0" w:firstRowLastColumn="0" w:lastRowFirstColumn="0" w:lastRowLastColumn="0"/>
            </w:pPr>
            <w:r w:rsidDel="00F06B4B">
              <w:t>20</w:t>
            </w:r>
            <w:r w:rsidRPr="007336EA" w:rsidDel="00F06B4B">
              <w:t>17</w:t>
            </w:r>
          </w:p>
        </w:tc>
        <w:tc>
          <w:tcPr>
            <w:tcW w:w="1050" w:type="dxa"/>
          </w:tcPr>
          <w:p w:rsidR="007336EA" w:rsidRPr="007336EA" w:rsidDel="00F06B4B" w:rsidRDefault="007336EA" w:rsidP="007336EA">
            <w:pPr>
              <w:pStyle w:val="AERtabletextright"/>
              <w:cnfStyle w:val="100000000000" w:firstRow="1" w:lastRow="0" w:firstColumn="0" w:lastColumn="0" w:oddVBand="0" w:evenVBand="0" w:oddHBand="0" w:evenHBand="0" w:firstRowFirstColumn="0" w:firstRowLastColumn="0" w:lastRowFirstColumn="0" w:lastRowLastColumn="0"/>
            </w:pPr>
            <w:r w:rsidDel="00F06B4B">
              <w:t>20</w:t>
            </w:r>
            <w:r w:rsidRPr="007336EA" w:rsidDel="00F06B4B">
              <w:t>18</w:t>
            </w:r>
          </w:p>
        </w:tc>
        <w:tc>
          <w:tcPr>
            <w:tcW w:w="1050" w:type="dxa"/>
          </w:tcPr>
          <w:p w:rsidR="007336EA" w:rsidRPr="007336EA" w:rsidDel="00F06B4B" w:rsidRDefault="007336EA" w:rsidP="007336EA">
            <w:pPr>
              <w:pStyle w:val="AERtabletextright"/>
              <w:cnfStyle w:val="100000000000" w:firstRow="1" w:lastRow="0" w:firstColumn="0" w:lastColumn="0" w:oddVBand="0" w:evenVBand="0" w:oddHBand="0" w:evenHBand="0" w:firstRowFirstColumn="0" w:firstRowLastColumn="0" w:lastRowFirstColumn="0" w:lastRowLastColumn="0"/>
            </w:pPr>
            <w:r w:rsidDel="00F06B4B">
              <w:t>20</w:t>
            </w:r>
            <w:r w:rsidRPr="007336EA" w:rsidDel="00F06B4B">
              <w:t>19</w:t>
            </w:r>
          </w:p>
        </w:tc>
        <w:tc>
          <w:tcPr>
            <w:tcW w:w="1050" w:type="dxa"/>
          </w:tcPr>
          <w:p w:rsidR="007336EA" w:rsidRPr="007336EA" w:rsidDel="00F06B4B" w:rsidRDefault="007336EA" w:rsidP="007336EA">
            <w:pPr>
              <w:pStyle w:val="AERtabletextright"/>
              <w:cnfStyle w:val="100000000000" w:firstRow="1" w:lastRow="0" w:firstColumn="0" w:lastColumn="0" w:oddVBand="0" w:evenVBand="0" w:oddHBand="0" w:evenHBand="0" w:firstRowFirstColumn="0" w:firstRowLastColumn="0" w:lastRowFirstColumn="0" w:lastRowLastColumn="0"/>
            </w:pPr>
            <w:r w:rsidDel="00F06B4B">
              <w:t>20</w:t>
            </w:r>
            <w:r w:rsidRPr="007336EA" w:rsidDel="00F06B4B">
              <w:t>20</w:t>
            </w:r>
          </w:p>
        </w:tc>
        <w:tc>
          <w:tcPr>
            <w:tcW w:w="1050" w:type="dxa"/>
          </w:tcPr>
          <w:p w:rsidR="007336EA" w:rsidRPr="007336EA" w:rsidDel="00F06B4B" w:rsidRDefault="007336EA" w:rsidP="007336EA">
            <w:pPr>
              <w:pStyle w:val="AERtabletextright"/>
              <w:cnfStyle w:val="100000000000" w:firstRow="1" w:lastRow="0" w:firstColumn="0" w:lastColumn="0" w:oddVBand="0" w:evenVBand="0" w:oddHBand="0" w:evenHBand="0" w:firstRowFirstColumn="0" w:firstRowLastColumn="0" w:lastRowFirstColumn="0" w:lastRowLastColumn="0"/>
            </w:pPr>
            <w:r w:rsidDel="00F06B4B">
              <w:t>Total</w:t>
            </w:r>
          </w:p>
        </w:tc>
      </w:tr>
      <w:tr w:rsidR="007336EA" w:rsidDel="00F06B4B" w:rsidTr="00B70F95">
        <w:tc>
          <w:tcPr>
            <w:cnfStyle w:val="001000000000" w:firstRow="0" w:lastRow="0" w:firstColumn="1" w:lastColumn="0" w:oddVBand="0" w:evenVBand="0" w:oddHBand="0" w:evenHBand="0" w:firstRowFirstColumn="0" w:firstRowLastColumn="0" w:lastRowFirstColumn="0" w:lastRowLastColumn="0"/>
            <w:tcW w:w="2943" w:type="dxa"/>
          </w:tcPr>
          <w:p w:rsidR="007336EA" w:rsidRPr="007336EA" w:rsidDel="00F06B4B" w:rsidRDefault="007336EA" w:rsidP="007336EA">
            <w:pPr>
              <w:pStyle w:val="AERtabletextleft"/>
            </w:pPr>
            <w:r w:rsidDel="00F06B4B">
              <w:t>AusNet Services'</w:t>
            </w:r>
            <w:r w:rsidRPr="007336EA" w:rsidDel="00F06B4B">
              <w:t xml:space="preserve"> revised proposed carryover</w:t>
            </w:r>
          </w:p>
        </w:tc>
        <w:tc>
          <w:tcPr>
            <w:tcW w:w="1049" w:type="dxa"/>
          </w:tcPr>
          <w:p w:rsidR="007336EA" w:rsidRPr="007336EA" w:rsidDel="00F06B4B" w:rsidRDefault="00A23ECA" w:rsidP="007336EA">
            <w:pPr>
              <w:pStyle w:val="AERtabletextright"/>
              <w:cnfStyle w:val="000000000000" w:firstRow="0" w:lastRow="0" w:firstColumn="0" w:lastColumn="0" w:oddVBand="0" w:evenVBand="0" w:oddHBand="0" w:evenHBand="0" w:firstRowFirstColumn="0" w:firstRowLastColumn="0" w:lastRowFirstColumn="0" w:lastRowLastColumn="0"/>
            </w:pPr>
            <w:r w:rsidDel="00F06B4B">
              <w:t>25.2</w:t>
            </w:r>
          </w:p>
        </w:tc>
        <w:tc>
          <w:tcPr>
            <w:tcW w:w="1050" w:type="dxa"/>
          </w:tcPr>
          <w:p w:rsidR="007336EA" w:rsidRPr="007336EA" w:rsidDel="00F06B4B" w:rsidRDefault="00A23ECA" w:rsidP="007336EA">
            <w:pPr>
              <w:pStyle w:val="AERtabletextright"/>
              <w:cnfStyle w:val="000000000000" w:firstRow="0" w:lastRow="0" w:firstColumn="0" w:lastColumn="0" w:oddVBand="0" w:evenVBand="0" w:oddHBand="0" w:evenHBand="0" w:firstRowFirstColumn="0" w:firstRowLastColumn="0" w:lastRowFirstColumn="0" w:lastRowLastColumn="0"/>
            </w:pPr>
            <w:r w:rsidDel="00F06B4B">
              <w:t>-4.5</w:t>
            </w:r>
          </w:p>
        </w:tc>
        <w:tc>
          <w:tcPr>
            <w:tcW w:w="1050" w:type="dxa"/>
          </w:tcPr>
          <w:p w:rsidR="007336EA" w:rsidRPr="007336EA" w:rsidDel="00F06B4B" w:rsidRDefault="00A23ECA" w:rsidP="007336EA">
            <w:pPr>
              <w:pStyle w:val="AERtabletextright"/>
              <w:cnfStyle w:val="000000000000" w:firstRow="0" w:lastRow="0" w:firstColumn="0" w:lastColumn="0" w:oddVBand="0" w:evenVBand="0" w:oddHBand="0" w:evenHBand="0" w:firstRowFirstColumn="0" w:firstRowLastColumn="0" w:lastRowFirstColumn="0" w:lastRowLastColumn="0"/>
            </w:pPr>
            <w:r w:rsidDel="00F06B4B">
              <w:t>-5.4</w:t>
            </w:r>
          </w:p>
        </w:tc>
        <w:tc>
          <w:tcPr>
            <w:tcW w:w="1050" w:type="dxa"/>
          </w:tcPr>
          <w:p w:rsidR="007336EA" w:rsidRPr="007336EA" w:rsidDel="00F06B4B" w:rsidRDefault="00A23ECA" w:rsidP="007336EA">
            <w:pPr>
              <w:pStyle w:val="AERtabletextright"/>
              <w:cnfStyle w:val="000000000000" w:firstRow="0" w:lastRow="0" w:firstColumn="0" w:lastColumn="0" w:oddVBand="0" w:evenVBand="0" w:oddHBand="0" w:evenHBand="0" w:firstRowFirstColumn="0" w:firstRowLastColumn="0" w:lastRowFirstColumn="0" w:lastRowLastColumn="0"/>
            </w:pPr>
            <w:r w:rsidDel="00F06B4B">
              <w:t>13.2</w:t>
            </w:r>
          </w:p>
        </w:tc>
        <w:tc>
          <w:tcPr>
            <w:tcW w:w="1050" w:type="dxa"/>
          </w:tcPr>
          <w:p w:rsidR="007336EA" w:rsidRPr="007336EA" w:rsidDel="00F06B4B" w:rsidRDefault="00A23ECA" w:rsidP="007336EA">
            <w:pPr>
              <w:pStyle w:val="AERtabletextright"/>
              <w:cnfStyle w:val="000000000000" w:firstRow="0" w:lastRow="0" w:firstColumn="0" w:lastColumn="0" w:oddVBand="0" w:evenVBand="0" w:oddHBand="0" w:evenHBand="0" w:firstRowFirstColumn="0" w:firstRowLastColumn="0" w:lastRowFirstColumn="0" w:lastRowLastColumn="0"/>
            </w:pPr>
            <w:r w:rsidDel="00F06B4B">
              <w:t>0.0</w:t>
            </w:r>
          </w:p>
        </w:tc>
        <w:tc>
          <w:tcPr>
            <w:tcW w:w="1050" w:type="dxa"/>
          </w:tcPr>
          <w:p w:rsidR="007336EA" w:rsidRPr="007336EA" w:rsidDel="00F06B4B" w:rsidRDefault="00A23ECA" w:rsidP="007336EA">
            <w:pPr>
              <w:pStyle w:val="AERtabletextright"/>
              <w:cnfStyle w:val="000000000000" w:firstRow="0" w:lastRow="0" w:firstColumn="0" w:lastColumn="0" w:oddVBand="0" w:evenVBand="0" w:oddHBand="0" w:evenHBand="0" w:firstRowFirstColumn="0" w:firstRowLastColumn="0" w:lastRowFirstColumn="0" w:lastRowLastColumn="0"/>
            </w:pPr>
            <w:r w:rsidDel="00F06B4B">
              <w:t>28.4</w:t>
            </w:r>
          </w:p>
        </w:tc>
      </w:tr>
      <w:tr w:rsidR="007336EA" w:rsidDel="00F06B4B" w:rsidTr="00B70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7336EA" w:rsidRPr="007336EA" w:rsidDel="00F06B4B" w:rsidRDefault="007336EA" w:rsidP="007336EA">
            <w:pPr>
              <w:pStyle w:val="AERtabletextleft"/>
            </w:pPr>
            <w:r w:rsidDel="00F06B4B">
              <w:t>Final</w:t>
            </w:r>
            <w:r w:rsidRPr="007336EA" w:rsidDel="00F06B4B">
              <w:t xml:space="preserve"> decision</w:t>
            </w:r>
          </w:p>
        </w:tc>
        <w:tc>
          <w:tcPr>
            <w:tcW w:w="1049" w:type="dxa"/>
          </w:tcPr>
          <w:p w:rsidR="007336EA" w:rsidRPr="007336EA" w:rsidDel="00F06B4B" w:rsidRDefault="00B977F2" w:rsidP="007336EA">
            <w:pPr>
              <w:pStyle w:val="AERtabletextright"/>
              <w:cnfStyle w:val="000000010000" w:firstRow="0" w:lastRow="0" w:firstColumn="0" w:lastColumn="0" w:oddVBand="0" w:evenVBand="0" w:oddHBand="0" w:evenHBand="1" w:firstRowFirstColumn="0" w:firstRowLastColumn="0" w:lastRowFirstColumn="0" w:lastRowLastColumn="0"/>
            </w:pPr>
            <w:r w:rsidDel="00F06B4B">
              <w:t>21.</w:t>
            </w:r>
            <w:r w:rsidR="00931A27">
              <w:t>1</w:t>
            </w:r>
          </w:p>
        </w:tc>
        <w:tc>
          <w:tcPr>
            <w:tcW w:w="1050" w:type="dxa"/>
          </w:tcPr>
          <w:p w:rsidR="007336EA" w:rsidRPr="007336EA" w:rsidDel="00F06B4B" w:rsidRDefault="00B977F2" w:rsidP="007336EA">
            <w:pPr>
              <w:pStyle w:val="AERtabletextright"/>
              <w:cnfStyle w:val="000000010000" w:firstRow="0" w:lastRow="0" w:firstColumn="0" w:lastColumn="0" w:oddVBand="0" w:evenVBand="0" w:oddHBand="0" w:evenHBand="1" w:firstRowFirstColumn="0" w:firstRowLastColumn="0" w:lastRowFirstColumn="0" w:lastRowLastColumn="0"/>
            </w:pPr>
            <w:r w:rsidDel="00F06B4B">
              <w:t>-6.</w:t>
            </w:r>
            <w:r w:rsidR="00931A27">
              <w:t>2</w:t>
            </w:r>
          </w:p>
        </w:tc>
        <w:tc>
          <w:tcPr>
            <w:tcW w:w="1050" w:type="dxa"/>
          </w:tcPr>
          <w:p w:rsidR="007336EA" w:rsidRPr="007336EA" w:rsidDel="00F06B4B" w:rsidRDefault="00B977F2" w:rsidP="007336EA">
            <w:pPr>
              <w:pStyle w:val="AERtabletextright"/>
              <w:cnfStyle w:val="000000010000" w:firstRow="0" w:lastRow="0" w:firstColumn="0" w:lastColumn="0" w:oddVBand="0" w:evenVBand="0" w:oddHBand="0" w:evenHBand="1" w:firstRowFirstColumn="0" w:firstRowLastColumn="0" w:lastRowFirstColumn="0" w:lastRowLastColumn="0"/>
            </w:pPr>
            <w:r w:rsidDel="00F06B4B">
              <w:t>-3.</w:t>
            </w:r>
            <w:r w:rsidR="00931A27">
              <w:t>5</w:t>
            </w:r>
          </w:p>
        </w:tc>
        <w:tc>
          <w:tcPr>
            <w:tcW w:w="1050" w:type="dxa"/>
          </w:tcPr>
          <w:p w:rsidR="007336EA" w:rsidRPr="007336EA" w:rsidDel="00F06B4B" w:rsidRDefault="00B977F2" w:rsidP="007336EA">
            <w:pPr>
              <w:pStyle w:val="AERtabletextright"/>
              <w:cnfStyle w:val="000000010000" w:firstRow="0" w:lastRow="0" w:firstColumn="0" w:lastColumn="0" w:oddVBand="0" w:evenVBand="0" w:oddHBand="0" w:evenHBand="1" w:firstRowFirstColumn="0" w:firstRowLastColumn="0" w:lastRowFirstColumn="0" w:lastRowLastColumn="0"/>
            </w:pPr>
            <w:r w:rsidDel="00F06B4B">
              <w:t>14.</w:t>
            </w:r>
            <w:r w:rsidR="00931A27">
              <w:t>6</w:t>
            </w:r>
          </w:p>
        </w:tc>
        <w:tc>
          <w:tcPr>
            <w:tcW w:w="1050" w:type="dxa"/>
          </w:tcPr>
          <w:p w:rsidR="007336EA" w:rsidRPr="007336EA" w:rsidDel="00F06B4B" w:rsidRDefault="00B977F2" w:rsidP="007336EA">
            <w:pPr>
              <w:pStyle w:val="AERtabletextright"/>
              <w:cnfStyle w:val="000000010000" w:firstRow="0" w:lastRow="0" w:firstColumn="0" w:lastColumn="0" w:oddVBand="0" w:evenVBand="0" w:oddHBand="0" w:evenHBand="1" w:firstRowFirstColumn="0" w:firstRowLastColumn="0" w:lastRowFirstColumn="0" w:lastRowLastColumn="0"/>
            </w:pPr>
            <w:r w:rsidDel="00F06B4B">
              <w:t>0.0</w:t>
            </w:r>
          </w:p>
        </w:tc>
        <w:tc>
          <w:tcPr>
            <w:tcW w:w="1050" w:type="dxa"/>
          </w:tcPr>
          <w:p w:rsidR="007336EA" w:rsidRPr="007336EA" w:rsidDel="00F06B4B" w:rsidRDefault="00931A27" w:rsidP="007336EA">
            <w:pPr>
              <w:pStyle w:val="AERtabletextright"/>
              <w:cnfStyle w:val="000000010000" w:firstRow="0" w:lastRow="0" w:firstColumn="0" w:lastColumn="0" w:oddVBand="0" w:evenVBand="0" w:oddHBand="0" w:evenHBand="1" w:firstRowFirstColumn="0" w:firstRowLastColumn="0" w:lastRowFirstColumn="0" w:lastRowLastColumn="0"/>
            </w:pPr>
            <w:r>
              <w:t>25.9</w:t>
            </w:r>
          </w:p>
        </w:tc>
      </w:tr>
    </w:tbl>
    <w:p w:rsidR="007336EA" w:rsidDel="00F06B4B" w:rsidRDefault="007336EA" w:rsidP="007336EA">
      <w:pPr>
        <w:pStyle w:val="AERtablesource"/>
      </w:pPr>
      <w:r w:rsidRPr="00BA7C17" w:rsidDel="00F06B4B">
        <w:t xml:space="preserve">Source: </w:t>
      </w:r>
      <w:r w:rsidR="00673094">
        <w:tab/>
      </w:r>
      <w:r w:rsidRPr="00BA7C17" w:rsidDel="00F06B4B">
        <w:t xml:space="preserve">AER analysis; </w:t>
      </w:r>
      <w:r w:rsidDel="00F06B4B">
        <w:t>AusNet Services</w:t>
      </w:r>
      <w:r w:rsidRPr="00D20E85" w:rsidDel="00F06B4B">
        <w:t xml:space="preserve">, </w:t>
      </w:r>
      <w:r w:rsidRPr="00D20E85" w:rsidDel="00F06B4B">
        <w:rPr>
          <w:rStyle w:val="AERtextitalic"/>
        </w:rPr>
        <w:t>R</w:t>
      </w:r>
      <w:r w:rsidDel="00F06B4B">
        <w:rPr>
          <w:rStyle w:val="AERtextitalic"/>
        </w:rPr>
        <w:t>evised r</w:t>
      </w:r>
      <w:r w:rsidRPr="00D20E85" w:rsidDel="00F06B4B">
        <w:rPr>
          <w:rStyle w:val="AERtextitalic"/>
        </w:rPr>
        <w:t>egulatory proposal</w:t>
      </w:r>
      <w:r w:rsidR="00A23ECA" w:rsidDel="00F06B4B">
        <w:t xml:space="preserve">, </w:t>
      </w:r>
      <w:r w:rsidR="00A23ECA" w:rsidRPr="0022189B" w:rsidDel="00F06B4B">
        <w:rPr>
          <w:rStyle w:val="Emphasis"/>
        </w:rPr>
        <w:t>PTRM</w:t>
      </w:r>
      <w:r w:rsidR="00FC5CAD">
        <w:t>, January 2016.</w:t>
      </w:r>
      <w:r w:rsidDel="00F06B4B">
        <w:t xml:space="preserve"> </w:t>
      </w:r>
    </w:p>
    <w:p w:rsidR="007336EA" w:rsidDel="00F06B4B" w:rsidRDefault="007336EA" w:rsidP="007336EA">
      <w:pPr>
        <w:rPr>
          <w:rStyle w:val="AERbody"/>
        </w:rPr>
      </w:pPr>
      <w:r w:rsidDel="00F06B4B">
        <w:rPr>
          <w:rStyle w:val="AERbody"/>
        </w:rPr>
        <w:t>We have maintained our preliminary decision to</w:t>
      </w:r>
      <w:r w:rsidRPr="00A95046" w:rsidDel="00F06B4B">
        <w:rPr>
          <w:rStyle w:val="AERbody"/>
        </w:rPr>
        <w:t xml:space="preserve"> apply version two of the EBSS</w:t>
      </w:r>
      <w:r w:rsidDel="00F06B4B">
        <w:rPr>
          <w:rStyle w:val="AERbody"/>
        </w:rPr>
        <w:t xml:space="preserve"> </w:t>
      </w:r>
      <w:r w:rsidRPr="00A95046" w:rsidDel="00F06B4B">
        <w:rPr>
          <w:rStyle w:val="AERbody"/>
        </w:rPr>
        <w:t xml:space="preserve">to </w:t>
      </w:r>
      <w:r w:rsidDel="00F06B4B">
        <w:rPr>
          <w:rStyle w:val="AERbody"/>
        </w:rPr>
        <w:t>AusNet Services in the 2016–20 regulatory control period.</w:t>
      </w:r>
      <w:r w:rsidDel="00F06B4B">
        <w:rPr>
          <w:rStyle w:val="FootnoteReference"/>
        </w:rPr>
        <w:footnoteReference w:id="3"/>
      </w:r>
    </w:p>
    <w:p w:rsidR="007336EA" w:rsidRPr="007E75DE" w:rsidDel="00F06B4B" w:rsidRDefault="007336EA" w:rsidP="007336EA">
      <w:pPr>
        <w:numPr>
          <w:ilvl w:val="0"/>
          <w:numId w:val="24"/>
        </w:numPr>
      </w:pPr>
      <w:r w:rsidRPr="007E75DE" w:rsidDel="00F06B4B">
        <w:t>When we apply version two of the EBSS</w:t>
      </w:r>
      <w:r w:rsidR="00E901F4">
        <w:t>,</w:t>
      </w:r>
      <w:r w:rsidRPr="007E75DE" w:rsidDel="00F06B4B">
        <w:t xml:space="preserve"> we will exclude the cost categories listed in section </w:t>
      </w:r>
      <w:r w:rsidR="0032430B">
        <w:fldChar w:fldCharType="begin"/>
      </w:r>
      <w:r w:rsidR="0032430B">
        <w:instrText xml:space="preserve"> REF _Ref431551677 \r \h </w:instrText>
      </w:r>
      <w:r w:rsidR="0032430B">
        <w:fldChar w:fldCharType="separate"/>
      </w:r>
      <w:r w:rsidR="00B47923">
        <w:t>9.5.2</w:t>
      </w:r>
      <w:r w:rsidR="0032430B">
        <w:fldChar w:fldCharType="end"/>
      </w:r>
      <w:r w:rsidRPr="007E75DE" w:rsidDel="00F06B4B">
        <w:t xml:space="preserve"> from forecast and actual opex for the calculation of EBSS carryover amounts. </w:t>
      </w:r>
      <w:r w:rsidR="0032430B">
        <w:fldChar w:fldCharType="begin"/>
      </w:r>
      <w:r w:rsidR="0032430B">
        <w:instrText xml:space="preserve"> REF _Ref402360609 \h </w:instrText>
      </w:r>
      <w:r w:rsidR="0032430B">
        <w:fldChar w:fldCharType="separate"/>
      </w:r>
      <w:r w:rsidR="00B47923" w:rsidRPr="007E75DE" w:rsidDel="00F06B4B">
        <w:t xml:space="preserve">Table </w:t>
      </w:r>
      <w:r w:rsidR="00B47923">
        <w:rPr>
          <w:noProof/>
        </w:rPr>
        <w:t>9</w:t>
      </w:r>
      <w:r w:rsidR="00B47923" w:rsidRPr="007E75DE" w:rsidDel="00F06B4B">
        <w:t>.</w:t>
      </w:r>
      <w:r w:rsidR="00B47923">
        <w:rPr>
          <w:noProof/>
        </w:rPr>
        <w:t>2</w:t>
      </w:r>
      <w:r w:rsidR="0032430B">
        <w:fldChar w:fldCharType="end"/>
      </w:r>
      <w:r w:rsidRPr="007E75DE" w:rsidDel="00F06B4B">
        <w:t xml:space="preserve"> sets out our </w:t>
      </w:r>
      <w:r w:rsidDel="00F06B4B">
        <w:t>final</w:t>
      </w:r>
      <w:r w:rsidRPr="007E75DE" w:rsidDel="00F06B4B">
        <w:t xml:space="preserve"> decision on </w:t>
      </w:r>
      <w:r w:rsidDel="00F06B4B">
        <w:t>AusNet Services'</w:t>
      </w:r>
      <w:r w:rsidRPr="007E75DE" w:rsidDel="00F06B4B">
        <w:t xml:space="preserve"> target opex for the EBSS (total opex less excluded categories</w:t>
      </w:r>
      <w:r w:rsidDel="00F06B4B">
        <w:rPr>
          <w:rStyle w:val="FootnoteReference"/>
        </w:rPr>
        <w:footnoteReference w:id="4"/>
      </w:r>
      <w:r w:rsidRPr="007E75DE" w:rsidDel="00F06B4B">
        <w:t>), against which we will calcul</w:t>
      </w:r>
      <w:r w:rsidDel="00F06B4B">
        <w:t xml:space="preserve">ate efficiency gains in the 2016–20 </w:t>
      </w:r>
      <w:r w:rsidRPr="007E75DE" w:rsidDel="00F06B4B">
        <w:t xml:space="preserve">regulatory control period.  </w:t>
      </w:r>
    </w:p>
    <w:p w:rsidR="007336EA" w:rsidRPr="007E75DE" w:rsidDel="00F06B4B" w:rsidRDefault="007336EA" w:rsidP="007336EA">
      <w:pPr>
        <w:pStyle w:val="Caption"/>
      </w:pPr>
      <w:bookmarkStart w:id="77" w:name="_Ref402360609"/>
      <w:r w:rsidRPr="007E75DE" w:rsidDel="00F06B4B">
        <w:t xml:space="preserve">Table </w:t>
      </w:r>
      <w:r w:rsidRPr="0081734B" w:rsidDel="00F06B4B">
        <w:rPr>
          <w:b w:val="0"/>
          <w:bCs w:val="0"/>
        </w:rPr>
        <w:fldChar w:fldCharType="begin"/>
      </w:r>
      <w:r w:rsidDel="00F06B4B">
        <w:instrText xml:space="preserve"> STYLEREF 1 \s </w:instrText>
      </w:r>
      <w:r w:rsidRPr="0081734B" w:rsidDel="00F06B4B">
        <w:rPr>
          <w:b w:val="0"/>
          <w:bCs w:val="0"/>
        </w:rPr>
        <w:fldChar w:fldCharType="separate"/>
      </w:r>
      <w:r w:rsidR="00B47923">
        <w:rPr>
          <w:noProof/>
        </w:rPr>
        <w:t>9</w:t>
      </w:r>
      <w:r w:rsidRPr="0081734B" w:rsidDel="00F06B4B">
        <w:rPr>
          <w:b w:val="0"/>
          <w:bCs w:val="0"/>
        </w:rPr>
        <w:fldChar w:fldCharType="end"/>
      </w:r>
      <w:r w:rsidRPr="007E75DE" w:rsidDel="00F06B4B">
        <w:t>.</w:t>
      </w:r>
      <w:r w:rsidR="00A469DD">
        <w:fldChar w:fldCharType="begin"/>
      </w:r>
      <w:r w:rsidR="00A469DD">
        <w:instrText xml:space="preserve"> SEQ Table \* ARABIC \s 1 </w:instrText>
      </w:r>
      <w:r w:rsidR="00A469DD">
        <w:fldChar w:fldCharType="separate"/>
      </w:r>
      <w:r w:rsidR="00B47923">
        <w:rPr>
          <w:noProof/>
        </w:rPr>
        <w:t>2</w:t>
      </w:r>
      <w:r w:rsidR="00A469DD">
        <w:rPr>
          <w:noProof/>
        </w:rPr>
        <w:fldChar w:fldCharType="end"/>
      </w:r>
      <w:bookmarkEnd w:id="77"/>
      <w:r w:rsidRPr="007E75DE" w:rsidDel="00F06B4B">
        <w:tab/>
        <w:t xml:space="preserve">AER's final decision on </w:t>
      </w:r>
      <w:r w:rsidDel="00F06B4B">
        <w:t>AusNet Services'</w:t>
      </w:r>
      <w:r w:rsidRPr="007E75DE" w:rsidDel="00F06B4B">
        <w:t xml:space="preserve"> forecast ope</w:t>
      </w:r>
      <w:r w:rsidDel="00F06B4B">
        <w:t>x for the EBSS ($ million, 20</w:t>
      </w:r>
      <w:r w:rsidRPr="007E75DE" w:rsidDel="00F06B4B">
        <w:t>15)</w:t>
      </w:r>
    </w:p>
    <w:tbl>
      <w:tblPr>
        <w:tblStyle w:val="AERtable-numbers"/>
        <w:tblW w:w="5000" w:type="pct"/>
        <w:tblLook w:val="04A0" w:firstRow="1" w:lastRow="0" w:firstColumn="1" w:lastColumn="0" w:noHBand="0" w:noVBand="1"/>
      </w:tblPr>
      <w:tblGrid>
        <w:gridCol w:w="2701"/>
        <w:gridCol w:w="1196"/>
        <w:gridCol w:w="1200"/>
        <w:gridCol w:w="1200"/>
        <w:gridCol w:w="1200"/>
        <w:gridCol w:w="1196"/>
      </w:tblGrid>
      <w:tr w:rsidR="007336EA" w:rsidDel="00F06B4B" w:rsidTr="003109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tcPr>
          <w:p w:rsidR="007336EA" w:rsidRPr="007E75DE" w:rsidDel="00F06B4B" w:rsidRDefault="007336EA" w:rsidP="007336EA">
            <w:pPr>
              <w:pStyle w:val="AERtabletextleft"/>
            </w:pPr>
          </w:p>
        </w:tc>
        <w:tc>
          <w:tcPr>
            <w:tcW w:w="688" w:type="pct"/>
          </w:tcPr>
          <w:p w:rsidR="007336EA" w:rsidRPr="007336EA" w:rsidDel="00F06B4B" w:rsidRDefault="007336EA" w:rsidP="007336EA">
            <w:pPr>
              <w:pStyle w:val="AERtabletextright"/>
              <w:cnfStyle w:val="100000000000" w:firstRow="1" w:lastRow="0" w:firstColumn="0" w:lastColumn="0" w:oddVBand="0" w:evenVBand="0" w:oddHBand="0" w:evenHBand="0" w:firstRowFirstColumn="0" w:firstRowLastColumn="0" w:lastRowFirstColumn="0" w:lastRowLastColumn="0"/>
            </w:pPr>
            <w:r w:rsidDel="00F06B4B">
              <w:t>20</w:t>
            </w:r>
            <w:r w:rsidRPr="007336EA" w:rsidDel="00F06B4B">
              <w:t>16</w:t>
            </w:r>
          </w:p>
        </w:tc>
        <w:tc>
          <w:tcPr>
            <w:tcW w:w="690" w:type="pct"/>
          </w:tcPr>
          <w:p w:rsidR="007336EA" w:rsidRPr="007336EA" w:rsidDel="00F06B4B" w:rsidRDefault="007336EA" w:rsidP="007336EA">
            <w:pPr>
              <w:pStyle w:val="AERtabletextright"/>
              <w:cnfStyle w:val="100000000000" w:firstRow="1" w:lastRow="0" w:firstColumn="0" w:lastColumn="0" w:oddVBand="0" w:evenVBand="0" w:oddHBand="0" w:evenHBand="0" w:firstRowFirstColumn="0" w:firstRowLastColumn="0" w:lastRowFirstColumn="0" w:lastRowLastColumn="0"/>
            </w:pPr>
            <w:r w:rsidDel="00F06B4B">
              <w:t>20</w:t>
            </w:r>
            <w:r w:rsidRPr="007336EA" w:rsidDel="00F06B4B">
              <w:t>17</w:t>
            </w:r>
          </w:p>
        </w:tc>
        <w:tc>
          <w:tcPr>
            <w:tcW w:w="690" w:type="pct"/>
          </w:tcPr>
          <w:p w:rsidR="007336EA" w:rsidRPr="007336EA" w:rsidDel="00F06B4B" w:rsidRDefault="007336EA" w:rsidP="007336EA">
            <w:pPr>
              <w:pStyle w:val="AERtabletextright"/>
              <w:cnfStyle w:val="100000000000" w:firstRow="1" w:lastRow="0" w:firstColumn="0" w:lastColumn="0" w:oddVBand="0" w:evenVBand="0" w:oddHBand="0" w:evenHBand="0" w:firstRowFirstColumn="0" w:firstRowLastColumn="0" w:lastRowFirstColumn="0" w:lastRowLastColumn="0"/>
            </w:pPr>
            <w:r w:rsidDel="00F06B4B">
              <w:t>20</w:t>
            </w:r>
            <w:r w:rsidRPr="007336EA" w:rsidDel="00F06B4B">
              <w:t>18</w:t>
            </w:r>
          </w:p>
        </w:tc>
        <w:tc>
          <w:tcPr>
            <w:tcW w:w="690" w:type="pct"/>
          </w:tcPr>
          <w:p w:rsidR="007336EA" w:rsidRPr="007336EA" w:rsidDel="00F06B4B" w:rsidRDefault="007336EA" w:rsidP="007336EA">
            <w:pPr>
              <w:pStyle w:val="AERtabletextright"/>
              <w:cnfStyle w:val="100000000000" w:firstRow="1" w:lastRow="0" w:firstColumn="0" w:lastColumn="0" w:oddVBand="0" w:evenVBand="0" w:oddHBand="0" w:evenHBand="0" w:firstRowFirstColumn="0" w:firstRowLastColumn="0" w:lastRowFirstColumn="0" w:lastRowLastColumn="0"/>
            </w:pPr>
            <w:r w:rsidDel="00F06B4B">
              <w:t>20</w:t>
            </w:r>
            <w:r w:rsidRPr="007336EA" w:rsidDel="00F06B4B">
              <w:t>19</w:t>
            </w:r>
          </w:p>
        </w:tc>
        <w:tc>
          <w:tcPr>
            <w:tcW w:w="688" w:type="pct"/>
          </w:tcPr>
          <w:p w:rsidR="007336EA" w:rsidRPr="007336EA" w:rsidDel="00F06B4B" w:rsidRDefault="007336EA" w:rsidP="007336EA">
            <w:pPr>
              <w:pStyle w:val="AERtabletextright"/>
              <w:cnfStyle w:val="100000000000" w:firstRow="1" w:lastRow="0" w:firstColumn="0" w:lastColumn="0" w:oddVBand="0" w:evenVBand="0" w:oddHBand="0" w:evenHBand="0" w:firstRowFirstColumn="0" w:firstRowLastColumn="0" w:lastRowFirstColumn="0" w:lastRowLastColumn="0"/>
            </w:pPr>
            <w:r w:rsidDel="00F06B4B">
              <w:t>20</w:t>
            </w:r>
            <w:r w:rsidRPr="007336EA" w:rsidDel="00F06B4B">
              <w:t>20</w:t>
            </w:r>
          </w:p>
        </w:tc>
      </w:tr>
      <w:tr w:rsidR="002B2A88" w:rsidDel="00F06B4B" w:rsidTr="00D45385">
        <w:tc>
          <w:tcPr>
            <w:cnfStyle w:val="001000000000" w:firstRow="0" w:lastRow="0" w:firstColumn="1" w:lastColumn="0" w:oddVBand="0" w:evenVBand="0" w:oddHBand="0" w:evenHBand="0" w:firstRowFirstColumn="0" w:firstRowLastColumn="0" w:lastRowFirstColumn="0" w:lastRowLastColumn="0"/>
            <w:tcW w:w="1554" w:type="pct"/>
          </w:tcPr>
          <w:p w:rsidR="002B2A88" w:rsidRPr="002B2A88" w:rsidDel="00F06B4B" w:rsidRDefault="002B2A88" w:rsidP="002B2A88">
            <w:r w:rsidRPr="002B2A88">
              <w:t xml:space="preserve">Total </w:t>
            </w:r>
            <w:r w:rsidRPr="002B2A88" w:rsidDel="00F06B4B">
              <w:t xml:space="preserve">opex </w:t>
            </w:r>
            <w:r w:rsidRPr="002B2A88">
              <w:t>forecast</w:t>
            </w:r>
          </w:p>
        </w:tc>
        <w:tc>
          <w:tcPr>
            <w:tcW w:w="688" w:type="pct"/>
          </w:tcPr>
          <w:p w:rsidR="002B2A88" w:rsidRPr="002B2A88" w:rsidRDefault="002B2A88" w:rsidP="002B2A88">
            <w:pPr>
              <w:cnfStyle w:val="000000000000" w:firstRow="0" w:lastRow="0" w:firstColumn="0" w:lastColumn="0" w:oddVBand="0" w:evenVBand="0" w:oddHBand="0" w:evenHBand="0" w:firstRowFirstColumn="0" w:firstRowLastColumn="0" w:lastRowFirstColumn="0" w:lastRowLastColumn="0"/>
            </w:pPr>
            <w:r w:rsidRPr="002B2A88">
              <w:t>225.1</w:t>
            </w:r>
          </w:p>
        </w:tc>
        <w:tc>
          <w:tcPr>
            <w:tcW w:w="690" w:type="pct"/>
          </w:tcPr>
          <w:p w:rsidR="002B2A88" w:rsidRPr="002B2A88" w:rsidRDefault="002B2A88" w:rsidP="002B2A88">
            <w:pPr>
              <w:cnfStyle w:val="000000000000" w:firstRow="0" w:lastRow="0" w:firstColumn="0" w:lastColumn="0" w:oddVBand="0" w:evenVBand="0" w:oddHBand="0" w:evenHBand="0" w:firstRowFirstColumn="0" w:firstRowLastColumn="0" w:lastRowFirstColumn="0" w:lastRowLastColumn="0"/>
            </w:pPr>
            <w:r w:rsidRPr="002B2A88">
              <w:t>228.7</w:t>
            </w:r>
          </w:p>
        </w:tc>
        <w:tc>
          <w:tcPr>
            <w:tcW w:w="690" w:type="pct"/>
          </w:tcPr>
          <w:p w:rsidR="002B2A88" w:rsidRPr="002B2A88" w:rsidRDefault="002B2A88" w:rsidP="002B2A88">
            <w:pPr>
              <w:cnfStyle w:val="000000000000" w:firstRow="0" w:lastRow="0" w:firstColumn="0" w:lastColumn="0" w:oddVBand="0" w:evenVBand="0" w:oddHBand="0" w:evenHBand="0" w:firstRowFirstColumn="0" w:firstRowLastColumn="0" w:lastRowFirstColumn="0" w:lastRowLastColumn="0"/>
            </w:pPr>
            <w:r w:rsidRPr="002B2A88">
              <w:t>234.0</w:t>
            </w:r>
          </w:p>
        </w:tc>
        <w:tc>
          <w:tcPr>
            <w:tcW w:w="690" w:type="pct"/>
          </w:tcPr>
          <w:p w:rsidR="002B2A88" w:rsidRPr="002B2A88" w:rsidRDefault="002B2A88" w:rsidP="002B2A88">
            <w:pPr>
              <w:cnfStyle w:val="000000000000" w:firstRow="0" w:lastRow="0" w:firstColumn="0" w:lastColumn="0" w:oddVBand="0" w:evenVBand="0" w:oddHBand="0" w:evenHBand="0" w:firstRowFirstColumn="0" w:firstRowLastColumn="0" w:lastRowFirstColumn="0" w:lastRowLastColumn="0"/>
            </w:pPr>
            <w:r w:rsidRPr="002B2A88">
              <w:t>238.4</w:t>
            </w:r>
          </w:p>
        </w:tc>
        <w:tc>
          <w:tcPr>
            <w:tcW w:w="688" w:type="pct"/>
          </w:tcPr>
          <w:p w:rsidR="002B2A88" w:rsidRPr="002B2A88" w:rsidRDefault="002B2A88" w:rsidP="002B2A88">
            <w:pPr>
              <w:cnfStyle w:val="000000000000" w:firstRow="0" w:lastRow="0" w:firstColumn="0" w:lastColumn="0" w:oddVBand="0" w:evenVBand="0" w:oddHBand="0" w:evenHBand="0" w:firstRowFirstColumn="0" w:firstRowLastColumn="0" w:lastRowFirstColumn="0" w:lastRowLastColumn="0"/>
            </w:pPr>
            <w:r w:rsidRPr="002B2A88">
              <w:t>243.4</w:t>
            </w:r>
          </w:p>
        </w:tc>
      </w:tr>
      <w:tr w:rsidR="002B2A88" w:rsidDel="00F06B4B" w:rsidTr="00D453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tcPr>
          <w:p w:rsidR="002B2A88" w:rsidRPr="002B2A88" w:rsidDel="00F06B4B" w:rsidRDefault="002B2A88" w:rsidP="002B2A88">
            <w:r w:rsidRPr="002B2A88">
              <w:t xml:space="preserve">    Less debt raising costs</w:t>
            </w:r>
          </w:p>
        </w:tc>
        <w:tc>
          <w:tcPr>
            <w:tcW w:w="688" w:type="pct"/>
          </w:tcPr>
          <w:p w:rsidR="002B2A88" w:rsidRPr="002B2A88" w:rsidRDefault="002B2A88" w:rsidP="002B2A88">
            <w:pPr>
              <w:cnfStyle w:val="000000010000" w:firstRow="0" w:lastRow="0" w:firstColumn="0" w:lastColumn="0" w:oddVBand="0" w:evenVBand="0" w:oddHBand="0" w:evenHBand="1" w:firstRowFirstColumn="0" w:firstRowLastColumn="0" w:lastRowFirstColumn="0" w:lastRowLastColumn="0"/>
            </w:pPr>
            <w:r w:rsidRPr="002B2A88">
              <w:t>–1.7</w:t>
            </w:r>
          </w:p>
        </w:tc>
        <w:tc>
          <w:tcPr>
            <w:tcW w:w="690" w:type="pct"/>
          </w:tcPr>
          <w:p w:rsidR="002B2A88" w:rsidRPr="002B2A88" w:rsidRDefault="002B2A88" w:rsidP="002B2A88">
            <w:pPr>
              <w:cnfStyle w:val="000000010000" w:firstRow="0" w:lastRow="0" w:firstColumn="0" w:lastColumn="0" w:oddVBand="0" w:evenVBand="0" w:oddHBand="0" w:evenHBand="1" w:firstRowFirstColumn="0" w:firstRowLastColumn="0" w:lastRowFirstColumn="0" w:lastRowLastColumn="0"/>
            </w:pPr>
            <w:r w:rsidRPr="002B2A88">
              <w:t>–1.8</w:t>
            </w:r>
          </w:p>
        </w:tc>
        <w:tc>
          <w:tcPr>
            <w:tcW w:w="690" w:type="pct"/>
          </w:tcPr>
          <w:p w:rsidR="002B2A88" w:rsidRPr="002B2A88" w:rsidRDefault="002B2A88" w:rsidP="002B2A88">
            <w:pPr>
              <w:cnfStyle w:val="000000010000" w:firstRow="0" w:lastRow="0" w:firstColumn="0" w:lastColumn="0" w:oddVBand="0" w:evenVBand="0" w:oddHBand="0" w:evenHBand="1" w:firstRowFirstColumn="0" w:firstRowLastColumn="0" w:lastRowFirstColumn="0" w:lastRowLastColumn="0"/>
            </w:pPr>
            <w:r w:rsidRPr="002B2A88">
              <w:t>–1.9</w:t>
            </w:r>
          </w:p>
        </w:tc>
        <w:tc>
          <w:tcPr>
            <w:tcW w:w="690" w:type="pct"/>
          </w:tcPr>
          <w:p w:rsidR="002B2A88" w:rsidRPr="002B2A88" w:rsidRDefault="002B2A88" w:rsidP="002B2A88">
            <w:pPr>
              <w:cnfStyle w:val="000000010000" w:firstRow="0" w:lastRow="0" w:firstColumn="0" w:lastColumn="0" w:oddVBand="0" w:evenVBand="0" w:oddHBand="0" w:evenHBand="1" w:firstRowFirstColumn="0" w:firstRowLastColumn="0" w:lastRowFirstColumn="0" w:lastRowLastColumn="0"/>
            </w:pPr>
            <w:r w:rsidRPr="002B2A88">
              <w:t>–2.0</w:t>
            </w:r>
          </w:p>
        </w:tc>
        <w:tc>
          <w:tcPr>
            <w:tcW w:w="688" w:type="pct"/>
          </w:tcPr>
          <w:p w:rsidR="002B2A88" w:rsidRPr="002B2A88" w:rsidRDefault="002B2A88" w:rsidP="002B2A88">
            <w:pPr>
              <w:cnfStyle w:val="000000010000" w:firstRow="0" w:lastRow="0" w:firstColumn="0" w:lastColumn="0" w:oddVBand="0" w:evenVBand="0" w:oddHBand="0" w:evenHBand="1" w:firstRowFirstColumn="0" w:firstRowLastColumn="0" w:lastRowFirstColumn="0" w:lastRowLastColumn="0"/>
            </w:pPr>
            <w:r w:rsidRPr="002B2A88">
              <w:t>–2.1</w:t>
            </w:r>
          </w:p>
        </w:tc>
      </w:tr>
      <w:tr w:rsidR="002B2A88" w:rsidDel="00F06B4B" w:rsidTr="00D45385">
        <w:tc>
          <w:tcPr>
            <w:cnfStyle w:val="001000000000" w:firstRow="0" w:lastRow="0" w:firstColumn="1" w:lastColumn="0" w:oddVBand="0" w:evenVBand="0" w:oddHBand="0" w:evenHBand="0" w:firstRowFirstColumn="0" w:firstRowLastColumn="0" w:lastRowFirstColumn="0" w:lastRowLastColumn="0"/>
            <w:tcW w:w="1554" w:type="pct"/>
          </w:tcPr>
          <w:p w:rsidR="002B2A88" w:rsidRPr="002B2A88" w:rsidDel="00F06B4B" w:rsidRDefault="002B2A88" w:rsidP="002B2A88">
            <w:r w:rsidRPr="002B2A88">
              <w:t xml:space="preserve">    Less GSL payments</w:t>
            </w:r>
          </w:p>
        </w:tc>
        <w:tc>
          <w:tcPr>
            <w:tcW w:w="688" w:type="pct"/>
          </w:tcPr>
          <w:p w:rsidR="002B2A88" w:rsidRPr="002B2A88" w:rsidRDefault="002B2A88" w:rsidP="002B2A88">
            <w:pPr>
              <w:cnfStyle w:val="000000000000" w:firstRow="0" w:lastRow="0" w:firstColumn="0" w:lastColumn="0" w:oddVBand="0" w:evenVBand="0" w:oddHBand="0" w:evenHBand="0" w:firstRowFirstColumn="0" w:firstRowLastColumn="0" w:lastRowFirstColumn="0" w:lastRowLastColumn="0"/>
            </w:pPr>
            <w:r w:rsidRPr="002B2A88">
              <w:t>–8.3</w:t>
            </w:r>
          </w:p>
        </w:tc>
        <w:tc>
          <w:tcPr>
            <w:tcW w:w="690" w:type="pct"/>
          </w:tcPr>
          <w:p w:rsidR="002B2A88" w:rsidRPr="002B2A88" w:rsidRDefault="002B2A88" w:rsidP="002B2A88">
            <w:pPr>
              <w:cnfStyle w:val="000000000000" w:firstRow="0" w:lastRow="0" w:firstColumn="0" w:lastColumn="0" w:oddVBand="0" w:evenVBand="0" w:oddHBand="0" w:evenHBand="0" w:firstRowFirstColumn="0" w:firstRowLastColumn="0" w:lastRowFirstColumn="0" w:lastRowLastColumn="0"/>
            </w:pPr>
            <w:r w:rsidRPr="002B2A88">
              <w:t>–8.3</w:t>
            </w:r>
          </w:p>
        </w:tc>
        <w:tc>
          <w:tcPr>
            <w:tcW w:w="690" w:type="pct"/>
          </w:tcPr>
          <w:p w:rsidR="002B2A88" w:rsidRPr="002B2A88" w:rsidRDefault="002B2A88" w:rsidP="002B2A88">
            <w:pPr>
              <w:cnfStyle w:val="000000000000" w:firstRow="0" w:lastRow="0" w:firstColumn="0" w:lastColumn="0" w:oddVBand="0" w:evenVBand="0" w:oddHBand="0" w:evenHBand="0" w:firstRowFirstColumn="0" w:firstRowLastColumn="0" w:lastRowFirstColumn="0" w:lastRowLastColumn="0"/>
            </w:pPr>
            <w:r w:rsidRPr="002B2A88">
              <w:t>–8.3</w:t>
            </w:r>
          </w:p>
        </w:tc>
        <w:tc>
          <w:tcPr>
            <w:tcW w:w="690" w:type="pct"/>
          </w:tcPr>
          <w:p w:rsidR="002B2A88" w:rsidRPr="002B2A88" w:rsidRDefault="002B2A88" w:rsidP="002B2A88">
            <w:pPr>
              <w:cnfStyle w:val="000000000000" w:firstRow="0" w:lastRow="0" w:firstColumn="0" w:lastColumn="0" w:oddVBand="0" w:evenVBand="0" w:oddHBand="0" w:evenHBand="0" w:firstRowFirstColumn="0" w:firstRowLastColumn="0" w:lastRowFirstColumn="0" w:lastRowLastColumn="0"/>
            </w:pPr>
            <w:r w:rsidRPr="002B2A88">
              <w:t>–8.3</w:t>
            </w:r>
          </w:p>
        </w:tc>
        <w:tc>
          <w:tcPr>
            <w:tcW w:w="688" w:type="pct"/>
          </w:tcPr>
          <w:p w:rsidR="002B2A88" w:rsidRPr="002B2A88" w:rsidRDefault="002B2A88" w:rsidP="002B2A88">
            <w:pPr>
              <w:cnfStyle w:val="000000000000" w:firstRow="0" w:lastRow="0" w:firstColumn="0" w:lastColumn="0" w:oddVBand="0" w:evenVBand="0" w:oddHBand="0" w:evenHBand="0" w:firstRowFirstColumn="0" w:firstRowLastColumn="0" w:lastRowFirstColumn="0" w:lastRowLastColumn="0"/>
            </w:pPr>
            <w:r w:rsidRPr="002B2A88">
              <w:t>–8.3</w:t>
            </w:r>
          </w:p>
        </w:tc>
      </w:tr>
      <w:tr w:rsidR="002B2A88" w:rsidDel="00F06B4B" w:rsidTr="00D453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tcPr>
          <w:p w:rsidR="002B2A88" w:rsidRPr="002B2A88" w:rsidDel="00F06B4B" w:rsidRDefault="002B2A88" w:rsidP="002B2A88">
            <w:r w:rsidRPr="002B2A88">
              <w:t>Target opex for the EBSS</w:t>
            </w:r>
          </w:p>
        </w:tc>
        <w:tc>
          <w:tcPr>
            <w:tcW w:w="688" w:type="pct"/>
          </w:tcPr>
          <w:p w:rsidR="002B2A88" w:rsidRPr="002B2A88" w:rsidRDefault="002B2A88" w:rsidP="002B2A88">
            <w:pPr>
              <w:cnfStyle w:val="000000010000" w:firstRow="0" w:lastRow="0" w:firstColumn="0" w:lastColumn="0" w:oddVBand="0" w:evenVBand="0" w:oddHBand="0" w:evenHBand="1" w:firstRowFirstColumn="0" w:firstRowLastColumn="0" w:lastRowFirstColumn="0" w:lastRowLastColumn="0"/>
            </w:pPr>
            <w:r w:rsidRPr="002B2A88">
              <w:t>215.0</w:t>
            </w:r>
          </w:p>
        </w:tc>
        <w:tc>
          <w:tcPr>
            <w:tcW w:w="690" w:type="pct"/>
          </w:tcPr>
          <w:p w:rsidR="002B2A88" w:rsidRPr="002B2A88" w:rsidRDefault="002B2A88" w:rsidP="002B2A88">
            <w:pPr>
              <w:cnfStyle w:val="000000010000" w:firstRow="0" w:lastRow="0" w:firstColumn="0" w:lastColumn="0" w:oddVBand="0" w:evenVBand="0" w:oddHBand="0" w:evenHBand="1" w:firstRowFirstColumn="0" w:firstRowLastColumn="0" w:lastRowFirstColumn="0" w:lastRowLastColumn="0"/>
            </w:pPr>
            <w:r w:rsidRPr="002B2A88">
              <w:t>218.5</w:t>
            </w:r>
          </w:p>
        </w:tc>
        <w:tc>
          <w:tcPr>
            <w:tcW w:w="690" w:type="pct"/>
          </w:tcPr>
          <w:p w:rsidR="002B2A88" w:rsidRPr="002B2A88" w:rsidRDefault="002B2A88" w:rsidP="002B2A88">
            <w:pPr>
              <w:cnfStyle w:val="000000010000" w:firstRow="0" w:lastRow="0" w:firstColumn="0" w:lastColumn="0" w:oddVBand="0" w:evenVBand="0" w:oddHBand="0" w:evenHBand="1" w:firstRowFirstColumn="0" w:firstRowLastColumn="0" w:lastRowFirstColumn="0" w:lastRowLastColumn="0"/>
            </w:pPr>
            <w:r w:rsidRPr="002B2A88">
              <w:t>223.8</w:t>
            </w:r>
          </w:p>
        </w:tc>
        <w:tc>
          <w:tcPr>
            <w:tcW w:w="690" w:type="pct"/>
          </w:tcPr>
          <w:p w:rsidR="002B2A88" w:rsidRPr="002B2A88" w:rsidRDefault="002B2A88" w:rsidP="002B2A88">
            <w:pPr>
              <w:cnfStyle w:val="000000010000" w:firstRow="0" w:lastRow="0" w:firstColumn="0" w:lastColumn="0" w:oddVBand="0" w:evenVBand="0" w:oddHBand="0" w:evenHBand="1" w:firstRowFirstColumn="0" w:firstRowLastColumn="0" w:lastRowFirstColumn="0" w:lastRowLastColumn="0"/>
            </w:pPr>
            <w:r w:rsidRPr="002B2A88">
              <w:t>228.1</w:t>
            </w:r>
          </w:p>
        </w:tc>
        <w:tc>
          <w:tcPr>
            <w:tcW w:w="688" w:type="pct"/>
          </w:tcPr>
          <w:p w:rsidR="002B2A88" w:rsidRPr="002B2A88" w:rsidRDefault="002B2A88" w:rsidP="002B2A88">
            <w:pPr>
              <w:cnfStyle w:val="000000010000" w:firstRow="0" w:lastRow="0" w:firstColumn="0" w:lastColumn="0" w:oddVBand="0" w:evenVBand="0" w:oddHBand="0" w:evenHBand="1" w:firstRowFirstColumn="0" w:firstRowLastColumn="0" w:lastRowFirstColumn="0" w:lastRowLastColumn="0"/>
            </w:pPr>
            <w:r w:rsidRPr="002B2A88">
              <w:t>233.0</w:t>
            </w:r>
          </w:p>
        </w:tc>
      </w:tr>
    </w:tbl>
    <w:p w:rsidR="00DF209A" w:rsidRDefault="007336EA" w:rsidP="007336EA">
      <w:pPr>
        <w:pStyle w:val="AERtablesource"/>
      </w:pPr>
      <w:r w:rsidRPr="007E75DE" w:rsidDel="00F06B4B">
        <w:t xml:space="preserve">Source: </w:t>
      </w:r>
      <w:r w:rsidDel="00F06B4B">
        <w:tab/>
        <w:t>AER</w:t>
      </w:r>
      <w:r w:rsidR="003109E1">
        <w:t xml:space="preserve">, </w:t>
      </w:r>
      <w:r w:rsidR="003109E1" w:rsidRPr="003109E1">
        <w:rPr>
          <w:rStyle w:val="AERtextitalic"/>
        </w:rPr>
        <w:t>Final decision</w:t>
      </w:r>
      <w:r w:rsidR="003109E1">
        <w:rPr>
          <w:rStyle w:val="AERtextitalic"/>
        </w:rPr>
        <w:t>,</w:t>
      </w:r>
      <w:r w:rsidR="003109E1">
        <w:t xml:space="preserve"> </w:t>
      </w:r>
      <w:r w:rsidR="003109E1">
        <w:rPr>
          <w:rStyle w:val="AERtextitalic"/>
        </w:rPr>
        <w:t>AusNet Services</w:t>
      </w:r>
      <w:r w:rsidR="003109E1" w:rsidRPr="004F2834">
        <w:rPr>
          <w:rStyle w:val="AERtextitalic"/>
        </w:rPr>
        <w:t xml:space="preserve"> determination</w:t>
      </w:r>
      <w:r w:rsidR="003109E1">
        <w:rPr>
          <w:rStyle w:val="AERtextitalic"/>
        </w:rPr>
        <w:t>,</w:t>
      </w:r>
      <w:r w:rsidR="003109E1">
        <w:t xml:space="preserve"> </w:t>
      </w:r>
      <w:r w:rsidR="003109E1" w:rsidRPr="0022189B">
        <w:rPr>
          <w:rStyle w:val="Emphasis"/>
        </w:rPr>
        <w:t>opex model</w:t>
      </w:r>
      <w:r w:rsidR="003109E1">
        <w:t>, May 2016.</w:t>
      </w:r>
    </w:p>
    <w:p w:rsidR="007336EA" w:rsidDel="00F06B4B" w:rsidRDefault="00DF209A" w:rsidP="007336EA">
      <w:pPr>
        <w:pStyle w:val="AERtablesource"/>
      </w:pPr>
      <w:bookmarkStart w:id="78" w:name="OLE_LINK2"/>
      <w:r>
        <w:t xml:space="preserve">Note: </w:t>
      </w:r>
      <w:r>
        <w:tab/>
        <w:t>T</w:t>
      </w:r>
      <w:r w:rsidRPr="00DF209A">
        <w:t xml:space="preserve">he demand management incentive allowance (DMIA) </w:t>
      </w:r>
      <w:r>
        <w:t>i</w:t>
      </w:r>
      <w:r w:rsidRPr="00DF209A">
        <w:t>s not part of the opex building block and therefore is not included in the opex target</w:t>
      </w:r>
      <w:bookmarkEnd w:id="78"/>
      <w:r w:rsidRPr="00DF209A">
        <w:t>.</w:t>
      </w:r>
      <w:r w:rsidR="007336EA" w:rsidRPr="007E75DE" w:rsidDel="00F06B4B">
        <w:t xml:space="preserve"> </w:t>
      </w:r>
    </w:p>
    <w:p w:rsidR="007336EA" w:rsidRDefault="007336EA" w:rsidP="007336EA">
      <w:pPr>
        <w:pStyle w:val="Heading2"/>
      </w:pPr>
      <w:bookmarkStart w:id="79" w:name="_Toc432860765"/>
      <w:bookmarkStart w:id="80" w:name="_Toc406679045"/>
      <w:bookmarkStart w:id="81" w:name="_Toc451530016"/>
      <w:r>
        <w:t>Preliminary decision</w:t>
      </w:r>
      <w:bookmarkEnd w:id="79"/>
      <w:bookmarkEnd w:id="81"/>
    </w:p>
    <w:p w:rsidR="007336EA" w:rsidRPr="00F62791" w:rsidRDefault="007336EA" w:rsidP="007336EA">
      <w:r>
        <w:t>In our preliminary decision we calculated an EBSS carryover of $</w:t>
      </w:r>
      <w:r w:rsidR="00A23ECA">
        <w:t>14.0</w:t>
      </w:r>
      <w:r w:rsidRPr="00F62791">
        <w:t xml:space="preserve"> </w:t>
      </w:r>
      <w:r>
        <w:t xml:space="preserve">million </w:t>
      </w:r>
      <w:r>
        <w:br/>
      </w:r>
      <w:r w:rsidRPr="00F62791">
        <w:t>(</w:t>
      </w:r>
      <w:r>
        <w:t>$2015</w:t>
      </w:r>
      <w:r w:rsidRPr="00F62791">
        <w:t>)</w:t>
      </w:r>
      <w:r>
        <w:t>.</w:t>
      </w:r>
      <w:r>
        <w:rPr>
          <w:rStyle w:val="FootnoteReference"/>
        </w:rPr>
        <w:footnoteReference w:id="5"/>
      </w:r>
      <w:r>
        <w:t xml:space="preserve"> This</w:t>
      </w:r>
      <w:r w:rsidRPr="00F62791">
        <w:t xml:space="preserve"> </w:t>
      </w:r>
      <w:r>
        <w:t>was</w:t>
      </w:r>
      <w:r w:rsidRPr="00F62791">
        <w:t xml:space="preserve"> different to the carryover proposed by </w:t>
      </w:r>
      <w:r w:rsidR="00A23ECA">
        <w:t>AusNet Services of $24.2</w:t>
      </w:r>
      <w:r>
        <w:t xml:space="preserve"> million</w:t>
      </w:r>
      <w:r w:rsidRPr="00F62791">
        <w:t xml:space="preserve"> </w:t>
      </w:r>
      <w:r>
        <w:t>because</w:t>
      </w:r>
      <w:r w:rsidRPr="00F62791">
        <w:t xml:space="preserve"> </w:t>
      </w:r>
      <w:r w:rsidR="008C689D">
        <w:t>we</w:t>
      </w:r>
      <w:r>
        <w:t>:</w:t>
      </w:r>
    </w:p>
    <w:p w:rsidR="00A23ECA" w:rsidRPr="00A23ECA" w:rsidRDefault="008C689D" w:rsidP="00A23ECA">
      <w:pPr>
        <w:pStyle w:val="AERbulletlistfirststyle"/>
      </w:pPr>
      <w:r>
        <w:t>made an</w:t>
      </w:r>
      <w:r w:rsidR="00A23ECA" w:rsidRPr="00A23ECA">
        <w:t xml:space="preserve"> adjustment </w:t>
      </w:r>
      <w:r>
        <w:t>to</w:t>
      </w:r>
      <w:r w:rsidR="00A23ECA" w:rsidRPr="00A23ECA">
        <w:t xml:space="preserve"> movements in provisions</w:t>
      </w:r>
      <w:r>
        <w:t xml:space="preserve"> to account for superannuation for defined benefits schemes</w:t>
      </w:r>
    </w:p>
    <w:p w:rsidR="007336EA" w:rsidRDefault="008C689D" w:rsidP="00A23ECA">
      <w:pPr>
        <w:pStyle w:val="AERbulletlistfirststyle"/>
      </w:pPr>
      <w:r>
        <w:t xml:space="preserve">made </w:t>
      </w:r>
      <w:r w:rsidR="00A23ECA" w:rsidRPr="00A23ECA">
        <w:t>an adjustment to AusNet Services' allowed opex to account for new regulatory informatio</w:t>
      </w:r>
      <w:r>
        <w:t>n notice (RIN) compliance costs</w:t>
      </w:r>
      <w:r w:rsidR="00A23ECA" w:rsidRPr="00A23ECA">
        <w:t>.</w:t>
      </w:r>
    </w:p>
    <w:p w:rsidR="006D5517" w:rsidRPr="007336EA" w:rsidRDefault="007336EA" w:rsidP="00D71C15">
      <w:pPr>
        <w:pStyle w:val="AERbulletlistfirststyle"/>
        <w:numPr>
          <w:ilvl w:val="0"/>
          <w:numId w:val="0"/>
        </w:numPr>
      </w:pPr>
      <w:r w:rsidRPr="001D6F12">
        <w:rPr>
          <w:rStyle w:val="AERbody"/>
        </w:rPr>
        <w:t xml:space="preserve">Our preliminary </w:t>
      </w:r>
      <w:r w:rsidRPr="007336EA">
        <w:rPr>
          <w:rStyle w:val="AERbody"/>
        </w:rPr>
        <w:t xml:space="preserve">decision was to apply version two of the EBSS to </w:t>
      </w:r>
      <w:r>
        <w:rPr>
          <w:rStyle w:val="AERbody"/>
        </w:rPr>
        <w:t>AusNet Services</w:t>
      </w:r>
      <w:r w:rsidRPr="007336EA">
        <w:rPr>
          <w:rStyle w:val="AERbody"/>
        </w:rPr>
        <w:t xml:space="preserve"> in the</w:t>
      </w:r>
      <w:r w:rsidRPr="007336EA">
        <w:t xml:space="preserve"> </w:t>
      </w:r>
      <w:r w:rsidR="00D71C15">
        <w:t xml:space="preserve">2016–20 </w:t>
      </w:r>
      <w:r w:rsidRPr="007336EA">
        <w:rPr>
          <w:rStyle w:val="AERbody"/>
        </w:rPr>
        <w:t>regulatory control period.</w:t>
      </w:r>
      <w:r w:rsidRPr="007336EA">
        <w:rPr>
          <w:rStyle w:val="FootnoteReference"/>
        </w:rPr>
        <w:footnoteReference w:id="6"/>
      </w:r>
    </w:p>
    <w:p w:rsidR="007336EA" w:rsidRDefault="007336EA" w:rsidP="00395E07">
      <w:pPr>
        <w:pStyle w:val="Heading2"/>
        <w:keepNext/>
        <w:ind w:left="578" w:hanging="578"/>
      </w:pPr>
      <w:bookmarkStart w:id="82" w:name="_Toc432860766"/>
      <w:bookmarkStart w:id="83" w:name="_Toc451530017"/>
      <w:r>
        <w:t>AusNet Services'</w:t>
      </w:r>
      <w:r w:rsidRPr="00F760AF">
        <w:t xml:space="preserve"> </w:t>
      </w:r>
      <w:r>
        <w:t xml:space="preserve">revised </w:t>
      </w:r>
      <w:r w:rsidRPr="00F760AF">
        <w:t>proposal</w:t>
      </w:r>
      <w:bookmarkEnd w:id="80"/>
      <w:bookmarkEnd w:id="82"/>
      <w:r w:rsidR="00F2315F">
        <w:t xml:space="preserve"> and submissions</w:t>
      </w:r>
      <w:bookmarkEnd w:id="83"/>
    </w:p>
    <w:p w:rsidR="003D0ABF" w:rsidRDefault="00947CAB" w:rsidP="00A23ECA">
      <w:r>
        <w:t xml:space="preserve">In its revised proposal, </w:t>
      </w:r>
      <w:r w:rsidR="00A23ECA">
        <w:t xml:space="preserve">AusNet Services did not accept </w:t>
      </w:r>
      <w:r w:rsidR="00065B27">
        <w:t>our preliminary decisi</w:t>
      </w:r>
      <w:r>
        <w:t xml:space="preserve">on on the EBSS carryover amount </w:t>
      </w:r>
      <w:r w:rsidR="00065B27">
        <w:t>from the 2011–15 regulatory control period</w:t>
      </w:r>
      <w:r w:rsidR="00A23ECA">
        <w:t xml:space="preserve">. Instead </w:t>
      </w:r>
      <w:r w:rsidR="00065B27">
        <w:t>it proposed a carryover amount of</w:t>
      </w:r>
      <w:r w:rsidR="00A23ECA" w:rsidRPr="00A23ECA">
        <w:t xml:space="preserve"> $28.4 million</w:t>
      </w:r>
      <w:r w:rsidR="00065B27">
        <w:t xml:space="preserve"> ($2015).</w:t>
      </w:r>
      <w:r w:rsidR="00065B27">
        <w:rPr>
          <w:rStyle w:val="FootnoteReference"/>
        </w:rPr>
        <w:footnoteReference w:id="7"/>
      </w:r>
      <w:r w:rsidR="00065B27">
        <w:t xml:space="preserve"> </w:t>
      </w:r>
      <w:r w:rsidR="003D0ABF">
        <w:t>It considered:</w:t>
      </w:r>
    </w:p>
    <w:p w:rsidR="003D0ABF" w:rsidRDefault="003D0ABF" w:rsidP="003D0ABF">
      <w:pPr>
        <w:pStyle w:val="AERbulletlistfirststyle"/>
      </w:pPr>
      <w:r>
        <w:t xml:space="preserve">we incorrectly adjusted movements in provisions </w:t>
      </w:r>
    </w:p>
    <w:p w:rsidR="003D0ABF" w:rsidRPr="003D0ABF" w:rsidRDefault="003D0ABF" w:rsidP="00947CAB">
      <w:pPr>
        <w:pStyle w:val="AERbulletlistfirststyle"/>
      </w:pPr>
      <w:r>
        <w:t>we did</w:t>
      </w:r>
      <w:r w:rsidR="008C689D">
        <w:t xml:space="preserve"> not calculate</w:t>
      </w:r>
      <w:r w:rsidRPr="003D0ABF">
        <w:t xml:space="preserve"> inflation consistently with the inflation </w:t>
      </w:r>
      <w:r w:rsidR="00B977F2">
        <w:t>measure set out in the 2011–</w:t>
      </w:r>
      <w:r w:rsidRPr="003D0ABF">
        <w:t>15</w:t>
      </w:r>
      <w:r>
        <w:t xml:space="preserve"> </w:t>
      </w:r>
      <w:r w:rsidRPr="003D0ABF">
        <w:t>determination.</w:t>
      </w:r>
    </w:p>
    <w:p w:rsidR="003D0ABF" w:rsidRDefault="003D0ABF" w:rsidP="003D0ABF">
      <w:r>
        <w:t>AusNet Services mostly accepted</w:t>
      </w:r>
      <w:r w:rsidRPr="003602D5">
        <w:t xml:space="preserve"> </w:t>
      </w:r>
      <w:r>
        <w:t>our</w:t>
      </w:r>
      <w:r w:rsidRPr="003602D5">
        <w:t xml:space="preserve"> preliminary decision on how t</w:t>
      </w:r>
      <w:r>
        <w:t xml:space="preserve">he EBSS </w:t>
      </w:r>
      <w:r w:rsidR="00423568">
        <w:t>will</w:t>
      </w:r>
      <w:r>
        <w:t xml:space="preserve"> apply in the 2016–20 regulatory control period:</w:t>
      </w:r>
      <w:r w:rsidR="00A915EB">
        <w:rPr>
          <w:rStyle w:val="FootnoteReference"/>
        </w:rPr>
        <w:footnoteReference w:id="8"/>
      </w:r>
      <w:r>
        <w:t xml:space="preserve"> </w:t>
      </w:r>
    </w:p>
    <w:p w:rsidR="003D0ABF" w:rsidRDefault="003D0ABF" w:rsidP="003D0ABF">
      <w:pPr>
        <w:pStyle w:val="AERbulletlistfirststyle"/>
      </w:pPr>
      <w:r>
        <w:t>It accepted</w:t>
      </w:r>
      <w:r w:rsidRPr="003D0ABF">
        <w:t xml:space="preserve"> </w:t>
      </w:r>
      <w:r>
        <w:t>the exclusion</w:t>
      </w:r>
      <w:r w:rsidR="009B0169">
        <w:t xml:space="preserve"> of GSL payments</w:t>
      </w:r>
      <w:r w:rsidR="000C1547">
        <w:t>, DMIA operating expenditure</w:t>
      </w:r>
      <w:r w:rsidRPr="003D0ABF">
        <w:t xml:space="preserve"> and</w:t>
      </w:r>
      <w:r>
        <w:t xml:space="preserve"> losses on scrapping of assets.</w:t>
      </w:r>
    </w:p>
    <w:p w:rsidR="003D0ABF" w:rsidRDefault="003D0ABF" w:rsidP="003D0ABF">
      <w:pPr>
        <w:pStyle w:val="AERbulletlistfirststyle"/>
      </w:pPr>
      <w:r>
        <w:t>It</w:t>
      </w:r>
      <w:r w:rsidRPr="003D0ABF">
        <w:t xml:space="preserve"> </w:t>
      </w:r>
      <w:r>
        <w:t>did</w:t>
      </w:r>
      <w:r w:rsidRPr="003D0ABF">
        <w:t xml:space="preserve"> not accept the exclusion of debt raising</w:t>
      </w:r>
      <w:r>
        <w:t xml:space="preserve"> </w:t>
      </w:r>
      <w:r w:rsidRPr="003D0ABF">
        <w:t>costs as it is proposing to forecast these costs on a revealed cost basis as part of base year</w:t>
      </w:r>
      <w:r>
        <w:t xml:space="preserve"> </w:t>
      </w:r>
      <w:r w:rsidRPr="003D0ABF">
        <w:t>operating expenditure.</w:t>
      </w:r>
    </w:p>
    <w:p w:rsidR="00F2315F" w:rsidRPr="00976A47" w:rsidRDefault="009D307C" w:rsidP="00976A47">
      <w:r>
        <w:t xml:space="preserve">We received submissions from the </w:t>
      </w:r>
      <w:r w:rsidRPr="00234243">
        <w:t>Consumer</w:t>
      </w:r>
      <w:r w:rsidRPr="00F2315F">
        <w:t xml:space="preserve"> Challenge Panel </w:t>
      </w:r>
      <w:r>
        <w:t>(CCP)</w:t>
      </w:r>
      <w:r w:rsidRPr="00234243">
        <w:rPr>
          <w:rStyle w:val="FootnoteReference"/>
        </w:rPr>
        <w:t xml:space="preserve"> </w:t>
      </w:r>
      <w:r>
        <w:rPr>
          <w:rStyle w:val="FootnoteReference"/>
        </w:rPr>
        <w:footnoteReference w:id="9"/>
      </w:r>
      <w:r>
        <w:t xml:space="preserve">  and the </w:t>
      </w:r>
      <w:r w:rsidRPr="000F56B6">
        <w:t>Victorian</w:t>
      </w:r>
      <w:r>
        <w:t xml:space="preserve"> </w:t>
      </w:r>
      <w:r w:rsidRPr="000F56B6">
        <w:t>Energy</w:t>
      </w:r>
      <w:r>
        <w:t xml:space="preserve"> </w:t>
      </w:r>
      <w:r w:rsidRPr="000F56B6">
        <w:t>Consumer</w:t>
      </w:r>
      <w:r>
        <w:t xml:space="preserve"> </w:t>
      </w:r>
      <w:r w:rsidRPr="000F56B6">
        <w:t>and</w:t>
      </w:r>
      <w:r>
        <w:t xml:space="preserve"> </w:t>
      </w:r>
      <w:r w:rsidRPr="000F56B6">
        <w:t>User</w:t>
      </w:r>
      <w:r>
        <w:t xml:space="preserve"> </w:t>
      </w:r>
      <w:r w:rsidRPr="000F56B6">
        <w:t>Alliance</w:t>
      </w:r>
      <w:r>
        <w:t xml:space="preserve"> (VECUA)</w:t>
      </w:r>
      <w:r>
        <w:rPr>
          <w:rStyle w:val="FootnoteReference"/>
        </w:rPr>
        <w:footnoteReference w:id="10"/>
      </w:r>
      <w:r>
        <w:t xml:space="preserve"> who commented</w:t>
      </w:r>
      <w:r w:rsidRPr="00234243">
        <w:t xml:space="preserve"> </w:t>
      </w:r>
      <w:r>
        <w:t xml:space="preserve">on </w:t>
      </w:r>
      <w:r w:rsidRPr="00234243">
        <w:t>the EBSS in the context of the regulatory framewo</w:t>
      </w:r>
      <w:r>
        <w:t>rk</w:t>
      </w:r>
      <w:r w:rsidRPr="00234243">
        <w:t xml:space="preserve">. </w:t>
      </w:r>
      <w:r>
        <w:t>We address</w:t>
      </w:r>
      <w:r w:rsidRPr="00234243">
        <w:t xml:space="preserve"> </w:t>
      </w:r>
      <w:r>
        <w:t xml:space="preserve">these comments </w:t>
      </w:r>
      <w:r w:rsidRPr="00234243">
        <w:t>in our opex attachment.</w:t>
      </w:r>
      <w:r w:rsidRPr="00EB6D3C">
        <w:t xml:space="preserve"> </w:t>
      </w:r>
      <w:r>
        <w:t xml:space="preserve">The CCP also commented on excluded cost categories in 2016–20. We address its concerns below. We did not receive </w:t>
      </w:r>
      <w:r w:rsidRPr="00234243">
        <w:t xml:space="preserve">submissions on </w:t>
      </w:r>
      <w:r>
        <w:t xml:space="preserve">the </w:t>
      </w:r>
      <w:r w:rsidRPr="00234243">
        <w:t xml:space="preserve">calculation of carryover </w:t>
      </w:r>
      <w:r>
        <w:t>amounts from the application of the EBSS</w:t>
      </w:r>
      <w:r w:rsidRPr="00234243">
        <w:t xml:space="preserve"> </w:t>
      </w:r>
      <w:r>
        <w:t>in 2011–15</w:t>
      </w:r>
      <w:r w:rsidR="006D1958" w:rsidRPr="00976A47">
        <w:t>.</w:t>
      </w:r>
    </w:p>
    <w:p w:rsidR="007336EA" w:rsidRDefault="007336EA" w:rsidP="007336EA">
      <w:pPr>
        <w:pStyle w:val="Heading2"/>
      </w:pPr>
      <w:bookmarkStart w:id="84" w:name="_Toc406679046"/>
      <w:bookmarkStart w:id="85" w:name="_Toc432860767"/>
      <w:bookmarkStart w:id="86" w:name="_Toc451530018"/>
      <w:r>
        <w:t>A</w:t>
      </w:r>
      <w:r w:rsidRPr="00F760AF">
        <w:t>ssessment approach</w:t>
      </w:r>
      <w:bookmarkEnd w:id="84"/>
      <w:bookmarkEnd w:id="85"/>
      <w:bookmarkEnd w:id="86"/>
    </w:p>
    <w:p w:rsidR="007336EA" w:rsidRPr="002D16B9" w:rsidRDefault="007336EA" w:rsidP="007336EA">
      <w:pPr>
        <w:numPr>
          <w:ilvl w:val="0"/>
          <w:numId w:val="24"/>
        </w:numPr>
      </w:pPr>
      <w:r>
        <w:t>Under t</w:t>
      </w:r>
      <w:r w:rsidRPr="002D16B9">
        <w:t xml:space="preserve">he NER </w:t>
      </w:r>
      <w:r>
        <w:t xml:space="preserve">we must </w:t>
      </w:r>
      <w:r w:rsidRPr="002D16B9">
        <w:t xml:space="preserve">decide: </w:t>
      </w:r>
    </w:p>
    <w:p w:rsidR="007336EA" w:rsidRPr="002D16B9" w:rsidRDefault="007336EA" w:rsidP="007336EA">
      <w:pPr>
        <w:pStyle w:val="ListNumber"/>
        <w:numPr>
          <w:ilvl w:val="1"/>
          <w:numId w:val="24"/>
        </w:numPr>
      </w:pPr>
      <w:r w:rsidRPr="002D16B9">
        <w:t xml:space="preserve">the </w:t>
      </w:r>
      <w:r w:rsidRPr="00061D4E">
        <w:t xml:space="preserve">revenue increments or decrements (if any) for each regulatory year </w:t>
      </w:r>
      <w:r>
        <w:t xml:space="preserve">of the 2016–20 period </w:t>
      </w:r>
      <w:r w:rsidRPr="00061D4E">
        <w:t xml:space="preserve">arising from the application of the EBSS during the </w:t>
      </w:r>
      <w:r>
        <w:t>2011–15</w:t>
      </w:r>
      <w:r w:rsidRPr="00061D4E">
        <w:t xml:space="preserve"> </w:t>
      </w:r>
      <w:r>
        <w:t xml:space="preserve">regulatory control </w:t>
      </w:r>
      <w:r w:rsidRPr="00061D4E">
        <w:t>period</w:t>
      </w:r>
      <w:r>
        <w:rPr>
          <w:rStyle w:val="FootnoteReference"/>
        </w:rPr>
        <w:footnoteReference w:id="11"/>
      </w:r>
    </w:p>
    <w:p w:rsidR="007336EA" w:rsidRDefault="007336EA" w:rsidP="007336EA">
      <w:pPr>
        <w:pStyle w:val="ListNumber"/>
        <w:numPr>
          <w:ilvl w:val="1"/>
          <w:numId w:val="24"/>
        </w:numPr>
      </w:pPr>
      <w:r>
        <w:t>how any applicable</w:t>
      </w:r>
      <w:r w:rsidRPr="002D16B9">
        <w:t xml:space="preserve"> EBSS </w:t>
      </w:r>
      <w:r>
        <w:t>is to</w:t>
      </w:r>
      <w:r w:rsidRPr="002D16B9">
        <w:t xml:space="preserve"> a</w:t>
      </w:r>
      <w:r>
        <w:t xml:space="preserve">pply to AusNet Services in the 2016–20 </w:t>
      </w:r>
      <w:r w:rsidRPr="002D16B9">
        <w:t>period.</w:t>
      </w:r>
      <w:r>
        <w:rPr>
          <w:rStyle w:val="FootnoteReference"/>
        </w:rPr>
        <w:footnoteReference w:id="12"/>
      </w:r>
    </w:p>
    <w:p w:rsidR="007336EA" w:rsidRDefault="007336EA" w:rsidP="007336EA">
      <w:pPr>
        <w:numPr>
          <w:ilvl w:val="0"/>
          <w:numId w:val="24"/>
        </w:numPr>
      </w:pPr>
      <w:r>
        <w:rPr>
          <w:rStyle w:val="AERbody"/>
        </w:rPr>
        <w:t>The EBSS must provide for a fair sharing between service providers and network users of opex efficiency gains and efficiency losses.</w:t>
      </w:r>
      <w:r>
        <w:rPr>
          <w:rStyle w:val="FootnoteReference"/>
        </w:rPr>
        <w:footnoteReference w:id="13"/>
      </w:r>
      <w:r>
        <w:rPr>
          <w:rStyle w:val="AERbody"/>
        </w:rPr>
        <w:t xml:space="preserve"> We must also have regard to the following factors when implementing the EBSS</w:t>
      </w:r>
      <w:r>
        <w:t>:</w:t>
      </w:r>
      <w:r>
        <w:rPr>
          <w:rStyle w:val="FootnoteReference"/>
        </w:rPr>
        <w:footnoteReference w:id="14"/>
      </w:r>
    </w:p>
    <w:p w:rsidR="007336EA" w:rsidRPr="00684CF5" w:rsidRDefault="007336EA" w:rsidP="007336EA">
      <w:pPr>
        <w:pStyle w:val="AERbulletlistfirststyle"/>
      </w:pPr>
      <w:r>
        <w:t>the need to ensure that benefits to electricity consumers likely to result from the scheme are sufficient to warrant any reward or penalty under the scheme</w:t>
      </w:r>
    </w:p>
    <w:p w:rsidR="007336EA" w:rsidRPr="00684CF5" w:rsidRDefault="007336EA" w:rsidP="007336EA">
      <w:pPr>
        <w:pStyle w:val="AERbulletlistfirststyle"/>
      </w:pPr>
      <w:r w:rsidRPr="007439B9">
        <w:t xml:space="preserve">the need to provide </w:t>
      </w:r>
      <w:r w:rsidRPr="00684CF5">
        <w:t>service providers with continuous incentives</w:t>
      </w:r>
      <w:r>
        <w:t>, so far as is consistent with economic efficiency,</w:t>
      </w:r>
      <w:r w:rsidRPr="00684CF5">
        <w:t xml:space="preserve"> to reduce opex </w:t>
      </w:r>
    </w:p>
    <w:p w:rsidR="007336EA" w:rsidRPr="00684CF5" w:rsidRDefault="007336EA" w:rsidP="007336EA">
      <w:pPr>
        <w:pStyle w:val="AERbulletlistfirststyle"/>
      </w:pPr>
      <w:r w:rsidRPr="007439B9">
        <w:t xml:space="preserve">the desirability of both rewarding </w:t>
      </w:r>
      <w:r w:rsidRPr="00684CF5">
        <w:t xml:space="preserve">service providers for efficiency gains and penalising them for efficiency losses </w:t>
      </w:r>
    </w:p>
    <w:p w:rsidR="007336EA" w:rsidRPr="00684CF5" w:rsidRDefault="007336EA" w:rsidP="007336EA">
      <w:pPr>
        <w:pStyle w:val="AERbulletlistfirststyle"/>
      </w:pPr>
      <w:r w:rsidRPr="007439B9">
        <w:t>any incentives that service providers may have to capitalise expenditure</w:t>
      </w:r>
    </w:p>
    <w:p w:rsidR="007336EA" w:rsidRDefault="007336EA" w:rsidP="007336EA">
      <w:pPr>
        <w:pStyle w:val="AERbulletlistfirststyle"/>
      </w:pPr>
      <w:r w:rsidRPr="00DC57D9">
        <w:t>the possible effects of the scheme on incentives for the implementation of non–network alternatives.</w:t>
      </w:r>
    </w:p>
    <w:p w:rsidR="007336EA" w:rsidRPr="0081734B" w:rsidRDefault="007336EA" w:rsidP="007336EA">
      <w:pPr>
        <w:pStyle w:val="Heading3"/>
      </w:pPr>
      <w:bookmarkStart w:id="87" w:name="_Toc417475105"/>
      <w:bookmarkStart w:id="88" w:name="_Toc417718067"/>
      <w:bookmarkStart w:id="89" w:name="_Toc430872796"/>
      <w:bookmarkStart w:id="90" w:name="_Ref432149751"/>
      <w:bookmarkStart w:id="91" w:name="_Toc432860768"/>
      <w:bookmarkStart w:id="92" w:name="_Toc451530019"/>
      <w:r>
        <w:t>Interrelationships</w:t>
      </w:r>
      <w:bookmarkEnd w:id="87"/>
      <w:bookmarkEnd w:id="88"/>
      <w:bookmarkEnd w:id="89"/>
      <w:bookmarkEnd w:id="90"/>
      <w:bookmarkEnd w:id="91"/>
      <w:bookmarkEnd w:id="92"/>
      <w:r>
        <w:t xml:space="preserve"> </w:t>
      </w:r>
    </w:p>
    <w:p w:rsidR="007336EA" w:rsidRDefault="007336EA" w:rsidP="007336EA">
      <w:pPr>
        <w:numPr>
          <w:ilvl w:val="0"/>
          <w:numId w:val="24"/>
        </w:numPr>
      </w:pPr>
      <w:r w:rsidRPr="009A7159">
        <w:t xml:space="preserve">The EBSS is intrinsically linked to </w:t>
      </w:r>
      <w:r>
        <w:t>a</w:t>
      </w:r>
      <w:r w:rsidRPr="009A7159">
        <w:t xml:space="preserve"> revealed cost forecasting approach</w:t>
      </w:r>
      <w:r>
        <w:t xml:space="preserve"> for opex</w:t>
      </w:r>
      <w:r w:rsidRPr="009A7159">
        <w:t xml:space="preserve">. </w:t>
      </w:r>
      <w:r>
        <w:t>Under</w:t>
      </w:r>
      <w:r w:rsidRPr="00327E47">
        <w:t xml:space="preserve"> this forecasting approach</w:t>
      </w:r>
      <w:r>
        <w:t>, the</w:t>
      </w:r>
      <w:r w:rsidRPr="00327E47">
        <w:t xml:space="preserve"> EBSS</w:t>
      </w:r>
      <w:r>
        <w:t xml:space="preserve"> has two specific functions:</w:t>
      </w:r>
    </w:p>
    <w:p w:rsidR="007336EA" w:rsidRPr="00684CF5" w:rsidRDefault="00D84CE3" w:rsidP="007336EA">
      <w:pPr>
        <w:pStyle w:val="AERbulletlistfirststyle"/>
      </w:pPr>
      <w:r>
        <w:t>t</w:t>
      </w:r>
      <w:r w:rsidR="007336EA">
        <w:t xml:space="preserve">o mitigate the incentive for a service provider </w:t>
      </w:r>
      <w:r w:rsidR="007336EA" w:rsidRPr="00684CF5">
        <w:t xml:space="preserve">to increase opex in the expected 'base year' to increase its </w:t>
      </w:r>
      <w:r w:rsidR="007336EA">
        <w:t xml:space="preserve">approved opex </w:t>
      </w:r>
      <w:r w:rsidR="007336EA" w:rsidRPr="00684CF5">
        <w:t>forecast for the following regulatory control period</w:t>
      </w:r>
    </w:p>
    <w:p w:rsidR="007336EA" w:rsidRPr="00684CF5" w:rsidRDefault="00D84CE3" w:rsidP="007336EA">
      <w:pPr>
        <w:pStyle w:val="AERbulletlistfirststyle"/>
      </w:pPr>
      <w:r>
        <w:t>t</w:t>
      </w:r>
      <w:r w:rsidR="007336EA">
        <w:t xml:space="preserve">o provide a continuous incentive for a service provider to make efficiency gains - service providers receive </w:t>
      </w:r>
      <w:r w:rsidR="007336EA" w:rsidRPr="00684CF5">
        <w:t>the same reward for an underspend and the same penalty for an overspend in each year of the regulatory control period.</w:t>
      </w:r>
    </w:p>
    <w:p w:rsidR="007336EA" w:rsidRDefault="007336EA" w:rsidP="007336EA">
      <w:pPr>
        <w:numPr>
          <w:ilvl w:val="0"/>
          <w:numId w:val="24"/>
        </w:numPr>
      </w:pPr>
      <w:r w:rsidRPr="009A7159">
        <w:t xml:space="preserve">Where </w:t>
      </w:r>
      <w:r>
        <w:t>we do</w:t>
      </w:r>
      <w:r w:rsidRPr="009A7159">
        <w:t xml:space="preserve"> not</w:t>
      </w:r>
      <w:r>
        <w:t xml:space="preserve"> propose to rely on the revealed costs of a service provider in forecasting opex</w:t>
      </w:r>
      <w:r w:rsidR="00C93B38">
        <w:t>,</w:t>
      </w:r>
      <w:r>
        <w:t xml:space="preserve"> there are</w:t>
      </w:r>
      <w:r w:rsidRPr="009A7159">
        <w:t xml:space="preserve"> consequences for </w:t>
      </w:r>
      <w:r>
        <w:t>a</w:t>
      </w:r>
      <w:r w:rsidRPr="009A7159">
        <w:t xml:space="preserve"> </w:t>
      </w:r>
      <w:r>
        <w:t>service provider's</w:t>
      </w:r>
      <w:r w:rsidRPr="009A7159">
        <w:t xml:space="preserve"> incentives to make productivity improvements</w:t>
      </w:r>
      <w:r>
        <w:t xml:space="preserve">. This </w:t>
      </w:r>
      <w:r w:rsidR="00D84CE3">
        <w:t>a</w:t>
      </w:r>
      <w:r>
        <w:t>ffects</w:t>
      </w:r>
      <w:r w:rsidRPr="009A7159">
        <w:t xml:space="preserve"> </w:t>
      </w:r>
      <w:r>
        <w:t>our</w:t>
      </w:r>
      <w:r w:rsidRPr="009A7159">
        <w:t xml:space="preserve"> decision on </w:t>
      </w:r>
      <w:r>
        <w:t>how we</w:t>
      </w:r>
      <w:r w:rsidRPr="009A7159">
        <w:t xml:space="preserve"> apply the EBSS.</w:t>
      </w:r>
      <w:r>
        <w:t xml:space="preserve"> We have taken into account the interrelationship between the EBSS and our approach to opex forecasting in reaching our decision.</w:t>
      </w:r>
    </w:p>
    <w:p w:rsidR="007336EA" w:rsidRDefault="007336EA" w:rsidP="007336EA">
      <w:pPr>
        <w:numPr>
          <w:ilvl w:val="0"/>
          <w:numId w:val="24"/>
        </w:numPr>
      </w:pPr>
      <w:r>
        <w:t>Incentives to reduce opex may also affect a service provider's incentives to undertake capex. We take into account these interactions in developing and implementing the EBSS as well as developing the CESS. For instance:</w:t>
      </w:r>
    </w:p>
    <w:p w:rsidR="007336EA" w:rsidRPr="002F0531" w:rsidRDefault="007336EA" w:rsidP="007336EA">
      <w:pPr>
        <w:pStyle w:val="AERbulletlistfirststyle"/>
        <w:rPr>
          <w:rStyle w:val="AERbody"/>
        </w:rPr>
      </w:pPr>
      <w:r w:rsidRPr="002F0531">
        <w:rPr>
          <w:rStyle w:val="AERbody"/>
        </w:rPr>
        <w:t xml:space="preserve">In developing and implementing the EBSS, </w:t>
      </w:r>
      <w:r>
        <w:rPr>
          <w:rStyle w:val="AERbody"/>
        </w:rPr>
        <w:t>we</w:t>
      </w:r>
      <w:r w:rsidRPr="002F0531">
        <w:rPr>
          <w:rStyle w:val="AERbody"/>
        </w:rPr>
        <w:t xml:space="preserve"> must have regard to any inc</w:t>
      </w:r>
      <w:r>
        <w:rPr>
          <w:rStyle w:val="AERbody"/>
        </w:rPr>
        <w:t>entives that service providers may have to</w:t>
      </w:r>
      <w:r w:rsidRPr="002F0531">
        <w:rPr>
          <w:rStyle w:val="AERbody"/>
        </w:rPr>
        <w:t xml:space="preserve"> capitalise operating expenditure as well as the possible effects of the scheme on incentives for the implementation of non-network alternatives</w:t>
      </w:r>
      <w:r>
        <w:rPr>
          <w:rStyle w:val="AERbody"/>
        </w:rPr>
        <w:t>.</w:t>
      </w:r>
      <w:r>
        <w:rPr>
          <w:rStyle w:val="FootnoteReference"/>
        </w:rPr>
        <w:footnoteReference w:id="15"/>
      </w:r>
    </w:p>
    <w:p w:rsidR="007336EA" w:rsidRPr="002F0531" w:rsidRDefault="007336EA" w:rsidP="007336EA">
      <w:pPr>
        <w:pStyle w:val="AERbulletlistfirststyle"/>
        <w:rPr>
          <w:rStyle w:val="AERbody"/>
        </w:rPr>
      </w:pPr>
      <w:r w:rsidRPr="002F0531">
        <w:rPr>
          <w:rStyle w:val="AERbody"/>
        </w:rPr>
        <w:t xml:space="preserve">In developing the CESS, </w:t>
      </w:r>
      <w:r>
        <w:rPr>
          <w:rStyle w:val="AERbody"/>
        </w:rPr>
        <w:t>we</w:t>
      </w:r>
      <w:r w:rsidRPr="002F0531">
        <w:rPr>
          <w:rStyle w:val="AERbody"/>
        </w:rPr>
        <w:t xml:space="preserve"> must take into account the interaction of the scheme with</w:t>
      </w:r>
      <w:r>
        <w:rPr>
          <w:rStyle w:val="AERbody"/>
        </w:rPr>
        <w:t xml:space="preserve"> other incentives that service providers</w:t>
      </w:r>
      <w:r w:rsidRPr="002F0531">
        <w:rPr>
          <w:rStyle w:val="AERbody"/>
        </w:rPr>
        <w:t xml:space="preserve"> may have in relation to undertaking efficient opex or capex as well as the capex objectives and, if relevant, the opex objectives</w:t>
      </w:r>
      <w:r>
        <w:rPr>
          <w:rStyle w:val="AERbody"/>
        </w:rPr>
        <w:t>.</w:t>
      </w:r>
      <w:r>
        <w:rPr>
          <w:rStyle w:val="FootnoteReference"/>
        </w:rPr>
        <w:footnoteReference w:id="16"/>
      </w:r>
      <w:r w:rsidRPr="002F0531">
        <w:rPr>
          <w:rStyle w:val="AERbody"/>
        </w:rPr>
        <w:t xml:space="preserve"> </w:t>
      </w:r>
    </w:p>
    <w:p w:rsidR="007336EA" w:rsidRDefault="007336EA" w:rsidP="007336EA">
      <w:pPr>
        <w:pStyle w:val="Heading2"/>
      </w:pPr>
      <w:bookmarkStart w:id="93" w:name="_Toc387916855"/>
      <w:bookmarkStart w:id="94" w:name="_Toc404363763"/>
      <w:bookmarkStart w:id="95" w:name="_Toc406679048"/>
      <w:bookmarkStart w:id="96" w:name="_Toc432860769"/>
      <w:bookmarkStart w:id="97" w:name="_Toc451530020"/>
      <w:r w:rsidRPr="00F760AF">
        <w:t xml:space="preserve">Reasons for </w:t>
      </w:r>
      <w:r>
        <w:t xml:space="preserve">final </w:t>
      </w:r>
      <w:r w:rsidRPr="00F760AF">
        <w:t>decision</w:t>
      </w:r>
      <w:bookmarkEnd w:id="93"/>
      <w:bookmarkEnd w:id="94"/>
      <w:bookmarkEnd w:id="95"/>
      <w:bookmarkEnd w:id="96"/>
      <w:bookmarkEnd w:id="97"/>
    </w:p>
    <w:p w:rsidR="007336EA" w:rsidRPr="0081734B" w:rsidRDefault="007336EA" w:rsidP="007336EA">
      <w:pPr>
        <w:pStyle w:val="Heading3"/>
      </w:pPr>
      <w:bookmarkStart w:id="98" w:name="_Toc417508302"/>
      <w:bookmarkStart w:id="99" w:name="_Toc417721236"/>
      <w:bookmarkStart w:id="100" w:name="_Toc430872798"/>
      <w:bookmarkStart w:id="101" w:name="_Toc432860770"/>
      <w:bookmarkStart w:id="102" w:name="_Toc409015723"/>
      <w:bookmarkStart w:id="103" w:name="_Toc451530021"/>
      <w:r>
        <w:t xml:space="preserve">Carryover amounts </w:t>
      </w:r>
      <w:r w:rsidRPr="0081734B">
        <w:t>from</w:t>
      </w:r>
      <w:r>
        <w:t xml:space="preserve"> the 2011</w:t>
      </w:r>
      <w:r w:rsidRPr="0081734B">
        <w:t>–15 regulatory control period</w:t>
      </w:r>
      <w:bookmarkEnd w:id="98"/>
      <w:bookmarkEnd w:id="99"/>
      <w:bookmarkEnd w:id="100"/>
      <w:bookmarkEnd w:id="101"/>
      <w:bookmarkEnd w:id="103"/>
    </w:p>
    <w:p w:rsidR="00B70F95" w:rsidRDefault="00B70F95" w:rsidP="00A915EB">
      <w:r>
        <w:t xml:space="preserve">Our final decision is to approve an </w:t>
      </w:r>
      <w:r w:rsidR="00947CAB">
        <w:t xml:space="preserve">EBSS carryover </w:t>
      </w:r>
      <w:r w:rsidR="00A915EB" w:rsidRPr="00A915EB">
        <w:t>of $</w:t>
      </w:r>
      <w:r w:rsidR="00931A27">
        <w:t>25.9</w:t>
      </w:r>
      <w:r w:rsidR="00A915EB" w:rsidRPr="00A915EB">
        <w:t xml:space="preserve"> million ($2015) from the application of the EBSS</w:t>
      </w:r>
      <w:r>
        <w:t xml:space="preserve"> to AusNet Services</w:t>
      </w:r>
      <w:r w:rsidR="00A915EB" w:rsidRPr="00A915EB">
        <w:t xml:space="preserve"> </w:t>
      </w:r>
      <w:r>
        <w:t>in</w:t>
      </w:r>
      <w:r w:rsidR="00A915EB" w:rsidRPr="00A915EB">
        <w:t xml:space="preserve"> the 2011–15 regulatory control period. </w:t>
      </w:r>
      <w:r>
        <w:t xml:space="preserve">Our final decision is higher than our preliminary decision. This is because we corrected an adjustment we </w:t>
      </w:r>
      <w:r w:rsidR="00B64C7F">
        <w:t>made to movements in provisions</w:t>
      </w:r>
      <w:r>
        <w:t xml:space="preserve"> in response to information AusNet Services provided in its revised proposal.</w:t>
      </w:r>
    </w:p>
    <w:p w:rsidR="00A915EB" w:rsidRPr="00A915EB" w:rsidRDefault="00A915EB" w:rsidP="00A915EB">
      <w:r w:rsidRPr="00A915EB">
        <w:t>Our calculation is in accordance with section 2.3 of the Electricity distribution network service providers EBSS.</w:t>
      </w:r>
      <w:r>
        <w:rPr>
          <w:rStyle w:val="FootnoteReference"/>
        </w:rPr>
        <w:footnoteReference w:id="17"/>
      </w:r>
    </w:p>
    <w:p w:rsidR="00A915EB" w:rsidRPr="00A915EB" w:rsidRDefault="00A915EB" w:rsidP="00A915EB">
      <w:r w:rsidRPr="00A915EB">
        <w:t>In the 2011–15 regulatory control period, AusNet Services was subject to the Electricity distribution network service providers EBSS.</w:t>
      </w:r>
      <w:r>
        <w:rPr>
          <w:rStyle w:val="FootnoteReference"/>
        </w:rPr>
        <w:footnoteReference w:id="18"/>
      </w:r>
      <w:r w:rsidRPr="00A915EB">
        <w:t xml:space="preserve"> Under this scheme, the EBSS carryover amounts are based on the difference between:</w:t>
      </w:r>
    </w:p>
    <w:p w:rsidR="00A915EB" w:rsidRPr="00A915EB" w:rsidRDefault="00A915EB" w:rsidP="00A915EB">
      <w:pPr>
        <w:pStyle w:val="AERbulletlistfirststyle"/>
      </w:pPr>
      <w:r w:rsidRPr="00A915EB">
        <w:t>approved forecast opex which is set out in our determination for AusNet Services for the 2011–15 regulatory control period adjusted for differences in network growth</w:t>
      </w:r>
    </w:p>
    <w:p w:rsidR="00A915EB" w:rsidRPr="00A915EB" w:rsidRDefault="00A915EB" w:rsidP="00A915EB">
      <w:pPr>
        <w:pStyle w:val="AERbulletlistfirststyle"/>
      </w:pPr>
      <w:r w:rsidRPr="00A915EB">
        <w:t>actual opex for the regulatory years from 2011–12 to 2014–15 less excluded cost categories.</w:t>
      </w:r>
    </w:p>
    <w:p w:rsidR="00A915EB" w:rsidRPr="00A915EB" w:rsidRDefault="00A915EB" w:rsidP="00A915EB">
      <w:r w:rsidRPr="00A915EB">
        <w:t>The formulas for calculating the carryover amounts are set out in this scheme.</w:t>
      </w:r>
      <w:r>
        <w:rPr>
          <w:rStyle w:val="FootnoteReference"/>
        </w:rPr>
        <w:footnoteReference w:id="19"/>
      </w:r>
    </w:p>
    <w:p w:rsidR="00A915EB" w:rsidRPr="00A915EB" w:rsidRDefault="00CD6A2A" w:rsidP="00501BC1">
      <w:r>
        <w:t>T</w:t>
      </w:r>
      <w:r w:rsidR="00A915EB" w:rsidRPr="00A915EB">
        <w:t>he EBSS carryover we calculated ($</w:t>
      </w:r>
      <w:r w:rsidR="00931A27">
        <w:t>25.9</w:t>
      </w:r>
      <w:r w:rsidR="00A915EB" w:rsidRPr="00A915EB">
        <w:t xml:space="preserve"> million) is different to the carryov</w:t>
      </w:r>
      <w:r w:rsidR="00A915EB">
        <w:t>er AusNet Services proposed ($28.4</w:t>
      </w:r>
      <w:r w:rsidR="00A915EB" w:rsidRPr="00A915EB">
        <w:t xml:space="preserve"> million) </w:t>
      </w:r>
      <w:r w:rsidR="00B64C7F">
        <w:t>because</w:t>
      </w:r>
      <w:r w:rsidR="00501BC1">
        <w:t xml:space="preserve"> we used an unlagged inflation series</w:t>
      </w:r>
      <w:r w:rsidR="00D319C6">
        <w:t xml:space="preserve"> when we convert</w:t>
      </w:r>
      <w:r w:rsidR="00423568">
        <w:t xml:space="preserve">ed forecast and actual opex to </w:t>
      </w:r>
      <w:r w:rsidR="00D319C6">
        <w:t>2015</w:t>
      </w:r>
      <w:r w:rsidR="00423568">
        <w:t xml:space="preserve"> dollars</w:t>
      </w:r>
      <w:r w:rsidR="00D319C6">
        <w:t xml:space="preserve">. </w:t>
      </w:r>
      <w:r w:rsidR="00501BC1">
        <w:t xml:space="preserve">AusNet Services used a </w:t>
      </w:r>
      <w:r w:rsidR="00423568">
        <w:br/>
      </w:r>
      <w:r w:rsidR="0006189D">
        <w:t>15</w:t>
      </w:r>
      <w:r w:rsidR="00423568">
        <w:t>-</w:t>
      </w:r>
      <w:r w:rsidR="0006189D">
        <w:t>month</w:t>
      </w:r>
      <w:r w:rsidR="00501BC1">
        <w:t xml:space="preserve"> lagged inflation series</w:t>
      </w:r>
      <w:r w:rsidR="00D319C6">
        <w:t xml:space="preserve"> when it converted forecast and actual opex to 2015</w:t>
      </w:r>
      <w:r w:rsidR="00423568">
        <w:t xml:space="preserve"> dollars</w:t>
      </w:r>
      <w:r w:rsidR="00D319C6">
        <w:t>.</w:t>
      </w:r>
    </w:p>
    <w:p w:rsidR="00CD6A2A" w:rsidRDefault="00CD6A2A" w:rsidP="00CD6A2A">
      <w:pPr>
        <w:pStyle w:val="HeadingBoldBlue"/>
      </w:pPr>
      <w:r>
        <w:t xml:space="preserve">Movements in provisions for superannuation costs </w:t>
      </w:r>
    </w:p>
    <w:p w:rsidR="00934AE0" w:rsidRDefault="00934AE0" w:rsidP="008B174E">
      <w:r>
        <w:t>W</w:t>
      </w:r>
      <w:r w:rsidRPr="003834CA">
        <w:t xml:space="preserve">hen </w:t>
      </w:r>
      <w:r>
        <w:t>we calculate</w:t>
      </w:r>
      <w:r w:rsidRPr="003834CA">
        <w:t xml:space="preserve"> the EBSS carryover amounts</w:t>
      </w:r>
      <w:r>
        <w:t xml:space="preserve"> we</w:t>
      </w:r>
      <w:r w:rsidR="00115C25" w:rsidRPr="003834CA">
        <w:t xml:space="preserve"> remove the movement in provisions from a service provider's reported actual opex.</w:t>
      </w:r>
      <w:r>
        <w:rPr>
          <w:rStyle w:val="FootnoteReference"/>
        </w:rPr>
        <w:footnoteReference w:id="20"/>
      </w:r>
      <w:r w:rsidR="00115C25">
        <w:t xml:space="preserve"> </w:t>
      </w:r>
      <w:r>
        <w:t>The movement in p</w:t>
      </w:r>
      <w:r w:rsidR="00115C25">
        <w:t xml:space="preserve">rovisions </w:t>
      </w:r>
      <w:r>
        <w:t>relate to</w:t>
      </w:r>
      <w:r w:rsidR="00115C25">
        <w:t xml:space="preserve"> </w:t>
      </w:r>
      <w:r>
        <w:t xml:space="preserve">various types of provisions including provisions for </w:t>
      </w:r>
      <w:r w:rsidR="00115C25">
        <w:t>defined benefits schemes</w:t>
      </w:r>
      <w:r>
        <w:t xml:space="preserve">. </w:t>
      </w:r>
    </w:p>
    <w:p w:rsidR="00115C25" w:rsidRDefault="00FE2F53" w:rsidP="008B174E">
      <w:r>
        <w:t>In our preliminary decision</w:t>
      </w:r>
      <w:r w:rsidR="00C93B38">
        <w:t>,</w:t>
      </w:r>
      <w:r w:rsidR="00A231C3">
        <w:t xml:space="preserve"> a</w:t>
      </w:r>
      <w:r w:rsidR="00115C25">
        <w:t xml:space="preserve"> point of disagreement with AusNet Services was whether it should or should not </w:t>
      </w:r>
      <w:r w:rsidR="006E7AAB">
        <w:t xml:space="preserve">have </w:t>
      </w:r>
      <w:r w:rsidR="00115C25">
        <w:t>include</w:t>
      </w:r>
      <w:r w:rsidR="006E7AAB">
        <w:t>d</w:t>
      </w:r>
      <w:r w:rsidR="00115C25">
        <w:t xml:space="preserve"> provisions for defined benefits schemes, when it remove</w:t>
      </w:r>
      <w:r w:rsidR="006E7AAB">
        <w:t>d</w:t>
      </w:r>
      <w:r w:rsidR="00115C25">
        <w:t xml:space="preserve"> the movement in provisions from its reported actual opex.</w:t>
      </w:r>
      <w:r w:rsidR="009B7ADB">
        <w:t xml:space="preserve"> </w:t>
      </w:r>
    </w:p>
    <w:p w:rsidR="008B174E" w:rsidRDefault="008B174E" w:rsidP="008B174E">
      <w:r>
        <w:t>In its original proposal, AusNet Services:</w:t>
      </w:r>
      <w:r w:rsidR="00057F18" w:rsidRPr="00057F18">
        <w:rPr>
          <w:rStyle w:val="FootnoteReference"/>
        </w:rPr>
        <w:t xml:space="preserve"> </w:t>
      </w:r>
      <w:r w:rsidR="00057F18">
        <w:rPr>
          <w:rStyle w:val="FootnoteReference"/>
        </w:rPr>
        <w:footnoteReference w:id="21"/>
      </w:r>
    </w:p>
    <w:p w:rsidR="008B174E" w:rsidRDefault="008B174E" w:rsidP="008B174E">
      <w:pPr>
        <w:pStyle w:val="AERbulletlistfirststyle"/>
      </w:pPr>
      <w:r>
        <w:t>excluded expenditure on superannuation for defined benefits schemes</w:t>
      </w:r>
      <w:r w:rsidR="00934AE0">
        <w:rPr>
          <w:rStyle w:val="FootnoteReference"/>
        </w:rPr>
        <w:footnoteReference w:id="22"/>
      </w:r>
      <w:r w:rsidRPr="00FA32F8">
        <w:t xml:space="preserve"> </w:t>
      </w:r>
    </w:p>
    <w:p w:rsidR="008B174E" w:rsidRDefault="008B174E" w:rsidP="008B174E">
      <w:pPr>
        <w:pStyle w:val="AERbulletlistfirststyle"/>
      </w:pPr>
      <w:r>
        <w:t xml:space="preserve">adjusted </w:t>
      </w:r>
      <w:r w:rsidR="004804C1">
        <w:t xml:space="preserve">actual opex </w:t>
      </w:r>
      <w:r>
        <w:t>for movements in provisions</w:t>
      </w:r>
      <w:r w:rsidR="00934AE0">
        <w:t>, including provisions for defined benefits schemes</w:t>
      </w:r>
      <w:r>
        <w:t>.</w:t>
      </w:r>
    </w:p>
    <w:p w:rsidR="00EB5299" w:rsidRPr="00673B01" w:rsidRDefault="008B174E">
      <w:r w:rsidRPr="00673B01">
        <w:t xml:space="preserve">In </w:t>
      </w:r>
      <w:r w:rsidR="003834CA">
        <w:t>our</w:t>
      </w:r>
      <w:r w:rsidRPr="00673B01">
        <w:t xml:space="preserve"> preliminary decision, we considered </w:t>
      </w:r>
      <w:r w:rsidR="00057F18" w:rsidRPr="00673B01">
        <w:t>i</w:t>
      </w:r>
      <w:r w:rsidR="004E1246" w:rsidRPr="00673B01">
        <w:t xml:space="preserve">f AusNet Services had already excluded defined benefits as a cost category from actual opex, it should not need to adjust </w:t>
      </w:r>
      <w:r w:rsidR="00EB5299" w:rsidRPr="00673B01">
        <w:t xml:space="preserve">for the </w:t>
      </w:r>
      <w:r w:rsidR="004E1246" w:rsidRPr="00673B01">
        <w:t>defined benefits</w:t>
      </w:r>
      <w:r w:rsidR="00EB5299" w:rsidRPr="00673B01">
        <w:t xml:space="preserve"> component of </w:t>
      </w:r>
      <w:r w:rsidR="00057F18" w:rsidRPr="00673B01">
        <w:t xml:space="preserve">movements in </w:t>
      </w:r>
      <w:r w:rsidR="00EB5299" w:rsidRPr="00673B01">
        <w:t>provisions</w:t>
      </w:r>
      <w:r w:rsidR="004E1246" w:rsidRPr="00673B01">
        <w:t xml:space="preserve">. </w:t>
      </w:r>
    </w:p>
    <w:p w:rsidR="008B174E" w:rsidRPr="00EB5299" w:rsidRDefault="00B6454B">
      <w:r>
        <w:t>We considered that b</w:t>
      </w:r>
      <w:r w:rsidR="008B174E" w:rsidRPr="00673B01">
        <w:t xml:space="preserve">y adjusting for movements in </w:t>
      </w:r>
      <w:r w:rsidR="00EB5299" w:rsidRPr="00673B01">
        <w:t xml:space="preserve">total </w:t>
      </w:r>
      <w:r w:rsidR="008B174E" w:rsidRPr="00673B01">
        <w:t xml:space="preserve">provisions, AusNet Services excluded provisions for superannuation for defined benefits schemes twice: the first time when it </w:t>
      </w:r>
      <w:r w:rsidR="004804C1" w:rsidRPr="00673B01">
        <w:t>adjusted actual opex for</w:t>
      </w:r>
      <w:r w:rsidR="008B174E" w:rsidRPr="00673B01">
        <w:t xml:space="preserve"> movements in provisions, and the second time when it excluded expenditure on superannuation for defined benefits schemes as a cost category.</w:t>
      </w:r>
      <w:r w:rsidR="00057F18" w:rsidRPr="00A401BF">
        <w:t xml:space="preserve"> </w:t>
      </w:r>
      <w:r w:rsidR="00057F18" w:rsidRPr="00673B01">
        <w:rPr>
          <w:rStyle w:val="FootnoteReference"/>
        </w:rPr>
        <w:footnoteReference w:id="23"/>
      </w:r>
      <w:r w:rsidR="008B174E" w:rsidRPr="00673B01">
        <w:t xml:space="preserve"> </w:t>
      </w:r>
      <w:r w:rsidR="008B174E" w:rsidRPr="00EB5299">
        <w:t xml:space="preserve">Consequently, </w:t>
      </w:r>
      <w:r w:rsidR="00057F18" w:rsidRPr="00896408">
        <w:t>to avoid double counting</w:t>
      </w:r>
      <w:r w:rsidR="00057F18">
        <w:t>,</w:t>
      </w:r>
      <w:r w:rsidR="00057F18" w:rsidRPr="00057F18">
        <w:t xml:space="preserve"> </w:t>
      </w:r>
      <w:r w:rsidR="008B174E" w:rsidRPr="00EB5299">
        <w:t xml:space="preserve">we deducted </w:t>
      </w:r>
      <w:r w:rsidR="00EB5299">
        <w:t>the defined benefits component</w:t>
      </w:r>
      <w:r w:rsidR="008B174E" w:rsidRPr="00EB5299">
        <w:t xml:space="preserve"> from total movements in provisions. </w:t>
      </w:r>
    </w:p>
    <w:p w:rsidR="00F5631E" w:rsidRDefault="008B174E" w:rsidP="002F77D2">
      <w:r>
        <w:t xml:space="preserve">In its revised proposal, AusNet Services </w:t>
      </w:r>
      <w:r w:rsidR="00F5631E">
        <w:t>stated</w:t>
      </w:r>
      <w:r>
        <w:t xml:space="preserve"> that </w:t>
      </w:r>
      <w:r w:rsidR="00B6454B">
        <w:t>it</w:t>
      </w:r>
      <w:r>
        <w:t xml:space="preserve"> </w:t>
      </w:r>
      <w:r w:rsidR="00B6454B">
        <w:t>had</w:t>
      </w:r>
      <w:r>
        <w:t xml:space="preserve"> not double count</w:t>
      </w:r>
      <w:r w:rsidR="00B6454B">
        <w:t>ed</w:t>
      </w:r>
      <w:r>
        <w:t xml:space="preserve"> superannuation for defined benefits when </w:t>
      </w:r>
      <w:r w:rsidR="00B6454B">
        <w:t>it</w:t>
      </w:r>
      <w:r>
        <w:t xml:space="preserve"> calculated the carryover amounts</w:t>
      </w:r>
      <w:r w:rsidR="00F5631E">
        <w:t>.</w:t>
      </w:r>
      <w:r w:rsidR="003834CA">
        <w:rPr>
          <w:rStyle w:val="FootnoteReference"/>
        </w:rPr>
        <w:footnoteReference w:id="24"/>
      </w:r>
      <w:r w:rsidR="003834CA" w:rsidRPr="00CD6A2A">
        <w:t xml:space="preserve"> </w:t>
      </w:r>
      <w:r w:rsidR="00F5631E">
        <w:t xml:space="preserve"> This was because</w:t>
      </w:r>
      <w:r w:rsidR="002F77D2">
        <w:t xml:space="preserve"> </w:t>
      </w:r>
      <w:r w:rsidR="002F77D2" w:rsidRPr="002F77D2">
        <w:t xml:space="preserve">the two adjustments </w:t>
      </w:r>
      <w:r w:rsidR="000F7A9B">
        <w:t xml:space="preserve">it </w:t>
      </w:r>
      <w:r w:rsidR="002F77D2" w:rsidRPr="002F77D2">
        <w:t>made relat</w:t>
      </w:r>
      <w:r w:rsidR="002F77D2">
        <w:t xml:space="preserve">ed to superannuation costs </w:t>
      </w:r>
      <w:r w:rsidR="002F77D2" w:rsidRPr="002F77D2">
        <w:t xml:space="preserve">for </w:t>
      </w:r>
      <w:r w:rsidR="002F77D2" w:rsidRPr="000F7A9B">
        <w:rPr>
          <w:rStyle w:val="AERtextitalic"/>
        </w:rPr>
        <w:t>different</w:t>
      </w:r>
      <w:r w:rsidR="002F77D2" w:rsidRPr="002F77D2">
        <w:t xml:space="preserve"> groups of employees</w:t>
      </w:r>
      <w:r w:rsidR="00F5631E">
        <w:t>:</w:t>
      </w:r>
      <w:r>
        <w:t xml:space="preserve"> </w:t>
      </w:r>
    </w:p>
    <w:p w:rsidR="00B6454B" w:rsidRDefault="00B6454B" w:rsidP="00B6454B">
      <w:pPr>
        <w:pStyle w:val="AERbulletlistfirststyle"/>
      </w:pPr>
      <w:r>
        <w:t>T</w:t>
      </w:r>
      <w:r w:rsidR="000F7A9B">
        <w:t xml:space="preserve">he </w:t>
      </w:r>
      <w:r w:rsidRPr="005D0C6B">
        <w:t>superannuation</w:t>
      </w:r>
      <w:r>
        <w:t xml:space="preserve"> </w:t>
      </w:r>
      <w:r w:rsidRPr="005D0C6B">
        <w:t xml:space="preserve">costs for defined benefits and retirement </w:t>
      </w:r>
      <w:r w:rsidR="000F7A9B">
        <w:t>schemes</w:t>
      </w:r>
      <w:r>
        <w:t xml:space="preserve"> EBSS exclusion captured</w:t>
      </w:r>
      <w:r w:rsidR="000F7A9B">
        <w:t xml:space="preserve"> costs related</w:t>
      </w:r>
      <w:r>
        <w:t xml:space="preserve"> </w:t>
      </w:r>
      <w:r w:rsidRPr="005D0C6B">
        <w:t xml:space="preserve">to the superannuation funds of </w:t>
      </w:r>
      <w:r w:rsidRPr="000F7A9B">
        <w:rPr>
          <w:rStyle w:val="AERtextitalic"/>
        </w:rPr>
        <w:t>SPIMS employees</w:t>
      </w:r>
      <w:r w:rsidRPr="005D0C6B">
        <w:t>.</w:t>
      </w:r>
      <w:r w:rsidR="003834CA">
        <w:rPr>
          <w:rStyle w:val="FootnoteReference"/>
        </w:rPr>
        <w:footnoteReference w:id="25"/>
      </w:r>
      <w:r>
        <w:t xml:space="preserve"> </w:t>
      </w:r>
    </w:p>
    <w:p w:rsidR="00F5631E" w:rsidRDefault="00B6454B" w:rsidP="00F5631E">
      <w:pPr>
        <w:pStyle w:val="AERbulletlistfirststyle"/>
      </w:pPr>
      <w:r>
        <w:t>T</w:t>
      </w:r>
      <w:r w:rsidR="008B174E" w:rsidRPr="005D0C6B">
        <w:t>he movements in provisions adjustment capture</w:t>
      </w:r>
      <w:r>
        <w:t>d</w:t>
      </w:r>
      <w:r w:rsidR="008B174E" w:rsidRPr="005D0C6B">
        <w:t xml:space="preserve"> changes in the balance</w:t>
      </w:r>
      <w:r w:rsidR="008B174E">
        <w:t xml:space="preserve"> </w:t>
      </w:r>
      <w:r w:rsidR="008B174E" w:rsidRPr="005D0C6B">
        <w:t xml:space="preserve">of the superannuation provision for </w:t>
      </w:r>
      <w:r w:rsidR="008B174E" w:rsidRPr="000F7A9B">
        <w:rPr>
          <w:rStyle w:val="AERtextitalic"/>
        </w:rPr>
        <w:t>AusNet Services’ employees</w:t>
      </w:r>
      <w:r>
        <w:t>.</w:t>
      </w:r>
      <w:r w:rsidR="00115C25">
        <w:rPr>
          <w:rStyle w:val="FootnoteReference"/>
        </w:rPr>
        <w:footnoteReference w:id="26"/>
      </w:r>
      <w:r w:rsidR="008B174E" w:rsidRPr="005D0C6B">
        <w:t xml:space="preserve"> </w:t>
      </w:r>
    </w:p>
    <w:p w:rsidR="009B7ADB" w:rsidRDefault="009B7ADB" w:rsidP="008B174E">
      <w:r>
        <w:t xml:space="preserve">Our different approaches to adjusting movements in provisions turned on our different understanding of what superannuation costs </w:t>
      </w:r>
      <w:r w:rsidR="00725853">
        <w:t>for defined benefits schemes should be excluded from the EBSS</w:t>
      </w:r>
      <w:r>
        <w:t xml:space="preserve"> carryover amounts.</w:t>
      </w:r>
    </w:p>
    <w:p w:rsidR="00137391" w:rsidRDefault="002163BE" w:rsidP="008B174E">
      <w:r>
        <w:t>We asked AusNet Services to explain why it had excluded superannuation costs related to SPIMS employees and not superannuation costs related to AusNet Services employees</w:t>
      </w:r>
      <w:r w:rsidR="009C65D7">
        <w:t xml:space="preserve"> from the EBSS</w:t>
      </w:r>
      <w:r>
        <w:t>.</w:t>
      </w:r>
      <w:r w:rsidR="002F77D2">
        <w:rPr>
          <w:rStyle w:val="FootnoteReference"/>
        </w:rPr>
        <w:footnoteReference w:id="27"/>
      </w:r>
      <w:r>
        <w:t xml:space="preserve"> </w:t>
      </w:r>
    </w:p>
    <w:p w:rsidR="006E7AAB" w:rsidRDefault="00137391" w:rsidP="000F7A9B">
      <w:r>
        <w:t>AusNet Services</w:t>
      </w:r>
      <w:r w:rsidR="002163BE">
        <w:t xml:space="preserve"> </w:t>
      </w:r>
      <w:r>
        <w:t>stated</w:t>
      </w:r>
      <w:r w:rsidR="002163BE">
        <w:t xml:space="preserve"> that during the 2011–15 reset</w:t>
      </w:r>
      <w:r w:rsidR="00C93B38">
        <w:t>,</w:t>
      </w:r>
      <w:r w:rsidR="002163BE">
        <w:t xml:space="preserve"> we specifically requested it</w:t>
      </w:r>
      <w:r w:rsidR="009C65D7">
        <w:t xml:space="preserve"> not to include actuarial adjustments associated with the employee defined benefit scheme in the regulatory accounts as opex. It stated that all other superannuation costs </w:t>
      </w:r>
      <w:r w:rsidR="00F1079E">
        <w:t>were</w:t>
      </w:r>
      <w:r w:rsidR="009C65D7">
        <w:t xml:space="preserve"> reported as provisions, not as part of opex.</w:t>
      </w:r>
      <w:r w:rsidR="002F77D2">
        <w:rPr>
          <w:rStyle w:val="FootnoteReference"/>
        </w:rPr>
        <w:footnoteReference w:id="28"/>
      </w:r>
      <w:r w:rsidR="009C65D7">
        <w:t xml:space="preserve"> </w:t>
      </w:r>
      <w:r w:rsidR="000F7A9B" w:rsidRPr="000F7A9B">
        <w:t xml:space="preserve">AusNet Services </w:t>
      </w:r>
      <w:r w:rsidR="00F1079E">
        <w:t>considered</w:t>
      </w:r>
      <w:r w:rsidR="000F7A9B" w:rsidRPr="000F7A9B">
        <w:t xml:space="preserve"> the EBSS exclusion for super</w:t>
      </w:r>
      <w:r w:rsidR="000F7A9B">
        <w:t xml:space="preserve">annuation costs was specific to </w:t>
      </w:r>
      <w:r w:rsidR="000F7A9B" w:rsidRPr="000F7A9B">
        <w:t xml:space="preserve">SPIMS employees (i.e. the exclusion referred to the superannuation costs that </w:t>
      </w:r>
      <w:r w:rsidR="00F1079E">
        <w:t>were</w:t>
      </w:r>
      <w:r w:rsidR="000F7A9B" w:rsidRPr="000F7A9B">
        <w:t xml:space="preserve"> included</w:t>
      </w:r>
      <w:r w:rsidR="000F7A9B">
        <w:t xml:space="preserve"> </w:t>
      </w:r>
      <w:r w:rsidR="000F7A9B" w:rsidRPr="000F7A9B">
        <w:t>directly in reported opex), and that non-SPIMS superannuation costs were to be treated</w:t>
      </w:r>
      <w:r w:rsidR="000F7A9B">
        <w:t xml:space="preserve"> </w:t>
      </w:r>
      <w:r w:rsidR="000F7A9B" w:rsidRPr="000F7A9B">
        <w:t>consistently with other provisions.</w:t>
      </w:r>
      <w:r w:rsidR="000F7A9B">
        <w:rPr>
          <w:rStyle w:val="FootnoteReference"/>
        </w:rPr>
        <w:footnoteReference w:id="29"/>
      </w:r>
      <w:r w:rsidR="00F1079E">
        <w:t xml:space="preserve"> </w:t>
      </w:r>
      <w:r w:rsidR="006E7AAB">
        <w:t xml:space="preserve">AusNet Services stated that superannuation costs for defined benefits for AusNet Services employees were </w:t>
      </w:r>
      <w:r w:rsidR="006E7AAB" w:rsidRPr="009F3AB1">
        <w:rPr>
          <w:rStyle w:val="AERtextitalic"/>
        </w:rPr>
        <w:t>not</w:t>
      </w:r>
      <w:r w:rsidR="006E7AAB">
        <w:t xml:space="preserve"> recorded as opex in the regulatory accounts. Therefore, if they were not recorded as opex, they should </w:t>
      </w:r>
      <w:r w:rsidR="00741904">
        <w:t>be</w:t>
      </w:r>
      <w:r w:rsidR="006E7AAB">
        <w:t xml:space="preserve"> included in the provisions adjustment.</w:t>
      </w:r>
    </w:p>
    <w:p w:rsidR="00626A35" w:rsidRDefault="0059389F" w:rsidP="003834CA">
      <w:r>
        <w:t>AusNet Services agreed</w:t>
      </w:r>
      <w:r w:rsidR="009B7ADB" w:rsidRPr="009B7ADB">
        <w:t xml:space="preserve"> with </w:t>
      </w:r>
      <w:r>
        <w:t>our</w:t>
      </w:r>
      <w:r w:rsidR="009B7ADB" w:rsidRPr="009B7ADB">
        <w:t xml:space="preserve"> interpretat</w:t>
      </w:r>
      <w:r w:rsidR="009B7ADB">
        <w:t xml:space="preserve">ion of </w:t>
      </w:r>
      <w:r w:rsidR="009B7ADB" w:rsidRPr="0059389F">
        <w:rPr>
          <w:rStyle w:val="AERtextitalic"/>
        </w:rPr>
        <w:t>how</w:t>
      </w:r>
      <w:r w:rsidR="009B7ADB">
        <w:t xml:space="preserve"> to exclude non-SPIMS </w:t>
      </w:r>
      <w:r w:rsidR="009B7ADB" w:rsidRPr="009B7ADB">
        <w:t xml:space="preserve">superannuation costs </w:t>
      </w:r>
      <w:r>
        <w:t>from reported opex but considered</w:t>
      </w:r>
      <w:r w:rsidR="009B7ADB" w:rsidRPr="009B7ADB">
        <w:t xml:space="preserve"> that such an adjustment </w:t>
      </w:r>
      <w:r>
        <w:t>was</w:t>
      </w:r>
      <w:r w:rsidR="009B7ADB" w:rsidRPr="009B7ADB">
        <w:t xml:space="preserve"> inconsistent</w:t>
      </w:r>
      <w:r w:rsidR="009B7ADB">
        <w:t xml:space="preserve"> with </w:t>
      </w:r>
      <w:r>
        <w:t>the AER's</w:t>
      </w:r>
      <w:r w:rsidR="009B7ADB">
        <w:t xml:space="preserve"> 2011–</w:t>
      </w:r>
      <w:r w:rsidR="009B7ADB" w:rsidRPr="009B7ADB">
        <w:t xml:space="preserve">15 </w:t>
      </w:r>
      <w:r>
        <w:t>final decision</w:t>
      </w:r>
      <w:r w:rsidR="009B7ADB" w:rsidRPr="009B7ADB">
        <w:t>.</w:t>
      </w:r>
      <w:r w:rsidR="009B7ADB">
        <w:rPr>
          <w:rStyle w:val="FootnoteReference"/>
        </w:rPr>
        <w:footnoteReference w:id="30"/>
      </w:r>
      <w:r>
        <w:t xml:space="preserve"> </w:t>
      </w:r>
      <w:r w:rsidR="00626A35">
        <w:t xml:space="preserve">AusNet referred to the 2011–15 final decision opex model which demonstrated that its interpretation of how superannuation costs should be treated was consistent with </w:t>
      </w:r>
      <w:r w:rsidR="00000587">
        <w:t xml:space="preserve">how they were treated in </w:t>
      </w:r>
      <w:r w:rsidR="00626A35">
        <w:t xml:space="preserve">the approved opex </w:t>
      </w:r>
      <w:r w:rsidR="00000587">
        <w:t>forecast</w:t>
      </w:r>
      <w:r w:rsidR="00F271B3">
        <w:t xml:space="preserve"> </w:t>
      </w:r>
      <w:r w:rsidR="00000587">
        <w:t>used in the EBSS for that period</w:t>
      </w:r>
      <w:r w:rsidR="00626A35">
        <w:t>.</w:t>
      </w:r>
      <w:r w:rsidR="00000587">
        <w:rPr>
          <w:rStyle w:val="FootnoteReference"/>
        </w:rPr>
        <w:footnoteReference w:id="31"/>
      </w:r>
    </w:p>
    <w:p w:rsidR="003834CA" w:rsidRDefault="00F1079E" w:rsidP="003834CA">
      <w:r>
        <w:t xml:space="preserve">We reviewed </w:t>
      </w:r>
      <w:r w:rsidR="0059389F">
        <w:t>our</w:t>
      </w:r>
      <w:r w:rsidRPr="003834CA">
        <w:t xml:space="preserve"> 2011–15 </w:t>
      </w:r>
      <w:r>
        <w:t>final decisio</w:t>
      </w:r>
      <w:r w:rsidR="00725853">
        <w:t>n and</w:t>
      </w:r>
      <w:r>
        <w:t xml:space="preserve"> </w:t>
      </w:r>
      <w:r w:rsidR="00626A35">
        <w:t xml:space="preserve">agree that AusNet Services' proposed adjustment for superannuation is consistent with how the 2011–15 </w:t>
      </w:r>
      <w:r w:rsidR="004835BF">
        <w:t>opex allowance</w:t>
      </w:r>
      <w:r w:rsidR="00626A35">
        <w:t xml:space="preserve"> was set.</w:t>
      </w:r>
      <w:r w:rsidR="0032430B">
        <w:t xml:space="preserve"> </w:t>
      </w:r>
      <w:r w:rsidR="006E7AAB">
        <w:t>Having considered AusNet Services revised proposal, its responses to additional information requests</w:t>
      </w:r>
      <w:r w:rsidR="006E7AAB">
        <w:rPr>
          <w:rStyle w:val="FootnoteReference"/>
        </w:rPr>
        <w:footnoteReference w:id="32"/>
      </w:r>
      <w:r w:rsidR="006E7AAB">
        <w:t xml:space="preserve"> and our 2011–15 determination, w</w:t>
      </w:r>
      <w:r w:rsidR="003834CA" w:rsidRPr="00CD6A2A">
        <w:t xml:space="preserve">e accept </w:t>
      </w:r>
      <w:r w:rsidR="006E7AAB">
        <w:t xml:space="preserve">AusNet Services' approach to remove all movements in provisions from reported opex, including provisions for </w:t>
      </w:r>
      <w:r w:rsidR="003834CA">
        <w:t xml:space="preserve">superannuation </w:t>
      </w:r>
      <w:r w:rsidR="006E7AAB">
        <w:t>defined benefits schemes, was reasonable</w:t>
      </w:r>
      <w:r w:rsidR="003834CA">
        <w:t>.</w:t>
      </w:r>
      <w:r w:rsidR="003834CA" w:rsidRPr="00CD6A2A">
        <w:t xml:space="preserve"> </w:t>
      </w:r>
      <w:r w:rsidR="003834CA">
        <w:t>The</w:t>
      </w:r>
      <w:r w:rsidR="003834CA" w:rsidRPr="00CD6A2A">
        <w:t xml:space="preserve"> final decision </w:t>
      </w:r>
      <w:r w:rsidR="006E7AAB">
        <w:t>reflects</w:t>
      </w:r>
      <w:r w:rsidR="003834CA">
        <w:t xml:space="preserve"> </w:t>
      </w:r>
      <w:r w:rsidR="00741904">
        <w:t>this</w:t>
      </w:r>
      <w:r w:rsidR="006E7AAB">
        <w:t xml:space="preserve"> approach</w:t>
      </w:r>
      <w:r w:rsidR="003834CA">
        <w:t xml:space="preserve"> and consequently </w:t>
      </w:r>
      <w:r w:rsidR="00725853">
        <w:t>increases the carryover amount from our preliminary decision.</w:t>
      </w:r>
    </w:p>
    <w:p w:rsidR="00B977F2" w:rsidRDefault="00B977F2" w:rsidP="00B977F2">
      <w:pPr>
        <w:pStyle w:val="HeadingBoldBlue"/>
      </w:pPr>
      <w:r>
        <w:t>Inflation</w:t>
      </w:r>
    </w:p>
    <w:p w:rsidR="0012014A" w:rsidRDefault="003C0495" w:rsidP="0032430B">
      <w:r>
        <w:t>How we adjust for inflation impacts both the EBSS and the opex forecast.</w:t>
      </w:r>
    </w:p>
    <w:p w:rsidR="00C25173" w:rsidRDefault="00C25173" w:rsidP="00C25173">
      <w:pPr>
        <w:pStyle w:val="HeadingItalic"/>
      </w:pPr>
      <w:r>
        <w:t>CPI adjustment in the EBSS model</w:t>
      </w:r>
    </w:p>
    <w:p w:rsidR="00130840" w:rsidRDefault="0032430B" w:rsidP="0032430B">
      <w:r>
        <w:t>When we calculate</w:t>
      </w:r>
      <w:r w:rsidRPr="00CE0866">
        <w:t xml:space="preserve"> the EBSS carryover amount</w:t>
      </w:r>
      <w:r>
        <w:t>s</w:t>
      </w:r>
      <w:r w:rsidR="007F0BE3">
        <w:t>,</w:t>
      </w:r>
      <w:r>
        <w:t xml:space="preserve"> we compare </w:t>
      </w:r>
      <w:r w:rsidR="00BD24FD">
        <w:t>the</w:t>
      </w:r>
      <w:r>
        <w:t xml:space="preserve"> opex </w:t>
      </w:r>
      <w:r w:rsidR="00BD24FD">
        <w:t xml:space="preserve">forecast </w:t>
      </w:r>
      <w:r>
        <w:t xml:space="preserve">to </w:t>
      </w:r>
      <w:r w:rsidR="00BD24FD">
        <w:t>actual</w:t>
      </w:r>
      <w:r>
        <w:t xml:space="preserve"> opex</w:t>
      </w:r>
      <w:r w:rsidR="00BD24FD">
        <w:t xml:space="preserve"> incurred</w:t>
      </w:r>
      <w:r>
        <w:t>. To do this,</w:t>
      </w:r>
      <w:r w:rsidRPr="00CE0866">
        <w:t xml:space="preserve"> </w:t>
      </w:r>
      <w:r w:rsidR="00130840">
        <w:t xml:space="preserve">we convert both the opex forecast and actual opex into the same dollar terms. </w:t>
      </w:r>
      <w:r w:rsidR="007F0BE3">
        <w:t xml:space="preserve">In the EBSS model </w:t>
      </w:r>
      <w:r w:rsidR="00E63388">
        <w:t xml:space="preserve">for AusNet Services </w:t>
      </w:r>
      <w:r w:rsidR="007F0BE3">
        <w:t>w</w:t>
      </w:r>
      <w:r w:rsidR="00130840">
        <w:t>e convert</w:t>
      </w:r>
      <w:r w:rsidR="00E63388">
        <w:t>ed</w:t>
      </w:r>
      <w:r w:rsidR="00130840">
        <w:t>:</w:t>
      </w:r>
    </w:p>
    <w:p w:rsidR="00130840" w:rsidRDefault="00E63388" w:rsidP="00130840">
      <w:pPr>
        <w:pStyle w:val="AERbulletlistfirststyle"/>
      </w:pPr>
      <w:r>
        <w:t xml:space="preserve">its </w:t>
      </w:r>
      <w:r w:rsidR="0043079C">
        <w:t xml:space="preserve">opex forecast </w:t>
      </w:r>
      <w:r w:rsidR="00BD24FD">
        <w:t>from</w:t>
      </w:r>
      <w:r w:rsidR="0043079C">
        <w:t xml:space="preserve"> December 2010 dollars</w:t>
      </w:r>
      <w:r w:rsidR="00BD24FD">
        <w:rPr>
          <w:rStyle w:val="FootnoteReference"/>
        </w:rPr>
        <w:footnoteReference w:id="33"/>
      </w:r>
      <w:r w:rsidR="0043079C">
        <w:t xml:space="preserve"> into December 2015 dollars</w:t>
      </w:r>
      <w:r w:rsidR="00BD24FD">
        <w:t xml:space="preserve"> </w:t>
      </w:r>
    </w:p>
    <w:p w:rsidR="00130840" w:rsidRDefault="00E63388" w:rsidP="00130840">
      <w:pPr>
        <w:pStyle w:val="AERbulletlistfirststyle"/>
      </w:pPr>
      <w:r>
        <w:t xml:space="preserve">its </w:t>
      </w:r>
      <w:r w:rsidR="0032430B" w:rsidRPr="00CE0866">
        <w:t xml:space="preserve">actual </w:t>
      </w:r>
      <w:r w:rsidR="0032430B">
        <w:t xml:space="preserve">opex </w:t>
      </w:r>
      <w:r w:rsidR="00BD24FD">
        <w:t>from</w:t>
      </w:r>
      <w:r w:rsidR="00130840">
        <w:t xml:space="preserve"> </w:t>
      </w:r>
      <w:r w:rsidR="0032430B" w:rsidRPr="00CE0866">
        <w:t xml:space="preserve">nominal </w:t>
      </w:r>
      <w:r w:rsidR="0032430B">
        <w:t>dollars</w:t>
      </w:r>
      <w:r w:rsidR="00130840">
        <w:rPr>
          <w:rStyle w:val="FootnoteReference"/>
        </w:rPr>
        <w:footnoteReference w:id="34"/>
      </w:r>
      <w:r w:rsidR="0032430B">
        <w:t xml:space="preserve"> in</w:t>
      </w:r>
      <w:r w:rsidR="0032430B" w:rsidRPr="00CE0866">
        <w:t xml:space="preserve">to </w:t>
      </w:r>
      <w:r w:rsidR="00130840">
        <w:t xml:space="preserve">December </w:t>
      </w:r>
      <w:r w:rsidR="0032430B" w:rsidRPr="00CE0866">
        <w:t xml:space="preserve">2015 dollars. </w:t>
      </w:r>
    </w:p>
    <w:p w:rsidR="0032430B" w:rsidRDefault="007F0BE3" w:rsidP="0032430B">
      <w:r>
        <w:t xml:space="preserve">When we converted the opex forecast and actual opex into December 2015 dollars, </w:t>
      </w:r>
      <w:r w:rsidR="0032430B">
        <w:t>we use</w:t>
      </w:r>
      <w:r w:rsidR="00BC3650">
        <w:t>d</w:t>
      </w:r>
      <w:r w:rsidR="0032430B">
        <w:t xml:space="preserve"> </w:t>
      </w:r>
      <w:r w:rsidR="00BD2B33">
        <w:t xml:space="preserve">the most recent CPI available </w:t>
      </w:r>
      <w:r>
        <w:t>which is the December 2015 CPI. We refer to this</w:t>
      </w:r>
      <w:r w:rsidR="00BD2B33">
        <w:t xml:space="preserve"> as an unlagged CPI</w:t>
      </w:r>
      <w:r w:rsidR="00BD24FD">
        <w:t>.</w:t>
      </w:r>
      <w:r w:rsidR="0032430B">
        <w:rPr>
          <w:rStyle w:val="FootnoteReference"/>
        </w:rPr>
        <w:footnoteReference w:id="35"/>
      </w:r>
      <w:r w:rsidR="00BD24FD">
        <w:t xml:space="preserve"> </w:t>
      </w:r>
      <w:r>
        <w:t xml:space="preserve">When </w:t>
      </w:r>
      <w:r w:rsidR="0032430B">
        <w:t xml:space="preserve">AusNet Services </w:t>
      </w:r>
      <w:r w:rsidR="00BC3650">
        <w:t>converted</w:t>
      </w:r>
      <w:r>
        <w:t xml:space="preserve"> the opex forecast and actual opex into December 2015 dollars it </w:t>
      </w:r>
      <w:r w:rsidR="0032430B">
        <w:t>use</w:t>
      </w:r>
      <w:r w:rsidR="00BC3650">
        <w:t>d</w:t>
      </w:r>
      <w:r w:rsidR="0032430B">
        <w:t xml:space="preserve"> </w:t>
      </w:r>
      <w:r w:rsidR="00BD2B33">
        <w:t>the September 2014 CPI</w:t>
      </w:r>
      <w:r>
        <w:t>,</w:t>
      </w:r>
      <w:r w:rsidR="00BD2B33">
        <w:t xml:space="preserve"> which we refer to as </w:t>
      </w:r>
      <w:r w:rsidR="0032430B">
        <w:t>a 15</w:t>
      </w:r>
      <w:r w:rsidR="002C1C74">
        <w:t>-</w:t>
      </w:r>
      <w:r w:rsidR="0032430B">
        <w:t xml:space="preserve">month lagged CPI. </w:t>
      </w:r>
      <w:r w:rsidR="003C0495">
        <w:t>We use</w:t>
      </w:r>
      <w:r w:rsidR="00BC3650">
        <w:t>d</w:t>
      </w:r>
      <w:r w:rsidR="003C0495">
        <w:t xml:space="preserve"> an unlagged CPI to be consistent with our opex </w:t>
      </w:r>
      <w:r w:rsidR="00E63388">
        <w:t xml:space="preserve">forecasting approach for </w:t>
      </w:r>
      <w:r w:rsidR="00BC3650">
        <w:t>2016–20. AusNet Services used</w:t>
      </w:r>
      <w:r w:rsidR="003C0495">
        <w:t xml:space="preserve"> a</w:t>
      </w:r>
      <w:r w:rsidR="00E63388">
        <w:t xml:space="preserve"> 15</w:t>
      </w:r>
      <w:r w:rsidR="002C1C74">
        <w:t>-</w:t>
      </w:r>
      <w:r w:rsidR="00E63388">
        <w:t>month</w:t>
      </w:r>
      <w:r w:rsidR="003C0495">
        <w:t xml:space="preserve"> lagged CPI to be consistent with </w:t>
      </w:r>
      <w:r w:rsidR="00EA22DB">
        <w:t>its forecasting approach</w:t>
      </w:r>
      <w:r w:rsidR="00E63388">
        <w:t xml:space="preserve"> for </w:t>
      </w:r>
      <w:r w:rsidR="003C0495">
        <w:t xml:space="preserve">2011–15. We explain </w:t>
      </w:r>
      <w:r w:rsidR="00BC3650">
        <w:t>both</w:t>
      </w:r>
      <w:r w:rsidR="003C0495">
        <w:t xml:space="preserve"> reasons below.</w:t>
      </w:r>
    </w:p>
    <w:p w:rsidR="0032430B" w:rsidRDefault="0032430B" w:rsidP="0032430B">
      <w:pPr>
        <w:pStyle w:val="HeadingItalic"/>
      </w:pPr>
      <w:r>
        <w:t>CPI adjustment in the opex model</w:t>
      </w:r>
    </w:p>
    <w:p w:rsidR="009C35C6" w:rsidRDefault="000668EB" w:rsidP="0032430B">
      <w:r>
        <w:t xml:space="preserve">When we forecast opex we </w:t>
      </w:r>
      <w:r w:rsidR="00C63683">
        <w:t xml:space="preserve">use a base step trend approach. </w:t>
      </w:r>
      <w:r w:rsidR="00271397">
        <w:t>To establish the</w:t>
      </w:r>
      <w:r w:rsidR="00C63683">
        <w:t xml:space="preserve"> starting point </w:t>
      </w:r>
      <w:r w:rsidR="009C35C6">
        <w:t xml:space="preserve">for our forecast </w:t>
      </w:r>
      <w:r w:rsidR="00C63683">
        <w:t xml:space="preserve">we </w:t>
      </w:r>
      <w:r>
        <w:t>convert the revealed opex in the base yea</w:t>
      </w:r>
      <w:r w:rsidR="00C63683">
        <w:t>r</w:t>
      </w:r>
      <w:r>
        <w:t xml:space="preserve"> into December 2015 dollars. </w:t>
      </w:r>
      <w:r w:rsidR="0032430B">
        <w:t xml:space="preserve">We </w:t>
      </w:r>
      <w:r w:rsidR="00271397">
        <w:t xml:space="preserve">do this </w:t>
      </w:r>
      <w:r w:rsidR="00BC3650">
        <w:t xml:space="preserve">also </w:t>
      </w:r>
      <w:r w:rsidR="0032430B">
        <w:t>us</w:t>
      </w:r>
      <w:r w:rsidR="00271397">
        <w:t>ing</w:t>
      </w:r>
      <w:r w:rsidR="0032430B">
        <w:t xml:space="preserve"> </w:t>
      </w:r>
      <w:r w:rsidR="00271397">
        <w:t>the most recent CPI available (</w:t>
      </w:r>
      <w:r w:rsidR="0032430B">
        <w:t>unlagged</w:t>
      </w:r>
      <w:r w:rsidR="00271397">
        <w:t>)</w:t>
      </w:r>
      <w:r w:rsidR="0032430B">
        <w:t>,</w:t>
      </w:r>
      <w:r w:rsidR="0032430B">
        <w:rPr>
          <w:rStyle w:val="FootnoteReference"/>
        </w:rPr>
        <w:footnoteReference w:id="36"/>
      </w:r>
      <w:r w:rsidR="0032430B">
        <w:t xml:space="preserve"> whereas AusNet Services consider we should use a 15</w:t>
      </w:r>
      <w:r w:rsidR="002C1C74">
        <w:t>-</w:t>
      </w:r>
      <w:r w:rsidR="0032430B">
        <w:t>month lagged CPI.</w:t>
      </w:r>
      <w:r w:rsidR="0032430B">
        <w:rPr>
          <w:rStyle w:val="FootnoteReference"/>
        </w:rPr>
        <w:footnoteReference w:id="37"/>
      </w:r>
      <w:r w:rsidR="0032430B">
        <w:t xml:space="preserve"> </w:t>
      </w:r>
    </w:p>
    <w:p w:rsidR="0032430B" w:rsidRDefault="00271397" w:rsidP="0032430B">
      <w:r>
        <w:t xml:space="preserve">We consider a starting point based on the most recent or actual CPI </w:t>
      </w:r>
      <w:r w:rsidR="009C35C6">
        <w:t xml:space="preserve">produces a more accurate opex forecast </w:t>
      </w:r>
      <w:r>
        <w:t>than a starting point based on a lagged CPI.</w:t>
      </w:r>
      <w:r w:rsidR="009C35C6">
        <w:t xml:space="preserve"> An opex forecast that is not as accurate as possible</w:t>
      </w:r>
      <w:r w:rsidR="009C35C6" w:rsidRPr="002C308E">
        <w:t xml:space="preserve"> may result in windfall gains or losses for AusNet Services</w:t>
      </w:r>
      <w:r w:rsidR="009C35C6">
        <w:t>.</w:t>
      </w:r>
      <w:r w:rsidR="009C35C6" w:rsidRPr="00F06B4B" w:rsidDel="002D0DEC">
        <w:t xml:space="preserve"> </w:t>
      </w:r>
      <w:r w:rsidR="009C35C6">
        <w:t xml:space="preserve">Given the timing of AusNet Services' determination we consider </w:t>
      </w:r>
      <w:r w:rsidR="0031675A">
        <w:t>we do not need to</w:t>
      </w:r>
      <w:r w:rsidR="009C35C6">
        <w:t xml:space="preserve"> use lagged CPI as we already know </w:t>
      </w:r>
      <w:r w:rsidR="002C1C74">
        <w:t xml:space="preserve">the </w:t>
      </w:r>
      <w:r w:rsidR="009C35C6">
        <w:t>actual CPI between June 2014 and December 2015.</w:t>
      </w:r>
    </w:p>
    <w:p w:rsidR="009C35C6" w:rsidRDefault="009C35C6" w:rsidP="0032430B">
      <w:r>
        <w:t xml:space="preserve">AusNet Services consider we should use a lagged CPI to establish the starting point of </w:t>
      </w:r>
      <w:r w:rsidR="002B3EBE">
        <w:t>its</w:t>
      </w:r>
      <w:r>
        <w:t xml:space="preserve"> opex forecast to be consistent with the lagged CPI that we use </w:t>
      </w:r>
      <w:r w:rsidR="002B3EBE">
        <w:t>to determine its</w:t>
      </w:r>
      <w:r>
        <w:t xml:space="preserve"> </w:t>
      </w:r>
      <w:r w:rsidRPr="00D319C6">
        <w:t>prices and revenues for the same period</w:t>
      </w:r>
      <w:r>
        <w:t xml:space="preserve">. </w:t>
      </w:r>
    </w:p>
    <w:p w:rsidR="0032430B" w:rsidRPr="00E8518C" w:rsidRDefault="0002600D" w:rsidP="0032430B">
      <w:r>
        <w:t>Like AusNet Services, w</w:t>
      </w:r>
      <w:r w:rsidR="009C35C6">
        <w:t xml:space="preserve">e </w:t>
      </w:r>
      <w:r w:rsidR="002B3EBE">
        <w:t>previously</w:t>
      </w:r>
      <w:r w:rsidR="009C35C6">
        <w:t xml:space="preserve"> consider</w:t>
      </w:r>
      <w:r>
        <w:t>ed</w:t>
      </w:r>
      <w:r w:rsidR="009C35C6">
        <w:t xml:space="preserve"> it best to use lagged CPI to establish the starting point for the opex forecast in order to match the way we inflated revenues in the </w:t>
      </w:r>
      <w:r w:rsidR="003C0495">
        <w:t>roll forward model (</w:t>
      </w:r>
      <w:r w:rsidR="009C35C6">
        <w:t>RFM</w:t>
      </w:r>
      <w:r w:rsidR="003C0495">
        <w:t>)</w:t>
      </w:r>
      <w:r w:rsidR="002B3EBE">
        <w:t>. However</w:t>
      </w:r>
      <w:r w:rsidR="002C1C74">
        <w:t>,</w:t>
      </w:r>
      <w:r w:rsidR="0032430B">
        <w:t xml:space="preserve"> we have</w:t>
      </w:r>
      <w:r w:rsidR="00162686">
        <w:t xml:space="preserve"> </w:t>
      </w:r>
      <w:r w:rsidR="0032430B">
        <w:t>n</w:t>
      </w:r>
      <w:r w:rsidR="00162686">
        <w:t xml:space="preserve">ot </w:t>
      </w:r>
      <w:r w:rsidR="0032430B">
        <w:t>used lagged CPI to forecast opex since undertaking TransGrid's regulatory determination in April 2015.</w:t>
      </w:r>
      <w:r w:rsidR="002B3EBE">
        <w:t xml:space="preserve"> </w:t>
      </w:r>
      <w:r w:rsidR="000F5B60">
        <w:t xml:space="preserve">At that time, </w:t>
      </w:r>
      <w:r w:rsidR="0032430B">
        <w:t>TransGrid challenged our use of lagged CPI, stating</w:t>
      </w:r>
      <w:r w:rsidR="0032430B" w:rsidRPr="00615AC1">
        <w:t xml:space="preserve"> that </w:t>
      </w:r>
      <w:r w:rsidR="0032430B">
        <w:t>such an</w:t>
      </w:r>
      <w:r w:rsidR="0032430B" w:rsidRPr="00615AC1">
        <w:t xml:space="preserve"> approach was inappropriate. It provided advice from Houston Kemp that stated that the rationale for using lagged </w:t>
      </w:r>
      <w:r w:rsidR="0032430B">
        <w:t>CPI</w:t>
      </w:r>
      <w:r w:rsidR="0032430B" w:rsidRPr="00615AC1">
        <w:t xml:space="preserve"> in the </w:t>
      </w:r>
      <w:r w:rsidR="00BC3650">
        <w:t>RFM</w:t>
      </w:r>
      <w:r w:rsidR="0032430B">
        <w:t xml:space="preserve"> </w:t>
      </w:r>
      <w:r w:rsidR="0032430B" w:rsidRPr="00615AC1">
        <w:t>did not apply when converting base opex from nominal to real terms</w:t>
      </w:r>
      <w:r w:rsidR="0032430B">
        <w:t xml:space="preserve"> in the opex model</w:t>
      </w:r>
      <w:r w:rsidR="0032430B" w:rsidRPr="00615AC1">
        <w:t xml:space="preserve">. </w:t>
      </w:r>
      <w:r w:rsidR="002B3EBE">
        <w:t>This is because</w:t>
      </w:r>
      <w:r w:rsidR="0032430B" w:rsidRPr="00E8518C">
        <w:t xml:space="preserve"> the </w:t>
      </w:r>
      <w:r w:rsidR="0032430B">
        <w:t xml:space="preserve">conversion </w:t>
      </w:r>
      <w:r w:rsidR="0032430B" w:rsidRPr="00E8518C">
        <w:t>of base year opex to real dollars is</w:t>
      </w:r>
      <w:r w:rsidR="0032430B">
        <w:t xml:space="preserve"> </w:t>
      </w:r>
      <w:r w:rsidR="0032430B" w:rsidRPr="00E8518C">
        <w:t xml:space="preserve">not attempting to match revenues received by the </w:t>
      </w:r>
      <w:r w:rsidR="0032430B">
        <w:t>network service provider</w:t>
      </w:r>
      <w:r w:rsidR="0032430B" w:rsidRPr="00E8518C">
        <w:t xml:space="preserve"> during the </w:t>
      </w:r>
      <w:r w:rsidR="0032430B">
        <w:t xml:space="preserve">current </w:t>
      </w:r>
      <w:r w:rsidR="0032430B" w:rsidRPr="00E8518C">
        <w:t xml:space="preserve">regulatory control period. Therefore, it </w:t>
      </w:r>
      <w:r w:rsidR="00E63388">
        <w:t xml:space="preserve">considered it </w:t>
      </w:r>
      <w:r w:rsidR="0032430B" w:rsidRPr="00E8518C">
        <w:t>is inappropriate to use lag</w:t>
      </w:r>
      <w:r w:rsidR="0032430B">
        <w:t xml:space="preserve">ged CPI </w:t>
      </w:r>
      <w:r w:rsidR="0032430B" w:rsidRPr="00E8518C">
        <w:t xml:space="preserve">when </w:t>
      </w:r>
      <w:r w:rsidR="0032430B">
        <w:t>converting</w:t>
      </w:r>
      <w:r w:rsidR="0032430B" w:rsidRPr="00E8518C">
        <w:t xml:space="preserve"> base year opex </w:t>
      </w:r>
      <w:r w:rsidR="0032430B">
        <w:t>to real</w:t>
      </w:r>
      <w:r w:rsidR="0032430B" w:rsidRPr="00E8518C">
        <w:t xml:space="preserve"> dollars.</w:t>
      </w:r>
      <w:r w:rsidR="0032430B">
        <w:rPr>
          <w:rStyle w:val="FootnoteReference"/>
        </w:rPr>
        <w:footnoteReference w:id="38"/>
      </w:r>
    </w:p>
    <w:p w:rsidR="0032430B" w:rsidRDefault="0032430B" w:rsidP="0032430B">
      <w:r w:rsidRPr="002C308E">
        <w:t xml:space="preserve">We agreed with TransGrid's reasoning </w:t>
      </w:r>
      <w:r w:rsidR="002B3EBE">
        <w:t>and used un</w:t>
      </w:r>
      <w:r w:rsidRPr="002C308E">
        <w:t xml:space="preserve">lagged </w:t>
      </w:r>
      <w:r>
        <w:t>CPI</w:t>
      </w:r>
      <w:r w:rsidRPr="002C308E">
        <w:t xml:space="preserve"> </w:t>
      </w:r>
      <w:r w:rsidR="002B3EBE">
        <w:t>to estimate</w:t>
      </w:r>
      <w:r w:rsidRPr="002C308E">
        <w:t xml:space="preserve"> </w:t>
      </w:r>
      <w:r w:rsidR="002B3EBE">
        <w:t>its</w:t>
      </w:r>
      <w:r w:rsidR="002B3EBE" w:rsidRPr="002C308E">
        <w:t xml:space="preserve"> </w:t>
      </w:r>
      <w:r w:rsidRPr="002C308E">
        <w:t>final decision</w:t>
      </w:r>
      <w:r w:rsidR="002B3EBE">
        <w:t xml:space="preserve"> opex forecast</w:t>
      </w:r>
      <w:r w:rsidRPr="002C308E">
        <w:t xml:space="preserve">. </w:t>
      </w:r>
      <w:r w:rsidR="0002600D">
        <w:t>F</w:t>
      </w:r>
      <w:r w:rsidRPr="002C308E">
        <w:t>or the same reasons</w:t>
      </w:r>
      <w:r w:rsidR="0002600D">
        <w:t>,</w:t>
      </w:r>
      <w:r w:rsidRPr="002C308E">
        <w:t xml:space="preserve"> we used unlagged </w:t>
      </w:r>
      <w:r>
        <w:t>CPI</w:t>
      </w:r>
      <w:r w:rsidRPr="002C308E">
        <w:t xml:space="preserve"> to forecast opex in our preliminary decision for AusNet Services. </w:t>
      </w:r>
    </w:p>
    <w:p w:rsidR="00C25173" w:rsidRDefault="00C25173" w:rsidP="00C25173">
      <w:pPr>
        <w:pStyle w:val="HeadingItalic"/>
      </w:pPr>
      <w:r>
        <w:t xml:space="preserve">Consistency between the EBSS carryover accrued in 2011–15 and the opex forecast for 2016–20 </w:t>
      </w:r>
    </w:p>
    <w:p w:rsidR="003168F7" w:rsidRPr="003168F7" w:rsidRDefault="009849A0" w:rsidP="009849A0">
      <w:r>
        <w:t>Because</w:t>
      </w:r>
      <w:r w:rsidR="00743587">
        <w:t xml:space="preserve"> </w:t>
      </w:r>
      <w:r w:rsidR="00D87BFA">
        <w:t>of the interaction between the carryover amounts accrued in 2011–15 and the starting point for the opex forecast for 2016–20</w:t>
      </w:r>
      <w:r w:rsidR="008C756C">
        <w:t>,</w:t>
      </w:r>
      <w:r w:rsidR="00D87BFA">
        <w:t xml:space="preserve"> it</w:t>
      </w:r>
      <w:r>
        <w:t xml:space="preserve"> is important </w:t>
      </w:r>
      <w:r w:rsidR="00D87BFA">
        <w:t>we use</w:t>
      </w:r>
      <w:r>
        <w:t xml:space="preserve"> the same CPI</w:t>
      </w:r>
      <w:r w:rsidR="00D87BFA">
        <w:t xml:space="preserve"> adjustments for both</w:t>
      </w:r>
      <w:r w:rsidR="003168F7" w:rsidRPr="003168F7">
        <w:t xml:space="preserve">. </w:t>
      </w:r>
    </w:p>
    <w:p w:rsidR="00D87BFA" w:rsidRDefault="003C0495" w:rsidP="003168F7">
      <w:r>
        <w:t>W</w:t>
      </w:r>
      <w:r w:rsidR="00743587">
        <w:t xml:space="preserve">hen we set the opex forecast from the 2014 base year, the reward (penalty) AusNet is paid for any underspend (overspend) in the base year </w:t>
      </w:r>
      <w:r w:rsidR="00D87BFA">
        <w:t>needs to be</w:t>
      </w:r>
      <w:r w:rsidR="00743587">
        <w:t xml:space="preserve"> consistent with the impact that underspend (overspend) </w:t>
      </w:r>
      <w:r w:rsidR="00BC3650">
        <w:t>has</w:t>
      </w:r>
      <w:r w:rsidR="00743587">
        <w:t xml:space="preserve"> on the opex forecast. </w:t>
      </w:r>
      <w:r w:rsidR="00D87BFA">
        <w:t>For example</w:t>
      </w:r>
      <w:r w:rsidR="00743587">
        <w:t xml:space="preserve">, if AusNet Services </w:t>
      </w:r>
      <w:r w:rsidR="00763B74">
        <w:t>delivers</w:t>
      </w:r>
      <w:r w:rsidR="00E63388">
        <w:t xml:space="preserve"> lower opex in the </w:t>
      </w:r>
      <w:r w:rsidR="00743587">
        <w:t>base year</w:t>
      </w:r>
      <w:r w:rsidR="00D87BFA">
        <w:t xml:space="preserve"> </w:t>
      </w:r>
      <w:r w:rsidR="000C384D">
        <w:t>it</w:t>
      </w:r>
      <w:r w:rsidR="00D87BFA">
        <w:t xml:space="preserve"> will:</w:t>
      </w:r>
    </w:p>
    <w:p w:rsidR="00D87BFA" w:rsidRDefault="00D87BFA" w:rsidP="00D87BFA">
      <w:pPr>
        <w:pStyle w:val="AERbulletlistfirststyle"/>
      </w:pPr>
      <w:r>
        <w:t>generate an increased EBSS carryover (</w:t>
      </w:r>
      <w:r w:rsidR="00E63388">
        <w:t xml:space="preserve">marginal reduction in opex </w:t>
      </w:r>
      <w:r>
        <w:t>times the length of the carryover period)</w:t>
      </w:r>
    </w:p>
    <w:p w:rsidR="00D87BFA" w:rsidRDefault="00D87BFA" w:rsidP="00D87BFA">
      <w:pPr>
        <w:pStyle w:val="AERbulletlistfirststyle"/>
      </w:pPr>
      <w:r>
        <w:t xml:space="preserve">reduce the starting point for the opex forecast, reducing the total opex forecast </w:t>
      </w:r>
      <w:r w:rsidR="000C384D">
        <w:t xml:space="preserve">for 2016–20 </w:t>
      </w:r>
      <w:r>
        <w:t>(</w:t>
      </w:r>
      <w:r w:rsidR="00E63388">
        <w:t>marginal reduction in opex</w:t>
      </w:r>
      <w:r>
        <w:t xml:space="preserve"> time</w:t>
      </w:r>
      <w:r w:rsidR="00E63388">
        <w:t>s</w:t>
      </w:r>
      <w:r>
        <w:t xml:space="preserve"> the length of the regulatory control period).</w:t>
      </w:r>
    </w:p>
    <w:p w:rsidR="00763B74" w:rsidRDefault="004D5DE4" w:rsidP="00870EED">
      <w:r>
        <w:t xml:space="preserve">The size of the EBSS reward should correspond to the size of the reduced opex forecast. </w:t>
      </w:r>
      <w:r w:rsidR="003168F7">
        <w:t xml:space="preserve">However, if the </w:t>
      </w:r>
      <w:r>
        <w:t>CPI</w:t>
      </w:r>
      <w:r w:rsidR="00BA5D4C">
        <w:t xml:space="preserve"> used to calculate</w:t>
      </w:r>
      <w:r w:rsidR="003168F7">
        <w:t xml:space="preserve"> the efficiency gains is not the same </w:t>
      </w:r>
      <w:r w:rsidR="003C0495">
        <w:t xml:space="preserve">as the CPI </w:t>
      </w:r>
      <w:r w:rsidR="003168F7">
        <w:t xml:space="preserve">used to establish </w:t>
      </w:r>
      <w:r w:rsidR="003C0495">
        <w:t xml:space="preserve">the starting point for the </w:t>
      </w:r>
      <w:r w:rsidR="003168F7">
        <w:t>opex forecast</w:t>
      </w:r>
      <w:r>
        <w:t>,</w:t>
      </w:r>
      <w:r w:rsidR="003168F7">
        <w:t xml:space="preserve"> </w:t>
      </w:r>
      <w:r>
        <w:t>this will not be the case</w:t>
      </w:r>
      <w:r w:rsidR="003168F7">
        <w:t xml:space="preserve"> and AusNet Services </w:t>
      </w:r>
      <w:r w:rsidR="00BC3650">
        <w:t>may</w:t>
      </w:r>
      <w:r w:rsidR="003168F7">
        <w:t xml:space="preserve"> get a windfall gain or loss</w:t>
      </w:r>
      <w:r w:rsidR="00BC3650">
        <w:t xml:space="preserve"> as a result</w:t>
      </w:r>
      <w:r w:rsidR="003168F7">
        <w:t xml:space="preserve">. </w:t>
      </w:r>
      <w:r w:rsidR="00763B74">
        <w:t>For instance</w:t>
      </w:r>
      <w:r w:rsidR="008C756C">
        <w:t>,</w:t>
      </w:r>
      <w:r w:rsidR="00763B74">
        <w:t xml:space="preserve"> if </w:t>
      </w:r>
      <w:r w:rsidR="00063AAF">
        <w:t>we</w:t>
      </w:r>
      <w:r w:rsidR="00763B74">
        <w:t xml:space="preserve"> inflated </w:t>
      </w:r>
      <w:r w:rsidR="00063AAF">
        <w:t>AusNet Services'</w:t>
      </w:r>
      <w:r w:rsidR="00763B74">
        <w:t xml:space="preserve"> actual opex by less in estimating the EBSS than in forecast</w:t>
      </w:r>
      <w:r w:rsidR="00870EED">
        <w:t xml:space="preserve">ing its opex, consumers would pay for an EBSS carryover amount attributable to lower inflation but they would not receive the benefits of a lower opex forecast. In implementing the EBSS we </w:t>
      </w:r>
      <w:r w:rsidR="00063AAF">
        <w:t xml:space="preserve">must </w:t>
      </w:r>
      <w:r w:rsidR="00870EED" w:rsidRPr="00870EED">
        <w:t>ensure that benefits to consumers likely to result from the scheme are</w:t>
      </w:r>
      <w:r w:rsidR="00063AAF">
        <w:t xml:space="preserve"> </w:t>
      </w:r>
      <w:r w:rsidR="00870EED" w:rsidRPr="00870EED">
        <w:t xml:space="preserve">sufficient to warrant any reward or penalty </w:t>
      </w:r>
      <w:r w:rsidR="003D620B">
        <w:t xml:space="preserve">distributors earn </w:t>
      </w:r>
      <w:r w:rsidR="00870EED" w:rsidRPr="00870EED">
        <w:t>under the scheme</w:t>
      </w:r>
      <w:r w:rsidR="00063AAF">
        <w:t>.</w:t>
      </w:r>
      <w:r w:rsidR="00063AAF">
        <w:rPr>
          <w:rStyle w:val="FootnoteReference"/>
        </w:rPr>
        <w:footnoteReference w:id="39"/>
      </w:r>
      <w:r w:rsidR="00063AAF">
        <w:t xml:space="preserve"> If consumers do not receive the benefits of lower inflation through the opex forecast, </w:t>
      </w:r>
      <w:r w:rsidR="00F801FB">
        <w:t>we consider</w:t>
      </w:r>
      <w:r w:rsidR="00063AAF">
        <w:t xml:space="preserve"> we should</w:t>
      </w:r>
      <w:r w:rsidR="00F801FB">
        <w:t xml:space="preserve"> not</w:t>
      </w:r>
      <w:r w:rsidR="00063AAF">
        <w:t xml:space="preserve"> use this modelling assumption in estimating the EBSS carryovers.  </w:t>
      </w:r>
    </w:p>
    <w:p w:rsidR="001A5F0B" w:rsidRDefault="0032430B" w:rsidP="001A5F0B">
      <w:r w:rsidRPr="00D319C6">
        <w:t xml:space="preserve">AusNet Services </w:t>
      </w:r>
      <w:r>
        <w:t>stated that</w:t>
      </w:r>
      <w:r w:rsidRPr="00D319C6">
        <w:t xml:space="preserve"> using </w:t>
      </w:r>
      <w:r>
        <w:t>unlagged</w:t>
      </w:r>
      <w:r w:rsidRPr="00D319C6">
        <w:t xml:space="preserve"> inflation would be inconsistent with the inflation embedded in AusNet Services’ prices and revenues for the same period and that this inconsistency would result in a windfall gain or loss for AusNet Services</w:t>
      </w:r>
      <w:r w:rsidR="00F65D8F">
        <w:t>.</w:t>
      </w:r>
      <w:r w:rsidR="00F65D8F">
        <w:rPr>
          <w:rStyle w:val="FootnoteReference"/>
        </w:rPr>
        <w:footnoteReference w:id="40"/>
      </w:r>
      <w:r w:rsidR="003F0F7B">
        <w:t xml:space="preserve"> </w:t>
      </w:r>
      <w:r>
        <w:t xml:space="preserve">We disagree with AusNet Services. </w:t>
      </w:r>
      <w:r w:rsidR="00385F34">
        <w:t xml:space="preserve">As outlined above, we </w:t>
      </w:r>
      <w:r w:rsidR="00F801FB">
        <w:t>do not consider</w:t>
      </w:r>
      <w:r w:rsidR="001A5F0B">
        <w:t xml:space="preserve"> the inflation adjustment needs to be consistent with the PTRM. Rather it should be consistent with how we are forecasting opex for the next period. </w:t>
      </w:r>
    </w:p>
    <w:p w:rsidR="00BC3650" w:rsidRDefault="00BC3650" w:rsidP="00BC3650">
      <w:r>
        <w:t xml:space="preserve">Our final decision maintains our preliminary position to use an unlagged CPI when we calculate the efficiency gains and losses accrued under the EBSS. Because we use unlagged CPI and AusNet Services used lagged CPI, our calculations of the carryover amounts are different. </w:t>
      </w:r>
    </w:p>
    <w:p w:rsidR="00FE2F53" w:rsidRDefault="00D1341F" w:rsidP="00BC3650">
      <w:r>
        <w:t xml:space="preserve">We note </w:t>
      </w:r>
      <w:r w:rsidR="00B5236B">
        <w:t>our</w:t>
      </w:r>
      <w:r>
        <w:t xml:space="preserve"> opex model and EBSS model use a different </w:t>
      </w:r>
      <w:r w:rsidR="006C6E8A">
        <w:t>six-</w:t>
      </w:r>
      <w:r w:rsidR="004630C2">
        <w:t>month CPI adjustment</w:t>
      </w:r>
      <w:r w:rsidR="00B5236B">
        <w:t xml:space="preserve"> method</w:t>
      </w:r>
      <w:r>
        <w:t xml:space="preserve">. </w:t>
      </w:r>
      <w:r w:rsidR="00B5236B">
        <w:t>T</w:t>
      </w:r>
      <w:r>
        <w:t>he approach we us</w:t>
      </w:r>
      <w:r w:rsidR="004630C2">
        <w:t>e in the</w:t>
      </w:r>
      <w:r>
        <w:t xml:space="preserve"> final decision is consistent with the approach we u</w:t>
      </w:r>
      <w:r w:rsidR="004630C2">
        <w:t>sed in the preliminary decision</w:t>
      </w:r>
      <w:r>
        <w:t xml:space="preserve">, which </w:t>
      </w:r>
      <w:r w:rsidR="004630C2">
        <w:t>was</w:t>
      </w:r>
      <w:r>
        <w:t xml:space="preserve"> accepted by th</w:t>
      </w:r>
      <w:r w:rsidR="004630C2">
        <w:t>re</w:t>
      </w:r>
      <w:r>
        <w:t xml:space="preserve">e </w:t>
      </w:r>
      <w:r w:rsidR="004630C2">
        <w:t>of the</w:t>
      </w:r>
      <w:r>
        <w:t xml:space="preserve"> Victorian distributors. </w:t>
      </w:r>
      <w:r w:rsidR="00B5236B">
        <w:t>T</w:t>
      </w:r>
      <w:r w:rsidR="00B5236B" w:rsidRPr="00FE2F53">
        <w:t>he impact is not material</w:t>
      </w:r>
      <w:r w:rsidR="00B5236B">
        <w:t>; however,</w:t>
      </w:r>
      <w:r w:rsidR="00B5236B" w:rsidRPr="00FE2F53">
        <w:t xml:space="preserve"> </w:t>
      </w:r>
      <w:r w:rsidR="00B5236B">
        <w:t>i</w:t>
      </w:r>
      <w:r>
        <w:t xml:space="preserve">f we were to change </w:t>
      </w:r>
      <w:r w:rsidR="004630C2">
        <w:t>the s</w:t>
      </w:r>
      <w:r w:rsidR="006C6E8A">
        <w:t>ix-</w:t>
      </w:r>
      <w:r w:rsidR="004630C2">
        <w:t>month CPI adjustment in the EBSS model to be consistent with the opex model</w:t>
      </w:r>
      <w:r>
        <w:t xml:space="preserve">, </w:t>
      </w:r>
      <w:r w:rsidR="00B5236B">
        <w:t>AusNet Services</w:t>
      </w:r>
      <w:r>
        <w:t xml:space="preserve"> would </w:t>
      </w:r>
      <w:r w:rsidR="00B5236B">
        <w:t>receive</w:t>
      </w:r>
      <w:r w:rsidR="00FE2F53" w:rsidRPr="00FE2F53">
        <w:t xml:space="preserve"> a </w:t>
      </w:r>
      <w:r>
        <w:t>lower</w:t>
      </w:r>
      <w:r w:rsidR="00B5236B">
        <w:t xml:space="preserve"> carry</w:t>
      </w:r>
      <w:r w:rsidR="00FE2F53" w:rsidRPr="00FE2F53">
        <w:t xml:space="preserve">over. </w:t>
      </w:r>
      <w:r>
        <w:t xml:space="preserve">We will consider applying a consistent </w:t>
      </w:r>
      <w:r w:rsidR="006C6E8A">
        <w:t>six-</w:t>
      </w:r>
      <w:r w:rsidR="004630C2">
        <w:t>month CPI adjustment</w:t>
      </w:r>
      <w:r w:rsidR="00FE2F53" w:rsidRPr="00FE2F53">
        <w:t xml:space="preserve"> </w:t>
      </w:r>
      <w:r w:rsidR="00B5236B">
        <w:t xml:space="preserve">in both models </w:t>
      </w:r>
      <w:r w:rsidR="00FE2F53" w:rsidRPr="00FE2F53">
        <w:t>going forward.</w:t>
      </w:r>
    </w:p>
    <w:p w:rsidR="007336EA" w:rsidRPr="0081734B" w:rsidRDefault="007336EA" w:rsidP="007336EA">
      <w:pPr>
        <w:pStyle w:val="Heading3"/>
      </w:pPr>
      <w:bookmarkStart w:id="104" w:name="_Toc417508303"/>
      <w:bookmarkStart w:id="105" w:name="_Toc417721237"/>
      <w:bookmarkStart w:id="106" w:name="_Toc430872799"/>
      <w:bookmarkStart w:id="107" w:name="_Ref430873126"/>
      <w:bookmarkStart w:id="108" w:name="_Ref431551677"/>
      <w:bookmarkStart w:id="109" w:name="_Toc432860774"/>
      <w:bookmarkStart w:id="110" w:name="_Toc451530022"/>
      <w:r>
        <w:t xml:space="preserve">How the </w:t>
      </w:r>
      <w:r w:rsidRPr="0081734B">
        <w:t xml:space="preserve">EBSS will apply in the </w:t>
      </w:r>
      <w:r>
        <w:t xml:space="preserve">2016–20 </w:t>
      </w:r>
      <w:r w:rsidRPr="0081734B">
        <w:t>regulatory control period</w:t>
      </w:r>
      <w:bookmarkEnd w:id="104"/>
      <w:bookmarkEnd w:id="105"/>
      <w:bookmarkEnd w:id="106"/>
      <w:bookmarkEnd w:id="107"/>
      <w:bookmarkEnd w:id="108"/>
      <w:bookmarkEnd w:id="109"/>
      <w:bookmarkEnd w:id="110"/>
    </w:p>
    <w:p w:rsidR="007336EA" w:rsidRDefault="007336EA" w:rsidP="007336EA">
      <w:r>
        <w:rPr>
          <w:rStyle w:val="AERbody"/>
        </w:rPr>
        <w:t>We have maintained our preliminary decision to</w:t>
      </w:r>
      <w:r w:rsidRPr="00A95046">
        <w:rPr>
          <w:rStyle w:val="AERbody"/>
        </w:rPr>
        <w:t xml:space="preserve"> apply version two of the EBSS</w:t>
      </w:r>
      <w:r>
        <w:rPr>
          <w:rStyle w:val="AERbody"/>
        </w:rPr>
        <w:t xml:space="preserve"> </w:t>
      </w:r>
      <w:r w:rsidRPr="00A95046">
        <w:rPr>
          <w:rStyle w:val="AERbody"/>
        </w:rPr>
        <w:t xml:space="preserve">to </w:t>
      </w:r>
      <w:r>
        <w:rPr>
          <w:rStyle w:val="AERbody"/>
        </w:rPr>
        <w:t>AusNet Services in the 2016–20 regulatory control period.</w:t>
      </w:r>
      <w:r w:rsidRPr="00A95046">
        <w:t xml:space="preserve"> </w:t>
      </w:r>
    </w:p>
    <w:p w:rsidR="007336EA" w:rsidRDefault="007336EA" w:rsidP="001A5F0B">
      <w:r w:rsidRPr="00A95046">
        <w:t xml:space="preserve">Version </w:t>
      </w:r>
      <w:r>
        <w:t>two</w:t>
      </w:r>
      <w:r w:rsidRPr="00A95046">
        <w:t xml:space="preserve"> of the EBSS specifies our approach to determining the length of the carryover period, calculating the incremental efficiency gains and adjusting forecast or actual opex when calculating carryover amounts. </w:t>
      </w:r>
      <w:r>
        <w:t>These are detailed below.</w:t>
      </w:r>
    </w:p>
    <w:p w:rsidR="007336EA" w:rsidRDefault="007336EA" w:rsidP="007336EA">
      <w:pPr>
        <w:pStyle w:val="HeadingBoldBlue"/>
      </w:pPr>
      <w:bookmarkStart w:id="111" w:name="_Toc411326655"/>
      <w:bookmarkStart w:id="112" w:name="_Toc416871312"/>
      <w:bookmarkStart w:id="113" w:name="_Toc430872800"/>
      <w:bookmarkStart w:id="114" w:name="_Toc432860775"/>
      <w:r>
        <w:t>Length of carryover period</w:t>
      </w:r>
      <w:bookmarkEnd w:id="111"/>
      <w:bookmarkEnd w:id="112"/>
      <w:bookmarkEnd w:id="113"/>
      <w:bookmarkEnd w:id="114"/>
    </w:p>
    <w:p w:rsidR="007336EA" w:rsidRDefault="007336EA" w:rsidP="007336EA">
      <w:pPr>
        <w:numPr>
          <w:ilvl w:val="0"/>
          <w:numId w:val="24"/>
        </w:numPr>
      </w:pPr>
      <w:r>
        <w:t xml:space="preserve">The length of the carryover period for the 2016–20 regulatory control period will be five years. This aligns the EBSS carryover period with the length of AusNet Services' regulatory control periods. </w:t>
      </w:r>
    </w:p>
    <w:p w:rsidR="007336EA" w:rsidRDefault="007336EA" w:rsidP="007336EA">
      <w:pPr>
        <w:pStyle w:val="HeadingBoldBlue"/>
      </w:pPr>
      <w:bookmarkStart w:id="115" w:name="_Toc411326656"/>
      <w:bookmarkStart w:id="116" w:name="_Toc416871313"/>
      <w:bookmarkStart w:id="117" w:name="_Toc430872801"/>
      <w:bookmarkStart w:id="118" w:name="_Toc432860776"/>
      <w:r>
        <w:t>Incremental efficiency gains</w:t>
      </w:r>
      <w:bookmarkEnd w:id="115"/>
      <w:bookmarkEnd w:id="116"/>
      <w:bookmarkEnd w:id="117"/>
      <w:bookmarkEnd w:id="118"/>
    </w:p>
    <w:p w:rsidR="007336EA" w:rsidRDefault="007336EA" w:rsidP="007336EA">
      <w:pPr>
        <w:numPr>
          <w:ilvl w:val="0"/>
          <w:numId w:val="24"/>
        </w:numPr>
      </w:pPr>
      <w:r>
        <w:t>We will calculate incremental efficiency gains differently depending on whether they are in:</w:t>
      </w:r>
    </w:p>
    <w:p w:rsidR="007336EA" w:rsidRPr="006E608B" w:rsidRDefault="007336EA" w:rsidP="007336EA">
      <w:pPr>
        <w:pStyle w:val="AERbulletlistfirststyle"/>
      </w:pPr>
      <w:r>
        <w:t>the first regulatory year</w:t>
      </w:r>
    </w:p>
    <w:p w:rsidR="007336EA" w:rsidRPr="006E608B" w:rsidRDefault="007336EA" w:rsidP="007336EA">
      <w:pPr>
        <w:pStyle w:val="AERbulletlistfirststyle"/>
      </w:pPr>
      <w:r>
        <w:t>the second regulatory year to the penultimate regulatory year</w:t>
      </w:r>
    </w:p>
    <w:p w:rsidR="007336EA" w:rsidRPr="006E608B" w:rsidRDefault="007336EA" w:rsidP="007336EA">
      <w:pPr>
        <w:pStyle w:val="AERbulletlistfirststyle"/>
      </w:pPr>
      <w:r>
        <w:t>the final regulatory year.</w:t>
      </w:r>
    </w:p>
    <w:p w:rsidR="007336EA" w:rsidRDefault="007336EA" w:rsidP="007336EA">
      <w:pPr>
        <w:numPr>
          <w:ilvl w:val="0"/>
          <w:numId w:val="24"/>
        </w:numPr>
      </w:pPr>
      <w:r>
        <w:t>We will do this according to the formulas set out in version two of the EBSS.</w:t>
      </w:r>
      <w:r>
        <w:rPr>
          <w:rStyle w:val="FootnoteReference"/>
        </w:rPr>
        <w:footnoteReference w:id="41"/>
      </w:r>
      <w:r>
        <w:t xml:space="preserve"> </w:t>
      </w:r>
    </w:p>
    <w:p w:rsidR="007336EA" w:rsidRPr="003F54B9" w:rsidRDefault="007336EA" w:rsidP="007336EA">
      <w:pPr>
        <w:numPr>
          <w:ilvl w:val="0"/>
          <w:numId w:val="24"/>
        </w:numPr>
      </w:pPr>
      <w:r>
        <w:t xml:space="preserve">When calculating actual opex under the EBSS we will </w:t>
      </w:r>
      <w:r w:rsidRPr="006F6CCB">
        <w:t xml:space="preserve">adjust </w:t>
      </w:r>
      <w:r>
        <w:t xml:space="preserve">reported </w:t>
      </w:r>
      <w:r w:rsidRPr="006F6CCB">
        <w:t xml:space="preserve">actual opex for the </w:t>
      </w:r>
      <w:r>
        <w:t>2016–20 regulatory control period</w:t>
      </w:r>
      <w:r w:rsidRPr="006F6CCB">
        <w:t xml:space="preserve"> to rever</w:t>
      </w:r>
      <w:r>
        <w:t>se any movements in provisions. We consider actual opex net of movement in provisions best reflects the actual opex incurred by the service provider during the regulatory control period.</w:t>
      </w:r>
    </w:p>
    <w:p w:rsidR="007336EA" w:rsidRDefault="007336EA" w:rsidP="007336EA">
      <w:pPr>
        <w:pStyle w:val="HeadingBoldBlue"/>
      </w:pPr>
      <w:bookmarkStart w:id="119" w:name="_Toc411326657"/>
      <w:bookmarkStart w:id="120" w:name="_Toc416871314"/>
      <w:bookmarkStart w:id="121" w:name="_Toc430872802"/>
      <w:bookmarkStart w:id="122" w:name="_Toc432860777"/>
      <w:r>
        <w:t>Adjustments to forecast or actual opex when calculating carryover amounts</w:t>
      </w:r>
      <w:bookmarkEnd w:id="119"/>
      <w:bookmarkEnd w:id="120"/>
      <w:bookmarkEnd w:id="121"/>
      <w:bookmarkEnd w:id="122"/>
    </w:p>
    <w:p w:rsidR="007336EA" w:rsidRPr="00BD2079" w:rsidRDefault="007336EA" w:rsidP="007336EA">
      <w:r w:rsidRPr="00BD2079">
        <w:t>The EBSS allows for exclusions of categories of costs from the EBSS where we do not use a single</w:t>
      </w:r>
      <w:r w:rsidR="00767E35">
        <w:t>-</w:t>
      </w:r>
      <w:r w:rsidRPr="00BD2079">
        <w:t xml:space="preserve">year revealed cost forecasting approach. </w:t>
      </w:r>
      <w:r w:rsidRPr="00302CE3">
        <w:t>This is designed to fairly share efficiency gains and losses. For instance, where a service provider achieves efficiency improvements, it receives a benefit through the EBSS and consumers receive a benefit through lower forecast opex in the next period. This is the way consumers and the service provider share in the benefits of an efficiency improvement.</w:t>
      </w:r>
      <w:r w:rsidRPr="00BD2079">
        <w:t xml:space="preserve"> </w:t>
      </w:r>
    </w:p>
    <w:p w:rsidR="007336EA" w:rsidRPr="00302CE3" w:rsidRDefault="007336EA" w:rsidP="007336EA">
      <w:pPr>
        <w:numPr>
          <w:ilvl w:val="0"/>
          <w:numId w:val="24"/>
        </w:numPr>
      </w:pPr>
      <w:r w:rsidRPr="00302CE3">
        <w:t>If we do not use a single</w:t>
      </w:r>
      <w:r w:rsidR="00767E35">
        <w:t>-</w:t>
      </w:r>
      <w:r w:rsidRPr="00302CE3">
        <w:t>year revealed cost forecasting approach, lower actual opex will not necessarily be passed through to consumers. Consumers should not pay for EBSS benefits where they do not receive the benefits of a lower opex forecast.</w:t>
      </w:r>
    </w:p>
    <w:p w:rsidR="00B64C7F" w:rsidRDefault="00B64C7F" w:rsidP="00B64C7F">
      <w:pPr>
        <w:numPr>
          <w:ilvl w:val="0"/>
          <w:numId w:val="24"/>
        </w:numPr>
      </w:pPr>
      <w:r>
        <w:t>We will exclude the following categories of costs from the EBSS:</w:t>
      </w:r>
    </w:p>
    <w:p w:rsidR="00B64C7F" w:rsidRDefault="00B64C7F" w:rsidP="00B64C7F">
      <w:pPr>
        <w:pStyle w:val="AERbulletlistfirststyle"/>
      </w:pPr>
      <w:r>
        <w:t>debt raising costs</w:t>
      </w:r>
    </w:p>
    <w:p w:rsidR="00B64C7F" w:rsidRDefault="00B64C7F" w:rsidP="00B64C7F">
      <w:pPr>
        <w:pStyle w:val="AERbulletlistfirststyle"/>
      </w:pPr>
      <w:r>
        <w:t>GSL payments</w:t>
      </w:r>
    </w:p>
    <w:p w:rsidR="00B64C7F" w:rsidRPr="006E608B" w:rsidRDefault="00B64C7F" w:rsidP="00B64C7F">
      <w:pPr>
        <w:pStyle w:val="AERbulletlistfirststyle"/>
      </w:pPr>
      <w:r>
        <w:t>losses on the scrapping of assets.</w:t>
      </w:r>
    </w:p>
    <w:p w:rsidR="007336EA" w:rsidRDefault="00B64C7F" w:rsidP="00B64C7F">
      <w:pPr>
        <w:rPr>
          <w:rStyle w:val="AERbody"/>
        </w:rPr>
      </w:pPr>
      <w:r w:rsidRPr="00750041">
        <w:rPr>
          <w:rStyle w:val="AERbody"/>
        </w:rPr>
        <w:t xml:space="preserve">As </w:t>
      </w:r>
      <w:r w:rsidR="009B0169">
        <w:rPr>
          <w:rStyle w:val="AERbody"/>
        </w:rPr>
        <w:t>debt raising costs and</w:t>
      </w:r>
      <w:r w:rsidRPr="00AA321A">
        <w:rPr>
          <w:rStyle w:val="AERbody"/>
        </w:rPr>
        <w:t xml:space="preserve"> </w:t>
      </w:r>
      <w:r w:rsidRPr="00780E16">
        <w:rPr>
          <w:rStyle w:val="AERbody"/>
        </w:rPr>
        <w:t xml:space="preserve">GSL payments </w:t>
      </w:r>
      <w:r w:rsidRPr="00AA321A">
        <w:rPr>
          <w:rStyle w:val="AERbody"/>
        </w:rPr>
        <w:t>are not forecast based on revealed expenditure they should be excluded from the EBSS.</w:t>
      </w:r>
      <w:r>
        <w:rPr>
          <w:rStyle w:val="AERbody"/>
        </w:rPr>
        <w:t xml:space="preserve"> We will also exclude </w:t>
      </w:r>
      <w:r>
        <w:t>losses on the scrapping of assets because they are an accounting adjustment to expenditure, rather than an actual outlay</w:t>
      </w:r>
      <w:r w:rsidR="007336EA" w:rsidRPr="00302CE3">
        <w:rPr>
          <w:rStyle w:val="AERbody"/>
        </w:rPr>
        <w:t>.</w:t>
      </w:r>
      <w:r>
        <w:rPr>
          <w:rStyle w:val="FootnoteReference"/>
        </w:rPr>
        <w:footnoteReference w:id="42"/>
      </w:r>
    </w:p>
    <w:p w:rsidR="007135EE" w:rsidRDefault="007135EE" w:rsidP="007135EE">
      <w:pPr>
        <w:pStyle w:val="HeadingBoldItalic"/>
        <w:rPr>
          <w:rStyle w:val="AERbody"/>
        </w:rPr>
      </w:pPr>
      <w:r>
        <w:rPr>
          <w:rStyle w:val="AERbody"/>
        </w:rPr>
        <w:t>Debt raising costs</w:t>
      </w:r>
    </w:p>
    <w:p w:rsidR="007135EE" w:rsidRDefault="007135EE" w:rsidP="007135EE">
      <w:pPr>
        <w:rPr>
          <w:rStyle w:val="AERbody"/>
        </w:rPr>
      </w:pPr>
      <w:r>
        <w:rPr>
          <w:rStyle w:val="AERbody"/>
        </w:rPr>
        <w:t>AusNet Services did</w:t>
      </w:r>
      <w:r w:rsidRPr="007135EE">
        <w:rPr>
          <w:rStyle w:val="AERbody"/>
        </w:rPr>
        <w:t xml:space="preserve"> not accept </w:t>
      </w:r>
      <w:r>
        <w:rPr>
          <w:rStyle w:val="AERbody"/>
        </w:rPr>
        <w:t>our preliminary decision to exclude</w:t>
      </w:r>
      <w:r w:rsidRPr="007135EE">
        <w:rPr>
          <w:rStyle w:val="AERbody"/>
        </w:rPr>
        <w:t xml:space="preserve"> debt raising</w:t>
      </w:r>
      <w:r>
        <w:rPr>
          <w:rStyle w:val="AERbody"/>
        </w:rPr>
        <w:t xml:space="preserve"> </w:t>
      </w:r>
      <w:r w:rsidRPr="007135EE">
        <w:rPr>
          <w:rStyle w:val="AERbody"/>
        </w:rPr>
        <w:t xml:space="preserve">costs </w:t>
      </w:r>
      <w:r>
        <w:rPr>
          <w:rStyle w:val="AERbody"/>
        </w:rPr>
        <w:t>from the EBSS.</w:t>
      </w:r>
      <w:r w:rsidR="00734315">
        <w:rPr>
          <w:rStyle w:val="FootnoteReference"/>
        </w:rPr>
        <w:footnoteReference w:id="43"/>
      </w:r>
      <w:r>
        <w:rPr>
          <w:rStyle w:val="AERbody"/>
        </w:rPr>
        <w:t xml:space="preserve"> This was because</w:t>
      </w:r>
      <w:r w:rsidRPr="007135EE">
        <w:rPr>
          <w:rStyle w:val="AERbody"/>
        </w:rPr>
        <w:t xml:space="preserve"> it forecast these costs on a revealed cost basis as part of base year</w:t>
      </w:r>
      <w:r>
        <w:rPr>
          <w:rStyle w:val="AERbody"/>
        </w:rPr>
        <w:t xml:space="preserve"> </w:t>
      </w:r>
      <w:r w:rsidRPr="007135EE">
        <w:rPr>
          <w:rStyle w:val="AERbody"/>
        </w:rPr>
        <w:t>operating expenditure.</w:t>
      </w:r>
      <w:r>
        <w:rPr>
          <w:rStyle w:val="AERbody"/>
        </w:rPr>
        <w:t xml:space="preserve"> However, AusNet Services stated if we</w:t>
      </w:r>
      <w:r w:rsidRPr="007135EE">
        <w:rPr>
          <w:rStyle w:val="AERbody"/>
        </w:rPr>
        <w:t xml:space="preserve"> set debt raising costs using </w:t>
      </w:r>
      <w:r>
        <w:rPr>
          <w:rStyle w:val="AERbody"/>
        </w:rPr>
        <w:t>a</w:t>
      </w:r>
      <w:r w:rsidRPr="007135EE">
        <w:rPr>
          <w:rStyle w:val="AERbody"/>
        </w:rPr>
        <w:t xml:space="preserve"> benchmark</w:t>
      </w:r>
      <w:r>
        <w:rPr>
          <w:rStyle w:val="AERbody"/>
        </w:rPr>
        <w:t xml:space="preserve"> rather than including them in the base year</w:t>
      </w:r>
      <w:r w:rsidRPr="007135EE">
        <w:rPr>
          <w:rStyle w:val="AERbody"/>
        </w:rPr>
        <w:t xml:space="preserve">, these costs </w:t>
      </w:r>
      <w:r>
        <w:rPr>
          <w:rStyle w:val="AERbody"/>
        </w:rPr>
        <w:t>should be</w:t>
      </w:r>
      <w:r w:rsidRPr="007135EE">
        <w:rPr>
          <w:rStyle w:val="AERbody"/>
        </w:rPr>
        <w:t xml:space="preserve"> excluded from the EBSS calculation.</w:t>
      </w:r>
      <w:r w:rsidR="00734315">
        <w:rPr>
          <w:rStyle w:val="FootnoteReference"/>
        </w:rPr>
        <w:footnoteReference w:id="44"/>
      </w:r>
      <w:r>
        <w:rPr>
          <w:rStyle w:val="AERbody"/>
        </w:rPr>
        <w:t xml:space="preserve"> Consistent with our final decision to forecast debt raising costs using a benchmark </w:t>
      </w:r>
      <w:r w:rsidR="00734315">
        <w:rPr>
          <w:rStyle w:val="AERbody"/>
        </w:rPr>
        <w:t xml:space="preserve">and not revealed expenditure, </w:t>
      </w:r>
      <w:r>
        <w:rPr>
          <w:rStyle w:val="AERbody"/>
        </w:rPr>
        <w:t>we excluded them from the EBSS.</w:t>
      </w:r>
      <w:r w:rsidR="00734315">
        <w:rPr>
          <w:rStyle w:val="FootnoteReference"/>
        </w:rPr>
        <w:footnoteReference w:id="45"/>
      </w:r>
    </w:p>
    <w:p w:rsidR="0022189B" w:rsidRDefault="0022189B" w:rsidP="007135EE">
      <w:pPr>
        <w:rPr>
          <w:rStyle w:val="AERbody"/>
        </w:rPr>
      </w:pPr>
    </w:p>
    <w:p w:rsidR="007135EE" w:rsidRPr="00877DAE" w:rsidRDefault="007135EE" w:rsidP="007135EE">
      <w:pPr>
        <w:pStyle w:val="HeadingBoldItalic"/>
        <w:rPr>
          <w:rStyle w:val="AERbody"/>
        </w:rPr>
      </w:pPr>
      <w:r>
        <w:rPr>
          <w:rStyle w:val="AERbody"/>
        </w:rPr>
        <w:t>Other adjustments</w:t>
      </w:r>
    </w:p>
    <w:p w:rsidR="007336EA" w:rsidRDefault="007336EA" w:rsidP="007336EA">
      <w:r>
        <w:t xml:space="preserve">In addition to the excluded cost category we will also: </w:t>
      </w:r>
    </w:p>
    <w:p w:rsidR="007336EA" w:rsidRPr="006E608B" w:rsidRDefault="007336EA" w:rsidP="007336EA">
      <w:pPr>
        <w:pStyle w:val="AERbulletlistfirststyle"/>
      </w:pPr>
      <w:r w:rsidRPr="00A95046">
        <w:t xml:space="preserve">adjust forecast opex to add (subtract) any approved revenue increments (decrements) made after the initial regulatory determination. This may include approved pass through amounts </w:t>
      </w:r>
    </w:p>
    <w:p w:rsidR="00AF129F" w:rsidRDefault="00AF129F" w:rsidP="00AF129F">
      <w:pPr>
        <w:pStyle w:val="AERbulletlistfirststyle"/>
      </w:pPr>
      <w:r w:rsidRPr="00A95046">
        <w:t xml:space="preserve">adjust actual opex </w:t>
      </w:r>
      <w:r>
        <w:t xml:space="preserve">to remove demand management </w:t>
      </w:r>
      <w:r w:rsidR="00950933">
        <w:t>innovation</w:t>
      </w:r>
      <w:r>
        <w:t xml:space="preserve"> </w:t>
      </w:r>
      <w:r w:rsidR="00950933">
        <w:t>allowance</w:t>
      </w:r>
      <w:r>
        <w:t xml:space="preserve"> (DMIA) </w:t>
      </w:r>
      <w:r w:rsidR="00BF12FB">
        <w:t xml:space="preserve">operating </w:t>
      </w:r>
      <w:r>
        <w:t xml:space="preserve">expenditure </w:t>
      </w:r>
      <w:r>
        <w:rPr>
          <w:rStyle w:val="AERbody"/>
        </w:rPr>
        <w:t>because it is not included in the opex forecast</w:t>
      </w:r>
    </w:p>
    <w:p w:rsidR="007336EA" w:rsidRPr="006E608B" w:rsidRDefault="007336EA" w:rsidP="007336EA">
      <w:pPr>
        <w:pStyle w:val="AERbulletlistfirststyle"/>
      </w:pPr>
      <w:r w:rsidRPr="00A95046">
        <w:t>adjust actual opex to add capitalised opex that has been excluded</w:t>
      </w:r>
      <w:r w:rsidRPr="006E608B">
        <w:t xml:space="preserve"> from the RAB </w:t>
      </w:r>
    </w:p>
    <w:p w:rsidR="007336EA" w:rsidRPr="006E608B" w:rsidRDefault="007336EA" w:rsidP="007336EA">
      <w:pPr>
        <w:pStyle w:val="AERbulletlistfirststyle"/>
      </w:pPr>
      <w:r w:rsidRPr="00A95046">
        <w:t>exclude categories of opex not forecast using a single year revealed cost approach for the regulatory control period beginning in 20</w:t>
      </w:r>
      <w:r w:rsidR="00822F6B">
        <w:t>21</w:t>
      </w:r>
      <w:r w:rsidRPr="006E608B">
        <w:t xml:space="preserve"> where doing so better achieves the requirements of clause </w:t>
      </w:r>
      <w:r>
        <w:t>6.5.8</w:t>
      </w:r>
      <w:r w:rsidRPr="006E608B">
        <w:t xml:space="preserve"> of the NER.</w:t>
      </w:r>
    </w:p>
    <w:bookmarkEnd w:id="102"/>
    <w:p w:rsidR="009D307C" w:rsidRPr="009D307C" w:rsidRDefault="00542C49" w:rsidP="009D307C">
      <w:pPr>
        <w:pStyle w:val="AERbulletlistfirststyle"/>
        <w:numPr>
          <w:ilvl w:val="0"/>
          <w:numId w:val="0"/>
        </w:numPr>
      </w:pPr>
      <w:r>
        <w:t xml:space="preserve">In its submission, </w:t>
      </w:r>
      <w:r w:rsidRPr="00542C49">
        <w:t xml:space="preserve">the CCP supported our decision to limit the number of categories excluded from </w:t>
      </w:r>
      <w:r>
        <w:t>the EBSS</w:t>
      </w:r>
      <w:r w:rsidR="009D307C" w:rsidRPr="009D307C">
        <w:t>. It supported our decision to exclude GSL payments</w:t>
      </w:r>
      <w:r w:rsidR="00AF129F">
        <w:t>, DMIA</w:t>
      </w:r>
      <w:r w:rsidR="009D307C" w:rsidRPr="009D307C">
        <w:t xml:space="preserve"> and losses on the scrapping of assets from the scheme. However</w:t>
      </w:r>
      <w:r w:rsidR="00FC5CAD">
        <w:t>,</w:t>
      </w:r>
      <w:r w:rsidR="009D307C" w:rsidRPr="009D307C">
        <w:t xml:space="preserve"> it did not support our decision to exclude debt raising costs. The CCP considered there needs to be an incentive </w:t>
      </w:r>
      <w:r w:rsidR="009D307C">
        <w:t>for</w:t>
      </w:r>
      <w:r w:rsidR="009D307C" w:rsidRPr="009D307C">
        <w:t xml:space="preserve"> network service providers to limit the costs of debt raising and including this in the EBSS would provide an appropriate incentive.</w:t>
      </w:r>
      <w:r w:rsidR="009D307C" w:rsidRPr="009D307C">
        <w:rPr>
          <w:rStyle w:val="FootnoteReference"/>
        </w:rPr>
        <w:footnoteReference w:id="46"/>
      </w:r>
    </w:p>
    <w:p w:rsidR="009D307C" w:rsidRPr="009D307C" w:rsidRDefault="009D307C" w:rsidP="009D307C">
      <w:r>
        <w:t>We disagree that debt raising costs should be included in the EBSS. If debt raising costs were included in the EBSS, consumers might pay for efficiency gains that they would not receive through the opex forecast. As discussed above, this is because debt raising costs are not forecast based on revealed expenditure</w:t>
      </w:r>
    </w:p>
    <w:p w:rsidR="009D307C" w:rsidRPr="009D307C" w:rsidRDefault="009D307C" w:rsidP="009D307C"/>
    <w:p w:rsidR="009D307C" w:rsidRPr="009D307C" w:rsidRDefault="009D307C" w:rsidP="009D307C"/>
    <w:p w:rsidR="007336EA" w:rsidRPr="00132D43" w:rsidRDefault="007336EA" w:rsidP="007336EA"/>
    <w:p w:rsidR="007336EA" w:rsidRDefault="007336EA" w:rsidP="007336EA"/>
    <w:sectPr w:rsidR="007336EA" w:rsidSect="00CF42AA">
      <w:headerReference w:type="default" r:id="rId16"/>
      <w:footerReference w:type="even"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CE3" w:rsidRPr="00290C63" w:rsidRDefault="00D84CE3" w:rsidP="00290C63">
      <w:r>
        <w:separator/>
      </w:r>
    </w:p>
    <w:p w:rsidR="00D84CE3" w:rsidRDefault="00D84CE3"/>
  </w:endnote>
  <w:endnote w:type="continuationSeparator" w:id="0">
    <w:p w:rsidR="00D84CE3" w:rsidRPr="00290C63" w:rsidRDefault="00D84CE3" w:rsidP="00290C63">
      <w:r>
        <w:continuationSeparator/>
      </w:r>
    </w:p>
    <w:p w:rsidR="00D84CE3" w:rsidRDefault="00D84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CE3" w:rsidRPr="00290C63" w:rsidRDefault="00D84CE3"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84CE3" w:rsidRDefault="00D84CE3"/>
  <w:p w:rsidR="00D84CE3" w:rsidRDefault="00D84CE3"/>
  <w:p w:rsidR="00D84CE3" w:rsidRDefault="00D84CE3"/>
  <w:p w:rsidR="00D84CE3" w:rsidRDefault="00D84CE3"/>
  <w:p w:rsidR="00D84CE3" w:rsidRDefault="00D84CE3"/>
  <w:p w:rsidR="00D84CE3" w:rsidRDefault="00D84CE3"/>
  <w:p w:rsidR="00D84CE3" w:rsidRDefault="00D84C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D84CE3" w:rsidRPr="009B6F84" w:rsidRDefault="00D84CE3">
        <w:pPr>
          <w:pStyle w:val="Footer"/>
          <w:rPr>
            <w:sz w:val="20"/>
          </w:rPr>
        </w:pPr>
        <w:r>
          <w:fldChar w:fldCharType="begin"/>
        </w:r>
        <w:r>
          <w:instrText xml:space="preserve"> PAGE   \* MERGEFORMAT </w:instrText>
        </w:r>
        <w:r>
          <w:fldChar w:fldCharType="separate"/>
        </w:r>
        <w:r w:rsidR="005C51FB">
          <w:rPr>
            <w:noProof/>
          </w:rPr>
          <w:t>9-0</w:t>
        </w:r>
        <w:r>
          <w:rPr>
            <w:noProof/>
          </w:rPr>
          <w:fldChar w:fldCharType="end"/>
        </w:r>
        <w:r>
          <w:rPr>
            <w:noProof/>
          </w:rPr>
          <w:t xml:space="preserve">  </w:t>
        </w:r>
        <w:r>
          <w:t>Attachment 9 – Efficiency benefit sharing scheme</w:t>
        </w:r>
        <w:r w:rsidRPr="004523B2">
          <w:t xml:space="preserve"> | </w:t>
        </w:r>
        <w:r>
          <w:t>AusNet Services distribution determination final decision</w:t>
        </w:r>
        <w:r w:rsidRPr="004523B2">
          <w:t xml:space="preserve"> 201</w:t>
        </w:r>
        <w:r>
          <w:t>6</w:t>
        </w:r>
        <w:r w:rsidRPr="004523B2">
          <w:t>–</w:t>
        </w:r>
        <w:r>
          <w:t>20</w:t>
        </w:r>
      </w:p>
    </w:sdtContent>
  </w:sdt>
  <w:p w:rsidR="00D84CE3" w:rsidRDefault="00D84C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CE3" w:rsidRPr="00290C63" w:rsidRDefault="00D84CE3"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84CE3" w:rsidRDefault="00D84CE3">
    <w:pPr>
      <w:pStyle w:val="Footer"/>
    </w:pPr>
  </w:p>
  <w:p w:rsidR="00D84CE3" w:rsidRDefault="00D84CE3"/>
  <w:p w:rsidR="00D84CE3" w:rsidRDefault="00D84CE3"/>
  <w:p w:rsidR="00D84CE3" w:rsidRDefault="00D84CE3"/>
  <w:p w:rsidR="00D84CE3" w:rsidRDefault="00D84CE3"/>
  <w:p w:rsidR="00D84CE3" w:rsidRDefault="00D84CE3"/>
  <w:p w:rsidR="00D84CE3" w:rsidRDefault="00D84CE3"/>
  <w:p w:rsidR="00D84CE3" w:rsidRDefault="00D84CE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CE3" w:rsidRPr="00290C63" w:rsidRDefault="00D84CE3"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84CE3" w:rsidRDefault="00D84CE3"/>
  <w:p w:rsidR="00D84CE3" w:rsidRDefault="00D84CE3"/>
  <w:p w:rsidR="00D84CE3" w:rsidRDefault="00D84CE3"/>
  <w:p w:rsidR="00D84CE3" w:rsidRDefault="00D84CE3"/>
  <w:p w:rsidR="00D84CE3" w:rsidRDefault="00D84CE3"/>
  <w:p w:rsidR="00D84CE3" w:rsidRDefault="00D84CE3"/>
  <w:p w:rsidR="00D84CE3" w:rsidRDefault="00D84CE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CE3" w:rsidRPr="00290C63" w:rsidRDefault="00D84CE3"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84CE3" w:rsidRDefault="00D84CE3">
    <w:pPr>
      <w:pStyle w:val="Footer"/>
    </w:pPr>
  </w:p>
  <w:p w:rsidR="00D84CE3" w:rsidRDefault="00D84CE3"/>
  <w:p w:rsidR="00D84CE3" w:rsidRDefault="00D84CE3"/>
  <w:p w:rsidR="00D84CE3" w:rsidRDefault="00D84CE3"/>
  <w:p w:rsidR="00D84CE3" w:rsidRDefault="00D84CE3"/>
  <w:p w:rsidR="00D84CE3" w:rsidRDefault="00D84CE3"/>
  <w:p w:rsidR="00D84CE3" w:rsidRDefault="00D84CE3"/>
  <w:p w:rsidR="00D84CE3" w:rsidRDefault="00D84C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CE3" w:rsidRPr="00290C63" w:rsidRDefault="00D84CE3" w:rsidP="00290C63">
      <w:r>
        <w:separator/>
      </w:r>
    </w:p>
    <w:p w:rsidR="00D84CE3" w:rsidRDefault="00D84CE3"/>
  </w:footnote>
  <w:footnote w:type="continuationSeparator" w:id="0">
    <w:p w:rsidR="00D84CE3" w:rsidRPr="00290C63" w:rsidRDefault="00D84CE3" w:rsidP="00290C63">
      <w:r>
        <w:continuationSeparator/>
      </w:r>
    </w:p>
    <w:p w:rsidR="00D84CE3" w:rsidRDefault="00D84CE3"/>
  </w:footnote>
  <w:footnote w:id="1">
    <w:p w:rsidR="00D84CE3" w:rsidRDefault="00D84CE3" w:rsidP="007336EA">
      <w:pPr>
        <w:pStyle w:val="FootnoteText"/>
      </w:pPr>
      <w:r>
        <w:rPr>
          <w:rStyle w:val="FootnoteReference"/>
        </w:rPr>
        <w:footnoteRef/>
      </w:r>
      <w:r>
        <w:t xml:space="preserve"> </w:t>
      </w:r>
      <w:r>
        <w:tab/>
        <w:t xml:space="preserve">AER, </w:t>
      </w:r>
      <w:r w:rsidRPr="00F20F95">
        <w:rPr>
          <w:rStyle w:val="AERtextitalic"/>
        </w:rPr>
        <w:t>Electricity distribution network service providers</w:t>
      </w:r>
      <w:r>
        <w:rPr>
          <w:rStyle w:val="AERtextitalic"/>
        </w:rPr>
        <w:t xml:space="preserve"> -</w:t>
      </w:r>
      <w:r w:rsidRPr="00F20F95">
        <w:rPr>
          <w:rStyle w:val="AERtextitalic"/>
        </w:rPr>
        <w:t xml:space="preserve"> </w:t>
      </w:r>
      <w:r>
        <w:rPr>
          <w:rStyle w:val="AERtextitalic"/>
        </w:rPr>
        <w:t>Efficiency benefit sharing scheme</w:t>
      </w:r>
      <w:r>
        <w:t>, June 2008.</w:t>
      </w:r>
    </w:p>
  </w:footnote>
  <w:footnote w:id="2">
    <w:p w:rsidR="00D84CE3" w:rsidRDefault="00D84CE3" w:rsidP="007336EA">
      <w:pPr>
        <w:pStyle w:val="FootnoteText"/>
      </w:pPr>
      <w:r>
        <w:rPr>
          <w:rStyle w:val="FootnoteReference"/>
        </w:rPr>
        <w:footnoteRef/>
      </w:r>
      <w:r>
        <w:t xml:space="preserve"> </w:t>
      </w:r>
      <w:r>
        <w:tab/>
        <w:t xml:space="preserve">AER, </w:t>
      </w:r>
      <w:r w:rsidRPr="00F20F95">
        <w:rPr>
          <w:rStyle w:val="AERtextitalic"/>
        </w:rPr>
        <w:t>Electricity distribution network service providers' EBSS</w:t>
      </w:r>
      <w:r>
        <w:t>, June 2008.</w:t>
      </w:r>
    </w:p>
  </w:footnote>
  <w:footnote w:id="3">
    <w:p w:rsidR="00D84CE3" w:rsidRDefault="00D84CE3" w:rsidP="007336EA">
      <w:pPr>
        <w:pStyle w:val="FootnoteText"/>
      </w:pPr>
      <w:r>
        <w:rPr>
          <w:rStyle w:val="FootnoteReference"/>
        </w:rPr>
        <w:footnoteRef/>
      </w:r>
      <w:r>
        <w:t xml:space="preserve"> </w:t>
      </w:r>
      <w:r>
        <w:tab/>
        <w:t>AER</w:t>
      </w:r>
      <w:r w:rsidRPr="00A1185E">
        <w:rPr>
          <w:rStyle w:val="AERtextitalic"/>
        </w:rPr>
        <w:t xml:space="preserve"> </w:t>
      </w:r>
      <w:r w:rsidRPr="006F0324">
        <w:rPr>
          <w:rStyle w:val="AERtextitalic"/>
        </w:rPr>
        <w:t xml:space="preserve">Efficiency benefit sharing scheme for </w:t>
      </w:r>
      <w:r>
        <w:rPr>
          <w:rStyle w:val="AERtextitalic"/>
        </w:rPr>
        <w:t>electricity network service providers</w:t>
      </w:r>
      <w:r>
        <w:t>, November 2013.</w:t>
      </w:r>
    </w:p>
  </w:footnote>
  <w:footnote w:id="4">
    <w:p w:rsidR="00D84CE3" w:rsidRDefault="00D84CE3" w:rsidP="007336EA">
      <w:pPr>
        <w:pStyle w:val="FootnoteText"/>
      </w:pPr>
      <w:r>
        <w:rPr>
          <w:rStyle w:val="FootnoteReference"/>
        </w:rPr>
        <w:footnoteRef/>
      </w:r>
      <w:r>
        <w:t xml:space="preserve"> </w:t>
      </w:r>
      <w:r>
        <w:tab/>
        <w:t>D</w:t>
      </w:r>
      <w:r w:rsidRPr="005270F1">
        <w:t xml:space="preserve">ebt raising costs </w:t>
      </w:r>
      <w:r>
        <w:t>and GSL payments.</w:t>
      </w:r>
    </w:p>
  </w:footnote>
  <w:footnote w:id="5">
    <w:p w:rsidR="00D84CE3" w:rsidRDefault="00D84CE3" w:rsidP="007336EA">
      <w:pPr>
        <w:pStyle w:val="FootnoteText"/>
      </w:pPr>
      <w:r>
        <w:rPr>
          <w:rStyle w:val="FootnoteReference"/>
        </w:rPr>
        <w:footnoteRef/>
      </w:r>
      <w:r>
        <w:t xml:space="preserve"> </w:t>
      </w:r>
      <w:r>
        <w:tab/>
        <w:t xml:space="preserve">AER, </w:t>
      </w:r>
      <w:r w:rsidRPr="004F2834">
        <w:rPr>
          <w:rStyle w:val="AERtextitalic"/>
        </w:rPr>
        <w:t xml:space="preserve">Preliminary decision, </w:t>
      </w:r>
      <w:r>
        <w:rPr>
          <w:rStyle w:val="AERtextitalic"/>
        </w:rPr>
        <w:t>AusNet Services</w:t>
      </w:r>
      <w:r w:rsidRPr="004F2834">
        <w:rPr>
          <w:rStyle w:val="AERtextitalic"/>
        </w:rPr>
        <w:t xml:space="preserve"> determination, Attachment 9</w:t>
      </w:r>
      <w:r>
        <w:t>, October 2015, p. 9-6.</w:t>
      </w:r>
    </w:p>
  </w:footnote>
  <w:footnote w:id="6">
    <w:p w:rsidR="00D84CE3" w:rsidRDefault="00D84CE3" w:rsidP="007336EA">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w:t>
      </w:r>
    </w:p>
  </w:footnote>
  <w:footnote w:id="7">
    <w:p w:rsidR="00D84CE3" w:rsidRDefault="00D84CE3">
      <w:pPr>
        <w:pStyle w:val="FootnoteText"/>
      </w:pPr>
      <w:r>
        <w:rPr>
          <w:rStyle w:val="FootnoteReference"/>
        </w:rPr>
        <w:footnoteRef/>
      </w:r>
      <w:r>
        <w:t xml:space="preserve"> </w:t>
      </w:r>
      <w:r>
        <w:tab/>
        <w:t xml:space="preserve">AusNet Services, </w:t>
      </w:r>
      <w:r w:rsidRPr="004523B5">
        <w:rPr>
          <w:rStyle w:val="AERtextitalic"/>
        </w:rPr>
        <w:t>Revised regulatory proposal</w:t>
      </w:r>
      <w:r>
        <w:t>, 6 January 2016, p. 5-8.</w:t>
      </w:r>
    </w:p>
  </w:footnote>
  <w:footnote w:id="8">
    <w:p w:rsidR="00D84CE3" w:rsidRDefault="00D84CE3">
      <w:pPr>
        <w:pStyle w:val="FootnoteText"/>
      </w:pPr>
      <w:r>
        <w:rPr>
          <w:rStyle w:val="FootnoteReference"/>
        </w:rPr>
        <w:footnoteRef/>
      </w:r>
      <w:r>
        <w:t xml:space="preserve"> </w:t>
      </w:r>
      <w:r>
        <w:tab/>
        <w:t xml:space="preserve">AusNet Services, </w:t>
      </w:r>
      <w:r w:rsidRPr="004523B5">
        <w:rPr>
          <w:rStyle w:val="AERtextitalic"/>
        </w:rPr>
        <w:t>Revised regulatory proposal</w:t>
      </w:r>
      <w:r>
        <w:t>, 6 January 2016, p. 5-8.</w:t>
      </w:r>
    </w:p>
  </w:footnote>
  <w:footnote w:id="9">
    <w:p w:rsidR="00D84CE3" w:rsidRDefault="00D84CE3" w:rsidP="009D307C">
      <w:pPr>
        <w:pStyle w:val="FootnoteText"/>
      </w:pPr>
      <w:r>
        <w:rPr>
          <w:rStyle w:val="FootnoteReference"/>
        </w:rPr>
        <w:footnoteRef/>
      </w:r>
      <w:r>
        <w:t xml:space="preserve"> </w:t>
      </w:r>
      <w:r>
        <w:tab/>
        <w:t xml:space="preserve">CCP3, </w:t>
      </w:r>
      <w:r w:rsidRPr="00F2315F">
        <w:rPr>
          <w:rStyle w:val="AERtextitalic"/>
        </w:rPr>
        <w:t>Submission to the Victorian DNSPs revenue reset</w:t>
      </w:r>
      <w:r>
        <w:rPr>
          <w:rStyle w:val="AERtextitalic"/>
        </w:rPr>
        <w:t>, Comments on the preliminary decision</w:t>
      </w:r>
      <w:r w:rsidRPr="00F2315F">
        <w:rPr>
          <w:rStyle w:val="AERtextitalic"/>
        </w:rPr>
        <w:t xml:space="preserve">, </w:t>
      </w:r>
      <w:r>
        <w:t>pp. 9, 12</w:t>
      </w:r>
      <w:r w:rsidR="00673094">
        <w:t>–</w:t>
      </w:r>
      <w:r>
        <w:t>14, 24, 26, 61, 105.</w:t>
      </w:r>
    </w:p>
  </w:footnote>
  <w:footnote w:id="10">
    <w:p w:rsidR="00D84CE3" w:rsidRDefault="00D84CE3" w:rsidP="009D307C">
      <w:pPr>
        <w:pStyle w:val="FootnoteText"/>
      </w:pPr>
      <w:r>
        <w:rPr>
          <w:rStyle w:val="FootnoteReference"/>
        </w:rPr>
        <w:footnoteRef/>
      </w:r>
      <w:r>
        <w:t xml:space="preserve"> </w:t>
      </w:r>
      <w:r>
        <w:tab/>
        <w:t xml:space="preserve">VECUA, </w:t>
      </w:r>
      <w:r w:rsidRPr="00F2315F">
        <w:rPr>
          <w:rStyle w:val="AERtextitalic"/>
        </w:rPr>
        <w:t>Submission to the Victorian DNSPs revenue reset</w:t>
      </w:r>
      <w:r>
        <w:rPr>
          <w:rStyle w:val="AERtextitalic"/>
        </w:rPr>
        <w:t xml:space="preserve">, Comments on the preliminary decision, </w:t>
      </w:r>
      <w:r w:rsidR="00FC5CAD" w:rsidRPr="0022189B">
        <w:rPr>
          <w:rStyle w:val="AERtextsize8"/>
        </w:rPr>
        <w:t>January 2016,</w:t>
      </w:r>
      <w:r w:rsidR="00FC5CAD">
        <w:rPr>
          <w:rStyle w:val="AERtextitalic"/>
        </w:rPr>
        <w:t xml:space="preserve"> </w:t>
      </w:r>
      <w:r w:rsidRPr="0022189B">
        <w:rPr>
          <w:rStyle w:val="AERtextsize8"/>
        </w:rPr>
        <w:t>p. 58.</w:t>
      </w:r>
    </w:p>
  </w:footnote>
  <w:footnote w:id="11">
    <w:p w:rsidR="00D84CE3" w:rsidRDefault="00D84CE3" w:rsidP="007336EA">
      <w:pPr>
        <w:pStyle w:val="FootnoteText"/>
      </w:pPr>
      <w:r>
        <w:rPr>
          <w:rStyle w:val="FootnoteReference"/>
        </w:rPr>
        <w:footnoteRef/>
      </w:r>
      <w:r>
        <w:t xml:space="preserve"> </w:t>
      </w:r>
      <w:r>
        <w:tab/>
        <w:t>NER, cl. 6.4.3(a)(5).</w:t>
      </w:r>
    </w:p>
  </w:footnote>
  <w:footnote w:id="12">
    <w:p w:rsidR="00D84CE3" w:rsidRDefault="00D84CE3" w:rsidP="007336EA">
      <w:pPr>
        <w:pStyle w:val="FootnoteText"/>
      </w:pPr>
      <w:r>
        <w:rPr>
          <w:rStyle w:val="FootnoteReference"/>
        </w:rPr>
        <w:footnoteRef/>
      </w:r>
      <w:r>
        <w:t xml:space="preserve"> </w:t>
      </w:r>
      <w:r>
        <w:tab/>
        <w:t>NER, c</w:t>
      </w:r>
      <w:r w:rsidR="00673094">
        <w:t>l</w:t>
      </w:r>
      <w:r>
        <w:t>l. 6.3.2(a)(3)</w:t>
      </w:r>
      <w:r w:rsidR="00673094">
        <w:t>,</w:t>
      </w:r>
      <w:r>
        <w:t xml:space="preserve"> 6.12.1(9).</w:t>
      </w:r>
    </w:p>
  </w:footnote>
  <w:footnote w:id="13">
    <w:p w:rsidR="00D84CE3" w:rsidRDefault="00D84CE3" w:rsidP="007336EA">
      <w:pPr>
        <w:pStyle w:val="FootnoteText"/>
      </w:pPr>
      <w:r>
        <w:rPr>
          <w:rStyle w:val="FootnoteReference"/>
        </w:rPr>
        <w:footnoteRef/>
      </w:r>
      <w:r>
        <w:t xml:space="preserve"> </w:t>
      </w:r>
      <w:r>
        <w:tab/>
        <w:t>NER, cl. 6.5.8(a).</w:t>
      </w:r>
    </w:p>
  </w:footnote>
  <w:footnote w:id="14">
    <w:p w:rsidR="00D84CE3" w:rsidRDefault="00D84CE3" w:rsidP="007336EA">
      <w:pPr>
        <w:pStyle w:val="FootnoteText"/>
      </w:pPr>
      <w:r>
        <w:rPr>
          <w:rStyle w:val="FootnoteReference"/>
        </w:rPr>
        <w:footnoteRef/>
      </w:r>
      <w:r>
        <w:t xml:space="preserve"> </w:t>
      </w:r>
      <w:r>
        <w:tab/>
        <w:t>NER, cl. 6.5.8(c).</w:t>
      </w:r>
    </w:p>
  </w:footnote>
  <w:footnote w:id="15">
    <w:p w:rsidR="00D84CE3" w:rsidRDefault="00D84CE3" w:rsidP="007336EA">
      <w:pPr>
        <w:pStyle w:val="FootnoteText"/>
      </w:pPr>
      <w:r>
        <w:rPr>
          <w:rStyle w:val="FootnoteReference"/>
        </w:rPr>
        <w:footnoteRef/>
      </w:r>
      <w:r>
        <w:t xml:space="preserve"> </w:t>
      </w:r>
      <w:r>
        <w:tab/>
        <w:t>NER, c</w:t>
      </w:r>
      <w:r w:rsidR="00673094">
        <w:t>l</w:t>
      </w:r>
      <w:r>
        <w:t>l. 6.4.3(a)(4),(5).</w:t>
      </w:r>
    </w:p>
  </w:footnote>
  <w:footnote w:id="16">
    <w:p w:rsidR="00D84CE3" w:rsidRDefault="00D84CE3" w:rsidP="007336EA">
      <w:pPr>
        <w:pStyle w:val="FootnoteText"/>
      </w:pPr>
      <w:r>
        <w:rPr>
          <w:rStyle w:val="FootnoteReference"/>
        </w:rPr>
        <w:footnoteRef/>
      </w:r>
      <w:r>
        <w:t xml:space="preserve"> </w:t>
      </w:r>
      <w:r>
        <w:tab/>
        <w:t xml:space="preserve">NER, cl. 6.5.8A(d). </w:t>
      </w:r>
    </w:p>
  </w:footnote>
  <w:footnote w:id="17">
    <w:p w:rsidR="00D84CE3" w:rsidRDefault="00D84CE3">
      <w:pPr>
        <w:pStyle w:val="FootnoteText"/>
      </w:pPr>
      <w:r>
        <w:rPr>
          <w:rStyle w:val="FootnoteReference"/>
        </w:rPr>
        <w:footnoteRef/>
      </w:r>
      <w:r>
        <w:t xml:space="preserve"> </w:t>
      </w:r>
      <w:r>
        <w:tab/>
      </w:r>
      <w:r w:rsidRPr="00A915EB">
        <w:t xml:space="preserve">AER, </w:t>
      </w:r>
      <w:r w:rsidRPr="0022189B">
        <w:rPr>
          <w:rStyle w:val="Emphasis"/>
        </w:rPr>
        <w:t>Electricity distribution network service providers - Efficiency benefit sharing scheme</w:t>
      </w:r>
      <w:r w:rsidRPr="00A915EB">
        <w:t>, June 2008, pp. 4−6.</w:t>
      </w:r>
    </w:p>
  </w:footnote>
  <w:footnote w:id="18">
    <w:p w:rsidR="00D84CE3" w:rsidRDefault="00D84CE3">
      <w:pPr>
        <w:pStyle w:val="FootnoteText"/>
      </w:pPr>
      <w:r>
        <w:rPr>
          <w:rStyle w:val="FootnoteReference"/>
        </w:rPr>
        <w:footnoteRef/>
      </w:r>
      <w:r>
        <w:t xml:space="preserve"> </w:t>
      </w:r>
      <w:r>
        <w:tab/>
      </w:r>
      <w:r w:rsidRPr="00A915EB">
        <w:t xml:space="preserve">AER, </w:t>
      </w:r>
      <w:r w:rsidRPr="0022189B">
        <w:rPr>
          <w:rStyle w:val="Emphasis"/>
        </w:rPr>
        <w:t>Electricity distribution network service providers - Efficiency benefit sharing scheme</w:t>
      </w:r>
      <w:r w:rsidRPr="00A915EB">
        <w:t>, June 2008</w:t>
      </w:r>
      <w:r>
        <w:t>.</w:t>
      </w:r>
    </w:p>
  </w:footnote>
  <w:footnote w:id="19">
    <w:p w:rsidR="00D84CE3" w:rsidRDefault="00D84CE3">
      <w:pPr>
        <w:pStyle w:val="FootnoteText"/>
      </w:pPr>
      <w:r>
        <w:rPr>
          <w:rStyle w:val="FootnoteReference"/>
        </w:rPr>
        <w:footnoteRef/>
      </w:r>
      <w:r>
        <w:t xml:space="preserve"> </w:t>
      </w:r>
      <w:r>
        <w:tab/>
      </w:r>
      <w:r w:rsidRPr="00A915EB">
        <w:t xml:space="preserve">AER, </w:t>
      </w:r>
      <w:r w:rsidRPr="0022189B">
        <w:rPr>
          <w:rStyle w:val="Emphasis"/>
        </w:rPr>
        <w:t>Electricity distribution network service providers - Efficiency benefit sharing scheme</w:t>
      </w:r>
      <w:r w:rsidRPr="00A915EB">
        <w:t>, June 2008, pp. 5−6.</w:t>
      </w:r>
    </w:p>
  </w:footnote>
  <w:footnote w:id="20">
    <w:p w:rsidR="00D84CE3" w:rsidRDefault="00D84CE3" w:rsidP="00934AE0">
      <w:pPr>
        <w:pStyle w:val="FootnoteText"/>
      </w:pPr>
      <w:r>
        <w:rPr>
          <w:rStyle w:val="FootnoteReference"/>
        </w:rPr>
        <w:footnoteRef/>
      </w:r>
      <w:r>
        <w:t xml:space="preserve"> </w:t>
      </w:r>
      <w:r>
        <w:tab/>
      </w:r>
      <w:r w:rsidRPr="003834CA">
        <w:t>When we calculate the EBSS carryover, it is important that reported actual opex reflects actual outlays and not movements in provisions. Therefore our approach is to remove the movement in provisions from a service provider's reported actual opex when calculating the EBSS carryover amounts. A provision is a type of accrual accounting practice. A business records a provision for an anticipated cost when it expects it will incur a cost in the future but the amount and timing of the cost has not yet crystallised. For accounting purposes, increases in provisions are typically allocated to expenditure, and, in particular, to opex. This means a business may sometimes record increases in expenditure when it estimates there is a change in a liability it faces. It may not actually expect to incur the cost for some time and the cost will not necessarily eventuate in the amount predicted. Similarly, if a business no longer considers it will incur a future cost, or it expects the amount of the cost will be lower than that it has previously recorded, reported actual expenditure will decrease.</w:t>
      </w:r>
    </w:p>
  </w:footnote>
  <w:footnote w:id="21">
    <w:p w:rsidR="00D84CE3" w:rsidRDefault="00D84CE3" w:rsidP="00057F18">
      <w:pPr>
        <w:pStyle w:val="FootnoteText"/>
      </w:pPr>
      <w:r>
        <w:rPr>
          <w:rStyle w:val="FootnoteReference"/>
        </w:rPr>
        <w:footnoteRef/>
      </w:r>
      <w:r>
        <w:t xml:space="preserve"> </w:t>
      </w:r>
      <w:r>
        <w:tab/>
      </w:r>
      <w:r w:rsidRPr="0075546B">
        <w:t xml:space="preserve">AusNet Services, </w:t>
      </w:r>
      <w:r w:rsidRPr="0075546B">
        <w:rPr>
          <w:rStyle w:val="AERtextitalic"/>
        </w:rPr>
        <w:t>Regulatory proposal</w:t>
      </w:r>
      <w:r>
        <w:t>, April 2015, pp. 252</w:t>
      </w:r>
      <w:r w:rsidR="00673094">
        <w:t>–</w:t>
      </w:r>
      <w:r>
        <w:t>253</w:t>
      </w:r>
      <w:r w:rsidRPr="0075546B">
        <w:t>.</w:t>
      </w:r>
    </w:p>
  </w:footnote>
  <w:footnote w:id="22">
    <w:p w:rsidR="00D84CE3" w:rsidRDefault="00D84CE3" w:rsidP="00934AE0">
      <w:pPr>
        <w:pStyle w:val="FootnoteText"/>
      </w:pPr>
      <w:r>
        <w:rPr>
          <w:rStyle w:val="FootnoteReference"/>
        </w:rPr>
        <w:footnoteRef/>
      </w:r>
      <w:r>
        <w:t xml:space="preserve"> </w:t>
      </w:r>
      <w:r>
        <w:tab/>
      </w:r>
      <w:r w:rsidRPr="003834CA">
        <w:t>In AusNet Services 2011–15 determination, we determined we would exclude superannuation costs for defined benefits schemes from the EBSS.  We considered these costs were uncontrollable and that AusNet Services should not receive efficiency rewards or penalties for costs beyond its control.</w:t>
      </w:r>
    </w:p>
  </w:footnote>
  <w:footnote w:id="23">
    <w:p w:rsidR="00D84CE3" w:rsidRDefault="00D84CE3" w:rsidP="00057F18">
      <w:pPr>
        <w:pStyle w:val="FootnoteText"/>
      </w:pPr>
      <w:r>
        <w:rPr>
          <w:rStyle w:val="FootnoteReference"/>
        </w:rPr>
        <w:footnoteRef/>
      </w:r>
      <w:r>
        <w:t xml:space="preserve"> </w:t>
      </w:r>
      <w:r>
        <w:tab/>
      </w:r>
      <w:r w:rsidRPr="003D1A5E">
        <w:t xml:space="preserve">AER, </w:t>
      </w:r>
      <w:r w:rsidRPr="00AF7367">
        <w:rPr>
          <w:rStyle w:val="AERtextitalic"/>
        </w:rPr>
        <w:t>Preliminary decision, AusNet Services determination 2016-20, Attachment 9</w:t>
      </w:r>
      <w:r>
        <w:t>, October 2015, p. 9-10</w:t>
      </w:r>
      <w:r w:rsidRPr="003D1A5E">
        <w:t>.</w:t>
      </w:r>
    </w:p>
  </w:footnote>
  <w:footnote w:id="24">
    <w:p w:rsidR="00D84CE3" w:rsidRDefault="00D84CE3" w:rsidP="003834CA">
      <w:pPr>
        <w:pStyle w:val="FootnoteText"/>
      </w:pPr>
      <w:r>
        <w:rPr>
          <w:rStyle w:val="FootnoteReference"/>
        </w:rPr>
        <w:footnoteRef/>
      </w:r>
      <w:r>
        <w:t xml:space="preserve"> </w:t>
      </w:r>
      <w:r>
        <w:tab/>
        <w:t xml:space="preserve">AusNet Services, </w:t>
      </w:r>
      <w:r w:rsidRPr="004523B5">
        <w:rPr>
          <w:rStyle w:val="AERtextitalic"/>
        </w:rPr>
        <w:t>Revised regulatory proposal</w:t>
      </w:r>
      <w:r>
        <w:t>, January 2016, p. 5-8.</w:t>
      </w:r>
    </w:p>
  </w:footnote>
  <w:footnote w:id="25">
    <w:p w:rsidR="00D84CE3" w:rsidRDefault="00D84CE3" w:rsidP="003834CA">
      <w:pPr>
        <w:pStyle w:val="FootnoteText"/>
      </w:pPr>
      <w:r>
        <w:rPr>
          <w:rStyle w:val="FootnoteReference"/>
        </w:rPr>
        <w:footnoteRef/>
      </w:r>
      <w:r>
        <w:t xml:space="preserve"> </w:t>
      </w:r>
      <w:r>
        <w:tab/>
      </w:r>
      <w:r w:rsidRPr="005D0C6B">
        <w:t>SPI</w:t>
      </w:r>
      <w:r>
        <w:t xml:space="preserve"> </w:t>
      </w:r>
      <w:r w:rsidRPr="005D0C6B">
        <w:t>Management Services Pty Ltd (SPIMS) employees</w:t>
      </w:r>
      <w:r>
        <w:t>.</w:t>
      </w:r>
    </w:p>
  </w:footnote>
  <w:footnote w:id="26">
    <w:p w:rsidR="00D84CE3" w:rsidRDefault="00D84CE3" w:rsidP="00115C25">
      <w:pPr>
        <w:pStyle w:val="FootnoteText"/>
      </w:pPr>
      <w:r>
        <w:rPr>
          <w:rStyle w:val="FootnoteReference"/>
        </w:rPr>
        <w:footnoteRef/>
      </w:r>
      <w:r>
        <w:t xml:space="preserve"> </w:t>
      </w:r>
      <w:r>
        <w:tab/>
      </w:r>
      <w:r w:rsidRPr="0039480D">
        <w:t>In its revised p</w:t>
      </w:r>
      <w:r>
        <w:t>roposal, AusNet Services stated its</w:t>
      </w:r>
      <w:r w:rsidRPr="0039480D">
        <w:t xml:space="preserve"> superannuation provision represents the superannuation liability of the defined benefit superannuation funds of AusNet Services’ employees</w:t>
      </w:r>
      <w:r>
        <w:t>, p. 5-8, January 2016.</w:t>
      </w:r>
    </w:p>
  </w:footnote>
  <w:footnote w:id="27">
    <w:p w:rsidR="00D84CE3" w:rsidRDefault="00D84CE3">
      <w:pPr>
        <w:pStyle w:val="FootnoteText"/>
      </w:pPr>
      <w:r>
        <w:rPr>
          <w:rStyle w:val="FootnoteReference"/>
        </w:rPr>
        <w:footnoteRef/>
      </w:r>
      <w:r>
        <w:t xml:space="preserve"> </w:t>
      </w:r>
      <w:r>
        <w:tab/>
        <w:t xml:space="preserve">AER, </w:t>
      </w:r>
      <w:r w:rsidRPr="000F7A9B">
        <w:rPr>
          <w:rStyle w:val="AERtextitalic"/>
        </w:rPr>
        <w:t>Information request AusNet Services IR#</w:t>
      </w:r>
      <w:r>
        <w:rPr>
          <w:rStyle w:val="AERtextitalic"/>
        </w:rPr>
        <w:t>043</w:t>
      </w:r>
      <w:r w:rsidR="00FC5CAD">
        <w:rPr>
          <w:rStyle w:val="AERtextitalic"/>
        </w:rPr>
        <w:t xml:space="preserve"> </w:t>
      </w:r>
      <w:r w:rsidR="00FC5CAD" w:rsidRPr="0022189B">
        <w:rPr>
          <w:rStyle w:val="AERtextsize8"/>
        </w:rPr>
        <w:t>[email to AusNet Services]</w:t>
      </w:r>
      <w:r w:rsidRPr="0022189B">
        <w:rPr>
          <w:rStyle w:val="AERtextsize8"/>
        </w:rPr>
        <w:t>,</w:t>
      </w:r>
      <w:r>
        <w:t xml:space="preserve"> 4 March 2016.</w:t>
      </w:r>
    </w:p>
  </w:footnote>
  <w:footnote w:id="28">
    <w:p w:rsidR="00D84CE3" w:rsidRDefault="00D84CE3">
      <w:pPr>
        <w:pStyle w:val="FootnoteText"/>
      </w:pPr>
      <w:r>
        <w:rPr>
          <w:rStyle w:val="FootnoteReference"/>
        </w:rPr>
        <w:footnoteRef/>
      </w:r>
      <w:r>
        <w:t xml:space="preserve"> </w:t>
      </w:r>
      <w:r>
        <w:tab/>
        <w:t>AusNet Services</w:t>
      </w:r>
      <w:r w:rsidRPr="000F7A9B">
        <w:rPr>
          <w:rStyle w:val="AERtextitalic"/>
        </w:rPr>
        <w:t>, Response to information request IR#</w:t>
      </w:r>
      <w:r>
        <w:rPr>
          <w:rStyle w:val="AERtextitalic"/>
        </w:rPr>
        <w:t>043</w:t>
      </w:r>
      <w:r w:rsidR="00FC5CAD">
        <w:rPr>
          <w:rStyle w:val="AERtextitalic"/>
        </w:rPr>
        <w:t xml:space="preserve"> </w:t>
      </w:r>
      <w:r w:rsidR="00FC5CAD" w:rsidRPr="0022189B">
        <w:rPr>
          <w:rStyle w:val="AERtextsize8"/>
        </w:rPr>
        <w:t>[email to AER]</w:t>
      </w:r>
      <w:r w:rsidRPr="0022189B">
        <w:rPr>
          <w:rStyle w:val="AERtextsize8"/>
        </w:rPr>
        <w:t>,</w:t>
      </w:r>
      <w:r>
        <w:t xml:space="preserve"> 8 March 2016.</w:t>
      </w:r>
    </w:p>
  </w:footnote>
  <w:footnote w:id="29">
    <w:p w:rsidR="00D84CE3" w:rsidRDefault="00D84CE3" w:rsidP="00F1079E">
      <w:pPr>
        <w:pStyle w:val="FootnoteText"/>
      </w:pPr>
      <w:r>
        <w:rPr>
          <w:rStyle w:val="FootnoteReference"/>
        </w:rPr>
        <w:footnoteRef/>
      </w:r>
      <w:r>
        <w:t xml:space="preserve"> </w:t>
      </w:r>
      <w:r>
        <w:tab/>
        <w:t>AusNet Services</w:t>
      </w:r>
      <w:r w:rsidRPr="000F7A9B">
        <w:rPr>
          <w:rStyle w:val="AERtextitalic"/>
        </w:rPr>
        <w:t xml:space="preserve">, </w:t>
      </w:r>
      <w:r w:rsidR="00370D39">
        <w:rPr>
          <w:rStyle w:val="AERtextitalic"/>
        </w:rPr>
        <w:t>A</w:t>
      </w:r>
      <w:r>
        <w:rPr>
          <w:rStyle w:val="AERtextitalic"/>
        </w:rPr>
        <w:t>ttachment</w:t>
      </w:r>
      <w:r w:rsidRPr="00F1079E">
        <w:rPr>
          <w:rStyle w:val="AERtextitalic"/>
        </w:rPr>
        <w:t xml:space="preserve"> - Issues relating to superannuation costs, provisions and the calculation of EBSS and spreadsheet</w:t>
      </w:r>
      <w:r w:rsidR="00FC5CAD">
        <w:rPr>
          <w:rStyle w:val="AERtextitalic"/>
        </w:rPr>
        <w:t xml:space="preserve"> </w:t>
      </w:r>
      <w:r w:rsidR="00FC5CAD" w:rsidRPr="0022189B">
        <w:rPr>
          <w:rStyle w:val="AERtextsize8"/>
        </w:rPr>
        <w:t>[email to AER]</w:t>
      </w:r>
      <w:r w:rsidRPr="0022189B">
        <w:rPr>
          <w:rStyle w:val="AERtextsize8"/>
        </w:rPr>
        <w:t>,</w:t>
      </w:r>
      <w:r>
        <w:t xml:space="preserve"> 31 March 2016.</w:t>
      </w:r>
    </w:p>
  </w:footnote>
  <w:footnote w:id="30">
    <w:p w:rsidR="00D84CE3" w:rsidRDefault="00D84CE3">
      <w:pPr>
        <w:pStyle w:val="FootnoteText"/>
      </w:pPr>
      <w:r>
        <w:rPr>
          <w:rStyle w:val="FootnoteReference"/>
        </w:rPr>
        <w:footnoteRef/>
      </w:r>
      <w:r>
        <w:t xml:space="preserve"> </w:t>
      </w:r>
      <w:r>
        <w:tab/>
        <w:t xml:space="preserve">AusNet Services, </w:t>
      </w:r>
      <w:r w:rsidR="00370D39">
        <w:rPr>
          <w:rStyle w:val="AERtextitalic"/>
        </w:rPr>
        <w:t>A</w:t>
      </w:r>
      <w:r>
        <w:rPr>
          <w:rStyle w:val="AERtextitalic"/>
        </w:rPr>
        <w:t>ttachment</w:t>
      </w:r>
      <w:r w:rsidRPr="00F1079E">
        <w:rPr>
          <w:rStyle w:val="AERtextitalic"/>
        </w:rPr>
        <w:t xml:space="preserve"> - Issues relating to superannuation costs, provisions and the calculation of EBSS and spreadsheet</w:t>
      </w:r>
      <w:r w:rsidR="00FC5CAD">
        <w:rPr>
          <w:rStyle w:val="AERtextitalic"/>
        </w:rPr>
        <w:t xml:space="preserve"> </w:t>
      </w:r>
      <w:r w:rsidR="00FC5CAD" w:rsidRPr="0022189B">
        <w:rPr>
          <w:rStyle w:val="AERtextsize8"/>
        </w:rPr>
        <w:t>[email to AER]</w:t>
      </w:r>
      <w:r w:rsidRPr="0022189B">
        <w:rPr>
          <w:rStyle w:val="AERtextsize8"/>
        </w:rPr>
        <w:t>,</w:t>
      </w:r>
      <w:r>
        <w:t xml:space="preserve"> 31 March 2016, p. 2.</w:t>
      </w:r>
    </w:p>
  </w:footnote>
  <w:footnote w:id="31">
    <w:p w:rsidR="00D84CE3" w:rsidRDefault="00D84CE3" w:rsidP="00000587">
      <w:pPr>
        <w:pStyle w:val="FootnoteText"/>
      </w:pPr>
      <w:r>
        <w:rPr>
          <w:rStyle w:val="FootnoteReference"/>
        </w:rPr>
        <w:footnoteRef/>
      </w:r>
      <w:r>
        <w:t xml:space="preserve"> </w:t>
      </w:r>
      <w:r>
        <w:tab/>
        <w:t xml:space="preserve">AER, </w:t>
      </w:r>
      <w:r w:rsidRPr="00F1079E">
        <w:rPr>
          <w:rStyle w:val="AERtextitalic"/>
        </w:rPr>
        <w:t xml:space="preserve">Final decision, </w:t>
      </w:r>
      <w:r>
        <w:rPr>
          <w:rStyle w:val="AERtextitalic"/>
        </w:rPr>
        <w:t>Victorian distribution</w:t>
      </w:r>
      <w:r w:rsidRPr="00F1079E">
        <w:rPr>
          <w:rStyle w:val="AERtextitalic"/>
        </w:rPr>
        <w:t xml:space="preserve"> </w:t>
      </w:r>
      <w:r>
        <w:rPr>
          <w:rStyle w:val="AERtextitalic"/>
        </w:rPr>
        <w:t xml:space="preserve">determination </w:t>
      </w:r>
      <w:r w:rsidRPr="00F1079E">
        <w:rPr>
          <w:rStyle w:val="AERtextitalic"/>
        </w:rPr>
        <w:t>2011–15</w:t>
      </w:r>
      <w:r>
        <w:t>, 29 October 2010, AusNet Services opex model.</w:t>
      </w:r>
    </w:p>
  </w:footnote>
  <w:footnote w:id="32">
    <w:p w:rsidR="00D84CE3" w:rsidRDefault="00D84CE3" w:rsidP="006E7AAB">
      <w:pPr>
        <w:pStyle w:val="FootnoteText"/>
      </w:pPr>
      <w:r>
        <w:rPr>
          <w:rStyle w:val="FootnoteReference"/>
        </w:rPr>
        <w:footnoteRef/>
      </w:r>
      <w:r>
        <w:t xml:space="preserve"> </w:t>
      </w:r>
      <w:r>
        <w:tab/>
        <w:t xml:space="preserve">AusNet Services, </w:t>
      </w:r>
      <w:r w:rsidRPr="00E84C6D">
        <w:rPr>
          <w:rStyle w:val="AERtextitalic"/>
        </w:rPr>
        <w:t>Response to information request IR#050</w:t>
      </w:r>
      <w:r w:rsidR="00FC5CAD">
        <w:rPr>
          <w:rStyle w:val="AERtextitalic"/>
        </w:rPr>
        <w:t xml:space="preserve"> </w:t>
      </w:r>
      <w:r w:rsidR="00FC5CAD" w:rsidRPr="0022189B">
        <w:rPr>
          <w:rStyle w:val="AERtextsize8"/>
        </w:rPr>
        <w:t>[email to AER]</w:t>
      </w:r>
      <w:r w:rsidRPr="0022189B">
        <w:rPr>
          <w:rStyle w:val="AERtextsize8"/>
        </w:rPr>
        <w:t xml:space="preserve">, </w:t>
      </w:r>
      <w:r>
        <w:t>18 March 2016.</w:t>
      </w:r>
    </w:p>
  </w:footnote>
  <w:footnote w:id="33">
    <w:p w:rsidR="00D84CE3" w:rsidRDefault="00D84CE3">
      <w:pPr>
        <w:pStyle w:val="FootnoteText"/>
      </w:pPr>
      <w:r>
        <w:rPr>
          <w:rStyle w:val="FootnoteReference"/>
        </w:rPr>
        <w:footnoteRef/>
      </w:r>
      <w:r>
        <w:t xml:space="preserve"> </w:t>
      </w:r>
      <w:r>
        <w:tab/>
        <w:t>This is because the forecast was originally made in December 2010 dollars.</w:t>
      </w:r>
    </w:p>
  </w:footnote>
  <w:footnote w:id="34">
    <w:p w:rsidR="00D84CE3" w:rsidRDefault="00D84CE3">
      <w:pPr>
        <w:pStyle w:val="FootnoteText"/>
      </w:pPr>
      <w:r>
        <w:rPr>
          <w:rStyle w:val="FootnoteReference"/>
        </w:rPr>
        <w:footnoteRef/>
      </w:r>
      <w:r>
        <w:t xml:space="preserve"> </w:t>
      </w:r>
      <w:r>
        <w:tab/>
      </w:r>
      <w:r w:rsidRPr="00130840">
        <w:t xml:space="preserve">We assume nominal dollars are reported in June </w:t>
      </w:r>
      <w:r>
        <w:t>in the relevant year being</w:t>
      </w:r>
      <w:r w:rsidRPr="00130840">
        <w:t xml:space="preserve"> the middle of the year.</w:t>
      </w:r>
    </w:p>
  </w:footnote>
  <w:footnote w:id="35">
    <w:p w:rsidR="00D84CE3" w:rsidRDefault="00D84CE3" w:rsidP="0032430B">
      <w:pPr>
        <w:pStyle w:val="FootnoteText"/>
      </w:pPr>
      <w:r>
        <w:rPr>
          <w:rStyle w:val="FootnoteReference"/>
        </w:rPr>
        <w:footnoteRef/>
      </w:r>
      <w:r>
        <w:t xml:space="preserve"> </w:t>
      </w:r>
      <w:r>
        <w:tab/>
        <w:t xml:space="preserve">AER, </w:t>
      </w:r>
      <w:r w:rsidRPr="004F2834">
        <w:rPr>
          <w:rStyle w:val="AERtextitalic"/>
        </w:rPr>
        <w:t xml:space="preserve">Preliminary decision, </w:t>
      </w:r>
      <w:r>
        <w:rPr>
          <w:rStyle w:val="AERtextitalic"/>
        </w:rPr>
        <w:t>AusNet Services</w:t>
      </w:r>
      <w:r w:rsidRPr="004F2834">
        <w:rPr>
          <w:rStyle w:val="AERtextitalic"/>
        </w:rPr>
        <w:t xml:space="preserve"> determination, </w:t>
      </w:r>
      <w:r>
        <w:rPr>
          <w:rStyle w:val="AERtextitalic"/>
        </w:rPr>
        <w:t>EBSS model</w:t>
      </w:r>
      <w:r>
        <w:t>, October 2015.</w:t>
      </w:r>
    </w:p>
  </w:footnote>
  <w:footnote w:id="36">
    <w:p w:rsidR="00D84CE3" w:rsidRDefault="00D84CE3" w:rsidP="0032430B">
      <w:pPr>
        <w:pStyle w:val="FootnoteText"/>
      </w:pPr>
      <w:r>
        <w:rPr>
          <w:rStyle w:val="FootnoteReference"/>
        </w:rPr>
        <w:footnoteRef/>
      </w:r>
      <w:r>
        <w:t xml:space="preserve"> </w:t>
      </w:r>
      <w:r>
        <w:tab/>
        <w:t xml:space="preserve">AER, </w:t>
      </w:r>
      <w:r w:rsidRPr="00AF7367">
        <w:rPr>
          <w:rStyle w:val="AERtextitalic"/>
        </w:rPr>
        <w:t xml:space="preserve">Preliminary decision, AusNet Services determination 2016-20, </w:t>
      </w:r>
      <w:r>
        <w:rPr>
          <w:rStyle w:val="AERtextitalic"/>
        </w:rPr>
        <w:t>Opex model</w:t>
      </w:r>
      <w:r>
        <w:t>, October 2015.</w:t>
      </w:r>
    </w:p>
  </w:footnote>
  <w:footnote w:id="37">
    <w:p w:rsidR="00D84CE3" w:rsidRDefault="00D84CE3" w:rsidP="0032430B">
      <w:pPr>
        <w:pStyle w:val="FootnoteText"/>
      </w:pPr>
      <w:r>
        <w:rPr>
          <w:rStyle w:val="FootnoteReference"/>
        </w:rPr>
        <w:footnoteRef/>
      </w:r>
      <w:r>
        <w:t xml:space="preserve"> </w:t>
      </w:r>
      <w:r>
        <w:tab/>
        <w:t xml:space="preserve">AusNet Services, </w:t>
      </w:r>
      <w:r w:rsidRPr="004523B5">
        <w:rPr>
          <w:rStyle w:val="AERtextitalic"/>
        </w:rPr>
        <w:t>Revised regulatory proposal</w:t>
      </w:r>
      <w:r>
        <w:t>, 6 January 2016, p 4-8.</w:t>
      </w:r>
    </w:p>
  </w:footnote>
  <w:footnote w:id="38">
    <w:p w:rsidR="00D84CE3" w:rsidRDefault="00D84CE3" w:rsidP="0032430B">
      <w:pPr>
        <w:pStyle w:val="FootnoteText"/>
      </w:pPr>
      <w:r>
        <w:rPr>
          <w:rStyle w:val="FootnoteReference"/>
        </w:rPr>
        <w:footnoteRef/>
      </w:r>
      <w:r>
        <w:t xml:space="preserve"> </w:t>
      </w:r>
      <w:r>
        <w:tab/>
        <w:t xml:space="preserve">TransGrid, </w:t>
      </w:r>
      <w:r w:rsidRPr="008938D3">
        <w:rPr>
          <w:rStyle w:val="AERtextitalic"/>
        </w:rPr>
        <w:t>Revised regulatory proposal</w:t>
      </w:r>
      <w:r>
        <w:t>, 13 January 2015, p. 107.</w:t>
      </w:r>
    </w:p>
  </w:footnote>
  <w:footnote w:id="39">
    <w:p w:rsidR="00D84CE3" w:rsidRDefault="00D84CE3">
      <w:pPr>
        <w:pStyle w:val="FootnoteText"/>
      </w:pPr>
      <w:r>
        <w:rPr>
          <w:rStyle w:val="FootnoteReference"/>
        </w:rPr>
        <w:footnoteRef/>
      </w:r>
      <w:r>
        <w:t xml:space="preserve"> </w:t>
      </w:r>
      <w:r>
        <w:tab/>
        <w:t>NER, cl. 6.5.8(c).</w:t>
      </w:r>
    </w:p>
  </w:footnote>
  <w:footnote w:id="40">
    <w:p w:rsidR="00D84CE3" w:rsidRDefault="00D84CE3">
      <w:pPr>
        <w:pStyle w:val="FootnoteText"/>
      </w:pPr>
      <w:r>
        <w:rPr>
          <w:rStyle w:val="FootnoteReference"/>
        </w:rPr>
        <w:footnoteRef/>
      </w:r>
      <w:r>
        <w:t xml:space="preserve"> </w:t>
      </w:r>
      <w:r>
        <w:tab/>
        <w:t xml:space="preserve">AusNet Services, </w:t>
      </w:r>
      <w:r w:rsidRPr="004523B5">
        <w:rPr>
          <w:rStyle w:val="AERtextitalic"/>
        </w:rPr>
        <w:t>Revised regulatory proposal</w:t>
      </w:r>
      <w:r>
        <w:t xml:space="preserve">, 6 January 2016, pp. 5-9 to 5-10. </w:t>
      </w:r>
    </w:p>
  </w:footnote>
  <w:footnote w:id="41">
    <w:p w:rsidR="00D84CE3" w:rsidRDefault="00D84CE3" w:rsidP="007336EA">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 pp. 7–9.</w:t>
      </w:r>
    </w:p>
  </w:footnote>
  <w:footnote w:id="42">
    <w:p w:rsidR="00D84CE3" w:rsidRDefault="00D84CE3">
      <w:pPr>
        <w:pStyle w:val="FootnoteText"/>
      </w:pPr>
      <w:r>
        <w:rPr>
          <w:rStyle w:val="FootnoteReference"/>
        </w:rPr>
        <w:footnoteRef/>
      </w:r>
      <w:r>
        <w:t xml:space="preserve"> </w:t>
      </w:r>
      <w:r>
        <w:tab/>
        <w:t xml:space="preserve">We discuss our decision to exclude losses on the scrapping of assets in our preliminary decision; AER, </w:t>
      </w:r>
      <w:r w:rsidRPr="004F2834">
        <w:rPr>
          <w:rStyle w:val="AERtextitalic"/>
        </w:rPr>
        <w:t xml:space="preserve">Preliminary decision, </w:t>
      </w:r>
      <w:r>
        <w:rPr>
          <w:rStyle w:val="AERtextitalic"/>
        </w:rPr>
        <w:t>AusNet Services</w:t>
      </w:r>
      <w:r w:rsidRPr="004F2834">
        <w:rPr>
          <w:rStyle w:val="AERtextitalic"/>
        </w:rPr>
        <w:t xml:space="preserve"> determination, Attachment 9</w:t>
      </w:r>
      <w:r>
        <w:t>, October 2015, p. 9-12.</w:t>
      </w:r>
    </w:p>
  </w:footnote>
  <w:footnote w:id="43">
    <w:p w:rsidR="00D84CE3" w:rsidRDefault="00D84CE3">
      <w:pPr>
        <w:pStyle w:val="FootnoteText"/>
      </w:pPr>
      <w:r>
        <w:rPr>
          <w:rStyle w:val="FootnoteReference"/>
        </w:rPr>
        <w:footnoteRef/>
      </w:r>
      <w:r>
        <w:t xml:space="preserve"> </w:t>
      </w:r>
      <w:r>
        <w:tab/>
        <w:t xml:space="preserve">AusNet Services, </w:t>
      </w:r>
      <w:r w:rsidRPr="004523B5">
        <w:rPr>
          <w:rStyle w:val="AERtextitalic"/>
        </w:rPr>
        <w:t>Revised regulatory proposal</w:t>
      </w:r>
      <w:r>
        <w:t>, 6 January 2016, p. 5-8.</w:t>
      </w:r>
    </w:p>
  </w:footnote>
  <w:footnote w:id="44">
    <w:p w:rsidR="00D84CE3" w:rsidRDefault="00D84CE3">
      <w:pPr>
        <w:pStyle w:val="FootnoteText"/>
      </w:pPr>
      <w:r>
        <w:rPr>
          <w:rStyle w:val="FootnoteReference"/>
        </w:rPr>
        <w:footnoteRef/>
      </w:r>
      <w:r>
        <w:t xml:space="preserve"> </w:t>
      </w:r>
      <w:r>
        <w:tab/>
        <w:t xml:space="preserve">AusNet Services, </w:t>
      </w:r>
      <w:r w:rsidRPr="004523B5">
        <w:rPr>
          <w:rStyle w:val="AERtextitalic"/>
        </w:rPr>
        <w:t>Revised regulatory proposal</w:t>
      </w:r>
      <w:r>
        <w:t>, 6 January 2016, p. 5-10.</w:t>
      </w:r>
    </w:p>
  </w:footnote>
  <w:footnote w:id="45">
    <w:p w:rsidR="00D84CE3" w:rsidRDefault="00D84CE3">
      <w:pPr>
        <w:pStyle w:val="FootnoteText"/>
      </w:pPr>
      <w:r>
        <w:rPr>
          <w:rStyle w:val="FootnoteReference"/>
        </w:rPr>
        <w:footnoteRef/>
      </w:r>
      <w:r>
        <w:t xml:space="preserve"> </w:t>
      </w:r>
      <w:r>
        <w:tab/>
        <w:t xml:space="preserve">AER, </w:t>
      </w:r>
      <w:r w:rsidRPr="00734315">
        <w:rPr>
          <w:rStyle w:val="AERtextitalic"/>
        </w:rPr>
        <w:t>Final decision</w:t>
      </w:r>
      <w:r>
        <w:rPr>
          <w:rStyle w:val="AERtextitalic"/>
        </w:rPr>
        <w:t>, AusNet Services</w:t>
      </w:r>
      <w:r w:rsidRPr="004F2834">
        <w:rPr>
          <w:rStyle w:val="AERtextitalic"/>
        </w:rPr>
        <w:t xml:space="preserve"> determination</w:t>
      </w:r>
      <w:r w:rsidRPr="00734315">
        <w:rPr>
          <w:rStyle w:val="AERtextitalic"/>
        </w:rPr>
        <w:t>, Attachment 7</w:t>
      </w:r>
      <w:r>
        <w:t xml:space="preserve">, </w:t>
      </w:r>
      <w:r w:rsidR="00323973">
        <w:t>May</w:t>
      </w:r>
      <w:r>
        <w:t xml:space="preserve"> 2016.</w:t>
      </w:r>
    </w:p>
  </w:footnote>
  <w:footnote w:id="46">
    <w:p w:rsidR="00D84CE3" w:rsidRDefault="00D84CE3" w:rsidP="009D307C">
      <w:pPr>
        <w:pStyle w:val="FootnoteText"/>
      </w:pPr>
      <w:r>
        <w:rPr>
          <w:rStyle w:val="FootnoteReference"/>
        </w:rPr>
        <w:footnoteRef/>
      </w:r>
      <w:r>
        <w:t xml:space="preserve"> </w:t>
      </w:r>
      <w:r>
        <w:tab/>
        <w:t xml:space="preserve">CCP3, </w:t>
      </w:r>
      <w:r w:rsidRPr="00F2315F">
        <w:rPr>
          <w:rStyle w:val="AERtextitalic"/>
        </w:rPr>
        <w:t xml:space="preserve">Submission to the Victorian DNSPs revenue reset, Comments on </w:t>
      </w:r>
      <w:r w:rsidR="00E61013">
        <w:rPr>
          <w:rStyle w:val="AERtextitalic"/>
        </w:rPr>
        <w:t>AER Preliminary Decisions</w:t>
      </w:r>
      <w:r>
        <w:t xml:space="preserve">, </w:t>
      </w:r>
      <w:r w:rsidR="00825776">
        <w:t xml:space="preserve">25 </w:t>
      </w:r>
      <w:r w:rsidR="00370D39">
        <w:t xml:space="preserve">February 2016, </w:t>
      </w:r>
      <w:r>
        <w:t xml:space="preserve">p. </w:t>
      </w:r>
      <w:r w:rsidR="00825776">
        <w:t>73</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CE3" w:rsidRDefault="00D84C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84ECB36E"/>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I0Kaz+B1DiMwLJXDiqvTOJA7fbs/kaWHxQW5k4Aw3Zk=" w:saltValue="f38xjshC/YNS6dyRISgcPA==" w:algorithmName="SHA-256"/>
  <w:defaultTabStop w:val="340"/>
  <w:characterSpacingControl w:val="doNotCompress"/>
  <w:hdrShapeDefaults>
    <o:shapedefaults v:ext="edit" spidmax="319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1108\AER15 4372  AER - Final decision AusNet distribution determination - Attachment 10 - Capital expenditure sharing scheme - April 2016.DOCX"/>
  </w:docVars>
  <w:rsids>
    <w:rsidRoot w:val="00961A4A"/>
    <w:rsid w:val="00000381"/>
    <w:rsid w:val="00000587"/>
    <w:rsid w:val="000051DC"/>
    <w:rsid w:val="0000658F"/>
    <w:rsid w:val="0001507B"/>
    <w:rsid w:val="00020016"/>
    <w:rsid w:val="000203A7"/>
    <w:rsid w:val="00021202"/>
    <w:rsid w:val="00021C2B"/>
    <w:rsid w:val="0002498B"/>
    <w:rsid w:val="0002517F"/>
    <w:rsid w:val="0002600D"/>
    <w:rsid w:val="00026187"/>
    <w:rsid w:val="000266FC"/>
    <w:rsid w:val="000273B3"/>
    <w:rsid w:val="00027848"/>
    <w:rsid w:val="00027E2D"/>
    <w:rsid w:val="0003578C"/>
    <w:rsid w:val="00044DA3"/>
    <w:rsid w:val="000474DF"/>
    <w:rsid w:val="00055A67"/>
    <w:rsid w:val="00057F18"/>
    <w:rsid w:val="0006189D"/>
    <w:rsid w:val="00063247"/>
    <w:rsid w:val="00063AAF"/>
    <w:rsid w:val="00065B27"/>
    <w:rsid w:val="0006624E"/>
    <w:rsid w:val="000668EB"/>
    <w:rsid w:val="00070F9F"/>
    <w:rsid w:val="0007137B"/>
    <w:rsid w:val="00073B74"/>
    <w:rsid w:val="00076416"/>
    <w:rsid w:val="00077383"/>
    <w:rsid w:val="000805A8"/>
    <w:rsid w:val="0008190B"/>
    <w:rsid w:val="000836D9"/>
    <w:rsid w:val="00085663"/>
    <w:rsid w:val="00085EBF"/>
    <w:rsid w:val="000876AC"/>
    <w:rsid w:val="00091B15"/>
    <w:rsid w:val="00094656"/>
    <w:rsid w:val="00095186"/>
    <w:rsid w:val="000A0E71"/>
    <w:rsid w:val="000A1C0C"/>
    <w:rsid w:val="000A2CA1"/>
    <w:rsid w:val="000A3020"/>
    <w:rsid w:val="000A4840"/>
    <w:rsid w:val="000A62C1"/>
    <w:rsid w:val="000A6A79"/>
    <w:rsid w:val="000A6C7B"/>
    <w:rsid w:val="000B0A7B"/>
    <w:rsid w:val="000B1173"/>
    <w:rsid w:val="000B4F2C"/>
    <w:rsid w:val="000B5827"/>
    <w:rsid w:val="000B7037"/>
    <w:rsid w:val="000C02D1"/>
    <w:rsid w:val="000C0C63"/>
    <w:rsid w:val="000C1547"/>
    <w:rsid w:val="000C2B40"/>
    <w:rsid w:val="000C384D"/>
    <w:rsid w:val="000C5255"/>
    <w:rsid w:val="000C68E6"/>
    <w:rsid w:val="000D07A7"/>
    <w:rsid w:val="000D122C"/>
    <w:rsid w:val="000D364B"/>
    <w:rsid w:val="000D75B0"/>
    <w:rsid w:val="000E1819"/>
    <w:rsid w:val="000E4821"/>
    <w:rsid w:val="000E4AA9"/>
    <w:rsid w:val="000E6C72"/>
    <w:rsid w:val="000E7F39"/>
    <w:rsid w:val="000F0F0A"/>
    <w:rsid w:val="000F496F"/>
    <w:rsid w:val="000F56B6"/>
    <w:rsid w:val="000F5B60"/>
    <w:rsid w:val="000F7A9B"/>
    <w:rsid w:val="00100EA2"/>
    <w:rsid w:val="00101AA1"/>
    <w:rsid w:val="00102338"/>
    <w:rsid w:val="00104566"/>
    <w:rsid w:val="00104FF6"/>
    <w:rsid w:val="001114AA"/>
    <w:rsid w:val="00115743"/>
    <w:rsid w:val="00115C25"/>
    <w:rsid w:val="00116EB2"/>
    <w:rsid w:val="0012014A"/>
    <w:rsid w:val="0012132C"/>
    <w:rsid w:val="00124609"/>
    <w:rsid w:val="00126A4C"/>
    <w:rsid w:val="001270E3"/>
    <w:rsid w:val="00130840"/>
    <w:rsid w:val="00132D43"/>
    <w:rsid w:val="00133366"/>
    <w:rsid w:val="00133F47"/>
    <w:rsid w:val="00134029"/>
    <w:rsid w:val="00137391"/>
    <w:rsid w:val="00142C2D"/>
    <w:rsid w:val="00144C96"/>
    <w:rsid w:val="0014573B"/>
    <w:rsid w:val="001463A3"/>
    <w:rsid w:val="0015073A"/>
    <w:rsid w:val="001573E4"/>
    <w:rsid w:val="001605E7"/>
    <w:rsid w:val="00160756"/>
    <w:rsid w:val="00161DC8"/>
    <w:rsid w:val="00162686"/>
    <w:rsid w:val="00166760"/>
    <w:rsid w:val="0017232E"/>
    <w:rsid w:val="00174102"/>
    <w:rsid w:val="001754EE"/>
    <w:rsid w:val="00177A0B"/>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288"/>
    <w:rsid w:val="00194597"/>
    <w:rsid w:val="00194E00"/>
    <w:rsid w:val="0019745E"/>
    <w:rsid w:val="00197B16"/>
    <w:rsid w:val="001A530D"/>
    <w:rsid w:val="001A5F0B"/>
    <w:rsid w:val="001A5FB3"/>
    <w:rsid w:val="001A6579"/>
    <w:rsid w:val="001A7155"/>
    <w:rsid w:val="001B45A0"/>
    <w:rsid w:val="001B680E"/>
    <w:rsid w:val="001C0763"/>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1838"/>
    <w:rsid w:val="002163BE"/>
    <w:rsid w:val="00216C93"/>
    <w:rsid w:val="0022189B"/>
    <w:rsid w:val="00223051"/>
    <w:rsid w:val="00224DB9"/>
    <w:rsid w:val="0022569A"/>
    <w:rsid w:val="0023005C"/>
    <w:rsid w:val="00231012"/>
    <w:rsid w:val="00233775"/>
    <w:rsid w:val="0023414B"/>
    <w:rsid w:val="00234243"/>
    <w:rsid w:val="00241AF2"/>
    <w:rsid w:val="00243635"/>
    <w:rsid w:val="00247079"/>
    <w:rsid w:val="00251745"/>
    <w:rsid w:val="002552BA"/>
    <w:rsid w:val="00260016"/>
    <w:rsid w:val="00263AC0"/>
    <w:rsid w:val="00264264"/>
    <w:rsid w:val="002667B5"/>
    <w:rsid w:val="0026689B"/>
    <w:rsid w:val="0026772D"/>
    <w:rsid w:val="00271397"/>
    <w:rsid w:val="002730B2"/>
    <w:rsid w:val="00274C7E"/>
    <w:rsid w:val="002777CF"/>
    <w:rsid w:val="002810F2"/>
    <w:rsid w:val="00282331"/>
    <w:rsid w:val="00286874"/>
    <w:rsid w:val="00287851"/>
    <w:rsid w:val="00290C63"/>
    <w:rsid w:val="00290F66"/>
    <w:rsid w:val="00291A99"/>
    <w:rsid w:val="00293B6D"/>
    <w:rsid w:val="00294B08"/>
    <w:rsid w:val="0029518C"/>
    <w:rsid w:val="002963DD"/>
    <w:rsid w:val="00296B65"/>
    <w:rsid w:val="002A7DEF"/>
    <w:rsid w:val="002B0675"/>
    <w:rsid w:val="002B0696"/>
    <w:rsid w:val="002B2A88"/>
    <w:rsid w:val="002B3EBE"/>
    <w:rsid w:val="002C0222"/>
    <w:rsid w:val="002C1499"/>
    <w:rsid w:val="002C1C74"/>
    <w:rsid w:val="002C233C"/>
    <w:rsid w:val="002C308E"/>
    <w:rsid w:val="002C517B"/>
    <w:rsid w:val="002D0DEC"/>
    <w:rsid w:val="002D3509"/>
    <w:rsid w:val="002D5457"/>
    <w:rsid w:val="002D72E8"/>
    <w:rsid w:val="002D79AD"/>
    <w:rsid w:val="002E268F"/>
    <w:rsid w:val="002E78DD"/>
    <w:rsid w:val="002E7B22"/>
    <w:rsid w:val="002F12EC"/>
    <w:rsid w:val="002F77D2"/>
    <w:rsid w:val="002F7986"/>
    <w:rsid w:val="00301B40"/>
    <w:rsid w:val="00301C82"/>
    <w:rsid w:val="003029EE"/>
    <w:rsid w:val="00304D38"/>
    <w:rsid w:val="00305CC8"/>
    <w:rsid w:val="00306A84"/>
    <w:rsid w:val="00307F6D"/>
    <w:rsid w:val="003109E1"/>
    <w:rsid w:val="00310CF3"/>
    <w:rsid w:val="00314D83"/>
    <w:rsid w:val="0031571F"/>
    <w:rsid w:val="0031675A"/>
    <w:rsid w:val="003168F7"/>
    <w:rsid w:val="003177A2"/>
    <w:rsid w:val="00317E02"/>
    <w:rsid w:val="00323973"/>
    <w:rsid w:val="0032430B"/>
    <w:rsid w:val="003271B5"/>
    <w:rsid w:val="00327A1E"/>
    <w:rsid w:val="00327E28"/>
    <w:rsid w:val="00331264"/>
    <w:rsid w:val="00334C8D"/>
    <w:rsid w:val="003378BD"/>
    <w:rsid w:val="00340769"/>
    <w:rsid w:val="003424EA"/>
    <w:rsid w:val="00342AE9"/>
    <w:rsid w:val="00342C2F"/>
    <w:rsid w:val="003436EB"/>
    <w:rsid w:val="00343A18"/>
    <w:rsid w:val="00345744"/>
    <w:rsid w:val="003518B3"/>
    <w:rsid w:val="00352359"/>
    <w:rsid w:val="00353E79"/>
    <w:rsid w:val="00353FC5"/>
    <w:rsid w:val="00364EA0"/>
    <w:rsid w:val="00366981"/>
    <w:rsid w:val="00370678"/>
    <w:rsid w:val="00370D39"/>
    <w:rsid w:val="0037214E"/>
    <w:rsid w:val="00372C85"/>
    <w:rsid w:val="00373845"/>
    <w:rsid w:val="003744E3"/>
    <w:rsid w:val="00375F71"/>
    <w:rsid w:val="00376219"/>
    <w:rsid w:val="0037663E"/>
    <w:rsid w:val="0037699E"/>
    <w:rsid w:val="00377A29"/>
    <w:rsid w:val="00377C69"/>
    <w:rsid w:val="003834CA"/>
    <w:rsid w:val="0038415D"/>
    <w:rsid w:val="0038461C"/>
    <w:rsid w:val="003846F1"/>
    <w:rsid w:val="00385F34"/>
    <w:rsid w:val="00390E6A"/>
    <w:rsid w:val="00393ABE"/>
    <w:rsid w:val="0039480D"/>
    <w:rsid w:val="00395DB6"/>
    <w:rsid w:val="00395E07"/>
    <w:rsid w:val="00397398"/>
    <w:rsid w:val="003A01AF"/>
    <w:rsid w:val="003A371A"/>
    <w:rsid w:val="003A59CD"/>
    <w:rsid w:val="003A6B00"/>
    <w:rsid w:val="003B30B2"/>
    <w:rsid w:val="003B484F"/>
    <w:rsid w:val="003B504B"/>
    <w:rsid w:val="003B5179"/>
    <w:rsid w:val="003B685C"/>
    <w:rsid w:val="003B7FBA"/>
    <w:rsid w:val="003C0495"/>
    <w:rsid w:val="003C3309"/>
    <w:rsid w:val="003C5A87"/>
    <w:rsid w:val="003C6537"/>
    <w:rsid w:val="003C6A13"/>
    <w:rsid w:val="003C764A"/>
    <w:rsid w:val="003C78BA"/>
    <w:rsid w:val="003D0ABF"/>
    <w:rsid w:val="003D1A5E"/>
    <w:rsid w:val="003D41F1"/>
    <w:rsid w:val="003D42AB"/>
    <w:rsid w:val="003D5B94"/>
    <w:rsid w:val="003D5CC2"/>
    <w:rsid w:val="003D620B"/>
    <w:rsid w:val="003E0D3A"/>
    <w:rsid w:val="003E3AAB"/>
    <w:rsid w:val="003E7FE9"/>
    <w:rsid w:val="003F07D4"/>
    <w:rsid w:val="003F0F7B"/>
    <w:rsid w:val="003F174D"/>
    <w:rsid w:val="003F2329"/>
    <w:rsid w:val="003F7C7D"/>
    <w:rsid w:val="003F7CD4"/>
    <w:rsid w:val="00400FD2"/>
    <w:rsid w:val="00403711"/>
    <w:rsid w:val="00403720"/>
    <w:rsid w:val="00404C52"/>
    <w:rsid w:val="00412251"/>
    <w:rsid w:val="00413F80"/>
    <w:rsid w:val="004156D5"/>
    <w:rsid w:val="00415BA9"/>
    <w:rsid w:val="00415F31"/>
    <w:rsid w:val="0041691D"/>
    <w:rsid w:val="0042000C"/>
    <w:rsid w:val="0042090E"/>
    <w:rsid w:val="00421F27"/>
    <w:rsid w:val="00423568"/>
    <w:rsid w:val="004238D8"/>
    <w:rsid w:val="00423A77"/>
    <w:rsid w:val="0043079C"/>
    <w:rsid w:val="0043204E"/>
    <w:rsid w:val="004324F4"/>
    <w:rsid w:val="00434544"/>
    <w:rsid w:val="00441F4E"/>
    <w:rsid w:val="00445D43"/>
    <w:rsid w:val="00446CD2"/>
    <w:rsid w:val="004523B2"/>
    <w:rsid w:val="00455163"/>
    <w:rsid w:val="0045777E"/>
    <w:rsid w:val="00462496"/>
    <w:rsid w:val="004630C2"/>
    <w:rsid w:val="00465258"/>
    <w:rsid w:val="0046705B"/>
    <w:rsid w:val="00471BC6"/>
    <w:rsid w:val="00476221"/>
    <w:rsid w:val="004766F5"/>
    <w:rsid w:val="004804C1"/>
    <w:rsid w:val="00480B4B"/>
    <w:rsid w:val="004835BF"/>
    <w:rsid w:val="004838D8"/>
    <w:rsid w:val="00485DC4"/>
    <w:rsid w:val="00494D04"/>
    <w:rsid w:val="004A40BA"/>
    <w:rsid w:val="004A43D1"/>
    <w:rsid w:val="004A492B"/>
    <w:rsid w:val="004B4412"/>
    <w:rsid w:val="004B6269"/>
    <w:rsid w:val="004C348C"/>
    <w:rsid w:val="004C462E"/>
    <w:rsid w:val="004C6CA3"/>
    <w:rsid w:val="004C7130"/>
    <w:rsid w:val="004C7F5E"/>
    <w:rsid w:val="004D343C"/>
    <w:rsid w:val="004D372A"/>
    <w:rsid w:val="004D55BA"/>
    <w:rsid w:val="004D5DE4"/>
    <w:rsid w:val="004D720C"/>
    <w:rsid w:val="004E0FA7"/>
    <w:rsid w:val="004E1246"/>
    <w:rsid w:val="004E22EC"/>
    <w:rsid w:val="004E6228"/>
    <w:rsid w:val="004E7D83"/>
    <w:rsid w:val="004F0BFA"/>
    <w:rsid w:val="004F13DA"/>
    <w:rsid w:val="004F266B"/>
    <w:rsid w:val="004F2CFE"/>
    <w:rsid w:val="004F4D69"/>
    <w:rsid w:val="004F6883"/>
    <w:rsid w:val="004F6A0E"/>
    <w:rsid w:val="004F6BB3"/>
    <w:rsid w:val="005009CD"/>
    <w:rsid w:val="00501BC1"/>
    <w:rsid w:val="00504E5F"/>
    <w:rsid w:val="0051337E"/>
    <w:rsid w:val="00513FA7"/>
    <w:rsid w:val="0051768F"/>
    <w:rsid w:val="00522DC2"/>
    <w:rsid w:val="00530128"/>
    <w:rsid w:val="00532467"/>
    <w:rsid w:val="005332A9"/>
    <w:rsid w:val="0053603C"/>
    <w:rsid w:val="00537871"/>
    <w:rsid w:val="00542C49"/>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92263"/>
    <w:rsid w:val="0059389F"/>
    <w:rsid w:val="005A0BEC"/>
    <w:rsid w:val="005A404D"/>
    <w:rsid w:val="005A535B"/>
    <w:rsid w:val="005B1E3C"/>
    <w:rsid w:val="005B6518"/>
    <w:rsid w:val="005B704A"/>
    <w:rsid w:val="005B72D7"/>
    <w:rsid w:val="005C045F"/>
    <w:rsid w:val="005C16FE"/>
    <w:rsid w:val="005C1FAB"/>
    <w:rsid w:val="005C21A4"/>
    <w:rsid w:val="005C2593"/>
    <w:rsid w:val="005C26CC"/>
    <w:rsid w:val="005C4463"/>
    <w:rsid w:val="005C51FB"/>
    <w:rsid w:val="005D0C6B"/>
    <w:rsid w:val="005D3D88"/>
    <w:rsid w:val="005D4692"/>
    <w:rsid w:val="005D48C4"/>
    <w:rsid w:val="005D6208"/>
    <w:rsid w:val="005D6366"/>
    <w:rsid w:val="005D7BA2"/>
    <w:rsid w:val="005E0695"/>
    <w:rsid w:val="005E36C2"/>
    <w:rsid w:val="005E4AF4"/>
    <w:rsid w:val="005F387E"/>
    <w:rsid w:val="005F492C"/>
    <w:rsid w:val="005F729A"/>
    <w:rsid w:val="00601E0B"/>
    <w:rsid w:val="0060258B"/>
    <w:rsid w:val="00610EF9"/>
    <w:rsid w:val="00612F4F"/>
    <w:rsid w:val="00614EA0"/>
    <w:rsid w:val="00615AC1"/>
    <w:rsid w:val="00615C6B"/>
    <w:rsid w:val="006170BA"/>
    <w:rsid w:val="00617D4C"/>
    <w:rsid w:val="00621DCE"/>
    <w:rsid w:val="00621FC5"/>
    <w:rsid w:val="00624F2C"/>
    <w:rsid w:val="00626A35"/>
    <w:rsid w:val="00632D6D"/>
    <w:rsid w:val="006351A7"/>
    <w:rsid w:val="00636569"/>
    <w:rsid w:val="00636EF9"/>
    <w:rsid w:val="00642C3E"/>
    <w:rsid w:val="00644A01"/>
    <w:rsid w:val="00645638"/>
    <w:rsid w:val="00651E2D"/>
    <w:rsid w:val="00652324"/>
    <w:rsid w:val="0065262F"/>
    <w:rsid w:val="006577FB"/>
    <w:rsid w:val="0066104A"/>
    <w:rsid w:val="00663066"/>
    <w:rsid w:val="00663DAD"/>
    <w:rsid w:val="00664206"/>
    <w:rsid w:val="006649E7"/>
    <w:rsid w:val="00666634"/>
    <w:rsid w:val="006668B3"/>
    <w:rsid w:val="00671692"/>
    <w:rsid w:val="00673094"/>
    <w:rsid w:val="00673B01"/>
    <w:rsid w:val="00673C3B"/>
    <w:rsid w:val="00675E20"/>
    <w:rsid w:val="00676679"/>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C6E8A"/>
    <w:rsid w:val="006C7E5D"/>
    <w:rsid w:val="006D1958"/>
    <w:rsid w:val="006D550F"/>
    <w:rsid w:val="006D5517"/>
    <w:rsid w:val="006D6146"/>
    <w:rsid w:val="006D7F7E"/>
    <w:rsid w:val="006E0CFF"/>
    <w:rsid w:val="006E7AAB"/>
    <w:rsid w:val="006F0D92"/>
    <w:rsid w:val="006F267D"/>
    <w:rsid w:val="0070011E"/>
    <w:rsid w:val="00701CAB"/>
    <w:rsid w:val="007023BB"/>
    <w:rsid w:val="007025C3"/>
    <w:rsid w:val="00704DD7"/>
    <w:rsid w:val="00705006"/>
    <w:rsid w:val="00707563"/>
    <w:rsid w:val="007135EE"/>
    <w:rsid w:val="00715F61"/>
    <w:rsid w:val="00722132"/>
    <w:rsid w:val="007228F7"/>
    <w:rsid w:val="0072348C"/>
    <w:rsid w:val="00724A37"/>
    <w:rsid w:val="00725853"/>
    <w:rsid w:val="007303C3"/>
    <w:rsid w:val="00731188"/>
    <w:rsid w:val="007336EA"/>
    <w:rsid w:val="00734315"/>
    <w:rsid w:val="007356CC"/>
    <w:rsid w:val="007368E6"/>
    <w:rsid w:val="007375DF"/>
    <w:rsid w:val="00741904"/>
    <w:rsid w:val="007429BE"/>
    <w:rsid w:val="00743223"/>
    <w:rsid w:val="00743349"/>
    <w:rsid w:val="00743587"/>
    <w:rsid w:val="0074403A"/>
    <w:rsid w:val="00746E01"/>
    <w:rsid w:val="00751DCD"/>
    <w:rsid w:val="00755084"/>
    <w:rsid w:val="0075546B"/>
    <w:rsid w:val="00757364"/>
    <w:rsid w:val="00757A77"/>
    <w:rsid w:val="00757BDF"/>
    <w:rsid w:val="007609D0"/>
    <w:rsid w:val="00761454"/>
    <w:rsid w:val="0076193D"/>
    <w:rsid w:val="00763B74"/>
    <w:rsid w:val="00763E5D"/>
    <w:rsid w:val="00767740"/>
    <w:rsid w:val="00767B5E"/>
    <w:rsid w:val="00767E35"/>
    <w:rsid w:val="00770064"/>
    <w:rsid w:val="00775460"/>
    <w:rsid w:val="00777EE6"/>
    <w:rsid w:val="00782EEA"/>
    <w:rsid w:val="00786CA4"/>
    <w:rsid w:val="007909B4"/>
    <w:rsid w:val="00790E86"/>
    <w:rsid w:val="007949D7"/>
    <w:rsid w:val="0079719B"/>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0BE3"/>
    <w:rsid w:val="007F2BEA"/>
    <w:rsid w:val="007F4EAB"/>
    <w:rsid w:val="007F5B16"/>
    <w:rsid w:val="007F5D79"/>
    <w:rsid w:val="007F7C9D"/>
    <w:rsid w:val="008033C4"/>
    <w:rsid w:val="00806731"/>
    <w:rsid w:val="00806C88"/>
    <w:rsid w:val="0081034E"/>
    <w:rsid w:val="00810806"/>
    <w:rsid w:val="00815882"/>
    <w:rsid w:val="00820454"/>
    <w:rsid w:val="00822AC7"/>
    <w:rsid w:val="00822E86"/>
    <w:rsid w:val="00822F6B"/>
    <w:rsid w:val="00825776"/>
    <w:rsid w:val="00831501"/>
    <w:rsid w:val="008344F6"/>
    <w:rsid w:val="0083510F"/>
    <w:rsid w:val="00837BF3"/>
    <w:rsid w:val="008415DE"/>
    <w:rsid w:val="008420DE"/>
    <w:rsid w:val="00845865"/>
    <w:rsid w:val="0084799B"/>
    <w:rsid w:val="00850C90"/>
    <w:rsid w:val="00851209"/>
    <w:rsid w:val="0085171F"/>
    <w:rsid w:val="00856A10"/>
    <w:rsid w:val="008658A1"/>
    <w:rsid w:val="0086716A"/>
    <w:rsid w:val="00870613"/>
    <w:rsid w:val="00870EED"/>
    <w:rsid w:val="0087380F"/>
    <w:rsid w:val="0087648F"/>
    <w:rsid w:val="00876612"/>
    <w:rsid w:val="0087718C"/>
    <w:rsid w:val="00882BB1"/>
    <w:rsid w:val="008837AC"/>
    <w:rsid w:val="008909DC"/>
    <w:rsid w:val="00894255"/>
    <w:rsid w:val="008945AD"/>
    <w:rsid w:val="00896D92"/>
    <w:rsid w:val="008A0645"/>
    <w:rsid w:val="008A1C02"/>
    <w:rsid w:val="008A23D6"/>
    <w:rsid w:val="008A370D"/>
    <w:rsid w:val="008A587D"/>
    <w:rsid w:val="008B1646"/>
    <w:rsid w:val="008B16B0"/>
    <w:rsid w:val="008B174E"/>
    <w:rsid w:val="008B1BD5"/>
    <w:rsid w:val="008B35CD"/>
    <w:rsid w:val="008B4093"/>
    <w:rsid w:val="008B5FCC"/>
    <w:rsid w:val="008B7F36"/>
    <w:rsid w:val="008C357F"/>
    <w:rsid w:val="008C5486"/>
    <w:rsid w:val="008C689D"/>
    <w:rsid w:val="008C756C"/>
    <w:rsid w:val="008D1661"/>
    <w:rsid w:val="008D27E0"/>
    <w:rsid w:val="008D5F90"/>
    <w:rsid w:val="008D6800"/>
    <w:rsid w:val="008D72F1"/>
    <w:rsid w:val="008E1691"/>
    <w:rsid w:val="008E4089"/>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33EE"/>
    <w:rsid w:val="009300A6"/>
    <w:rsid w:val="00930B1A"/>
    <w:rsid w:val="00931A27"/>
    <w:rsid w:val="00932612"/>
    <w:rsid w:val="009327DC"/>
    <w:rsid w:val="009338D9"/>
    <w:rsid w:val="009339BD"/>
    <w:rsid w:val="00934AE0"/>
    <w:rsid w:val="009356CF"/>
    <w:rsid w:val="00936557"/>
    <w:rsid w:val="00945E53"/>
    <w:rsid w:val="009460AA"/>
    <w:rsid w:val="00947CAB"/>
    <w:rsid w:val="00950933"/>
    <w:rsid w:val="00951978"/>
    <w:rsid w:val="00952C8B"/>
    <w:rsid w:val="00953593"/>
    <w:rsid w:val="00961A4A"/>
    <w:rsid w:val="009661DE"/>
    <w:rsid w:val="00970289"/>
    <w:rsid w:val="00972C7C"/>
    <w:rsid w:val="00976A47"/>
    <w:rsid w:val="009776F4"/>
    <w:rsid w:val="00982DA2"/>
    <w:rsid w:val="00983C25"/>
    <w:rsid w:val="0098466D"/>
    <w:rsid w:val="009849A0"/>
    <w:rsid w:val="009856B7"/>
    <w:rsid w:val="009859D6"/>
    <w:rsid w:val="00985C86"/>
    <w:rsid w:val="009A24AB"/>
    <w:rsid w:val="009A5FC3"/>
    <w:rsid w:val="009B0169"/>
    <w:rsid w:val="009B3C42"/>
    <w:rsid w:val="009B6F84"/>
    <w:rsid w:val="009B74B0"/>
    <w:rsid w:val="009B7ADB"/>
    <w:rsid w:val="009C0152"/>
    <w:rsid w:val="009C1A74"/>
    <w:rsid w:val="009C35C6"/>
    <w:rsid w:val="009C3D42"/>
    <w:rsid w:val="009C491E"/>
    <w:rsid w:val="009C65D7"/>
    <w:rsid w:val="009D0DF1"/>
    <w:rsid w:val="009D22D6"/>
    <w:rsid w:val="009D2C84"/>
    <w:rsid w:val="009D307C"/>
    <w:rsid w:val="009D3906"/>
    <w:rsid w:val="009D5E35"/>
    <w:rsid w:val="009D6B46"/>
    <w:rsid w:val="009E35B6"/>
    <w:rsid w:val="009E5ABC"/>
    <w:rsid w:val="009F3AB1"/>
    <w:rsid w:val="009F3BBA"/>
    <w:rsid w:val="009F3F19"/>
    <w:rsid w:val="009F43B4"/>
    <w:rsid w:val="009F4940"/>
    <w:rsid w:val="009F5BA1"/>
    <w:rsid w:val="00A0072D"/>
    <w:rsid w:val="00A02A88"/>
    <w:rsid w:val="00A04012"/>
    <w:rsid w:val="00A046FA"/>
    <w:rsid w:val="00A0562E"/>
    <w:rsid w:val="00A0726D"/>
    <w:rsid w:val="00A073AE"/>
    <w:rsid w:val="00A110ED"/>
    <w:rsid w:val="00A12204"/>
    <w:rsid w:val="00A12750"/>
    <w:rsid w:val="00A13CB0"/>
    <w:rsid w:val="00A1561F"/>
    <w:rsid w:val="00A16544"/>
    <w:rsid w:val="00A231C3"/>
    <w:rsid w:val="00A23ECA"/>
    <w:rsid w:val="00A30BF5"/>
    <w:rsid w:val="00A31BE6"/>
    <w:rsid w:val="00A32FBB"/>
    <w:rsid w:val="00A40068"/>
    <w:rsid w:val="00A401BF"/>
    <w:rsid w:val="00A40BE9"/>
    <w:rsid w:val="00A428EE"/>
    <w:rsid w:val="00A443C2"/>
    <w:rsid w:val="00A4478A"/>
    <w:rsid w:val="00A44852"/>
    <w:rsid w:val="00A45573"/>
    <w:rsid w:val="00A469DD"/>
    <w:rsid w:val="00A50502"/>
    <w:rsid w:val="00A5087B"/>
    <w:rsid w:val="00A509CE"/>
    <w:rsid w:val="00A53409"/>
    <w:rsid w:val="00A53796"/>
    <w:rsid w:val="00A53848"/>
    <w:rsid w:val="00A56945"/>
    <w:rsid w:val="00A56A6E"/>
    <w:rsid w:val="00A57D04"/>
    <w:rsid w:val="00A60A26"/>
    <w:rsid w:val="00A61598"/>
    <w:rsid w:val="00A61777"/>
    <w:rsid w:val="00A63646"/>
    <w:rsid w:val="00A63914"/>
    <w:rsid w:val="00A66E76"/>
    <w:rsid w:val="00A84A99"/>
    <w:rsid w:val="00A84F46"/>
    <w:rsid w:val="00A85E87"/>
    <w:rsid w:val="00A86AEA"/>
    <w:rsid w:val="00A871F4"/>
    <w:rsid w:val="00A915EB"/>
    <w:rsid w:val="00A9431A"/>
    <w:rsid w:val="00A95988"/>
    <w:rsid w:val="00A959DF"/>
    <w:rsid w:val="00A97775"/>
    <w:rsid w:val="00A97A1B"/>
    <w:rsid w:val="00AA2927"/>
    <w:rsid w:val="00AB2CB8"/>
    <w:rsid w:val="00AB4617"/>
    <w:rsid w:val="00AC1B2C"/>
    <w:rsid w:val="00AC3264"/>
    <w:rsid w:val="00AC46AD"/>
    <w:rsid w:val="00AC4D2D"/>
    <w:rsid w:val="00AC58EC"/>
    <w:rsid w:val="00AC7282"/>
    <w:rsid w:val="00AC7961"/>
    <w:rsid w:val="00AD2791"/>
    <w:rsid w:val="00AD314E"/>
    <w:rsid w:val="00AD5FCD"/>
    <w:rsid w:val="00AD6B48"/>
    <w:rsid w:val="00AD7A3A"/>
    <w:rsid w:val="00AE1BF1"/>
    <w:rsid w:val="00AE23AB"/>
    <w:rsid w:val="00AE58FB"/>
    <w:rsid w:val="00AE5AF0"/>
    <w:rsid w:val="00AE663D"/>
    <w:rsid w:val="00AE73B3"/>
    <w:rsid w:val="00AF07E7"/>
    <w:rsid w:val="00AF0DD2"/>
    <w:rsid w:val="00AF129F"/>
    <w:rsid w:val="00AF31E1"/>
    <w:rsid w:val="00AF3BBA"/>
    <w:rsid w:val="00AF4231"/>
    <w:rsid w:val="00AF7367"/>
    <w:rsid w:val="00B00B0E"/>
    <w:rsid w:val="00B00B26"/>
    <w:rsid w:val="00B02385"/>
    <w:rsid w:val="00B02F9D"/>
    <w:rsid w:val="00B0544B"/>
    <w:rsid w:val="00B05766"/>
    <w:rsid w:val="00B13048"/>
    <w:rsid w:val="00B13883"/>
    <w:rsid w:val="00B1716D"/>
    <w:rsid w:val="00B17A1D"/>
    <w:rsid w:val="00B207A0"/>
    <w:rsid w:val="00B21C21"/>
    <w:rsid w:val="00B22F54"/>
    <w:rsid w:val="00B24A7E"/>
    <w:rsid w:val="00B25C0C"/>
    <w:rsid w:val="00B25E20"/>
    <w:rsid w:val="00B26A9F"/>
    <w:rsid w:val="00B304B5"/>
    <w:rsid w:val="00B308A9"/>
    <w:rsid w:val="00B31047"/>
    <w:rsid w:val="00B33148"/>
    <w:rsid w:val="00B35CDF"/>
    <w:rsid w:val="00B403C2"/>
    <w:rsid w:val="00B405A1"/>
    <w:rsid w:val="00B43233"/>
    <w:rsid w:val="00B4438A"/>
    <w:rsid w:val="00B45AA2"/>
    <w:rsid w:val="00B47923"/>
    <w:rsid w:val="00B479CA"/>
    <w:rsid w:val="00B5084F"/>
    <w:rsid w:val="00B514DD"/>
    <w:rsid w:val="00B5236B"/>
    <w:rsid w:val="00B52AF0"/>
    <w:rsid w:val="00B53D5F"/>
    <w:rsid w:val="00B54051"/>
    <w:rsid w:val="00B561BD"/>
    <w:rsid w:val="00B56E03"/>
    <w:rsid w:val="00B62765"/>
    <w:rsid w:val="00B6454B"/>
    <w:rsid w:val="00B64C7F"/>
    <w:rsid w:val="00B65DF5"/>
    <w:rsid w:val="00B70F95"/>
    <w:rsid w:val="00B7679F"/>
    <w:rsid w:val="00B76A7C"/>
    <w:rsid w:val="00B77159"/>
    <w:rsid w:val="00B8080B"/>
    <w:rsid w:val="00B82223"/>
    <w:rsid w:val="00B82E68"/>
    <w:rsid w:val="00B87BA5"/>
    <w:rsid w:val="00B87C39"/>
    <w:rsid w:val="00B87E67"/>
    <w:rsid w:val="00B93891"/>
    <w:rsid w:val="00B9562D"/>
    <w:rsid w:val="00B977F2"/>
    <w:rsid w:val="00BA21DA"/>
    <w:rsid w:val="00BA2B60"/>
    <w:rsid w:val="00BA3C93"/>
    <w:rsid w:val="00BA4665"/>
    <w:rsid w:val="00BA5D4C"/>
    <w:rsid w:val="00BA7B78"/>
    <w:rsid w:val="00BA7FD7"/>
    <w:rsid w:val="00BB1681"/>
    <w:rsid w:val="00BB2FB2"/>
    <w:rsid w:val="00BB3304"/>
    <w:rsid w:val="00BB4202"/>
    <w:rsid w:val="00BB6551"/>
    <w:rsid w:val="00BC3650"/>
    <w:rsid w:val="00BC4A10"/>
    <w:rsid w:val="00BD24FD"/>
    <w:rsid w:val="00BD2B33"/>
    <w:rsid w:val="00BD30F4"/>
    <w:rsid w:val="00BD3446"/>
    <w:rsid w:val="00BD564F"/>
    <w:rsid w:val="00BD59CF"/>
    <w:rsid w:val="00BD6656"/>
    <w:rsid w:val="00BE1312"/>
    <w:rsid w:val="00BE1F1B"/>
    <w:rsid w:val="00BE3F89"/>
    <w:rsid w:val="00BE47B5"/>
    <w:rsid w:val="00BE5FCE"/>
    <w:rsid w:val="00BF12FB"/>
    <w:rsid w:val="00C0079E"/>
    <w:rsid w:val="00C01D23"/>
    <w:rsid w:val="00C0572A"/>
    <w:rsid w:val="00C13EBD"/>
    <w:rsid w:val="00C1631B"/>
    <w:rsid w:val="00C163AB"/>
    <w:rsid w:val="00C170F0"/>
    <w:rsid w:val="00C25173"/>
    <w:rsid w:val="00C25962"/>
    <w:rsid w:val="00C25FA6"/>
    <w:rsid w:val="00C27E4B"/>
    <w:rsid w:val="00C3099D"/>
    <w:rsid w:val="00C33011"/>
    <w:rsid w:val="00C343A2"/>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3683"/>
    <w:rsid w:val="00C64FF3"/>
    <w:rsid w:val="00C662AD"/>
    <w:rsid w:val="00C666BF"/>
    <w:rsid w:val="00C67A92"/>
    <w:rsid w:val="00C71280"/>
    <w:rsid w:val="00C717BF"/>
    <w:rsid w:val="00C75E3E"/>
    <w:rsid w:val="00C76178"/>
    <w:rsid w:val="00C84560"/>
    <w:rsid w:val="00C86679"/>
    <w:rsid w:val="00C8792F"/>
    <w:rsid w:val="00C90472"/>
    <w:rsid w:val="00C91D6E"/>
    <w:rsid w:val="00C93B38"/>
    <w:rsid w:val="00C95C11"/>
    <w:rsid w:val="00CA489E"/>
    <w:rsid w:val="00CB0279"/>
    <w:rsid w:val="00CB1EB6"/>
    <w:rsid w:val="00CB2163"/>
    <w:rsid w:val="00CB666B"/>
    <w:rsid w:val="00CB734B"/>
    <w:rsid w:val="00CC058C"/>
    <w:rsid w:val="00CC41B6"/>
    <w:rsid w:val="00CC7ADA"/>
    <w:rsid w:val="00CC7F1D"/>
    <w:rsid w:val="00CD0A88"/>
    <w:rsid w:val="00CD125D"/>
    <w:rsid w:val="00CD283C"/>
    <w:rsid w:val="00CD3641"/>
    <w:rsid w:val="00CD66EA"/>
    <w:rsid w:val="00CD6A2A"/>
    <w:rsid w:val="00CD7432"/>
    <w:rsid w:val="00CE0866"/>
    <w:rsid w:val="00CE0FA5"/>
    <w:rsid w:val="00CE2A23"/>
    <w:rsid w:val="00CE31C8"/>
    <w:rsid w:val="00CE484B"/>
    <w:rsid w:val="00CE7CBA"/>
    <w:rsid w:val="00CF0DEE"/>
    <w:rsid w:val="00CF161E"/>
    <w:rsid w:val="00CF18E8"/>
    <w:rsid w:val="00CF42AA"/>
    <w:rsid w:val="00CF5EAA"/>
    <w:rsid w:val="00CF6AE3"/>
    <w:rsid w:val="00CF77BB"/>
    <w:rsid w:val="00D006AE"/>
    <w:rsid w:val="00D00905"/>
    <w:rsid w:val="00D010C1"/>
    <w:rsid w:val="00D01428"/>
    <w:rsid w:val="00D01CF0"/>
    <w:rsid w:val="00D0442A"/>
    <w:rsid w:val="00D12A7B"/>
    <w:rsid w:val="00D12ADB"/>
    <w:rsid w:val="00D1341F"/>
    <w:rsid w:val="00D15769"/>
    <w:rsid w:val="00D15E63"/>
    <w:rsid w:val="00D25A39"/>
    <w:rsid w:val="00D27CFA"/>
    <w:rsid w:val="00D310FA"/>
    <w:rsid w:val="00D319C6"/>
    <w:rsid w:val="00D325C6"/>
    <w:rsid w:val="00D36830"/>
    <w:rsid w:val="00D37213"/>
    <w:rsid w:val="00D4360D"/>
    <w:rsid w:val="00D5418E"/>
    <w:rsid w:val="00D5607F"/>
    <w:rsid w:val="00D61388"/>
    <w:rsid w:val="00D61A54"/>
    <w:rsid w:val="00D62108"/>
    <w:rsid w:val="00D64AA4"/>
    <w:rsid w:val="00D64DEA"/>
    <w:rsid w:val="00D64F84"/>
    <w:rsid w:val="00D663CD"/>
    <w:rsid w:val="00D6726A"/>
    <w:rsid w:val="00D7001B"/>
    <w:rsid w:val="00D7160D"/>
    <w:rsid w:val="00D7168E"/>
    <w:rsid w:val="00D71C15"/>
    <w:rsid w:val="00D71E57"/>
    <w:rsid w:val="00D72D27"/>
    <w:rsid w:val="00D7786B"/>
    <w:rsid w:val="00D80893"/>
    <w:rsid w:val="00D82519"/>
    <w:rsid w:val="00D829F6"/>
    <w:rsid w:val="00D84854"/>
    <w:rsid w:val="00D84CE3"/>
    <w:rsid w:val="00D87BFA"/>
    <w:rsid w:val="00D924AE"/>
    <w:rsid w:val="00D92CF1"/>
    <w:rsid w:val="00D92D38"/>
    <w:rsid w:val="00D950F5"/>
    <w:rsid w:val="00D97379"/>
    <w:rsid w:val="00DA43F8"/>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E7DC1"/>
    <w:rsid w:val="00DF0152"/>
    <w:rsid w:val="00DF1958"/>
    <w:rsid w:val="00DF209A"/>
    <w:rsid w:val="00E04818"/>
    <w:rsid w:val="00E06442"/>
    <w:rsid w:val="00E06952"/>
    <w:rsid w:val="00E11E61"/>
    <w:rsid w:val="00E157B2"/>
    <w:rsid w:val="00E16055"/>
    <w:rsid w:val="00E20238"/>
    <w:rsid w:val="00E2332D"/>
    <w:rsid w:val="00E23993"/>
    <w:rsid w:val="00E2574F"/>
    <w:rsid w:val="00E25951"/>
    <w:rsid w:val="00E25B8C"/>
    <w:rsid w:val="00E30AC4"/>
    <w:rsid w:val="00E30BB4"/>
    <w:rsid w:val="00E31CF6"/>
    <w:rsid w:val="00E34A4A"/>
    <w:rsid w:val="00E35AFC"/>
    <w:rsid w:val="00E41D39"/>
    <w:rsid w:val="00E425D2"/>
    <w:rsid w:val="00E44852"/>
    <w:rsid w:val="00E50A02"/>
    <w:rsid w:val="00E54106"/>
    <w:rsid w:val="00E54697"/>
    <w:rsid w:val="00E57A08"/>
    <w:rsid w:val="00E61013"/>
    <w:rsid w:val="00E63388"/>
    <w:rsid w:val="00E63631"/>
    <w:rsid w:val="00E64C2A"/>
    <w:rsid w:val="00E65C85"/>
    <w:rsid w:val="00E66199"/>
    <w:rsid w:val="00E70526"/>
    <w:rsid w:val="00E754B4"/>
    <w:rsid w:val="00E755EC"/>
    <w:rsid w:val="00E7624D"/>
    <w:rsid w:val="00E81724"/>
    <w:rsid w:val="00E819A4"/>
    <w:rsid w:val="00E833FA"/>
    <w:rsid w:val="00E84B74"/>
    <w:rsid w:val="00E84C6D"/>
    <w:rsid w:val="00E87066"/>
    <w:rsid w:val="00E901F4"/>
    <w:rsid w:val="00E930D1"/>
    <w:rsid w:val="00E966BF"/>
    <w:rsid w:val="00EA0C04"/>
    <w:rsid w:val="00EA218F"/>
    <w:rsid w:val="00EA22DB"/>
    <w:rsid w:val="00EA3D42"/>
    <w:rsid w:val="00EA42AD"/>
    <w:rsid w:val="00EA6B1B"/>
    <w:rsid w:val="00EB1CBD"/>
    <w:rsid w:val="00EB3A34"/>
    <w:rsid w:val="00EB3C3F"/>
    <w:rsid w:val="00EB5299"/>
    <w:rsid w:val="00EC04F1"/>
    <w:rsid w:val="00EC237F"/>
    <w:rsid w:val="00EC573A"/>
    <w:rsid w:val="00ED35C8"/>
    <w:rsid w:val="00ED3968"/>
    <w:rsid w:val="00ED7323"/>
    <w:rsid w:val="00EE28F3"/>
    <w:rsid w:val="00EE4A3D"/>
    <w:rsid w:val="00EE50D1"/>
    <w:rsid w:val="00EE7614"/>
    <w:rsid w:val="00EF5110"/>
    <w:rsid w:val="00EF5890"/>
    <w:rsid w:val="00EF76BA"/>
    <w:rsid w:val="00F0231A"/>
    <w:rsid w:val="00F03463"/>
    <w:rsid w:val="00F036B7"/>
    <w:rsid w:val="00F06B4B"/>
    <w:rsid w:val="00F0700F"/>
    <w:rsid w:val="00F07F1F"/>
    <w:rsid w:val="00F10411"/>
    <w:rsid w:val="00F1079E"/>
    <w:rsid w:val="00F10A9A"/>
    <w:rsid w:val="00F11B2D"/>
    <w:rsid w:val="00F121C2"/>
    <w:rsid w:val="00F1485B"/>
    <w:rsid w:val="00F15882"/>
    <w:rsid w:val="00F170C7"/>
    <w:rsid w:val="00F171E0"/>
    <w:rsid w:val="00F20BD3"/>
    <w:rsid w:val="00F2315F"/>
    <w:rsid w:val="00F271B3"/>
    <w:rsid w:val="00F2722C"/>
    <w:rsid w:val="00F309B3"/>
    <w:rsid w:val="00F322E9"/>
    <w:rsid w:val="00F3231B"/>
    <w:rsid w:val="00F33808"/>
    <w:rsid w:val="00F373A5"/>
    <w:rsid w:val="00F37864"/>
    <w:rsid w:val="00F404F9"/>
    <w:rsid w:val="00F44B0A"/>
    <w:rsid w:val="00F47559"/>
    <w:rsid w:val="00F50B30"/>
    <w:rsid w:val="00F51F5F"/>
    <w:rsid w:val="00F52D75"/>
    <w:rsid w:val="00F55582"/>
    <w:rsid w:val="00F5631E"/>
    <w:rsid w:val="00F57647"/>
    <w:rsid w:val="00F62A14"/>
    <w:rsid w:val="00F644AB"/>
    <w:rsid w:val="00F64C7B"/>
    <w:rsid w:val="00F65B63"/>
    <w:rsid w:val="00F65D8F"/>
    <w:rsid w:val="00F676DD"/>
    <w:rsid w:val="00F67AB6"/>
    <w:rsid w:val="00F70028"/>
    <w:rsid w:val="00F70434"/>
    <w:rsid w:val="00F75A26"/>
    <w:rsid w:val="00F76706"/>
    <w:rsid w:val="00F77D6D"/>
    <w:rsid w:val="00F801FB"/>
    <w:rsid w:val="00F80206"/>
    <w:rsid w:val="00F80A71"/>
    <w:rsid w:val="00F81C88"/>
    <w:rsid w:val="00F83034"/>
    <w:rsid w:val="00F83FAD"/>
    <w:rsid w:val="00F844C6"/>
    <w:rsid w:val="00F85E40"/>
    <w:rsid w:val="00F92FA6"/>
    <w:rsid w:val="00F9353B"/>
    <w:rsid w:val="00F937F1"/>
    <w:rsid w:val="00F952A0"/>
    <w:rsid w:val="00FA043A"/>
    <w:rsid w:val="00FA31B1"/>
    <w:rsid w:val="00FA32F8"/>
    <w:rsid w:val="00FA3320"/>
    <w:rsid w:val="00FA3C7F"/>
    <w:rsid w:val="00FA6246"/>
    <w:rsid w:val="00FB24ED"/>
    <w:rsid w:val="00FB3304"/>
    <w:rsid w:val="00FB4CF2"/>
    <w:rsid w:val="00FB5005"/>
    <w:rsid w:val="00FB60FE"/>
    <w:rsid w:val="00FB74E2"/>
    <w:rsid w:val="00FB778B"/>
    <w:rsid w:val="00FC19A4"/>
    <w:rsid w:val="00FC5CAD"/>
    <w:rsid w:val="00FD5614"/>
    <w:rsid w:val="00FD5E78"/>
    <w:rsid w:val="00FE0BE1"/>
    <w:rsid w:val="00FE11BB"/>
    <w:rsid w:val="00FE1DE9"/>
    <w:rsid w:val="00FE2F53"/>
    <w:rsid w:val="00FE36AF"/>
    <w:rsid w:val="00FE39C2"/>
    <w:rsid w:val="00FE3C32"/>
    <w:rsid w:val="00FE4110"/>
    <w:rsid w:val="00FE64AE"/>
    <w:rsid w:val="00FE7A2A"/>
    <w:rsid w:val="00FF1F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9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F882A-DD58-49C8-BD7E-73C4405B7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67A3961B</Template>
  <TotalTime>0</TotalTime>
  <Pages>18</Pages>
  <Words>4421</Words>
  <Characters>25200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2016-05-20T07:55:00Z</dcterms:created>
  <dcterms:modified xsi:type="dcterms:W3CDTF">2016-05-20T07:56:00Z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8578091</vt:lpwstr>
  </property>
</Properties>
</file>