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788BCBC" wp14:editId="13BD409B">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9B6F84" w:rsidP="008F07A3">
          <w:pPr>
            <w:pStyle w:val="ReportSubtitle"/>
          </w:pPr>
          <w:r>
            <w:t>Ausgrid</w:t>
          </w:r>
          <w:r w:rsidR="0070011E">
            <w:t xml:space="preserve">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EB606C">
            <w:t>1</w:t>
          </w:r>
          <w:r w:rsidR="008221F2">
            <w:t>5</w:t>
          </w:r>
          <w:r w:rsidR="00DA4752">
            <w:t xml:space="preserve"> </w:t>
          </w:r>
          <w:r w:rsidR="00415F31">
            <w:rPr>
              <w:rFonts w:cs="Arial"/>
            </w:rPr>
            <w:t>–</w:t>
          </w:r>
          <w:r w:rsidR="00DA4752">
            <w:t xml:space="preserve"> </w:t>
          </w:r>
          <w:r w:rsidR="008221F2">
            <w:t>Pass through event</w:t>
          </w:r>
          <w:r w:rsidR="00E06BCF">
            <w:t>s</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70011E" w:rsidP="00B9562D">
      <w:pPr>
        <w:pStyle w:val="Copyright"/>
      </w:pPr>
      <w:r>
        <w:t>AER reference:</w:t>
      </w:r>
      <w:r>
        <w:tab/>
        <w:t>522</w:t>
      </w:r>
      <w:r w:rsidR="009B6F84">
        <w:t>9</w:t>
      </w:r>
      <w:r>
        <w:t>4</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7487425"/>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proofErr w:type="spellStart"/>
      <w:r w:rsidR="009B6F84">
        <w:t>Ausgrid</w:t>
      </w:r>
      <w:r w:rsidR="0070011E">
        <w:t>’</w:t>
      </w:r>
      <w:r w:rsidR="00415F31">
        <w:t>s</w:t>
      </w:r>
      <w:proofErr w:type="spellEnd"/>
      <w:r w:rsidR="00415F31">
        <w:t xml:space="preserve"> revenue proposal 2015</w:t>
      </w:r>
      <w:r w:rsidR="00415F31" w:rsidRPr="00D904FA">
        <w:t>–</w:t>
      </w:r>
      <w:r w:rsidR="00415F31">
        <w:t>1</w:t>
      </w:r>
      <w:r w:rsidR="0070011E">
        <w:t>9</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Attachment 18 - Connection methodology</w:t>
      </w:r>
    </w:p>
    <w:p w:rsidR="00415F31" w:rsidRDefault="0070011E" w:rsidP="00415F31">
      <w:r>
        <w:t>Attachment 19 - Pricing methodology</w:t>
      </w:r>
    </w:p>
    <w:p w:rsidR="00E26C49" w:rsidRDefault="00E26C49" w:rsidP="00E26C49">
      <w:r>
        <w:t>Attachment 20 - Analysis of financial viability</w:t>
      </w:r>
    </w:p>
    <w:p w:rsidR="00E26C49" w:rsidRDefault="00E26C49" w:rsidP="00415F31"/>
    <w:p w:rsidR="008F07A3" w:rsidRPr="008F07A3" w:rsidRDefault="008F07A3" w:rsidP="00415F31">
      <w:pPr>
        <w:numPr>
          <w:ilvl w:val="0"/>
          <w:numId w:val="25"/>
        </w:numPr>
        <w:sectPr w:rsidR="008F07A3"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7487426"/>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C4227A"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7487425" w:history="1">
            <w:r w:rsidR="00C4227A" w:rsidRPr="00A85BEA">
              <w:rPr>
                <w:rStyle w:val="Hyperlink"/>
              </w:rPr>
              <w:t>Note</w:t>
            </w:r>
            <w:r w:rsidR="00C4227A">
              <w:rPr>
                <w:webHidden/>
              </w:rPr>
              <w:tab/>
            </w:r>
            <w:r w:rsidR="00C4227A">
              <w:rPr>
                <w:webHidden/>
              </w:rPr>
              <w:fldChar w:fldCharType="begin"/>
            </w:r>
            <w:r w:rsidR="00C4227A">
              <w:rPr>
                <w:webHidden/>
              </w:rPr>
              <w:instrText xml:space="preserve"> PAGEREF _Toc417487425 \h </w:instrText>
            </w:r>
            <w:r w:rsidR="00C4227A">
              <w:rPr>
                <w:webHidden/>
              </w:rPr>
            </w:r>
            <w:r w:rsidR="00C4227A">
              <w:rPr>
                <w:webHidden/>
              </w:rPr>
              <w:fldChar w:fldCharType="separate"/>
            </w:r>
            <w:r w:rsidR="00C4227A">
              <w:rPr>
                <w:webHidden/>
              </w:rPr>
              <w:t>15-2</w:t>
            </w:r>
            <w:r w:rsidR="00C4227A">
              <w:rPr>
                <w:webHidden/>
              </w:rPr>
              <w:fldChar w:fldCharType="end"/>
            </w:r>
          </w:hyperlink>
        </w:p>
        <w:p w:rsidR="00C4227A" w:rsidRDefault="00BB7F74">
          <w:pPr>
            <w:pStyle w:val="TOC1"/>
            <w:rPr>
              <w:rFonts w:asciiTheme="minorHAnsi" w:eastAsiaTheme="minorEastAsia" w:hAnsiTheme="minorHAnsi"/>
              <w:b w:val="0"/>
              <w:color w:val="auto"/>
              <w:sz w:val="22"/>
              <w:lang w:val="en-AU" w:eastAsia="en-AU"/>
            </w:rPr>
          </w:pPr>
          <w:hyperlink w:anchor="_Toc417487426" w:history="1">
            <w:r w:rsidR="00C4227A" w:rsidRPr="00A85BEA">
              <w:rPr>
                <w:rStyle w:val="Hyperlink"/>
              </w:rPr>
              <w:t>Contents</w:t>
            </w:r>
            <w:r w:rsidR="00C4227A">
              <w:rPr>
                <w:webHidden/>
              </w:rPr>
              <w:tab/>
            </w:r>
            <w:r w:rsidR="00C4227A">
              <w:rPr>
                <w:webHidden/>
              </w:rPr>
              <w:fldChar w:fldCharType="begin"/>
            </w:r>
            <w:r w:rsidR="00C4227A">
              <w:rPr>
                <w:webHidden/>
              </w:rPr>
              <w:instrText xml:space="preserve"> PAGEREF _Toc417487426 \h </w:instrText>
            </w:r>
            <w:r w:rsidR="00C4227A">
              <w:rPr>
                <w:webHidden/>
              </w:rPr>
            </w:r>
            <w:r w:rsidR="00C4227A">
              <w:rPr>
                <w:webHidden/>
              </w:rPr>
              <w:fldChar w:fldCharType="separate"/>
            </w:r>
            <w:r w:rsidR="00C4227A">
              <w:rPr>
                <w:webHidden/>
              </w:rPr>
              <w:t>15-3</w:t>
            </w:r>
            <w:r w:rsidR="00C4227A">
              <w:rPr>
                <w:webHidden/>
              </w:rPr>
              <w:fldChar w:fldCharType="end"/>
            </w:r>
          </w:hyperlink>
        </w:p>
        <w:p w:rsidR="00C4227A" w:rsidRDefault="00BB7F74">
          <w:pPr>
            <w:pStyle w:val="TOC1"/>
            <w:rPr>
              <w:rFonts w:asciiTheme="minorHAnsi" w:eastAsiaTheme="minorEastAsia" w:hAnsiTheme="minorHAnsi"/>
              <w:b w:val="0"/>
              <w:color w:val="auto"/>
              <w:sz w:val="22"/>
              <w:lang w:val="en-AU" w:eastAsia="en-AU"/>
            </w:rPr>
          </w:pPr>
          <w:hyperlink w:anchor="_Toc417487427" w:history="1">
            <w:r w:rsidR="00C4227A" w:rsidRPr="00A85BEA">
              <w:rPr>
                <w:rStyle w:val="Hyperlink"/>
              </w:rPr>
              <w:t>Shortened forms</w:t>
            </w:r>
            <w:r w:rsidR="00C4227A">
              <w:rPr>
                <w:webHidden/>
              </w:rPr>
              <w:tab/>
            </w:r>
            <w:r w:rsidR="00C4227A">
              <w:rPr>
                <w:webHidden/>
              </w:rPr>
              <w:fldChar w:fldCharType="begin"/>
            </w:r>
            <w:r w:rsidR="00C4227A">
              <w:rPr>
                <w:webHidden/>
              </w:rPr>
              <w:instrText xml:space="preserve"> PAGEREF _Toc417487427 \h </w:instrText>
            </w:r>
            <w:r w:rsidR="00C4227A">
              <w:rPr>
                <w:webHidden/>
              </w:rPr>
            </w:r>
            <w:r w:rsidR="00C4227A">
              <w:rPr>
                <w:webHidden/>
              </w:rPr>
              <w:fldChar w:fldCharType="separate"/>
            </w:r>
            <w:r w:rsidR="00C4227A">
              <w:rPr>
                <w:webHidden/>
              </w:rPr>
              <w:t>15-4</w:t>
            </w:r>
            <w:r w:rsidR="00C4227A">
              <w:rPr>
                <w:webHidden/>
              </w:rPr>
              <w:fldChar w:fldCharType="end"/>
            </w:r>
          </w:hyperlink>
        </w:p>
        <w:p w:rsidR="00C4227A" w:rsidRDefault="00BB7F74">
          <w:pPr>
            <w:pStyle w:val="TOC1"/>
            <w:rPr>
              <w:rFonts w:asciiTheme="minorHAnsi" w:eastAsiaTheme="minorEastAsia" w:hAnsiTheme="minorHAnsi"/>
              <w:b w:val="0"/>
              <w:color w:val="auto"/>
              <w:sz w:val="22"/>
              <w:lang w:val="en-AU" w:eastAsia="en-AU"/>
            </w:rPr>
          </w:pPr>
          <w:hyperlink w:anchor="_Toc417487428" w:history="1">
            <w:r w:rsidR="00C4227A" w:rsidRPr="00A85BEA">
              <w:rPr>
                <w:rStyle w:val="Hyperlink"/>
              </w:rPr>
              <w:t>15</w:t>
            </w:r>
            <w:r w:rsidR="00C4227A">
              <w:rPr>
                <w:rFonts w:asciiTheme="minorHAnsi" w:eastAsiaTheme="minorEastAsia" w:hAnsiTheme="minorHAnsi"/>
                <w:b w:val="0"/>
                <w:color w:val="auto"/>
                <w:sz w:val="22"/>
                <w:lang w:val="en-AU" w:eastAsia="en-AU"/>
              </w:rPr>
              <w:tab/>
            </w:r>
            <w:r w:rsidR="00C4227A" w:rsidRPr="00A85BEA">
              <w:rPr>
                <w:rStyle w:val="Hyperlink"/>
              </w:rPr>
              <w:t>Pass through events</w:t>
            </w:r>
            <w:r w:rsidR="00C4227A">
              <w:rPr>
                <w:webHidden/>
              </w:rPr>
              <w:tab/>
            </w:r>
            <w:r w:rsidR="00C4227A">
              <w:rPr>
                <w:webHidden/>
              </w:rPr>
              <w:fldChar w:fldCharType="begin"/>
            </w:r>
            <w:r w:rsidR="00C4227A">
              <w:rPr>
                <w:webHidden/>
              </w:rPr>
              <w:instrText xml:space="preserve"> PAGEREF _Toc417487428 \h </w:instrText>
            </w:r>
            <w:r w:rsidR="00C4227A">
              <w:rPr>
                <w:webHidden/>
              </w:rPr>
            </w:r>
            <w:r w:rsidR="00C4227A">
              <w:rPr>
                <w:webHidden/>
              </w:rPr>
              <w:fldChar w:fldCharType="separate"/>
            </w:r>
            <w:r w:rsidR="00C4227A">
              <w:rPr>
                <w:webHidden/>
              </w:rPr>
              <w:t>15-6</w:t>
            </w:r>
            <w:r w:rsidR="00C4227A">
              <w:rPr>
                <w:webHidden/>
              </w:rPr>
              <w:fldChar w:fldCharType="end"/>
            </w:r>
          </w:hyperlink>
        </w:p>
        <w:p w:rsidR="00C4227A" w:rsidRDefault="00BB7F74">
          <w:pPr>
            <w:pStyle w:val="TOC2"/>
            <w:tabs>
              <w:tab w:val="left" w:pos="1276"/>
            </w:tabs>
            <w:rPr>
              <w:rFonts w:asciiTheme="minorHAnsi" w:eastAsiaTheme="minorEastAsia" w:hAnsiTheme="minorHAnsi"/>
              <w:b w:val="0"/>
              <w:color w:val="auto"/>
              <w:sz w:val="22"/>
              <w:lang w:eastAsia="en-AU"/>
            </w:rPr>
          </w:pPr>
          <w:hyperlink w:anchor="_Toc417487429" w:history="1">
            <w:r w:rsidR="00C4227A" w:rsidRPr="00A85BEA">
              <w:rPr>
                <w:rStyle w:val="Hyperlink"/>
              </w:rPr>
              <w:t>15.1</w:t>
            </w:r>
            <w:r w:rsidR="00C4227A">
              <w:rPr>
                <w:rFonts w:asciiTheme="minorHAnsi" w:eastAsiaTheme="minorEastAsia" w:hAnsiTheme="minorHAnsi"/>
                <w:b w:val="0"/>
                <w:color w:val="auto"/>
                <w:sz w:val="22"/>
                <w:lang w:eastAsia="en-AU"/>
              </w:rPr>
              <w:tab/>
            </w:r>
            <w:r w:rsidR="00C4227A" w:rsidRPr="00A85BEA">
              <w:rPr>
                <w:rStyle w:val="Hyperlink"/>
              </w:rPr>
              <w:t>Final decision</w:t>
            </w:r>
            <w:r w:rsidR="00C4227A">
              <w:rPr>
                <w:webHidden/>
              </w:rPr>
              <w:tab/>
            </w:r>
            <w:r w:rsidR="00C4227A">
              <w:rPr>
                <w:webHidden/>
              </w:rPr>
              <w:fldChar w:fldCharType="begin"/>
            </w:r>
            <w:r w:rsidR="00C4227A">
              <w:rPr>
                <w:webHidden/>
              </w:rPr>
              <w:instrText xml:space="preserve"> PAGEREF _Toc417487429 \h </w:instrText>
            </w:r>
            <w:r w:rsidR="00C4227A">
              <w:rPr>
                <w:webHidden/>
              </w:rPr>
            </w:r>
            <w:r w:rsidR="00C4227A">
              <w:rPr>
                <w:webHidden/>
              </w:rPr>
              <w:fldChar w:fldCharType="separate"/>
            </w:r>
            <w:r w:rsidR="00C4227A">
              <w:rPr>
                <w:webHidden/>
              </w:rPr>
              <w:t>15-6</w:t>
            </w:r>
            <w:r w:rsidR="00C4227A">
              <w:rPr>
                <w:webHidden/>
              </w:rPr>
              <w:fldChar w:fldCharType="end"/>
            </w:r>
          </w:hyperlink>
        </w:p>
        <w:p w:rsidR="00C4227A" w:rsidRDefault="00BB7F74">
          <w:pPr>
            <w:pStyle w:val="TOC2"/>
            <w:tabs>
              <w:tab w:val="left" w:pos="1276"/>
            </w:tabs>
            <w:rPr>
              <w:rFonts w:asciiTheme="minorHAnsi" w:eastAsiaTheme="minorEastAsia" w:hAnsiTheme="minorHAnsi"/>
              <w:b w:val="0"/>
              <w:color w:val="auto"/>
              <w:sz w:val="22"/>
              <w:lang w:eastAsia="en-AU"/>
            </w:rPr>
          </w:pPr>
          <w:hyperlink w:anchor="_Toc417487430" w:history="1">
            <w:r w:rsidR="00C4227A" w:rsidRPr="00A85BEA">
              <w:rPr>
                <w:rStyle w:val="Hyperlink"/>
              </w:rPr>
              <w:t>15.2</w:t>
            </w:r>
            <w:r w:rsidR="00C4227A">
              <w:rPr>
                <w:rFonts w:asciiTheme="minorHAnsi" w:eastAsiaTheme="minorEastAsia" w:hAnsiTheme="minorHAnsi"/>
                <w:b w:val="0"/>
                <w:color w:val="auto"/>
                <w:sz w:val="22"/>
                <w:lang w:eastAsia="en-AU"/>
              </w:rPr>
              <w:tab/>
            </w:r>
            <w:r w:rsidR="00C4227A" w:rsidRPr="00A85BEA">
              <w:rPr>
                <w:rStyle w:val="Hyperlink"/>
              </w:rPr>
              <w:t>Ausgrid’s revised proposal</w:t>
            </w:r>
            <w:r w:rsidR="00C4227A">
              <w:rPr>
                <w:webHidden/>
              </w:rPr>
              <w:tab/>
            </w:r>
            <w:r w:rsidR="00C4227A">
              <w:rPr>
                <w:webHidden/>
              </w:rPr>
              <w:fldChar w:fldCharType="begin"/>
            </w:r>
            <w:r w:rsidR="00C4227A">
              <w:rPr>
                <w:webHidden/>
              </w:rPr>
              <w:instrText xml:space="preserve"> PAGEREF _Toc417487430 \h </w:instrText>
            </w:r>
            <w:r w:rsidR="00C4227A">
              <w:rPr>
                <w:webHidden/>
              </w:rPr>
            </w:r>
            <w:r w:rsidR="00C4227A">
              <w:rPr>
                <w:webHidden/>
              </w:rPr>
              <w:fldChar w:fldCharType="separate"/>
            </w:r>
            <w:r w:rsidR="00C4227A">
              <w:rPr>
                <w:webHidden/>
              </w:rPr>
              <w:t>15-8</w:t>
            </w:r>
            <w:r w:rsidR="00C4227A">
              <w:rPr>
                <w:webHidden/>
              </w:rPr>
              <w:fldChar w:fldCharType="end"/>
            </w:r>
          </w:hyperlink>
        </w:p>
        <w:p w:rsidR="00C4227A" w:rsidRDefault="00BB7F74">
          <w:pPr>
            <w:pStyle w:val="TOC2"/>
            <w:tabs>
              <w:tab w:val="left" w:pos="1276"/>
            </w:tabs>
            <w:rPr>
              <w:rFonts w:asciiTheme="minorHAnsi" w:eastAsiaTheme="minorEastAsia" w:hAnsiTheme="minorHAnsi"/>
              <w:b w:val="0"/>
              <w:color w:val="auto"/>
              <w:sz w:val="22"/>
              <w:lang w:eastAsia="en-AU"/>
            </w:rPr>
          </w:pPr>
          <w:hyperlink w:anchor="_Toc417487431" w:history="1">
            <w:r w:rsidR="00C4227A" w:rsidRPr="00A85BEA">
              <w:rPr>
                <w:rStyle w:val="Hyperlink"/>
              </w:rPr>
              <w:t>15.3</w:t>
            </w:r>
            <w:r w:rsidR="00C4227A">
              <w:rPr>
                <w:rFonts w:asciiTheme="minorHAnsi" w:eastAsiaTheme="minorEastAsia" w:hAnsiTheme="minorHAnsi"/>
                <w:b w:val="0"/>
                <w:color w:val="auto"/>
                <w:sz w:val="22"/>
                <w:lang w:eastAsia="en-AU"/>
              </w:rPr>
              <w:tab/>
            </w:r>
            <w:r w:rsidR="00C4227A" w:rsidRPr="00A85BEA">
              <w:rPr>
                <w:rStyle w:val="Hyperlink"/>
              </w:rPr>
              <w:t>AER’s assessment approach</w:t>
            </w:r>
            <w:r w:rsidR="00C4227A">
              <w:rPr>
                <w:webHidden/>
              </w:rPr>
              <w:tab/>
            </w:r>
            <w:r w:rsidR="00C4227A">
              <w:rPr>
                <w:webHidden/>
              </w:rPr>
              <w:fldChar w:fldCharType="begin"/>
            </w:r>
            <w:r w:rsidR="00C4227A">
              <w:rPr>
                <w:webHidden/>
              </w:rPr>
              <w:instrText xml:space="preserve"> PAGEREF _Toc417487431 \h </w:instrText>
            </w:r>
            <w:r w:rsidR="00C4227A">
              <w:rPr>
                <w:webHidden/>
              </w:rPr>
            </w:r>
            <w:r w:rsidR="00C4227A">
              <w:rPr>
                <w:webHidden/>
              </w:rPr>
              <w:fldChar w:fldCharType="separate"/>
            </w:r>
            <w:r w:rsidR="00C4227A">
              <w:rPr>
                <w:webHidden/>
              </w:rPr>
              <w:t>15-9</w:t>
            </w:r>
            <w:r w:rsidR="00C4227A">
              <w:rPr>
                <w:webHidden/>
              </w:rPr>
              <w:fldChar w:fldCharType="end"/>
            </w:r>
          </w:hyperlink>
        </w:p>
        <w:p w:rsidR="00C4227A" w:rsidRDefault="00BB7F74">
          <w:pPr>
            <w:pStyle w:val="TOC2"/>
            <w:tabs>
              <w:tab w:val="left" w:pos="1276"/>
            </w:tabs>
            <w:rPr>
              <w:rFonts w:asciiTheme="minorHAnsi" w:eastAsiaTheme="minorEastAsia" w:hAnsiTheme="minorHAnsi"/>
              <w:b w:val="0"/>
              <w:color w:val="auto"/>
              <w:sz w:val="22"/>
              <w:lang w:eastAsia="en-AU"/>
            </w:rPr>
          </w:pPr>
          <w:hyperlink w:anchor="_Toc417487432" w:history="1">
            <w:r w:rsidR="00C4227A" w:rsidRPr="00A85BEA">
              <w:rPr>
                <w:rStyle w:val="Hyperlink"/>
              </w:rPr>
              <w:t>15.4</w:t>
            </w:r>
            <w:r w:rsidR="00C4227A">
              <w:rPr>
                <w:rFonts w:asciiTheme="minorHAnsi" w:eastAsiaTheme="minorEastAsia" w:hAnsiTheme="minorHAnsi"/>
                <w:b w:val="0"/>
                <w:color w:val="auto"/>
                <w:sz w:val="22"/>
                <w:lang w:eastAsia="en-AU"/>
              </w:rPr>
              <w:tab/>
            </w:r>
            <w:r w:rsidR="00C4227A" w:rsidRPr="00A85BEA">
              <w:rPr>
                <w:rStyle w:val="Hyperlink"/>
              </w:rPr>
              <w:t>Reasons for final decision</w:t>
            </w:r>
            <w:r w:rsidR="00C4227A">
              <w:rPr>
                <w:webHidden/>
              </w:rPr>
              <w:tab/>
            </w:r>
            <w:r w:rsidR="00C4227A">
              <w:rPr>
                <w:webHidden/>
              </w:rPr>
              <w:fldChar w:fldCharType="begin"/>
            </w:r>
            <w:r w:rsidR="00C4227A">
              <w:rPr>
                <w:webHidden/>
              </w:rPr>
              <w:instrText xml:space="preserve"> PAGEREF _Toc417487432 \h </w:instrText>
            </w:r>
            <w:r w:rsidR="00C4227A">
              <w:rPr>
                <w:webHidden/>
              </w:rPr>
            </w:r>
            <w:r w:rsidR="00C4227A">
              <w:rPr>
                <w:webHidden/>
              </w:rPr>
              <w:fldChar w:fldCharType="separate"/>
            </w:r>
            <w:r w:rsidR="00C4227A">
              <w:rPr>
                <w:webHidden/>
              </w:rPr>
              <w:t>15-9</w:t>
            </w:r>
            <w:r w:rsidR="00C4227A">
              <w:rPr>
                <w:webHidden/>
              </w:rPr>
              <w:fldChar w:fldCharType="end"/>
            </w:r>
          </w:hyperlink>
        </w:p>
        <w:p w:rsidR="00C4227A" w:rsidRDefault="00BB7F74">
          <w:pPr>
            <w:pStyle w:val="TOC3"/>
            <w:rPr>
              <w:rFonts w:asciiTheme="minorHAnsi" w:eastAsiaTheme="minorEastAsia" w:hAnsiTheme="minorHAnsi"/>
              <w:lang w:eastAsia="en-AU"/>
            </w:rPr>
          </w:pPr>
          <w:hyperlink w:anchor="_Toc417487433" w:history="1">
            <w:r w:rsidR="00C4227A" w:rsidRPr="00A85BEA">
              <w:rPr>
                <w:rStyle w:val="Hyperlink"/>
              </w:rPr>
              <w:t>15.4.1</w:t>
            </w:r>
            <w:r w:rsidR="00C4227A">
              <w:rPr>
                <w:rFonts w:asciiTheme="minorHAnsi" w:eastAsiaTheme="minorEastAsia" w:hAnsiTheme="minorHAnsi"/>
                <w:lang w:eastAsia="en-AU"/>
              </w:rPr>
              <w:tab/>
            </w:r>
            <w:r w:rsidR="00C4227A" w:rsidRPr="00A85BEA">
              <w:rPr>
                <w:rStyle w:val="Hyperlink"/>
              </w:rPr>
              <w:t>Interrelationships</w:t>
            </w:r>
            <w:r w:rsidR="00C4227A">
              <w:rPr>
                <w:webHidden/>
              </w:rPr>
              <w:tab/>
            </w:r>
            <w:r w:rsidR="00C4227A">
              <w:rPr>
                <w:webHidden/>
              </w:rPr>
              <w:fldChar w:fldCharType="begin"/>
            </w:r>
            <w:r w:rsidR="00C4227A">
              <w:rPr>
                <w:webHidden/>
              </w:rPr>
              <w:instrText xml:space="preserve"> PAGEREF _Toc417487433 \h </w:instrText>
            </w:r>
            <w:r w:rsidR="00C4227A">
              <w:rPr>
                <w:webHidden/>
              </w:rPr>
            </w:r>
            <w:r w:rsidR="00C4227A">
              <w:rPr>
                <w:webHidden/>
              </w:rPr>
              <w:fldChar w:fldCharType="separate"/>
            </w:r>
            <w:r w:rsidR="00C4227A">
              <w:rPr>
                <w:webHidden/>
              </w:rPr>
              <w:t>15-10</w:t>
            </w:r>
            <w:r w:rsidR="00C4227A">
              <w:rPr>
                <w:webHidden/>
              </w:rPr>
              <w:fldChar w:fldCharType="end"/>
            </w:r>
          </w:hyperlink>
        </w:p>
        <w:p w:rsidR="00C4227A" w:rsidRDefault="00BB7F74">
          <w:pPr>
            <w:pStyle w:val="TOC3"/>
            <w:rPr>
              <w:rFonts w:asciiTheme="minorHAnsi" w:eastAsiaTheme="minorEastAsia" w:hAnsiTheme="minorHAnsi"/>
              <w:lang w:eastAsia="en-AU"/>
            </w:rPr>
          </w:pPr>
          <w:hyperlink w:anchor="_Toc417487434" w:history="1">
            <w:r w:rsidR="00C4227A" w:rsidRPr="00A85BEA">
              <w:rPr>
                <w:rStyle w:val="Hyperlink"/>
              </w:rPr>
              <w:t>15.4.2</w:t>
            </w:r>
            <w:r w:rsidR="00C4227A">
              <w:rPr>
                <w:rFonts w:asciiTheme="minorHAnsi" w:eastAsiaTheme="minorEastAsia" w:hAnsiTheme="minorHAnsi"/>
                <w:lang w:eastAsia="en-AU"/>
              </w:rPr>
              <w:tab/>
            </w:r>
            <w:r w:rsidR="00C4227A" w:rsidRPr="00A85BEA">
              <w:rPr>
                <w:rStyle w:val="Hyperlink"/>
              </w:rPr>
              <w:t>Insurance cap, natural disaster and terrorism events</w:t>
            </w:r>
            <w:r w:rsidR="00C4227A">
              <w:rPr>
                <w:webHidden/>
              </w:rPr>
              <w:tab/>
            </w:r>
            <w:r w:rsidR="00C4227A">
              <w:rPr>
                <w:webHidden/>
              </w:rPr>
              <w:fldChar w:fldCharType="begin"/>
            </w:r>
            <w:r w:rsidR="00C4227A">
              <w:rPr>
                <w:webHidden/>
              </w:rPr>
              <w:instrText xml:space="preserve"> PAGEREF _Toc417487434 \h </w:instrText>
            </w:r>
            <w:r w:rsidR="00C4227A">
              <w:rPr>
                <w:webHidden/>
              </w:rPr>
            </w:r>
            <w:r w:rsidR="00C4227A">
              <w:rPr>
                <w:webHidden/>
              </w:rPr>
              <w:fldChar w:fldCharType="separate"/>
            </w:r>
            <w:r w:rsidR="00C4227A">
              <w:rPr>
                <w:webHidden/>
              </w:rPr>
              <w:t>15-10</w:t>
            </w:r>
            <w:r w:rsidR="00C4227A">
              <w:rPr>
                <w:webHidden/>
              </w:rPr>
              <w:fldChar w:fldCharType="end"/>
            </w:r>
          </w:hyperlink>
        </w:p>
        <w:p w:rsidR="00C4227A" w:rsidRDefault="00BB7F74">
          <w:pPr>
            <w:pStyle w:val="TOC3"/>
            <w:rPr>
              <w:rFonts w:asciiTheme="minorHAnsi" w:eastAsiaTheme="minorEastAsia" w:hAnsiTheme="minorHAnsi"/>
              <w:lang w:eastAsia="en-AU"/>
            </w:rPr>
          </w:pPr>
          <w:hyperlink w:anchor="_Toc417487435" w:history="1">
            <w:r w:rsidR="00C4227A" w:rsidRPr="00A85BEA">
              <w:rPr>
                <w:rStyle w:val="Hyperlink"/>
              </w:rPr>
              <w:t>15.4.3</w:t>
            </w:r>
            <w:r w:rsidR="00C4227A">
              <w:rPr>
                <w:rFonts w:asciiTheme="minorHAnsi" w:eastAsiaTheme="minorEastAsia" w:hAnsiTheme="minorHAnsi"/>
                <w:lang w:eastAsia="en-AU"/>
              </w:rPr>
              <w:tab/>
            </w:r>
            <w:r w:rsidR="00C4227A" w:rsidRPr="00A85BEA">
              <w:rPr>
                <w:rStyle w:val="Hyperlink"/>
              </w:rPr>
              <w:t>Insurer's credit risk event</w:t>
            </w:r>
            <w:r w:rsidR="00C4227A">
              <w:rPr>
                <w:webHidden/>
              </w:rPr>
              <w:tab/>
            </w:r>
            <w:r w:rsidR="00C4227A">
              <w:rPr>
                <w:webHidden/>
              </w:rPr>
              <w:fldChar w:fldCharType="begin"/>
            </w:r>
            <w:r w:rsidR="00C4227A">
              <w:rPr>
                <w:webHidden/>
              </w:rPr>
              <w:instrText xml:space="preserve"> PAGEREF _Toc417487435 \h </w:instrText>
            </w:r>
            <w:r w:rsidR="00C4227A">
              <w:rPr>
                <w:webHidden/>
              </w:rPr>
            </w:r>
            <w:r w:rsidR="00C4227A">
              <w:rPr>
                <w:webHidden/>
              </w:rPr>
              <w:fldChar w:fldCharType="separate"/>
            </w:r>
            <w:r w:rsidR="00C4227A">
              <w:rPr>
                <w:webHidden/>
              </w:rPr>
              <w:t>15-12</w:t>
            </w:r>
            <w:r w:rsidR="00C4227A">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8" w:name="_Toc404700925"/>
      <w:bookmarkStart w:id="9" w:name="_Toc417487427"/>
      <w:r>
        <w:lastRenderedPageBreak/>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977A5A">
        <w:trPr>
          <w:cnfStyle w:val="100000000000" w:firstRow="1" w:lastRow="0" w:firstColumn="0" w:lastColumn="0" w:oddVBand="0" w:evenVBand="0" w:oddHBand="0" w:evenHBand="0" w:firstRowFirstColumn="0" w:firstRowLastColumn="0" w:lastRowFirstColumn="0" w:lastRowLastColumn="0"/>
        </w:trPr>
        <w:tc>
          <w:tcPr>
            <w:tcW w:w="4349" w:type="dxa"/>
          </w:tcPr>
          <w:p w:rsidR="001F05A4" w:rsidRDefault="001F05A4" w:rsidP="001F05A4">
            <w:pPr>
              <w:numPr>
                <w:ilvl w:val="0"/>
                <w:numId w:val="25"/>
              </w:numPr>
            </w:pPr>
            <w:r>
              <w:t>Shortened form</w:t>
            </w:r>
          </w:p>
        </w:tc>
        <w:tc>
          <w:tcPr>
            <w:tcW w:w="4344" w:type="dxa"/>
          </w:tcPr>
          <w:p w:rsidR="001F05A4" w:rsidRDefault="001F05A4" w:rsidP="001F05A4">
            <w:pPr>
              <w:numPr>
                <w:ilvl w:val="0"/>
                <w:numId w:val="25"/>
              </w:numPr>
            </w:pPr>
            <w:r>
              <w:t>Extended form</w:t>
            </w:r>
          </w:p>
        </w:tc>
      </w:tr>
      <w:tr w:rsidR="00977A5A" w:rsidTr="00977A5A">
        <w:tc>
          <w:tcPr>
            <w:tcW w:w="4349" w:type="dxa"/>
          </w:tcPr>
          <w:p w:rsidR="00977A5A" w:rsidRPr="00977A5A" w:rsidRDefault="00977A5A" w:rsidP="00977A5A">
            <w:pPr>
              <w:numPr>
                <w:ilvl w:val="0"/>
                <w:numId w:val="25"/>
              </w:numPr>
            </w:pPr>
            <w:r w:rsidRPr="00977A5A">
              <w:t>AEMC</w:t>
            </w:r>
          </w:p>
        </w:tc>
        <w:tc>
          <w:tcPr>
            <w:tcW w:w="4344" w:type="dxa"/>
          </w:tcPr>
          <w:p w:rsidR="00977A5A" w:rsidRPr="00977A5A" w:rsidRDefault="00977A5A" w:rsidP="00977A5A">
            <w:pPr>
              <w:numPr>
                <w:ilvl w:val="0"/>
                <w:numId w:val="25"/>
              </w:numPr>
            </w:pPr>
            <w:r w:rsidRPr="00977A5A">
              <w:t>Australian Energy Market Commission</w:t>
            </w:r>
          </w:p>
        </w:tc>
      </w:tr>
      <w:tr w:rsidR="00977A5A" w:rsidTr="00977A5A">
        <w:trPr>
          <w:cnfStyle w:val="000000010000" w:firstRow="0" w:lastRow="0" w:firstColumn="0" w:lastColumn="0" w:oddVBand="0" w:evenVBand="0" w:oddHBand="0" w:evenHBand="1" w:firstRowFirstColumn="0" w:firstRowLastColumn="0" w:lastRowFirstColumn="0" w:lastRowLastColumn="0"/>
        </w:trPr>
        <w:tc>
          <w:tcPr>
            <w:tcW w:w="4349" w:type="dxa"/>
          </w:tcPr>
          <w:p w:rsidR="00977A5A" w:rsidRPr="00977A5A" w:rsidRDefault="00977A5A" w:rsidP="00977A5A">
            <w:pPr>
              <w:numPr>
                <w:ilvl w:val="0"/>
                <w:numId w:val="25"/>
              </w:numPr>
            </w:pPr>
            <w:r w:rsidRPr="00977A5A">
              <w:t>AEMO</w:t>
            </w:r>
          </w:p>
        </w:tc>
        <w:tc>
          <w:tcPr>
            <w:tcW w:w="4344" w:type="dxa"/>
          </w:tcPr>
          <w:p w:rsidR="00977A5A" w:rsidRPr="00977A5A" w:rsidRDefault="00977A5A" w:rsidP="00977A5A">
            <w:pPr>
              <w:numPr>
                <w:ilvl w:val="0"/>
                <w:numId w:val="25"/>
              </w:numPr>
            </w:pPr>
            <w:r w:rsidRPr="00977A5A">
              <w:t>Australian Energy Market Operator</w:t>
            </w:r>
          </w:p>
        </w:tc>
      </w:tr>
      <w:tr w:rsidR="00977A5A" w:rsidTr="00977A5A">
        <w:tc>
          <w:tcPr>
            <w:tcW w:w="4349" w:type="dxa"/>
          </w:tcPr>
          <w:p w:rsidR="00977A5A" w:rsidRPr="00977A5A" w:rsidRDefault="00977A5A" w:rsidP="00977A5A">
            <w:pPr>
              <w:numPr>
                <w:ilvl w:val="0"/>
                <w:numId w:val="25"/>
              </w:numPr>
            </w:pPr>
            <w:r w:rsidRPr="00977A5A">
              <w:t>AER</w:t>
            </w:r>
          </w:p>
        </w:tc>
        <w:tc>
          <w:tcPr>
            <w:tcW w:w="4344" w:type="dxa"/>
          </w:tcPr>
          <w:p w:rsidR="00977A5A" w:rsidRPr="00977A5A" w:rsidRDefault="00977A5A" w:rsidP="00977A5A">
            <w:pPr>
              <w:numPr>
                <w:ilvl w:val="0"/>
                <w:numId w:val="25"/>
              </w:numPr>
            </w:pPr>
            <w:r w:rsidRPr="00977A5A">
              <w:t>Australian Energy Regulator</w:t>
            </w:r>
          </w:p>
        </w:tc>
      </w:tr>
      <w:tr w:rsidR="00977A5A" w:rsidTr="00977A5A">
        <w:trPr>
          <w:cnfStyle w:val="000000010000" w:firstRow="0" w:lastRow="0" w:firstColumn="0" w:lastColumn="0" w:oddVBand="0" w:evenVBand="0" w:oddHBand="0" w:evenHBand="1" w:firstRowFirstColumn="0" w:firstRowLastColumn="0" w:lastRowFirstColumn="0" w:lastRowLastColumn="0"/>
        </w:trPr>
        <w:tc>
          <w:tcPr>
            <w:tcW w:w="4349" w:type="dxa"/>
          </w:tcPr>
          <w:p w:rsidR="00977A5A" w:rsidRPr="00977A5A" w:rsidRDefault="00977A5A" w:rsidP="00977A5A">
            <w:pPr>
              <w:numPr>
                <w:ilvl w:val="0"/>
                <w:numId w:val="25"/>
              </w:numPr>
            </w:pPr>
            <w:proofErr w:type="spellStart"/>
            <w:r w:rsidRPr="00977A5A">
              <w:t>augex</w:t>
            </w:r>
            <w:proofErr w:type="spellEnd"/>
          </w:p>
        </w:tc>
        <w:tc>
          <w:tcPr>
            <w:tcW w:w="4344" w:type="dxa"/>
          </w:tcPr>
          <w:p w:rsidR="00977A5A" w:rsidRPr="00977A5A" w:rsidRDefault="00977A5A" w:rsidP="00977A5A">
            <w:pPr>
              <w:numPr>
                <w:ilvl w:val="0"/>
                <w:numId w:val="25"/>
              </w:numPr>
            </w:pPr>
            <w:r w:rsidRPr="00977A5A">
              <w:t>augmentation expenditure</w:t>
            </w:r>
          </w:p>
        </w:tc>
      </w:tr>
      <w:tr w:rsidR="00977A5A" w:rsidTr="00977A5A">
        <w:tc>
          <w:tcPr>
            <w:tcW w:w="4349" w:type="dxa"/>
          </w:tcPr>
          <w:p w:rsidR="00977A5A" w:rsidRPr="00977A5A" w:rsidRDefault="00977A5A" w:rsidP="00977A5A">
            <w:pPr>
              <w:numPr>
                <w:ilvl w:val="0"/>
                <w:numId w:val="25"/>
              </w:numPr>
            </w:pPr>
            <w:r w:rsidRPr="00977A5A">
              <w:t>capex</w:t>
            </w:r>
          </w:p>
        </w:tc>
        <w:tc>
          <w:tcPr>
            <w:tcW w:w="4344" w:type="dxa"/>
          </w:tcPr>
          <w:p w:rsidR="00977A5A" w:rsidRPr="00977A5A" w:rsidRDefault="00977A5A" w:rsidP="00977A5A">
            <w:pPr>
              <w:numPr>
                <w:ilvl w:val="0"/>
                <w:numId w:val="25"/>
              </w:numPr>
            </w:pPr>
            <w:r w:rsidRPr="00977A5A">
              <w:t>capital expenditure</w:t>
            </w:r>
          </w:p>
        </w:tc>
      </w:tr>
      <w:tr w:rsidR="00977A5A" w:rsidTr="00977A5A">
        <w:trPr>
          <w:cnfStyle w:val="000000010000" w:firstRow="0" w:lastRow="0" w:firstColumn="0" w:lastColumn="0" w:oddVBand="0" w:evenVBand="0" w:oddHBand="0" w:evenHBand="1" w:firstRowFirstColumn="0" w:firstRowLastColumn="0" w:lastRowFirstColumn="0" w:lastRowLastColumn="0"/>
        </w:trPr>
        <w:tc>
          <w:tcPr>
            <w:tcW w:w="4349" w:type="dxa"/>
          </w:tcPr>
          <w:p w:rsidR="00977A5A" w:rsidRPr="00977A5A" w:rsidRDefault="00977A5A" w:rsidP="00977A5A">
            <w:pPr>
              <w:numPr>
                <w:ilvl w:val="0"/>
                <w:numId w:val="25"/>
              </w:numPr>
            </w:pPr>
            <w:r w:rsidRPr="00977A5A">
              <w:t>CCP</w:t>
            </w:r>
          </w:p>
        </w:tc>
        <w:tc>
          <w:tcPr>
            <w:tcW w:w="4344" w:type="dxa"/>
          </w:tcPr>
          <w:p w:rsidR="00977A5A" w:rsidRPr="00977A5A" w:rsidRDefault="00977A5A" w:rsidP="00977A5A">
            <w:pPr>
              <w:numPr>
                <w:ilvl w:val="0"/>
                <w:numId w:val="25"/>
              </w:numPr>
            </w:pPr>
            <w:r w:rsidRPr="00977A5A">
              <w:t>Consumer Challenge Panel</w:t>
            </w:r>
          </w:p>
        </w:tc>
      </w:tr>
      <w:tr w:rsidR="00977A5A" w:rsidTr="00977A5A">
        <w:tc>
          <w:tcPr>
            <w:tcW w:w="4349" w:type="dxa"/>
          </w:tcPr>
          <w:p w:rsidR="00977A5A" w:rsidRPr="00977A5A" w:rsidRDefault="00977A5A" w:rsidP="00977A5A">
            <w:pPr>
              <w:numPr>
                <w:ilvl w:val="0"/>
                <w:numId w:val="25"/>
              </w:numPr>
            </w:pPr>
            <w:r w:rsidRPr="00977A5A">
              <w:t>CESS</w:t>
            </w:r>
          </w:p>
        </w:tc>
        <w:tc>
          <w:tcPr>
            <w:tcW w:w="4344" w:type="dxa"/>
          </w:tcPr>
          <w:p w:rsidR="00977A5A" w:rsidRPr="00977A5A" w:rsidRDefault="00977A5A" w:rsidP="00977A5A">
            <w:pPr>
              <w:numPr>
                <w:ilvl w:val="0"/>
                <w:numId w:val="25"/>
              </w:numPr>
            </w:pPr>
            <w:r w:rsidRPr="00977A5A">
              <w:t>capital expenditure sharing scheme</w:t>
            </w:r>
          </w:p>
        </w:tc>
      </w:tr>
      <w:tr w:rsidR="00977A5A" w:rsidTr="00977A5A">
        <w:trPr>
          <w:cnfStyle w:val="000000010000" w:firstRow="0" w:lastRow="0" w:firstColumn="0" w:lastColumn="0" w:oddVBand="0" w:evenVBand="0" w:oddHBand="0" w:evenHBand="1" w:firstRowFirstColumn="0" w:firstRowLastColumn="0" w:lastRowFirstColumn="0" w:lastRowLastColumn="0"/>
        </w:trPr>
        <w:tc>
          <w:tcPr>
            <w:tcW w:w="4349" w:type="dxa"/>
          </w:tcPr>
          <w:p w:rsidR="00977A5A" w:rsidRPr="00977A5A" w:rsidRDefault="00977A5A" w:rsidP="00977A5A">
            <w:pPr>
              <w:numPr>
                <w:ilvl w:val="0"/>
                <w:numId w:val="25"/>
              </w:numPr>
            </w:pPr>
            <w:r w:rsidRPr="00977A5A">
              <w:t>CPI</w:t>
            </w:r>
          </w:p>
        </w:tc>
        <w:tc>
          <w:tcPr>
            <w:tcW w:w="4344" w:type="dxa"/>
          </w:tcPr>
          <w:p w:rsidR="00977A5A" w:rsidRPr="00977A5A" w:rsidRDefault="00977A5A" w:rsidP="00977A5A">
            <w:pPr>
              <w:numPr>
                <w:ilvl w:val="0"/>
                <w:numId w:val="25"/>
              </w:numPr>
            </w:pPr>
            <w:r w:rsidRPr="00977A5A">
              <w:t>consumer price index</w:t>
            </w:r>
          </w:p>
        </w:tc>
      </w:tr>
      <w:tr w:rsidR="00977A5A" w:rsidTr="00977A5A">
        <w:tc>
          <w:tcPr>
            <w:tcW w:w="4349" w:type="dxa"/>
          </w:tcPr>
          <w:p w:rsidR="00977A5A" w:rsidRPr="00977A5A" w:rsidRDefault="00977A5A" w:rsidP="00977A5A">
            <w:pPr>
              <w:numPr>
                <w:ilvl w:val="0"/>
                <w:numId w:val="25"/>
              </w:numPr>
            </w:pPr>
            <w:r w:rsidRPr="00977A5A">
              <w:t>DRP</w:t>
            </w:r>
          </w:p>
        </w:tc>
        <w:tc>
          <w:tcPr>
            <w:tcW w:w="4344" w:type="dxa"/>
          </w:tcPr>
          <w:p w:rsidR="00977A5A" w:rsidRPr="00977A5A" w:rsidRDefault="00977A5A" w:rsidP="00977A5A">
            <w:pPr>
              <w:numPr>
                <w:ilvl w:val="0"/>
                <w:numId w:val="25"/>
              </w:numPr>
            </w:pPr>
            <w:r w:rsidRPr="00977A5A">
              <w:t>debt risk premium</w:t>
            </w:r>
          </w:p>
        </w:tc>
      </w:tr>
      <w:tr w:rsidR="00977A5A" w:rsidTr="00977A5A">
        <w:trPr>
          <w:cnfStyle w:val="000000010000" w:firstRow="0" w:lastRow="0" w:firstColumn="0" w:lastColumn="0" w:oddVBand="0" w:evenVBand="0" w:oddHBand="0" w:evenHBand="1" w:firstRowFirstColumn="0" w:firstRowLastColumn="0" w:lastRowFirstColumn="0" w:lastRowLastColumn="0"/>
        </w:trPr>
        <w:tc>
          <w:tcPr>
            <w:tcW w:w="4349" w:type="dxa"/>
          </w:tcPr>
          <w:p w:rsidR="00977A5A" w:rsidRPr="00977A5A" w:rsidRDefault="00977A5A" w:rsidP="00977A5A">
            <w:pPr>
              <w:numPr>
                <w:ilvl w:val="0"/>
                <w:numId w:val="25"/>
              </w:numPr>
            </w:pPr>
            <w:r w:rsidRPr="00977A5A">
              <w:t>DMIA</w:t>
            </w:r>
          </w:p>
        </w:tc>
        <w:tc>
          <w:tcPr>
            <w:tcW w:w="4344" w:type="dxa"/>
          </w:tcPr>
          <w:p w:rsidR="00977A5A" w:rsidRPr="00977A5A" w:rsidRDefault="00977A5A" w:rsidP="00977A5A">
            <w:pPr>
              <w:numPr>
                <w:ilvl w:val="0"/>
                <w:numId w:val="25"/>
              </w:numPr>
            </w:pPr>
            <w:r w:rsidRPr="00977A5A">
              <w:t>demand management innovation allowance</w:t>
            </w:r>
          </w:p>
        </w:tc>
      </w:tr>
      <w:tr w:rsidR="00977A5A" w:rsidTr="00977A5A">
        <w:tc>
          <w:tcPr>
            <w:tcW w:w="4349" w:type="dxa"/>
          </w:tcPr>
          <w:p w:rsidR="00977A5A" w:rsidRPr="00977A5A" w:rsidRDefault="00977A5A" w:rsidP="00977A5A">
            <w:pPr>
              <w:numPr>
                <w:ilvl w:val="0"/>
                <w:numId w:val="25"/>
              </w:numPr>
            </w:pPr>
            <w:r w:rsidRPr="00977A5A">
              <w:t>DMIS</w:t>
            </w:r>
          </w:p>
        </w:tc>
        <w:tc>
          <w:tcPr>
            <w:tcW w:w="4344" w:type="dxa"/>
          </w:tcPr>
          <w:p w:rsidR="00977A5A" w:rsidRPr="00977A5A" w:rsidRDefault="00977A5A" w:rsidP="00977A5A">
            <w:pPr>
              <w:numPr>
                <w:ilvl w:val="0"/>
                <w:numId w:val="25"/>
              </w:numPr>
            </w:pPr>
            <w:r w:rsidRPr="00977A5A">
              <w:t>demand management incentive scheme</w:t>
            </w:r>
          </w:p>
        </w:tc>
      </w:tr>
      <w:tr w:rsidR="00977A5A" w:rsidTr="00977A5A">
        <w:trPr>
          <w:cnfStyle w:val="000000010000" w:firstRow="0" w:lastRow="0" w:firstColumn="0" w:lastColumn="0" w:oddVBand="0" w:evenVBand="0" w:oddHBand="0" w:evenHBand="1" w:firstRowFirstColumn="0" w:firstRowLastColumn="0" w:lastRowFirstColumn="0" w:lastRowLastColumn="0"/>
        </w:trPr>
        <w:tc>
          <w:tcPr>
            <w:tcW w:w="4349" w:type="dxa"/>
          </w:tcPr>
          <w:p w:rsidR="00977A5A" w:rsidRPr="00977A5A" w:rsidRDefault="00977A5A" w:rsidP="00977A5A">
            <w:pPr>
              <w:numPr>
                <w:ilvl w:val="0"/>
                <w:numId w:val="25"/>
              </w:numPr>
            </w:pPr>
            <w:r w:rsidRPr="00977A5A">
              <w:t>distributor</w:t>
            </w:r>
          </w:p>
        </w:tc>
        <w:tc>
          <w:tcPr>
            <w:tcW w:w="4344" w:type="dxa"/>
          </w:tcPr>
          <w:p w:rsidR="00977A5A" w:rsidRPr="00977A5A" w:rsidRDefault="00977A5A" w:rsidP="00977A5A">
            <w:pPr>
              <w:numPr>
                <w:ilvl w:val="0"/>
                <w:numId w:val="25"/>
              </w:numPr>
            </w:pPr>
            <w:r w:rsidRPr="00977A5A">
              <w:t>distribution network service provider</w:t>
            </w:r>
          </w:p>
        </w:tc>
      </w:tr>
      <w:tr w:rsidR="00977A5A" w:rsidTr="00977A5A">
        <w:tc>
          <w:tcPr>
            <w:tcW w:w="4349" w:type="dxa"/>
          </w:tcPr>
          <w:p w:rsidR="00977A5A" w:rsidRPr="00977A5A" w:rsidRDefault="00977A5A" w:rsidP="00977A5A">
            <w:pPr>
              <w:numPr>
                <w:ilvl w:val="0"/>
                <w:numId w:val="25"/>
              </w:numPr>
            </w:pPr>
            <w:proofErr w:type="spellStart"/>
            <w:r w:rsidRPr="00977A5A">
              <w:t>DUoS</w:t>
            </w:r>
            <w:proofErr w:type="spellEnd"/>
          </w:p>
        </w:tc>
        <w:tc>
          <w:tcPr>
            <w:tcW w:w="4344" w:type="dxa"/>
          </w:tcPr>
          <w:p w:rsidR="00977A5A" w:rsidRPr="00977A5A" w:rsidRDefault="00977A5A" w:rsidP="00977A5A">
            <w:pPr>
              <w:numPr>
                <w:ilvl w:val="0"/>
                <w:numId w:val="25"/>
              </w:numPr>
            </w:pPr>
            <w:r w:rsidRPr="00977A5A">
              <w:t>distribution use of system</w:t>
            </w:r>
          </w:p>
        </w:tc>
      </w:tr>
      <w:tr w:rsidR="00977A5A" w:rsidTr="00977A5A">
        <w:trPr>
          <w:cnfStyle w:val="000000010000" w:firstRow="0" w:lastRow="0" w:firstColumn="0" w:lastColumn="0" w:oddVBand="0" w:evenVBand="0" w:oddHBand="0" w:evenHBand="1" w:firstRowFirstColumn="0" w:firstRowLastColumn="0" w:lastRowFirstColumn="0" w:lastRowLastColumn="0"/>
        </w:trPr>
        <w:tc>
          <w:tcPr>
            <w:tcW w:w="4349" w:type="dxa"/>
          </w:tcPr>
          <w:p w:rsidR="00977A5A" w:rsidRPr="00977A5A" w:rsidRDefault="00977A5A" w:rsidP="00977A5A">
            <w:pPr>
              <w:numPr>
                <w:ilvl w:val="0"/>
                <w:numId w:val="25"/>
              </w:numPr>
            </w:pPr>
            <w:r w:rsidRPr="00977A5A">
              <w:t>EBSS</w:t>
            </w:r>
          </w:p>
        </w:tc>
        <w:tc>
          <w:tcPr>
            <w:tcW w:w="4344" w:type="dxa"/>
          </w:tcPr>
          <w:p w:rsidR="00977A5A" w:rsidRPr="00977A5A" w:rsidRDefault="00977A5A" w:rsidP="00977A5A">
            <w:pPr>
              <w:numPr>
                <w:ilvl w:val="0"/>
                <w:numId w:val="25"/>
              </w:numPr>
            </w:pPr>
            <w:r w:rsidRPr="00977A5A">
              <w:t>efficiency benefit sharing scheme</w:t>
            </w:r>
          </w:p>
        </w:tc>
      </w:tr>
      <w:tr w:rsidR="00977A5A" w:rsidTr="00977A5A">
        <w:tc>
          <w:tcPr>
            <w:tcW w:w="4349" w:type="dxa"/>
          </w:tcPr>
          <w:p w:rsidR="00977A5A" w:rsidRPr="00977A5A" w:rsidRDefault="00977A5A" w:rsidP="00977A5A">
            <w:pPr>
              <w:numPr>
                <w:ilvl w:val="0"/>
                <w:numId w:val="25"/>
              </w:numPr>
            </w:pPr>
            <w:r w:rsidRPr="00977A5A">
              <w:t>ERP</w:t>
            </w:r>
          </w:p>
        </w:tc>
        <w:tc>
          <w:tcPr>
            <w:tcW w:w="4344" w:type="dxa"/>
          </w:tcPr>
          <w:p w:rsidR="00977A5A" w:rsidRPr="00977A5A" w:rsidRDefault="00977A5A" w:rsidP="00977A5A">
            <w:pPr>
              <w:numPr>
                <w:ilvl w:val="0"/>
                <w:numId w:val="25"/>
              </w:numPr>
            </w:pPr>
            <w:r w:rsidRPr="00977A5A">
              <w:t>equity risk premium</w:t>
            </w:r>
          </w:p>
        </w:tc>
      </w:tr>
      <w:tr w:rsidR="00977A5A" w:rsidTr="00977A5A">
        <w:trPr>
          <w:cnfStyle w:val="000000010000" w:firstRow="0" w:lastRow="0" w:firstColumn="0" w:lastColumn="0" w:oddVBand="0" w:evenVBand="0" w:oddHBand="0" w:evenHBand="1" w:firstRowFirstColumn="0" w:firstRowLastColumn="0" w:lastRowFirstColumn="0" w:lastRowLastColumn="0"/>
        </w:trPr>
        <w:tc>
          <w:tcPr>
            <w:tcW w:w="4349" w:type="dxa"/>
          </w:tcPr>
          <w:p w:rsidR="00977A5A" w:rsidRPr="00977A5A" w:rsidRDefault="00977A5A" w:rsidP="00977A5A">
            <w:pPr>
              <w:numPr>
                <w:ilvl w:val="0"/>
                <w:numId w:val="25"/>
              </w:numPr>
            </w:pPr>
            <w:r w:rsidRPr="00977A5A">
              <w:t>Expenditure Assessment Guideline</w:t>
            </w:r>
          </w:p>
        </w:tc>
        <w:tc>
          <w:tcPr>
            <w:tcW w:w="4344" w:type="dxa"/>
          </w:tcPr>
          <w:p w:rsidR="00977A5A" w:rsidRPr="00977A5A" w:rsidRDefault="00977A5A" w:rsidP="00977A5A">
            <w:pPr>
              <w:numPr>
                <w:ilvl w:val="0"/>
                <w:numId w:val="25"/>
              </w:numPr>
            </w:pPr>
            <w:r w:rsidRPr="00977A5A">
              <w:t>expenditure forecast assessment Guideline for electricity distribution</w:t>
            </w:r>
          </w:p>
        </w:tc>
      </w:tr>
      <w:tr w:rsidR="00977A5A" w:rsidTr="00977A5A">
        <w:tc>
          <w:tcPr>
            <w:tcW w:w="4349" w:type="dxa"/>
          </w:tcPr>
          <w:p w:rsidR="00977A5A" w:rsidRPr="00977A5A" w:rsidRDefault="00977A5A" w:rsidP="00977A5A">
            <w:pPr>
              <w:numPr>
                <w:ilvl w:val="0"/>
                <w:numId w:val="25"/>
              </w:numPr>
            </w:pPr>
            <w:r w:rsidRPr="00977A5A">
              <w:t>F&amp;A</w:t>
            </w:r>
          </w:p>
        </w:tc>
        <w:tc>
          <w:tcPr>
            <w:tcW w:w="4344" w:type="dxa"/>
          </w:tcPr>
          <w:p w:rsidR="00977A5A" w:rsidRPr="00977A5A" w:rsidRDefault="00977A5A" w:rsidP="00977A5A">
            <w:pPr>
              <w:numPr>
                <w:ilvl w:val="0"/>
                <w:numId w:val="25"/>
              </w:numPr>
            </w:pPr>
            <w:r w:rsidRPr="00977A5A">
              <w:t>framework and approach</w:t>
            </w:r>
          </w:p>
        </w:tc>
      </w:tr>
      <w:tr w:rsidR="00977A5A" w:rsidTr="00977A5A">
        <w:trPr>
          <w:cnfStyle w:val="000000010000" w:firstRow="0" w:lastRow="0" w:firstColumn="0" w:lastColumn="0" w:oddVBand="0" w:evenVBand="0" w:oddHBand="0" w:evenHBand="1" w:firstRowFirstColumn="0" w:firstRowLastColumn="0" w:lastRowFirstColumn="0" w:lastRowLastColumn="0"/>
        </w:trPr>
        <w:tc>
          <w:tcPr>
            <w:tcW w:w="4349" w:type="dxa"/>
          </w:tcPr>
          <w:p w:rsidR="00977A5A" w:rsidRPr="00977A5A" w:rsidRDefault="00977A5A" w:rsidP="00977A5A">
            <w:pPr>
              <w:numPr>
                <w:ilvl w:val="0"/>
                <w:numId w:val="25"/>
              </w:numPr>
            </w:pPr>
            <w:r w:rsidRPr="00977A5A">
              <w:t>MRP</w:t>
            </w:r>
          </w:p>
        </w:tc>
        <w:tc>
          <w:tcPr>
            <w:tcW w:w="4344" w:type="dxa"/>
          </w:tcPr>
          <w:p w:rsidR="00977A5A" w:rsidRPr="00977A5A" w:rsidRDefault="00977A5A" w:rsidP="00977A5A">
            <w:pPr>
              <w:numPr>
                <w:ilvl w:val="0"/>
                <w:numId w:val="25"/>
              </w:numPr>
            </w:pPr>
            <w:r w:rsidRPr="00977A5A">
              <w:t>market risk premium</w:t>
            </w:r>
          </w:p>
        </w:tc>
      </w:tr>
      <w:tr w:rsidR="00977A5A" w:rsidTr="00977A5A">
        <w:tc>
          <w:tcPr>
            <w:tcW w:w="4349" w:type="dxa"/>
          </w:tcPr>
          <w:p w:rsidR="00977A5A" w:rsidRPr="00977A5A" w:rsidRDefault="00977A5A" w:rsidP="00977A5A">
            <w:pPr>
              <w:numPr>
                <w:ilvl w:val="0"/>
                <w:numId w:val="25"/>
              </w:numPr>
            </w:pPr>
            <w:r w:rsidRPr="00977A5A">
              <w:t>NEL</w:t>
            </w:r>
          </w:p>
        </w:tc>
        <w:tc>
          <w:tcPr>
            <w:tcW w:w="4344" w:type="dxa"/>
          </w:tcPr>
          <w:p w:rsidR="00977A5A" w:rsidRPr="00977A5A" w:rsidRDefault="00977A5A" w:rsidP="00977A5A">
            <w:pPr>
              <w:numPr>
                <w:ilvl w:val="0"/>
                <w:numId w:val="25"/>
              </w:numPr>
            </w:pPr>
            <w:r w:rsidRPr="00977A5A">
              <w:t>national electricity law</w:t>
            </w:r>
          </w:p>
        </w:tc>
      </w:tr>
      <w:tr w:rsidR="00977A5A" w:rsidTr="00977A5A">
        <w:trPr>
          <w:cnfStyle w:val="000000010000" w:firstRow="0" w:lastRow="0" w:firstColumn="0" w:lastColumn="0" w:oddVBand="0" w:evenVBand="0" w:oddHBand="0" w:evenHBand="1" w:firstRowFirstColumn="0" w:firstRowLastColumn="0" w:lastRowFirstColumn="0" w:lastRowLastColumn="0"/>
        </w:trPr>
        <w:tc>
          <w:tcPr>
            <w:tcW w:w="4349" w:type="dxa"/>
          </w:tcPr>
          <w:p w:rsidR="00977A5A" w:rsidRPr="00977A5A" w:rsidRDefault="00977A5A" w:rsidP="00977A5A">
            <w:pPr>
              <w:numPr>
                <w:ilvl w:val="0"/>
                <w:numId w:val="25"/>
              </w:numPr>
            </w:pPr>
            <w:r w:rsidRPr="00977A5A">
              <w:t>NEM</w:t>
            </w:r>
          </w:p>
        </w:tc>
        <w:tc>
          <w:tcPr>
            <w:tcW w:w="4344" w:type="dxa"/>
          </w:tcPr>
          <w:p w:rsidR="00977A5A" w:rsidRPr="00977A5A" w:rsidRDefault="00977A5A" w:rsidP="00977A5A">
            <w:pPr>
              <w:numPr>
                <w:ilvl w:val="0"/>
                <w:numId w:val="25"/>
              </w:numPr>
            </w:pPr>
            <w:r w:rsidRPr="00977A5A">
              <w:t>national electricity market</w:t>
            </w:r>
          </w:p>
        </w:tc>
      </w:tr>
      <w:tr w:rsidR="00977A5A" w:rsidTr="00977A5A">
        <w:tc>
          <w:tcPr>
            <w:tcW w:w="4349" w:type="dxa"/>
          </w:tcPr>
          <w:p w:rsidR="00977A5A" w:rsidRPr="00977A5A" w:rsidRDefault="00977A5A" w:rsidP="00977A5A">
            <w:pPr>
              <w:numPr>
                <w:ilvl w:val="0"/>
                <w:numId w:val="25"/>
              </w:numPr>
            </w:pPr>
            <w:r w:rsidRPr="00977A5A">
              <w:t>NEO</w:t>
            </w:r>
          </w:p>
        </w:tc>
        <w:tc>
          <w:tcPr>
            <w:tcW w:w="4344" w:type="dxa"/>
          </w:tcPr>
          <w:p w:rsidR="00977A5A" w:rsidRPr="00977A5A" w:rsidRDefault="00977A5A" w:rsidP="00977A5A">
            <w:pPr>
              <w:numPr>
                <w:ilvl w:val="0"/>
                <w:numId w:val="25"/>
              </w:numPr>
            </w:pPr>
            <w:r w:rsidRPr="00977A5A">
              <w:t>national electricity objective</w:t>
            </w:r>
          </w:p>
        </w:tc>
      </w:tr>
      <w:tr w:rsidR="00977A5A" w:rsidTr="00977A5A">
        <w:trPr>
          <w:cnfStyle w:val="000000010000" w:firstRow="0" w:lastRow="0" w:firstColumn="0" w:lastColumn="0" w:oddVBand="0" w:evenVBand="0" w:oddHBand="0" w:evenHBand="1" w:firstRowFirstColumn="0" w:firstRowLastColumn="0" w:lastRowFirstColumn="0" w:lastRowLastColumn="0"/>
        </w:trPr>
        <w:tc>
          <w:tcPr>
            <w:tcW w:w="4349" w:type="dxa"/>
          </w:tcPr>
          <w:p w:rsidR="00977A5A" w:rsidRPr="00977A5A" w:rsidRDefault="00977A5A" w:rsidP="00977A5A">
            <w:pPr>
              <w:numPr>
                <w:ilvl w:val="0"/>
                <w:numId w:val="25"/>
              </w:numPr>
            </w:pPr>
            <w:r w:rsidRPr="00977A5A">
              <w:t>NER</w:t>
            </w:r>
          </w:p>
        </w:tc>
        <w:tc>
          <w:tcPr>
            <w:tcW w:w="4344" w:type="dxa"/>
          </w:tcPr>
          <w:p w:rsidR="00977A5A" w:rsidRPr="00977A5A" w:rsidRDefault="00977A5A" w:rsidP="00977A5A">
            <w:pPr>
              <w:numPr>
                <w:ilvl w:val="0"/>
                <w:numId w:val="25"/>
              </w:numPr>
            </w:pPr>
            <w:r w:rsidRPr="00977A5A">
              <w:t>national electricity rules</w:t>
            </w:r>
          </w:p>
        </w:tc>
      </w:tr>
      <w:tr w:rsidR="00977A5A" w:rsidTr="00977A5A">
        <w:tc>
          <w:tcPr>
            <w:tcW w:w="4349" w:type="dxa"/>
          </w:tcPr>
          <w:p w:rsidR="00977A5A" w:rsidRPr="00977A5A" w:rsidRDefault="00977A5A" w:rsidP="00977A5A">
            <w:pPr>
              <w:numPr>
                <w:ilvl w:val="0"/>
                <w:numId w:val="25"/>
              </w:numPr>
            </w:pPr>
            <w:r w:rsidRPr="00977A5A">
              <w:t>NSP</w:t>
            </w:r>
          </w:p>
        </w:tc>
        <w:tc>
          <w:tcPr>
            <w:tcW w:w="4344" w:type="dxa"/>
          </w:tcPr>
          <w:p w:rsidR="00977A5A" w:rsidRPr="00977A5A" w:rsidRDefault="00977A5A" w:rsidP="00977A5A">
            <w:pPr>
              <w:numPr>
                <w:ilvl w:val="0"/>
                <w:numId w:val="25"/>
              </w:numPr>
            </w:pPr>
            <w:r w:rsidRPr="00977A5A">
              <w:t>network service provider</w:t>
            </w:r>
          </w:p>
        </w:tc>
      </w:tr>
      <w:tr w:rsidR="00977A5A" w:rsidTr="00977A5A">
        <w:trPr>
          <w:cnfStyle w:val="000000010000" w:firstRow="0" w:lastRow="0" w:firstColumn="0" w:lastColumn="0" w:oddVBand="0" w:evenVBand="0" w:oddHBand="0" w:evenHBand="1" w:firstRowFirstColumn="0" w:firstRowLastColumn="0" w:lastRowFirstColumn="0" w:lastRowLastColumn="0"/>
        </w:trPr>
        <w:tc>
          <w:tcPr>
            <w:tcW w:w="4349" w:type="dxa"/>
          </w:tcPr>
          <w:p w:rsidR="00977A5A" w:rsidRPr="00977A5A" w:rsidRDefault="00977A5A" w:rsidP="00977A5A">
            <w:pPr>
              <w:numPr>
                <w:ilvl w:val="0"/>
                <w:numId w:val="25"/>
              </w:numPr>
            </w:pPr>
            <w:proofErr w:type="spellStart"/>
            <w:r w:rsidRPr="00977A5A">
              <w:t>opex</w:t>
            </w:r>
            <w:proofErr w:type="spellEnd"/>
          </w:p>
        </w:tc>
        <w:tc>
          <w:tcPr>
            <w:tcW w:w="4344" w:type="dxa"/>
          </w:tcPr>
          <w:p w:rsidR="00977A5A" w:rsidRPr="00977A5A" w:rsidRDefault="00977A5A" w:rsidP="00977A5A">
            <w:pPr>
              <w:numPr>
                <w:ilvl w:val="0"/>
                <w:numId w:val="25"/>
              </w:numPr>
            </w:pPr>
            <w:r w:rsidRPr="00977A5A">
              <w:t>operating expenditure</w:t>
            </w:r>
          </w:p>
        </w:tc>
      </w:tr>
      <w:tr w:rsidR="00977A5A" w:rsidTr="00977A5A">
        <w:tc>
          <w:tcPr>
            <w:tcW w:w="4349" w:type="dxa"/>
          </w:tcPr>
          <w:p w:rsidR="00977A5A" w:rsidRPr="00977A5A" w:rsidRDefault="00977A5A" w:rsidP="00977A5A">
            <w:pPr>
              <w:numPr>
                <w:ilvl w:val="0"/>
                <w:numId w:val="25"/>
              </w:numPr>
            </w:pPr>
            <w:r w:rsidRPr="00977A5A">
              <w:t>PPI</w:t>
            </w:r>
          </w:p>
        </w:tc>
        <w:tc>
          <w:tcPr>
            <w:tcW w:w="4344" w:type="dxa"/>
          </w:tcPr>
          <w:p w:rsidR="00977A5A" w:rsidRPr="00977A5A" w:rsidRDefault="00977A5A" w:rsidP="00977A5A">
            <w:pPr>
              <w:numPr>
                <w:ilvl w:val="0"/>
                <w:numId w:val="25"/>
              </w:numPr>
            </w:pPr>
            <w:r w:rsidRPr="00977A5A">
              <w:t>partial performance indicators</w:t>
            </w:r>
          </w:p>
        </w:tc>
      </w:tr>
      <w:tr w:rsidR="00977A5A" w:rsidTr="00977A5A">
        <w:trPr>
          <w:cnfStyle w:val="000000010000" w:firstRow="0" w:lastRow="0" w:firstColumn="0" w:lastColumn="0" w:oddVBand="0" w:evenVBand="0" w:oddHBand="0" w:evenHBand="1" w:firstRowFirstColumn="0" w:firstRowLastColumn="0" w:lastRowFirstColumn="0" w:lastRowLastColumn="0"/>
        </w:trPr>
        <w:tc>
          <w:tcPr>
            <w:tcW w:w="4349" w:type="dxa"/>
          </w:tcPr>
          <w:p w:rsidR="00977A5A" w:rsidRPr="00977A5A" w:rsidRDefault="00977A5A" w:rsidP="00977A5A">
            <w:pPr>
              <w:numPr>
                <w:ilvl w:val="0"/>
                <w:numId w:val="25"/>
              </w:numPr>
            </w:pPr>
            <w:r w:rsidRPr="00977A5A">
              <w:t>PTRM</w:t>
            </w:r>
          </w:p>
        </w:tc>
        <w:tc>
          <w:tcPr>
            <w:tcW w:w="4344" w:type="dxa"/>
          </w:tcPr>
          <w:p w:rsidR="00977A5A" w:rsidRPr="00977A5A" w:rsidRDefault="00977A5A" w:rsidP="00977A5A">
            <w:pPr>
              <w:numPr>
                <w:ilvl w:val="0"/>
                <w:numId w:val="25"/>
              </w:numPr>
            </w:pPr>
            <w:r w:rsidRPr="00977A5A">
              <w:t>post-tax revenue model</w:t>
            </w:r>
          </w:p>
        </w:tc>
      </w:tr>
      <w:tr w:rsidR="00977A5A" w:rsidTr="00977A5A">
        <w:tc>
          <w:tcPr>
            <w:tcW w:w="4349" w:type="dxa"/>
          </w:tcPr>
          <w:p w:rsidR="00977A5A" w:rsidRPr="00977A5A" w:rsidRDefault="00977A5A" w:rsidP="00977A5A">
            <w:pPr>
              <w:numPr>
                <w:ilvl w:val="0"/>
                <w:numId w:val="25"/>
              </w:numPr>
            </w:pPr>
            <w:r w:rsidRPr="00977A5A">
              <w:t>RAB</w:t>
            </w:r>
          </w:p>
        </w:tc>
        <w:tc>
          <w:tcPr>
            <w:tcW w:w="4344" w:type="dxa"/>
          </w:tcPr>
          <w:p w:rsidR="00977A5A" w:rsidRPr="00977A5A" w:rsidRDefault="00977A5A" w:rsidP="00977A5A">
            <w:pPr>
              <w:numPr>
                <w:ilvl w:val="0"/>
                <w:numId w:val="25"/>
              </w:numPr>
            </w:pPr>
            <w:r w:rsidRPr="00977A5A">
              <w:t>regulatory asset base</w:t>
            </w:r>
          </w:p>
        </w:tc>
      </w:tr>
      <w:tr w:rsidR="00977A5A" w:rsidTr="00977A5A">
        <w:trPr>
          <w:cnfStyle w:val="000000010000" w:firstRow="0" w:lastRow="0" w:firstColumn="0" w:lastColumn="0" w:oddVBand="0" w:evenVBand="0" w:oddHBand="0" w:evenHBand="1" w:firstRowFirstColumn="0" w:firstRowLastColumn="0" w:lastRowFirstColumn="0" w:lastRowLastColumn="0"/>
        </w:trPr>
        <w:tc>
          <w:tcPr>
            <w:tcW w:w="4349" w:type="dxa"/>
          </w:tcPr>
          <w:p w:rsidR="00977A5A" w:rsidRPr="00977A5A" w:rsidRDefault="00977A5A" w:rsidP="00977A5A">
            <w:pPr>
              <w:numPr>
                <w:ilvl w:val="0"/>
                <w:numId w:val="25"/>
              </w:numPr>
            </w:pPr>
            <w:r w:rsidRPr="00977A5A">
              <w:t>RBA</w:t>
            </w:r>
          </w:p>
        </w:tc>
        <w:tc>
          <w:tcPr>
            <w:tcW w:w="4344" w:type="dxa"/>
          </w:tcPr>
          <w:p w:rsidR="00977A5A" w:rsidRPr="00977A5A" w:rsidRDefault="00977A5A" w:rsidP="00977A5A">
            <w:pPr>
              <w:numPr>
                <w:ilvl w:val="0"/>
                <w:numId w:val="25"/>
              </w:numPr>
            </w:pPr>
            <w:r w:rsidRPr="00977A5A">
              <w:t>Reserve Bank of Australia</w:t>
            </w:r>
          </w:p>
        </w:tc>
      </w:tr>
      <w:tr w:rsidR="00977A5A" w:rsidTr="00977A5A">
        <w:tc>
          <w:tcPr>
            <w:tcW w:w="4349" w:type="dxa"/>
          </w:tcPr>
          <w:p w:rsidR="00977A5A" w:rsidRPr="00977A5A" w:rsidRDefault="00977A5A" w:rsidP="00977A5A">
            <w:pPr>
              <w:numPr>
                <w:ilvl w:val="0"/>
                <w:numId w:val="25"/>
              </w:numPr>
            </w:pPr>
            <w:proofErr w:type="spellStart"/>
            <w:r w:rsidRPr="00977A5A">
              <w:t>repex</w:t>
            </w:r>
            <w:proofErr w:type="spellEnd"/>
          </w:p>
        </w:tc>
        <w:tc>
          <w:tcPr>
            <w:tcW w:w="4344" w:type="dxa"/>
          </w:tcPr>
          <w:p w:rsidR="00977A5A" w:rsidRPr="00977A5A" w:rsidRDefault="00977A5A" w:rsidP="00977A5A">
            <w:pPr>
              <w:numPr>
                <w:ilvl w:val="0"/>
                <w:numId w:val="25"/>
              </w:numPr>
            </w:pPr>
            <w:r w:rsidRPr="00977A5A">
              <w:t>replacement expenditure</w:t>
            </w:r>
          </w:p>
        </w:tc>
      </w:tr>
      <w:tr w:rsidR="00977A5A" w:rsidTr="00977A5A">
        <w:trPr>
          <w:cnfStyle w:val="000000010000" w:firstRow="0" w:lastRow="0" w:firstColumn="0" w:lastColumn="0" w:oddVBand="0" w:evenVBand="0" w:oddHBand="0" w:evenHBand="1" w:firstRowFirstColumn="0" w:firstRowLastColumn="0" w:lastRowFirstColumn="0" w:lastRowLastColumn="0"/>
        </w:trPr>
        <w:tc>
          <w:tcPr>
            <w:tcW w:w="4349" w:type="dxa"/>
          </w:tcPr>
          <w:p w:rsidR="00977A5A" w:rsidRPr="00977A5A" w:rsidRDefault="00977A5A" w:rsidP="00977A5A">
            <w:pPr>
              <w:numPr>
                <w:ilvl w:val="0"/>
                <w:numId w:val="25"/>
              </w:numPr>
            </w:pPr>
            <w:r w:rsidRPr="00977A5A">
              <w:t>RFM</w:t>
            </w:r>
          </w:p>
        </w:tc>
        <w:tc>
          <w:tcPr>
            <w:tcW w:w="4344" w:type="dxa"/>
          </w:tcPr>
          <w:p w:rsidR="00977A5A" w:rsidRPr="00977A5A" w:rsidRDefault="00977A5A" w:rsidP="00977A5A">
            <w:pPr>
              <w:numPr>
                <w:ilvl w:val="0"/>
                <w:numId w:val="25"/>
              </w:numPr>
            </w:pPr>
            <w:r w:rsidRPr="00977A5A">
              <w:t>roll forward model</w:t>
            </w:r>
          </w:p>
        </w:tc>
      </w:tr>
      <w:tr w:rsidR="00977A5A" w:rsidTr="00977A5A">
        <w:tc>
          <w:tcPr>
            <w:tcW w:w="4349" w:type="dxa"/>
          </w:tcPr>
          <w:p w:rsidR="00977A5A" w:rsidRPr="00977A5A" w:rsidRDefault="00977A5A" w:rsidP="00977A5A">
            <w:pPr>
              <w:numPr>
                <w:ilvl w:val="0"/>
                <w:numId w:val="25"/>
              </w:numPr>
            </w:pPr>
            <w:r w:rsidRPr="00977A5A">
              <w:lastRenderedPageBreak/>
              <w:t>RIN</w:t>
            </w:r>
          </w:p>
        </w:tc>
        <w:tc>
          <w:tcPr>
            <w:tcW w:w="4344" w:type="dxa"/>
          </w:tcPr>
          <w:p w:rsidR="00977A5A" w:rsidRPr="00977A5A" w:rsidRDefault="00977A5A" w:rsidP="00977A5A">
            <w:pPr>
              <w:numPr>
                <w:ilvl w:val="0"/>
                <w:numId w:val="25"/>
              </w:numPr>
            </w:pPr>
            <w:r w:rsidRPr="00977A5A">
              <w:t>regulatory information notice</w:t>
            </w:r>
          </w:p>
        </w:tc>
      </w:tr>
      <w:tr w:rsidR="00977A5A" w:rsidTr="00977A5A">
        <w:trPr>
          <w:cnfStyle w:val="000000010000" w:firstRow="0" w:lastRow="0" w:firstColumn="0" w:lastColumn="0" w:oddVBand="0" w:evenVBand="0" w:oddHBand="0" w:evenHBand="1" w:firstRowFirstColumn="0" w:firstRowLastColumn="0" w:lastRowFirstColumn="0" w:lastRowLastColumn="0"/>
        </w:trPr>
        <w:tc>
          <w:tcPr>
            <w:tcW w:w="4349" w:type="dxa"/>
          </w:tcPr>
          <w:p w:rsidR="00977A5A" w:rsidRPr="00977A5A" w:rsidRDefault="00977A5A" w:rsidP="00977A5A">
            <w:pPr>
              <w:numPr>
                <w:ilvl w:val="0"/>
                <w:numId w:val="25"/>
              </w:numPr>
            </w:pPr>
            <w:r w:rsidRPr="00977A5A">
              <w:t>RPP</w:t>
            </w:r>
          </w:p>
        </w:tc>
        <w:tc>
          <w:tcPr>
            <w:tcW w:w="4344" w:type="dxa"/>
          </w:tcPr>
          <w:p w:rsidR="00977A5A" w:rsidRPr="00977A5A" w:rsidRDefault="00977A5A" w:rsidP="00977A5A">
            <w:pPr>
              <w:numPr>
                <w:ilvl w:val="0"/>
                <w:numId w:val="25"/>
              </w:numPr>
            </w:pPr>
            <w:r w:rsidRPr="00977A5A">
              <w:t>revenue and pricing principles</w:t>
            </w:r>
          </w:p>
        </w:tc>
      </w:tr>
      <w:tr w:rsidR="00977A5A" w:rsidTr="00977A5A">
        <w:tc>
          <w:tcPr>
            <w:tcW w:w="4349" w:type="dxa"/>
          </w:tcPr>
          <w:p w:rsidR="00977A5A" w:rsidRPr="00977A5A" w:rsidRDefault="00977A5A" w:rsidP="00977A5A">
            <w:pPr>
              <w:numPr>
                <w:ilvl w:val="0"/>
                <w:numId w:val="25"/>
              </w:numPr>
            </w:pPr>
            <w:r w:rsidRPr="00977A5A">
              <w:t>SAIDI</w:t>
            </w:r>
          </w:p>
        </w:tc>
        <w:tc>
          <w:tcPr>
            <w:tcW w:w="4344" w:type="dxa"/>
          </w:tcPr>
          <w:p w:rsidR="00977A5A" w:rsidRPr="00977A5A" w:rsidRDefault="00977A5A" w:rsidP="00977A5A">
            <w:pPr>
              <w:numPr>
                <w:ilvl w:val="0"/>
                <w:numId w:val="25"/>
              </w:numPr>
            </w:pPr>
            <w:r w:rsidRPr="00977A5A">
              <w:t>system average interruption duration index</w:t>
            </w:r>
          </w:p>
        </w:tc>
      </w:tr>
      <w:tr w:rsidR="00977A5A" w:rsidTr="00977A5A">
        <w:trPr>
          <w:cnfStyle w:val="000000010000" w:firstRow="0" w:lastRow="0" w:firstColumn="0" w:lastColumn="0" w:oddVBand="0" w:evenVBand="0" w:oddHBand="0" w:evenHBand="1" w:firstRowFirstColumn="0" w:firstRowLastColumn="0" w:lastRowFirstColumn="0" w:lastRowLastColumn="0"/>
        </w:trPr>
        <w:tc>
          <w:tcPr>
            <w:tcW w:w="4349" w:type="dxa"/>
          </w:tcPr>
          <w:p w:rsidR="00977A5A" w:rsidRPr="00977A5A" w:rsidRDefault="00977A5A" w:rsidP="00977A5A">
            <w:pPr>
              <w:numPr>
                <w:ilvl w:val="0"/>
                <w:numId w:val="25"/>
              </w:numPr>
            </w:pPr>
            <w:r w:rsidRPr="00977A5A">
              <w:t>SAIFI</w:t>
            </w:r>
          </w:p>
        </w:tc>
        <w:tc>
          <w:tcPr>
            <w:tcW w:w="4344" w:type="dxa"/>
          </w:tcPr>
          <w:p w:rsidR="00977A5A" w:rsidRPr="00977A5A" w:rsidRDefault="00977A5A" w:rsidP="00977A5A">
            <w:pPr>
              <w:numPr>
                <w:ilvl w:val="0"/>
                <w:numId w:val="25"/>
              </w:numPr>
            </w:pPr>
            <w:r w:rsidRPr="00977A5A">
              <w:t>system average interruption frequency index</w:t>
            </w:r>
          </w:p>
        </w:tc>
      </w:tr>
      <w:tr w:rsidR="00977A5A" w:rsidTr="00977A5A">
        <w:tc>
          <w:tcPr>
            <w:tcW w:w="4349" w:type="dxa"/>
          </w:tcPr>
          <w:p w:rsidR="00977A5A" w:rsidRPr="00977A5A" w:rsidRDefault="00977A5A" w:rsidP="00977A5A">
            <w:pPr>
              <w:numPr>
                <w:ilvl w:val="0"/>
                <w:numId w:val="25"/>
              </w:numPr>
            </w:pPr>
            <w:r w:rsidRPr="00977A5A">
              <w:t>SLCAPM</w:t>
            </w:r>
          </w:p>
        </w:tc>
        <w:tc>
          <w:tcPr>
            <w:tcW w:w="4344" w:type="dxa"/>
          </w:tcPr>
          <w:p w:rsidR="00977A5A" w:rsidRPr="00977A5A" w:rsidRDefault="00977A5A" w:rsidP="00977A5A">
            <w:pPr>
              <w:numPr>
                <w:ilvl w:val="0"/>
                <w:numId w:val="25"/>
              </w:numPr>
            </w:pPr>
            <w:r w:rsidRPr="00977A5A">
              <w:t>Sharpe-</w:t>
            </w:r>
            <w:proofErr w:type="spellStart"/>
            <w:r w:rsidRPr="00977A5A">
              <w:t>Lintner</w:t>
            </w:r>
            <w:proofErr w:type="spellEnd"/>
            <w:r w:rsidRPr="00977A5A">
              <w:t xml:space="preserve"> capital asset pricing model</w:t>
            </w:r>
          </w:p>
        </w:tc>
      </w:tr>
      <w:tr w:rsidR="00977A5A" w:rsidTr="00977A5A">
        <w:trPr>
          <w:cnfStyle w:val="000000010000" w:firstRow="0" w:lastRow="0" w:firstColumn="0" w:lastColumn="0" w:oddVBand="0" w:evenVBand="0" w:oddHBand="0" w:evenHBand="1" w:firstRowFirstColumn="0" w:firstRowLastColumn="0" w:lastRowFirstColumn="0" w:lastRowLastColumn="0"/>
        </w:trPr>
        <w:tc>
          <w:tcPr>
            <w:tcW w:w="4349" w:type="dxa"/>
          </w:tcPr>
          <w:p w:rsidR="00977A5A" w:rsidRPr="00977A5A" w:rsidRDefault="00977A5A" w:rsidP="00977A5A">
            <w:pPr>
              <w:numPr>
                <w:ilvl w:val="0"/>
                <w:numId w:val="25"/>
              </w:numPr>
            </w:pPr>
            <w:r w:rsidRPr="00977A5A">
              <w:t>STPIS</w:t>
            </w:r>
          </w:p>
        </w:tc>
        <w:tc>
          <w:tcPr>
            <w:tcW w:w="4344" w:type="dxa"/>
          </w:tcPr>
          <w:p w:rsidR="00977A5A" w:rsidRPr="00977A5A" w:rsidRDefault="00977A5A" w:rsidP="00977A5A">
            <w:pPr>
              <w:numPr>
                <w:ilvl w:val="0"/>
                <w:numId w:val="25"/>
              </w:numPr>
            </w:pPr>
            <w:r w:rsidRPr="00977A5A">
              <w:t>service target performance incentive scheme</w:t>
            </w:r>
          </w:p>
        </w:tc>
      </w:tr>
      <w:tr w:rsidR="00977A5A" w:rsidTr="00977A5A">
        <w:tc>
          <w:tcPr>
            <w:tcW w:w="4349" w:type="dxa"/>
          </w:tcPr>
          <w:p w:rsidR="00977A5A" w:rsidRPr="00977A5A" w:rsidRDefault="00977A5A" w:rsidP="00977A5A">
            <w:pPr>
              <w:numPr>
                <w:ilvl w:val="0"/>
                <w:numId w:val="25"/>
              </w:numPr>
            </w:pPr>
            <w:r w:rsidRPr="00977A5A">
              <w:t>WACC</w:t>
            </w:r>
          </w:p>
        </w:tc>
        <w:tc>
          <w:tcPr>
            <w:tcW w:w="4344" w:type="dxa"/>
          </w:tcPr>
          <w:p w:rsidR="00977A5A" w:rsidRPr="00977A5A" w:rsidRDefault="00977A5A" w:rsidP="00977A5A">
            <w:pPr>
              <w:numPr>
                <w:ilvl w:val="0"/>
                <w:numId w:val="25"/>
              </w:numPr>
            </w:pPr>
            <w:r w:rsidRPr="00977A5A">
              <w:t>weighted average cost of capital</w:t>
            </w:r>
          </w:p>
        </w:tc>
      </w:tr>
    </w:tbl>
    <w:p w:rsidR="00DE563D" w:rsidRPr="00436A39" w:rsidRDefault="00DE563D" w:rsidP="00DE563D">
      <w:pPr>
        <w:numPr>
          <w:ilvl w:val="0"/>
          <w:numId w:val="25"/>
        </w:numPr>
      </w:pPr>
    </w:p>
    <w:p w:rsidR="00DE563D" w:rsidRDefault="00DE563D" w:rsidP="00DE563D"/>
    <w:p w:rsidR="00DE563D" w:rsidRDefault="00EB606C" w:rsidP="008221F2">
      <w:pPr>
        <w:pStyle w:val="Heading1"/>
      </w:pPr>
      <w:r>
        <w:lastRenderedPageBreak/>
        <w:t xml:space="preserve"> </w:t>
      </w:r>
      <w:bookmarkStart w:id="10" w:name="_Toc417487428"/>
      <w:r w:rsidR="008221F2" w:rsidRPr="008221F2">
        <w:t>Pass through events</w:t>
      </w:r>
      <w:bookmarkEnd w:id="10"/>
    </w:p>
    <w:p w:rsidR="00A53C3A" w:rsidRDefault="00A53C3A" w:rsidP="00A53C3A">
      <w:pPr>
        <w:numPr>
          <w:ilvl w:val="0"/>
          <w:numId w:val="25"/>
        </w:numPr>
      </w:pPr>
      <w:r w:rsidRPr="00CE0422">
        <w:t xml:space="preserve">The pass through mechanism of the </w:t>
      </w:r>
      <w:r>
        <w:t>National Electricity Rules (</w:t>
      </w:r>
      <w:r w:rsidRPr="00CE0422">
        <w:t>NER</w:t>
      </w:r>
      <w:r>
        <w:t>)</w:t>
      </w:r>
      <w:r w:rsidRPr="00CE0422">
        <w:t xml:space="preserve"> recognises that a </w:t>
      </w:r>
      <w:r>
        <w:t>distributor</w:t>
      </w:r>
      <w:r w:rsidRPr="00CE0422">
        <w:t xml:space="preserve"> can be exposed to risks beyond its control, which may have a material impact on its costs. A cost pass through enables a </w:t>
      </w:r>
      <w:r>
        <w:t>distributor</w:t>
      </w:r>
      <w:r w:rsidRPr="00CE0422">
        <w:t xml:space="preserve"> to recover (or pass through) the costs of defined unpredictable, high cost events that are not built into </w:t>
      </w:r>
      <w:r>
        <w:t>our distribution</w:t>
      </w:r>
      <w:r w:rsidRPr="00CE0422">
        <w:t xml:space="preserve"> determination. </w:t>
      </w:r>
      <w:r>
        <w:t xml:space="preserve">The NER includes the following prescribed pass through events for all </w:t>
      </w:r>
      <w:r w:rsidR="00BB65A8">
        <w:t>distributors</w:t>
      </w:r>
      <w:r>
        <w:t>:</w:t>
      </w:r>
    </w:p>
    <w:p w:rsidR="00A53C3A" w:rsidRPr="00A53C3A" w:rsidRDefault="00A53C3A" w:rsidP="00A53C3A">
      <w:pPr>
        <w:pStyle w:val="AERbulletlistfirststyle"/>
      </w:pPr>
      <w:r>
        <w:t>a regulatory change event</w:t>
      </w:r>
    </w:p>
    <w:p w:rsidR="00A53C3A" w:rsidRPr="00A53C3A" w:rsidRDefault="00A53C3A" w:rsidP="00A53C3A">
      <w:pPr>
        <w:pStyle w:val="AERbulletlistfirststyle"/>
      </w:pPr>
      <w:r w:rsidRPr="00931313">
        <w:t>a service sta</w:t>
      </w:r>
      <w:r w:rsidRPr="00A53C3A">
        <w:t>ndard event</w:t>
      </w:r>
    </w:p>
    <w:p w:rsidR="00A53C3A" w:rsidRPr="00A53C3A" w:rsidRDefault="00A53C3A" w:rsidP="00A53C3A">
      <w:pPr>
        <w:pStyle w:val="AERbulletlistfirststyle"/>
      </w:pPr>
      <w:r>
        <w:t>a tax change event</w:t>
      </w:r>
    </w:p>
    <w:p w:rsidR="00A53C3A" w:rsidRPr="00A53C3A" w:rsidRDefault="00A53C3A" w:rsidP="00A53C3A">
      <w:pPr>
        <w:pStyle w:val="AERbulletlistfirststyle"/>
      </w:pPr>
      <w:r>
        <w:t>a retailer insolvency event</w:t>
      </w:r>
    </w:p>
    <w:p w:rsidR="00A53C3A" w:rsidRPr="00A53C3A" w:rsidRDefault="00A53C3A" w:rsidP="00A53C3A">
      <w:pPr>
        <w:pStyle w:val="AERbulletlistfirststyle"/>
      </w:pPr>
      <w:proofErr w:type="gramStart"/>
      <w:r w:rsidRPr="00385F8C">
        <w:t>an</w:t>
      </w:r>
      <w:r w:rsidR="00641DF3">
        <w:t>y</w:t>
      </w:r>
      <w:proofErr w:type="gramEnd"/>
      <w:r w:rsidR="00641DF3">
        <w:t xml:space="preserve"> other</w:t>
      </w:r>
      <w:r w:rsidRPr="00385F8C">
        <w:t xml:space="preserve"> event specified in a determination </w:t>
      </w:r>
      <w:r w:rsidR="00641DF3">
        <w:t>as a pass through event</w:t>
      </w:r>
      <w:r w:rsidRPr="00A53C3A">
        <w:t xml:space="preserve"> (nominated pass through event).</w:t>
      </w:r>
      <w:r w:rsidRPr="00A53C3A">
        <w:rPr>
          <w:rStyle w:val="FootnoteReference"/>
        </w:rPr>
        <w:footnoteReference w:id="1"/>
      </w:r>
      <w:r w:rsidRPr="00A53C3A">
        <w:t xml:space="preserve"> </w:t>
      </w:r>
    </w:p>
    <w:p w:rsidR="00A53C3A" w:rsidRPr="00CE0422" w:rsidRDefault="00A53C3A" w:rsidP="00A53C3A">
      <w:pPr>
        <w:numPr>
          <w:ilvl w:val="0"/>
          <w:numId w:val="25"/>
        </w:numPr>
      </w:pPr>
      <w:r w:rsidRPr="00B4429B">
        <w:t xml:space="preserve">This </w:t>
      </w:r>
      <w:r>
        <w:t>attachment</w:t>
      </w:r>
      <w:r w:rsidRPr="00B4429B">
        <w:t xml:space="preserve"> sets out </w:t>
      </w:r>
      <w:r>
        <w:t>our</w:t>
      </w:r>
      <w:r w:rsidRPr="00B4429B">
        <w:t xml:space="preserve"> </w:t>
      </w:r>
      <w:r>
        <w:t>final</w:t>
      </w:r>
      <w:r w:rsidRPr="00B4429B">
        <w:t xml:space="preserve"> decision </w:t>
      </w:r>
      <w:r w:rsidR="00C12A26">
        <w:t>on the</w:t>
      </w:r>
      <w:r w:rsidRPr="00B4429B">
        <w:t xml:space="preserve"> additional pass through event</w:t>
      </w:r>
      <w:r w:rsidR="009E3E16">
        <w:t>s</w:t>
      </w:r>
      <w:r w:rsidRPr="00B4429B">
        <w:t xml:space="preserve"> </w:t>
      </w:r>
      <w:r w:rsidR="00C12A26">
        <w:t xml:space="preserve">that will apply to </w:t>
      </w:r>
      <w:proofErr w:type="spellStart"/>
      <w:r w:rsidR="00C12A26">
        <w:t>Ausgrid</w:t>
      </w:r>
      <w:proofErr w:type="spellEnd"/>
      <w:r w:rsidR="00C12A26">
        <w:t xml:space="preserve"> </w:t>
      </w:r>
      <w:r w:rsidRPr="00B4429B">
        <w:t xml:space="preserve">for the </w:t>
      </w:r>
      <w:r w:rsidR="009E3E16">
        <w:t>2015</w:t>
      </w:r>
      <w:r w:rsidR="00C4227A">
        <w:t>–</w:t>
      </w:r>
      <w:r w:rsidR="009E3E16">
        <w:t xml:space="preserve">19 </w:t>
      </w:r>
      <w:r w:rsidRPr="00B4429B">
        <w:t xml:space="preserve">regulatory control </w:t>
      </w:r>
      <w:proofErr w:type="gramStart"/>
      <w:r w:rsidRPr="00B4429B">
        <w:t>period</w:t>
      </w:r>
      <w:proofErr w:type="gramEnd"/>
      <w:r w:rsidRPr="00B4429B">
        <w:t>.</w:t>
      </w:r>
    </w:p>
    <w:p w:rsidR="00DE563D" w:rsidRPr="001754EE" w:rsidRDefault="00415F31" w:rsidP="001754EE">
      <w:pPr>
        <w:pStyle w:val="Heading2"/>
      </w:pPr>
      <w:bookmarkStart w:id="11" w:name="_Toc403144136"/>
      <w:bookmarkStart w:id="12" w:name="_Toc417487429"/>
      <w:r w:rsidRPr="001754EE">
        <w:t>Final</w:t>
      </w:r>
      <w:r w:rsidR="00DE563D" w:rsidRPr="001754EE">
        <w:t xml:space="preserve"> decision</w:t>
      </w:r>
      <w:bookmarkEnd w:id="11"/>
      <w:bookmarkEnd w:id="12"/>
    </w:p>
    <w:p w:rsidR="002C233C" w:rsidRDefault="004929DE" w:rsidP="002C233C">
      <w:bookmarkStart w:id="13" w:name="_Toc403144137"/>
      <w:r>
        <w:t xml:space="preserve">Our final decision is that the following nominated pass through events will apply to </w:t>
      </w:r>
      <w:proofErr w:type="spellStart"/>
      <w:r>
        <w:t>Ausgrid</w:t>
      </w:r>
      <w:proofErr w:type="spellEnd"/>
      <w:r>
        <w:t xml:space="preserve"> for the 2015–19 regulatory control </w:t>
      </w:r>
      <w:proofErr w:type="gramStart"/>
      <w:r>
        <w:t>period</w:t>
      </w:r>
      <w:proofErr w:type="gramEnd"/>
      <w:r w:rsidR="00A53C3A">
        <w:t>:</w:t>
      </w:r>
    </w:p>
    <w:p w:rsidR="00A53C3A" w:rsidRDefault="004929DE" w:rsidP="00A53C3A">
      <w:pPr>
        <w:pStyle w:val="AERbulletlistfirststyle"/>
      </w:pPr>
      <w:r>
        <w:t>i</w:t>
      </w:r>
      <w:r w:rsidR="00A53C3A">
        <w:t>nsurance cap event</w:t>
      </w:r>
    </w:p>
    <w:p w:rsidR="00A53C3A" w:rsidRDefault="004929DE" w:rsidP="00A53C3A">
      <w:pPr>
        <w:pStyle w:val="AERbulletlistfirststyle"/>
      </w:pPr>
      <w:r>
        <w:t>t</w:t>
      </w:r>
      <w:r w:rsidR="00A53C3A">
        <w:t>errorism event</w:t>
      </w:r>
    </w:p>
    <w:p w:rsidR="00A53C3A" w:rsidRDefault="004929DE" w:rsidP="00A53C3A">
      <w:pPr>
        <w:pStyle w:val="AERbulletlistfirststyle"/>
      </w:pPr>
      <w:r>
        <w:t>n</w:t>
      </w:r>
      <w:r w:rsidR="00A53C3A">
        <w:t>atural disaster event</w:t>
      </w:r>
    </w:p>
    <w:p w:rsidR="00A53C3A" w:rsidRDefault="004929DE" w:rsidP="00A53C3A">
      <w:pPr>
        <w:pStyle w:val="AERbulletlistfirststyle"/>
      </w:pPr>
      <w:proofErr w:type="gramStart"/>
      <w:r>
        <w:t>i</w:t>
      </w:r>
      <w:r w:rsidR="00A53C3A">
        <w:t>nsurer's</w:t>
      </w:r>
      <w:proofErr w:type="gramEnd"/>
      <w:r w:rsidR="00A53C3A">
        <w:t xml:space="preserve"> credit risk event</w:t>
      </w:r>
      <w:r>
        <w:t>.</w:t>
      </w:r>
    </w:p>
    <w:p w:rsidR="004929DE" w:rsidRDefault="004929DE" w:rsidP="00A53C3A">
      <w:r>
        <w:t xml:space="preserve">These events have the definitions listed in </w:t>
      </w:r>
      <w:r w:rsidR="00687020">
        <w:fldChar w:fldCharType="begin"/>
      </w:r>
      <w:r w:rsidR="00687020">
        <w:instrText xml:space="preserve"> REF _Ref414367002 \h </w:instrText>
      </w:r>
      <w:r w:rsidR="00687020">
        <w:fldChar w:fldCharType="separate"/>
      </w:r>
      <w:r w:rsidR="00687020">
        <w:t xml:space="preserve">Table </w:t>
      </w:r>
      <w:r w:rsidR="00687020">
        <w:rPr>
          <w:noProof/>
        </w:rPr>
        <w:t>15</w:t>
      </w:r>
      <w:r w:rsidR="00687020">
        <w:t>.</w:t>
      </w:r>
      <w:r w:rsidR="00687020">
        <w:rPr>
          <w:noProof/>
        </w:rPr>
        <w:t>1</w:t>
      </w:r>
      <w:r w:rsidR="00687020">
        <w:fldChar w:fldCharType="end"/>
      </w:r>
      <w:r w:rsidR="00687020">
        <w:t xml:space="preserve"> </w:t>
      </w:r>
      <w:r>
        <w:t>below.</w:t>
      </w:r>
    </w:p>
    <w:p w:rsidR="004929DE" w:rsidRDefault="004929DE" w:rsidP="0069306F">
      <w:pPr>
        <w:pStyle w:val="Caption"/>
      </w:pPr>
      <w:bookmarkStart w:id="14" w:name="_Ref414367002"/>
      <w:proofErr w:type="gramStart"/>
      <w:r>
        <w:t xml:space="preserve">Table </w:t>
      </w:r>
      <w:proofErr w:type="gramEnd"/>
      <w:r w:rsidR="00A61F1B">
        <w:fldChar w:fldCharType="begin"/>
      </w:r>
      <w:r w:rsidR="00A61F1B">
        <w:instrText xml:space="preserve"> STYLEREF 1 \s </w:instrText>
      </w:r>
      <w:r w:rsidR="00A61F1B">
        <w:fldChar w:fldCharType="separate"/>
      </w:r>
      <w:r>
        <w:rPr>
          <w:noProof/>
        </w:rPr>
        <w:t>15</w:t>
      </w:r>
      <w:r w:rsidR="00A61F1B">
        <w:rPr>
          <w:noProof/>
        </w:rPr>
        <w:fldChar w:fldCharType="end"/>
      </w:r>
      <w:proofErr w:type="gramStart"/>
      <w:r>
        <w:t>.</w:t>
      </w:r>
      <w:proofErr w:type="gramEnd"/>
      <w:r w:rsidR="00BB7F74">
        <w:fldChar w:fldCharType="begin"/>
      </w:r>
      <w:r w:rsidR="00BB7F74">
        <w:instrText xml:space="preserve"> SEQ Table \* ARABIC \s 1 </w:instrText>
      </w:r>
      <w:r w:rsidR="00BB7F74">
        <w:fldChar w:fldCharType="separate"/>
      </w:r>
      <w:r>
        <w:rPr>
          <w:noProof/>
        </w:rPr>
        <w:t>1</w:t>
      </w:r>
      <w:r w:rsidR="00BB7F74">
        <w:rPr>
          <w:noProof/>
        </w:rPr>
        <w:fldChar w:fldCharType="end"/>
      </w:r>
      <w:bookmarkEnd w:id="14"/>
      <w:r>
        <w:tab/>
        <w:t>Accepted event definitions</w:t>
      </w:r>
    </w:p>
    <w:tbl>
      <w:tblPr>
        <w:tblStyle w:val="TableGrid"/>
        <w:tblW w:w="0" w:type="auto"/>
        <w:tblLook w:val="04A0" w:firstRow="1" w:lastRow="0" w:firstColumn="1" w:lastColumn="0" w:noHBand="0" w:noVBand="1"/>
      </w:tblPr>
      <w:tblGrid>
        <w:gridCol w:w="2093"/>
        <w:gridCol w:w="6600"/>
      </w:tblGrid>
      <w:tr w:rsidR="00AF0BEB" w:rsidRPr="003E6629" w:rsidTr="00AF0B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AF0BEB" w:rsidRPr="00AF0BEB" w:rsidRDefault="00AF0BEB" w:rsidP="00AF0BEB">
            <w:r>
              <w:t>Event</w:t>
            </w:r>
          </w:p>
        </w:tc>
        <w:tc>
          <w:tcPr>
            <w:tcW w:w="6600" w:type="dxa"/>
          </w:tcPr>
          <w:p w:rsidR="00AF0BEB" w:rsidRPr="00AF0BEB" w:rsidRDefault="00AF0BEB" w:rsidP="00AF0BEB">
            <w:pPr>
              <w:cnfStyle w:val="100000000000" w:firstRow="1" w:lastRow="0" w:firstColumn="0" w:lastColumn="0" w:oddVBand="0" w:evenVBand="0" w:oddHBand="0" w:evenHBand="0" w:firstRowFirstColumn="0" w:firstRowLastColumn="0" w:lastRowFirstColumn="0" w:lastRowLastColumn="0"/>
            </w:pPr>
            <w:r>
              <w:t>Definition</w:t>
            </w:r>
          </w:p>
        </w:tc>
      </w:tr>
      <w:tr w:rsidR="00AF0BEB" w:rsidRPr="003E6629" w:rsidTr="00AF0BEB">
        <w:tc>
          <w:tcPr>
            <w:cnfStyle w:val="001000000000" w:firstRow="0" w:lastRow="0" w:firstColumn="1" w:lastColumn="0" w:oddVBand="0" w:evenVBand="0" w:oddHBand="0" w:evenHBand="0" w:firstRowFirstColumn="0" w:firstRowLastColumn="0" w:lastRowFirstColumn="0" w:lastRowLastColumn="0"/>
            <w:tcW w:w="2093" w:type="dxa"/>
          </w:tcPr>
          <w:p w:rsidR="00AF0BEB" w:rsidRPr="00AF0BEB" w:rsidRDefault="00AF0BEB" w:rsidP="00AF0BEB">
            <w:r>
              <w:t>Insurance cap event</w:t>
            </w:r>
          </w:p>
        </w:tc>
        <w:tc>
          <w:tcPr>
            <w:tcW w:w="6600" w:type="dxa"/>
          </w:tcPr>
          <w:p w:rsidR="00AF0BEB" w:rsidRPr="00AF0BEB" w:rsidRDefault="00AF0BEB" w:rsidP="00AF0BEB">
            <w:pPr>
              <w:cnfStyle w:val="000000000000" w:firstRow="0" w:lastRow="0" w:firstColumn="0" w:lastColumn="0" w:oddVBand="0" w:evenVBand="0" w:oddHBand="0" w:evenHBand="0" w:firstRowFirstColumn="0" w:firstRowLastColumn="0" w:lastRowFirstColumn="0" w:lastRowLastColumn="0"/>
            </w:pPr>
            <w:r w:rsidRPr="00243359">
              <w:t>An insurance cap event occurs if:</w:t>
            </w:r>
          </w:p>
          <w:p w:rsidR="00AF0BEB" w:rsidRPr="00AF0BEB" w:rsidRDefault="00AF0BEB" w:rsidP="00AF0BEB">
            <w:pPr>
              <w:pStyle w:val="AERquoteindent1"/>
              <w:cnfStyle w:val="000000000000" w:firstRow="0" w:lastRow="0" w:firstColumn="0" w:lastColumn="0" w:oddVBand="0" w:evenVBand="0" w:oddHBand="0" w:evenHBand="0" w:firstRowFirstColumn="0" w:firstRowLastColumn="0" w:lastRowFirstColumn="0" w:lastRowLastColumn="0"/>
            </w:pPr>
            <w:r w:rsidRPr="00243359">
              <w:t xml:space="preserve">1. </w:t>
            </w:r>
            <w:proofErr w:type="spellStart"/>
            <w:r w:rsidRPr="00243359">
              <w:t>Ausgrid</w:t>
            </w:r>
            <w:proofErr w:type="spellEnd"/>
            <w:r w:rsidRPr="00AF0BEB">
              <w:t xml:space="preserve"> makes a claim or claims and receives the benefit of a payment or payments under a relevant insurance policy,</w:t>
            </w:r>
          </w:p>
          <w:p w:rsidR="00AF0BEB" w:rsidRPr="00AF0BEB" w:rsidRDefault="00AF0BEB" w:rsidP="00AF0BEB">
            <w:pPr>
              <w:pStyle w:val="AERquoteindent1"/>
              <w:cnfStyle w:val="000000000000" w:firstRow="0" w:lastRow="0" w:firstColumn="0" w:lastColumn="0" w:oddVBand="0" w:evenVBand="0" w:oddHBand="0" w:evenHBand="0" w:firstRowFirstColumn="0" w:firstRowLastColumn="0" w:lastRowFirstColumn="0" w:lastRowLastColumn="0"/>
            </w:pPr>
            <w:r w:rsidRPr="00243359">
              <w:t xml:space="preserve">2. </w:t>
            </w:r>
            <w:proofErr w:type="spellStart"/>
            <w:r w:rsidRPr="00243359">
              <w:t>Ausgrid</w:t>
            </w:r>
            <w:proofErr w:type="spellEnd"/>
            <w:r w:rsidRPr="00243359">
              <w:t xml:space="preserve"> incurs costs beyond the relevant policy limit, and</w:t>
            </w:r>
          </w:p>
          <w:p w:rsidR="00AF0BEB" w:rsidRPr="00AF0BEB" w:rsidRDefault="00AF0BEB" w:rsidP="00AF0BEB">
            <w:pPr>
              <w:pStyle w:val="AERquoteindent1"/>
              <w:cnfStyle w:val="000000000000" w:firstRow="0" w:lastRow="0" w:firstColumn="0" w:lastColumn="0" w:oddVBand="0" w:evenVBand="0" w:oddHBand="0" w:evenHBand="0" w:firstRowFirstColumn="0" w:firstRowLastColumn="0" w:lastRowFirstColumn="0" w:lastRowLastColumn="0"/>
            </w:pPr>
            <w:r w:rsidRPr="00243359">
              <w:lastRenderedPageBreak/>
              <w:t xml:space="preserve">3. </w:t>
            </w:r>
            <w:proofErr w:type="gramStart"/>
            <w:r w:rsidRPr="00243359">
              <w:t>the</w:t>
            </w:r>
            <w:proofErr w:type="gramEnd"/>
            <w:r w:rsidRPr="00243359">
              <w:t xml:space="preserve"> costs beyond the relevant policy limit </w:t>
            </w:r>
            <w:r w:rsidRPr="00AF0BEB">
              <w:t xml:space="preserve">materially increase the costs to </w:t>
            </w:r>
            <w:proofErr w:type="spellStart"/>
            <w:r w:rsidRPr="00AF0BEB">
              <w:t>Ausgrid</w:t>
            </w:r>
            <w:proofErr w:type="spellEnd"/>
            <w:r w:rsidRPr="00AF0BEB">
              <w:t xml:space="preserve"> in providing direct control services</w:t>
            </w:r>
            <w:r w:rsidR="00747D93">
              <w:t>.</w:t>
            </w:r>
          </w:p>
          <w:p w:rsidR="00AF0BEB" w:rsidRPr="00AF0BEB" w:rsidRDefault="00AF0BEB" w:rsidP="00AF0BEB">
            <w:pPr>
              <w:cnfStyle w:val="000000000000" w:firstRow="0" w:lastRow="0" w:firstColumn="0" w:lastColumn="0" w:oddVBand="0" w:evenVBand="0" w:oddHBand="0" w:evenHBand="0" w:firstRowFirstColumn="0" w:firstRowLastColumn="0" w:lastRowFirstColumn="0" w:lastRowLastColumn="0"/>
            </w:pPr>
            <w:r w:rsidRPr="00243359">
              <w:t>For this insurance cap event:</w:t>
            </w:r>
          </w:p>
          <w:p w:rsidR="00AF0BEB" w:rsidRPr="00AF0BEB" w:rsidRDefault="00AF0BEB" w:rsidP="00AF0BEB">
            <w:pPr>
              <w:pStyle w:val="AERquoteindent1"/>
              <w:cnfStyle w:val="000000000000" w:firstRow="0" w:lastRow="0" w:firstColumn="0" w:lastColumn="0" w:oddVBand="0" w:evenVBand="0" w:oddHBand="0" w:evenHBand="0" w:firstRowFirstColumn="0" w:firstRowLastColumn="0" w:lastRowFirstColumn="0" w:lastRowLastColumn="0"/>
            </w:pPr>
            <w:r w:rsidRPr="00243359">
              <w:t>4. the relevant policy limit is the greater of:</w:t>
            </w:r>
          </w:p>
          <w:p w:rsidR="00AF0BEB" w:rsidRPr="00AF0BEB" w:rsidRDefault="00AF0BEB" w:rsidP="00AF0BEB">
            <w:pPr>
              <w:pStyle w:val="AERquoteindent2"/>
              <w:cnfStyle w:val="000000000000" w:firstRow="0" w:lastRow="0" w:firstColumn="0" w:lastColumn="0" w:oddVBand="0" w:evenVBand="0" w:oddHBand="0" w:evenHBand="0" w:firstRowFirstColumn="0" w:firstRowLastColumn="0" w:lastRowFirstColumn="0" w:lastRowLastColumn="0"/>
            </w:pPr>
            <w:r w:rsidRPr="00243359">
              <w:t xml:space="preserve">a. </w:t>
            </w:r>
            <w:proofErr w:type="spellStart"/>
            <w:r w:rsidRPr="00243359">
              <w:t>Ausgrid</w:t>
            </w:r>
            <w:r w:rsidRPr="00AF0BEB">
              <w:t>'s</w:t>
            </w:r>
            <w:proofErr w:type="spellEnd"/>
            <w:r w:rsidRPr="00AF0BEB">
              <w:t xml:space="preserve"> actual policy limit at the time of the event that gives, or would have given rise to a claim, and</w:t>
            </w:r>
          </w:p>
          <w:p w:rsidR="00AF0BEB" w:rsidRPr="00AF0BEB" w:rsidRDefault="00AF0BEB" w:rsidP="00AF0BEB">
            <w:pPr>
              <w:pStyle w:val="AERquoteindent2"/>
              <w:cnfStyle w:val="000000000000" w:firstRow="0" w:lastRow="0" w:firstColumn="0" w:lastColumn="0" w:oddVBand="0" w:evenVBand="0" w:oddHBand="0" w:evenHBand="0" w:firstRowFirstColumn="0" w:firstRowLastColumn="0" w:lastRowFirstColumn="0" w:lastRowLastColumn="0"/>
            </w:pPr>
            <w:r w:rsidRPr="00243359">
              <w:t xml:space="preserve">b. the policy </w:t>
            </w:r>
            <w:r w:rsidRPr="00AF0BEB">
              <w:t>limit that is explicitly or implicitly commensurate with the allowance for insurance premiums that is included in the forecast operating expenditure allowance approved in the AER’s final decision for the regulatory control period in which the insurance policy is issued.</w:t>
            </w:r>
          </w:p>
          <w:p w:rsidR="00AF0BEB" w:rsidRPr="00AF0BEB" w:rsidRDefault="00AF0BEB" w:rsidP="00AF0BEB">
            <w:pPr>
              <w:pStyle w:val="AERquoteindent1"/>
              <w:cnfStyle w:val="000000000000" w:firstRow="0" w:lastRow="0" w:firstColumn="0" w:lastColumn="0" w:oddVBand="0" w:evenVBand="0" w:oddHBand="0" w:evenHBand="0" w:firstRowFirstColumn="0" w:firstRowLastColumn="0" w:lastRowFirstColumn="0" w:lastRowLastColumn="0"/>
            </w:pPr>
            <w:r w:rsidRPr="00243359">
              <w:t>5. A relevant insurance policy is an insura</w:t>
            </w:r>
            <w:r w:rsidR="00C4227A">
              <w:t>nce policy held during the 2015–</w:t>
            </w:r>
            <w:r w:rsidRPr="00243359">
              <w:t xml:space="preserve">19 regulatory control </w:t>
            </w:r>
            <w:proofErr w:type="gramStart"/>
            <w:r w:rsidRPr="00243359">
              <w:t>period</w:t>
            </w:r>
            <w:proofErr w:type="gramEnd"/>
            <w:r w:rsidRPr="00243359">
              <w:t xml:space="preserve"> or a previous regulatory control period in which </w:t>
            </w:r>
            <w:proofErr w:type="spellStart"/>
            <w:r w:rsidRPr="00243359">
              <w:t>Ausgrid</w:t>
            </w:r>
            <w:proofErr w:type="spellEnd"/>
            <w:r w:rsidRPr="00243359">
              <w:t xml:space="preserve"> was regulated.</w:t>
            </w:r>
          </w:p>
          <w:p w:rsidR="00AF0BEB" w:rsidRPr="00AF0BEB" w:rsidRDefault="00AF0BEB" w:rsidP="00AF0BEB">
            <w:pPr>
              <w:pStyle w:val="AERquoteindent1"/>
              <w:cnfStyle w:val="000000000000" w:firstRow="0" w:lastRow="0" w:firstColumn="0" w:lastColumn="0" w:oddVBand="0" w:evenVBand="0" w:oddHBand="0" w:evenHBand="0" w:firstRowFirstColumn="0" w:firstRowLastColumn="0" w:lastRowFirstColumn="0" w:lastRowLastColumn="0"/>
            </w:pPr>
            <w:r w:rsidRPr="00243359">
              <w:t>Note for the avoidance of doubt, in assessing an insurance cap event cost pass through application under rule 6.6.1(j), the AER will have regard to:</w:t>
            </w:r>
          </w:p>
          <w:p w:rsidR="00AF0BEB" w:rsidRPr="00AF0BEB" w:rsidRDefault="00AF0BEB" w:rsidP="00AF0BEB">
            <w:pPr>
              <w:pStyle w:val="AERquoteindent2"/>
              <w:cnfStyle w:val="000000000000" w:firstRow="0" w:lastRow="0" w:firstColumn="0" w:lastColumn="0" w:oddVBand="0" w:evenVBand="0" w:oddHBand="0" w:evenHBand="0" w:firstRowFirstColumn="0" w:firstRowLastColumn="0" w:lastRowFirstColumn="0" w:lastRowLastColumn="0"/>
            </w:pPr>
            <w:proofErr w:type="spellStart"/>
            <w:r w:rsidRPr="00243359">
              <w:t>i</w:t>
            </w:r>
            <w:proofErr w:type="spellEnd"/>
            <w:r w:rsidRPr="00243359">
              <w:t xml:space="preserve">. the </w:t>
            </w:r>
            <w:r w:rsidRPr="00AF0BEB">
              <w:t>relevant insurance policy for the event, and</w:t>
            </w:r>
          </w:p>
          <w:p w:rsidR="00AF0BEB" w:rsidRPr="00AF0BEB" w:rsidRDefault="00AF0BEB" w:rsidP="00AF0BEB">
            <w:pPr>
              <w:pStyle w:val="AERquoteindent2"/>
              <w:cnfStyle w:val="000000000000" w:firstRow="0" w:lastRow="0" w:firstColumn="0" w:lastColumn="0" w:oddVBand="0" w:evenVBand="0" w:oddHBand="0" w:evenHBand="0" w:firstRowFirstColumn="0" w:firstRowLastColumn="0" w:lastRowFirstColumn="0" w:lastRowLastColumn="0"/>
            </w:pPr>
            <w:r w:rsidRPr="00243359">
              <w:t xml:space="preserve">ii. </w:t>
            </w:r>
            <w:proofErr w:type="gramStart"/>
            <w:r w:rsidRPr="00243359">
              <w:t>the</w:t>
            </w:r>
            <w:proofErr w:type="gramEnd"/>
            <w:r w:rsidRPr="00243359">
              <w:t xml:space="preserve"> level of insurance that an efficient and prudent NSP would obtain in respect of the event</w:t>
            </w:r>
            <w:r w:rsidRPr="00AF0BEB">
              <w:t>.</w:t>
            </w:r>
          </w:p>
        </w:tc>
      </w:tr>
      <w:tr w:rsidR="00AF0BEB" w:rsidRPr="003E6629" w:rsidTr="00AF0BEB">
        <w:tc>
          <w:tcPr>
            <w:cnfStyle w:val="001000000000" w:firstRow="0" w:lastRow="0" w:firstColumn="1" w:lastColumn="0" w:oddVBand="0" w:evenVBand="0" w:oddHBand="0" w:evenHBand="0" w:firstRowFirstColumn="0" w:firstRowLastColumn="0" w:lastRowFirstColumn="0" w:lastRowLastColumn="0"/>
            <w:tcW w:w="2093" w:type="dxa"/>
          </w:tcPr>
          <w:p w:rsidR="00AF0BEB" w:rsidRPr="00AF0BEB" w:rsidRDefault="00AF0BEB" w:rsidP="00AF0BEB">
            <w:r>
              <w:lastRenderedPageBreak/>
              <w:t>Insurer's credit risk event</w:t>
            </w:r>
          </w:p>
        </w:tc>
        <w:tc>
          <w:tcPr>
            <w:tcW w:w="6600" w:type="dxa"/>
          </w:tcPr>
          <w:p w:rsidR="00AF0BEB" w:rsidRPr="00AF0BEB" w:rsidRDefault="00AF0BEB" w:rsidP="00AF0BEB">
            <w:pPr>
              <w:cnfStyle w:val="000000000000" w:firstRow="0" w:lastRow="0" w:firstColumn="0" w:lastColumn="0" w:oddVBand="0" w:evenVBand="0" w:oddHBand="0" w:evenHBand="0" w:firstRowFirstColumn="0" w:firstRowLastColumn="0" w:lastRowFirstColumn="0" w:lastRowLastColumn="0"/>
            </w:pPr>
            <w:r w:rsidRPr="00687020">
              <w:t>An insurer’s credit risk event occurs if:</w:t>
            </w:r>
          </w:p>
          <w:p w:rsidR="00AF0BEB" w:rsidRPr="00AF0BEB" w:rsidRDefault="00AF0BEB" w:rsidP="00AF0BEB">
            <w:pPr>
              <w:pStyle w:val="AERquote"/>
              <w:cnfStyle w:val="000000000000" w:firstRow="0" w:lastRow="0" w:firstColumn="0" w:lastColumn="0" w:oddVBand="0" w:evenVBand="0" w:oddHBand="0" w:evenHBand="0" w:firstRowFirstColumn="0" w:firstRowLastColumn="0" w:lastRowFirstColumn="0" w:lastRowLastColumn="0"/>
            </w:pPr>
            <w:r w:rsidRPr="00687020">
              <w:t xml:space="preserve">A nominated insurer of </w:t>
            </w:r>
            <w:proofErr w:type="spellStart"/>
            <w:r w:rsidRPr="00687020">
              <w:t>Ausgrid</w:t>
            </w:r>
            <w:proofErr w:type="spellEnd"/>
            <w:r w:rsidRPr="00687020">
              <w:t xml:space="preserve"> becomes insolvent, and as a result, in respect of a</w:t>
            </w:r>
            <w:r w:rsidRPr="00AF0BEB">
              <w:t xml:space="preserve">n existing </w:t>
            </w:r>
            <w:r w:rsidR="00E07322">
              <w:t xml:space="preserve">or potential </w:t>
            </w:r>
            <w:r w:rsidRPr="00AF0BEB">
              <w:t>insurance</w:t>
            </w:r>
            <w:r>
              <w:t xml:space="preserve"> </w:t>
            </w:r>
            <w:r w:rsidRPr="00AF0BEB">
              <w:t xml:space="preserve">claim for a risk that was insured by the insolvent insurer, </w:t>
            </w:r>
            <w:proofErr w:type="spellStart"/>
            <w:r w:rsidRPr="00AF0BEB">
              <w:t>Ausgrid</w:t>
            </w:r>
            <w:proofErr w:type="spellEnd"/>
            <w:r w:rsidRPr="00AF0BEB">
              <w:t>:</w:t>
            </w:r>
          </w:p>
          <w:p w:rsidR="00AF0BEB" w:rsidRPr="00AF0BEB" w:rsidRDefault="00AF0BEB" w:rsidP="00AF0BEB">
            <w:pPr>
              <w:pStyle w:val="AERquotebullet1"/>
              <w:cnfStyle w:val="000000000000" w:firstRow="0" w:lastRow="0" w:firstColumn="0" w:lastColumn="0" w:oddVBand="0" w:evenVBand="0" w:oddHBand="0" w:evenHBand="0" w:firstRowFirstColumn="0" w:firstRowLastColumn="0" w:lastRowFirstColumn="0" w:lastRowLastColumn="0"/>
            </w:pPr>
            <w:r w:rsidRPr="00687020">
              <w:t xml:space="preserve">is subject to a </w:t>
            </w:r>
            <w:r w:rsidRPr="00AF0BEB">
              <w:t>higher or lower claim limit or a higher or lower deductible than would have otherwise applied under the insolvent insurer’s policy; or</w:t>
            </w:r>
          </w:p>
          <w:p w:rsidR="00AF0BEB" w:rsidRPr="00AF0BEB" w:rsidRDefault="00AF0BEB" w:rsidP="00AF0BEB">
            <w:pPr>
              <w:pStyle w:val="AERquotebullet1"/>
              <w:cnfStyle w:val="000000000000" w:firstRow="0" w:lastRow="0" w:firstColumn="0" w:lastColumn="0" w:oddVBand="0" w:evenVBand="0" w:oddHBand="0" w:evenHBand="0" w:firstRowFirstColumn="0" w:firstRowLastColumn="0" w:lastRowFirstColumn="0" w:lastRowLastColumn="0"/>
            </w:pPr>
            <w:proofErr w:type="gramStart"/>
            <w:r>
              <w:t>i</w:t>
            </w:r>
            <w:r w:rsidRPr="00AF0BEB">
              <w:t>ncurs</w:t>
            </w:r>
            <w:proofErr w:type="gramEnd"/>
            <w:r w:rsidRPr="00AF0BEB">
              <w:t xml:space="preserve"> additional costs associated with funding an insurance claim, which would otherwise have been covered by the insolvent insurer.</w:t>
            </w:r>
          </w:p>
          <w:p w:rsidR="00E07322" w:rsidRDefault="00AF0BEB" w:rsidP="00AF0BEB">
            <w:pPr>
              <w:cnfStyle w:val="000000000000" w:firstRow="0" w:lastRow="0" w:firstColumn="0" w:lastColumn="0" w:oddVBand="0" w:evenVBand="0" w:oddHBand="0" w:evenHBand="0" w:firstRowFirstColumn="0" w:firstRowLastColumn="0" w:lastRowFirstColumn="0" w:lastRowLastColumn="0"/>
            </w:pPr>
            <w:r>
              <w:t xml:space="preserve">Note: In assessing an insurer's credit risk event </w:t>
            </w:r>
            <w:r w:rsidRPr="00AF0BEB">
              <w:t>pass through application, the AER will have regard to, amongst other things,</w:t>
            </w:r>
          </w:p>
          <w:p w:rsidR="00AF0BEB" w:rsidRDefault="00E07322" w:rsidP="00E07322">
            <w:pPr>
              <w:pStyle w:val="AERquotebullet1"/>
              <w:cnfStyle w:val="000000000000" w:firstRow="0" w:lastRow="0" w:firstColumn="0" w:lastColumn="0" w:oddVBand="0" w:evenVBand="0" w:oddHBand="0" w:evenHBand="0" w:firstRowFirstColumn="0" w:firstRowLastColumn="0" w:lastRowFirstColumn="0" w:lastRowLastColumn="0"/>
            </w:pPr>
            <w:proofErr w:type="spellStart"/>
            <w:r>
              <w:t>Ausgrid's</w:t>
            </w:r>
            <w:proofErr w:type="spellEnd"/>
            <w:r w:rsidR="00AF0BEB" w:rsidRPr="00AF0BEB">
              <w:t xml:space="preserve"> attempts to mitigate and prevent the event from occurring by reviewing and considering the insurer’s track record, size, credit rating and reputation.</w:t>
            </w:r>
          </w:p>
          <w:p w:rsidR="00E07322" w:rsidRPr="00AF0BEB" w:rsidRDefault="00E07322" w:rsidP="00E07322">
            <w:pPr>
              <w:pStyle w:val="AERquotebullet1"/>
              <w:cnfStyle w:val="000000000000" w:firstRow="0" w:lastRow="0" w:firstColumn="0" w:lastColumn="0" w:oddVBand="0" w:evenVBand="0" w:oddHBand="0" w:evenHBand="0" w:firstRowFirstColumn="0" w:firstRowLastColumn="0" w:lastRowFirstColumn="0" w:lastRowLastColumn="0"/>
            </w:pPr>
            <w:r w:rsidRPr="00E07322">
              <w:t xml:space="preserve">In the event that a claim would have been made after the insurance provider became insolvent, whether </w:t>
            </w:r>
            <w:proofErr w:type="spellStart"/>
            <w:r w:rsidRPr="00E07322">
              <w:t>Ausgrid</w:t>
            </w:r>
            <w:proofErr w:type="spellEnd"/>
            <w:r w:rsidRPr="00E07322">
              <w:t xml:space="preserve"> had reasonable opportunity to insure the risk with a different provider.</w:t>
            </w:r>
          </w:p>
        </w:tc>
      </w:tr>
      <w:tr w:rsidR="00AF0BEB" w:rsidRPr="003E6629" w:rsidTr="00AF0BEB">
        <w:tc>
          <w:tcPr>
            <w:cnfStyle w:val="001000000000" w:firstRow="0" w:lastRow="0" w:firstColumn="1" w:lastColumn="0" w:oddVBand="0" w:evenVBand="0" w:oddHBand="0" w:evenHBand="0" w:firstRowFirstColumn="0" w:firstRowLastColumn="0" w:lastRowFirstColumn="0" w:lastRowLastColumn="0"/>
            <w:tcW w:w="2093" w:type="dxa"/>
          </w:tcPr>
          <w:p w:rsidR="00AF0BEB" w:rsidRPr="00AF0BEB" w:rsidRDefault="00AF0BEB" w:rsidP="00AF0BEB">
            <w:r>
              <w:t>Natural disaster event</w:t>
            </w:r>
          </w:p>
        </w:tc>
        <w:tc>
          <w:tcPr>
            <w:tcW w:w="6600" w:type="dxa"/>
          </w:tcPr>
          <w:p w:rsidR="00AF0BEB" w:rsidRPr="00AF0BEB" w:rsidRDefault="00AF0BEB" w:rsidP="00AF0BEB">
            <w:pPr>
              <w:cnfStyle w:val="000000000000" w:firstRow="0" w:lastRow="0" w:firstColumn="0" w:lastColumn="0" w:oddVBand="0" w:evenVBand="0" w:oddHBand="0" w:evenHBand="0" w:firstRowFirstColumn="0" w:firstRowLastColumn="0" w:lastRowFirstColumn="0" w:lastRowLastColumn="0"/>
            </w:pPr>
            <w:r w:rsidRPr="00243359">
              <w:t>A natural disaster event occurs if:</w:t>
            </w:r>
          </w:p>
          <w:p w:rsidR="00AF0BEB" w:rsidRPr="00AF0BEB" w:rsidRDefault="00AF0BEB" w:rsidP="00AF0BEB">
            <w:pPr>
              <w:pStyle w:val="AERquoteindent1"/>
              <w:cnfStyle w:val="000000000000" w:firstRow="0" w:lastRow="0" w:firstColumn="0" w:lastColumn="0" w:oddVBand="0" w:evenVBand="0" w:oddHBand="0" w:evenHBand="0" w:firstRowFirstColumn="0" w:firstRowLastColumn="0" w:lastRowFirstColumn="0" w:lastRowLastColumn="0"/>
            </w:pPr>
            <w:r w:rsidRPr="00243359">
              <w:t xml:space="preserve">Any major fire, flood, earthquake or other natural </w:t>
            </w:r>
            <w:r w:rsidR="00C4227A">
              <w:lastRenderedPageBreak/>
              <w:t>disaster occurs during the 2015–</w:t>
            </w:r>
            <w:r w:rsidRPr="00243359">
              <w:t xml:space="preserve">19 regulatory control period and </w:t>
            </w:r>
            <w:r w:rsidRPr="00AF0BEB">
              <w:t xml:space="preserve">materially increases the costs to </w:t>
            </w:r>
            <w:proofErr w:type="spellStart"/>
            <w:r w:rsidRPr="00AF0BEB">
              <w:t>Ausgrid</w:t>
            </w:r>
            <w:proofErr w:type="spellEnd"/>
            <w:r w:rsidRPr="00AF0BEB">
              <w:t xml:space="preserve"> in providing direct control services, provided the fire, flood or other event was not a consequence of the acts or omissions of the service provider</w:t>
            </w:r>
            <w:r w:rsidR="00747D93">
              <w:t>.</w:t>
            </w:r>
          </w:p>
          <w:p w:rsidR="00AF0BEB" w:rsidRPr="00AF0BEB" w:rsidRDefault="00AF0BEB" w:rsidP="00AF0BEB">
            <w:pPr>
              <w:pStyle w:val="AERquoteindent1"/>
              <w:cnfStyle w:val="000000000000" w:firstRow="0" w:lastRow="0" w:firstColumn="0" w:lastColumn="0" w:oddVBand="0" w:evenVBand="0" w:oddHBand="0" w:evenHBand="0" w:firstRowFirstColumn="0" w:firstRowLastColumn="0" w:lastRowFirstColumn="0" w:lastRowLastColumn="0"/>
            </w:pPr>
            <w:r w:rsidRPr="00243359">
              <w:t xml:space="preserve">The term ‘major’ in the above paragraph means an event that is serious and significant. It does not mean </w:t>
            </w:r>
            <w:r w:rsidRPr="00AF0BEB">
              <w:t>material as that term is defined in the Rules (that is 1 per cent of the DNSP’s annual revenue requirement for that regulatory year).</w:t>
            </w:r>
          </w:p>
          <w:p w:rsidR="00AF0BEB" w:rsidRPr="00AF0BEB" w:rsidRDefault="00AF0BEB" w:rsidP="00AF0BEB">
            <w:pPr>
              <w:pStyle w:val="AERquoteindent1"/>
              <w:cnfStyle w:val="000000000000" w:firstRow="0" w:lastRow="0" w:firstColumn="0" w:lastColumn="0" w:oddVBand="0" w:evenVBand="0" w:oddHBand="0" w:evenHBand="0" w:firstRowFirstColumn="0" w:firstRowLastColumn="0" w:lastRowFirstColumn="0" w:lastRowLastColumn="0"/>
            </w:pPr>
            <w:r w:rsidRPr="00243359">
              <w:t>Note: In assessing a natural disaster event pass through application, the AER will have regard to, amongst other things:</w:t>
            </w:r>
          </w:p>
          <w:p w:rsidR="00AF0BEB" w:rsidRPr="00AF0BEB" w:rsidRDefault="00AF0BEB" w:rsidP="00AF0BEB">
            <w:pPr>
              <w:pStyle w:val="AERquoteindent2"/>
              <w:cnfStyle w:val="000000000000" w:firstRow="0" w:lastRow="0" w:firstColumn="0" w:lastColumn="0" w:oddVBand="0" w:evenVBand="0" w:oddHBand="0" w:evenHBand="0" w:firstRowFirstColumn="0" w:firstRowLastColumn="0" w:lastRowFirstColumn="0" w:lastRowLastColumn="0"/>
            </w:pPr>
            <w:proofErr w:type="spellStart"/>
            <w:r w:rsidRPr="00243359">
              <w:t>i</w:t>
            </w:r>
            <w:proofErr w:type="spellEnd"/>
            <w:r w:rsidRPr="00243359">
              <w:t xml:space="preserve">. whether </w:t>
            </w:r>
            <w:proofErr w:type="spellStart"/>
            <w:r w:rsidRPr="00243359">
              <w:t>Ausgrid</w:t>
            </w:r>
            <w:proofErr w:type="spellEnd"/>
            <w:r w:rsidRPr="00243359">
              <w:t xml:space="preserve"> has insurance against the event, </w:t>
            </w:r>
          </w:p>
          <w:p w:rsidR="00AF0BEB" w:rsidRPr="00AF0BEB" w:rsidRDefault="00AF0BEB" w:rsidP="00AF0BEB">
            <w:pPr>
              <w:pStyle w:val="AERquoteindent2"/>
              <w:cnfStyle w:val="000000000000" w:firstRow="0" w:lastRow="0" w:firstColumn="0" w:lastColumn="0" w:oddVBand="0" w:evenVBand="0" w:oddHBand="0" w:evenHBand="0" w:firstRowFirstColumn="0" w:firstRowLastColumn="0" w:lastRowFirstColumn="0" w:lastRowLastColumn="0"/>
            </w:pPr>
            <w:r w:rsidRPr="00243359">
              <w:t xml:space="preserve">ii. the level of insurance that an efficient and prudent NSP would obtain in respect of the event, </w:t>
            </w:r>
          </w:p>
          <w:p w:rsidR="00AF0BEB" w:rsidRPr="00AF0BEB" w:rsidRDefault="00AF0BEB" w:rsidP="00AF0BEB">
            <w:pPr>
              <w:pStyle w:val="AERquoteindent2"/>
              <w:cnfStyle w:val="000000000000" w:firstRow="0" w:lastRow="0" w:firstColumn="0" w:lastColumn="0" w:oddVBand="0" w:evenVBand="0" w:oddHBand="0" w:evenHBand="0" w:firstRowFirstColumn="0" w:firstRowLastColumn="0" w:lastRowFirstColumn="0" w:lastRowLastColumn="0"/>
            </w:pPr>
            <w:r w:rsidRPr="00243359">
              <w:t xml:space="preserve">iii. </w:t>
            </w:r>
            <w:proofErr w:type="gramStart"/>
            <w:r w:rsidRPr="00243359">
              <w:t>whether</w:t>
            </w:r>
            <w:proofErr w:type="gramEnd"/>
            <w:r w:rsidRPr="00243359">
              <w:t xml:space="preserve"> a relevant government authority has made a declaration that a natural disaster has occurred</w:t>
            </w:r>
            <w:r w:rsidRPr="00AF0BEB">
              <w:t>.</w:t>
            </w:r>
          </w:p>
        </w:tc>
      </w:tr>
      <w:tr w:rsidR="00AF0BEB" w:rsidRPr="003E6629" w:rsidTr="00AF0BEB">
        <w:tc>
          <w:tcPr>
            <w:cnfStyle w:val="001000000000" w:firstRow="0" w:lastRow="0" w:firstColumn="1" w:lastColumn="0" w:oddVBand="0" w:evenVBand="0" w:oddHBand="0" w:evenHBand="0" w:firstRowFirstColumn="0" w:firstRowLastColumn="0" w:lastRowFirstColumn="0" w:lastRowLastColumn="0"/>
            <w:tcW w:w="2093" w:type="dxa"/>
          </w:tcPr>
          <w:p w:rsidR="00AF0BEB" w:rsidRPr="00AF0BEB" w:rsidRDefault="00AF0BEB" w:rsidP="00AF0BEB">
            <w:r>
              <w:lastRenderedPageBreak/>
              <w:t>Terrorism event</w:t>
            </w:r>
          </w:p>
        </w:tc>
        <w:tc>
          <w:tcPr>
            <w:tcW w:w="6600" w:type="dxa"/>
          </w:tcPr>
          <w:p w:rsidR="00AF0BEB" w:rsidRPr="00AF0BEB" w:rsidRDefault="00AF0BEB" w:rsidP="00AF0BEB">
            <w:pPr>
              <w:cnfStyle w:val="000000000000" w:firstRow="0" w:lastRow="0" w:firstColumn="0" w:lastColumn="0" w:oddVBand="0" w:evenVBand="0" w:oddHBand="0" w:evenHBand="0" w:firstRowFirstColumn="0" w:firstRowLastColumn="0" w:lastRowFirstColumn="0" w:lastRowLastColumn="0"/>
            </w:pPr>
            <w:r w:rsidRPr="00243359">
              <w:t>A terrorism event occurs if:</w:t>
            </w:r>
          </w:p>
          <w:p w:rsidR="00AF0BEB" w:rsidRPr="00AF0BEB" w:rsidRDefault="00AF0BEB" w:rsidP="00AF0BEB">
            <w:pPr>
              <w:pStyle w:val="AERquoteindent1"/>
              <w:cnfStyle w:val="000000000000" w:firstRow="0" w:lastRow="0" w:firstColumn="0" w:lastColumn="0" w:oddVBand="0" w:evenVBand="0" w:oddHBand="0" w:evenHBand="0" w:firstRowFirstColumn="0" w:firstRowLastColumn="0" w:lastRowFirstColumn="0" w:lastRowLastColumn="0"/>
            </w:pPr>
            <w:r w:rsidRPr="00243359">
              <w:t xml:space="preserve">An act (including, but not limited to, the use of force or violence or the threat of force or violence) of any person or group of persons (whether acting alone or on behalf of or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 which </w:t>
            </w:r>
            <w:r w:rsidRPr="00AF0BEB">
              <w:t xml:space="preserve">materially increases the costs to </w:t>
            </w:r>
            <w:proofErr w:type="spellStart"/>
            <w:r w:rsidRPr="00AF0BEB">
              <w:t>Ausgrid</w:t>
            </w:r>
            <w:proofErr w:type="spellEnd"/>
            <w:r w:rsidRPr="00AF0BEB">
              <w:t xml:space="preserve"> in providing direct control services.</w:t>
            </w:r>
          </w:p>
          <w:p w:rsidR="00AF0BEB" w:rsidRPr="00AF0BEB" w:rsidRDefault="00AF0BEB" w:rsidP="00AF0BEB">
            <w:pPr>
              <w:pStyle w:val="AERquoteindent1"/>
              <w:cnfStyle w:val="000000000000" w:firstRow="0" w:lastRow="0" w:firstColumn="0" w:lastColumn="0" w:oddVBand="0" w:evenVBand="0" w:oddHBand="0" w:evenHBand="0" w:firstRowFirstColumn="0" w:firstRowLastColumn="0" w:lastRowFirstColumn="0" w:lastRowLastColumn="0"/>
            </w:pPr>
            <w:r w:rsidRPr="00243359">
              <w:t>Note: In assessing a terrorism event pass through application, the AER will have regard to, amongst other things:</w:t>
            </w:r>
          </w:p>
          <w:p w:rsidR="00AF0BEB" w:rsidRPr="00AF0BEB" w:rsidRDefault="00AF0BEB" w:rsidP="00AF0BEB">
            <w:pPr>
              <w:pStyle w:val="AERquoteindent2"/>
              <w:cnfStyle w:val="000000000000" w:firstRow="0" w:lastRow="0" w:firstColumn="0" w:lastColumn="0" w:oddVBand="0" w:evenVBand="0" w:oddHBand="0" w:evenHBand="0" w:firstRowFirstColumn="0" w:firstRowLastColumn="0" w:lastRowFirstColumn="0" w:lastRowLastColumn="0"/>
            </w:pPr>
            <w:proofErr w:type="spellStart"/>
            <w:r w:rsidRPr="00243359">
              <w:t>i</w:t>
            </w:r>
            <w:proofErr w:type="spellEnd"/>
            <w:r w:rsidRPr="00AF0BEB">
              <w:t xml:space="preserve">. whether </w:t>
            </w:r>
            <w:proofErr w:type="spellStart"/>
            <w:r w:rsidRPr="00AF0BEB">
              <w:t>Ausgrid</w:t>
            </w:r>
            <w:proofErr w:type="spellEnd"/>
            <w:r w:rsidRPr="00AF0BEB">
              <w:t xml:space="preserve"> has insurance against the event, </w:t>
            </w:r>
          </w:p>
          <w:p w:rsidR="00AF0BEB" w:rsidRPr="00AF0BEB" w:rsidRDefault="00AF0BEB" w:rsidP="00AF0BEB">
            <w:pPr>
              <w:pStyle w:val="AERquoteindent2"/>
              <w:cnfStyle w:val="000000000000" w:firstRow="0" w:lastRow="0" w:firstColumn="0" w:lastColumn="0" w:oddVBand="0" w:evenVBand="0" w:oddHBand="0" w:evenHBand="0" w:firstRowFirstColumn="0" w:firstRowLastColumn="0" w:lastRowFirstColumn="0" w:lastRowLastColumn="0"/>
            </w:pPr>
            <w:r w:rsidRPr="00243359">
              <w:t>ii. the level of insurance that an efficient and prudent NSP would obtain in respect of the event, and</w:t>
            </w:r>
          </w:p>
          <w:p w:rsidR="00AF0BEB" w:rsidRPr="00AF0BEB" w:rsidRDefault="00AF0BEB" w:rsidP="00AF0BEB">
            <w:pPr>
              <w:pStyle w:val="AERquoteindent2"/>
              <w:cnfStyle w:val="000000000000" w:firstRow="0" w:lastRow="0" w:firstColumn="0" w:lastColumn="0" w:oddVBand="0" w:evenVBand="0" w:oddHBand="0" w:evenHBand="0" w:firstRowFirstColumn="0" w:firstRowLastColumn="0" w:lastRowFirstColumn="0" w:lastRowLastColumn="0"/>
            </w:pPr>
            <w:r w:rsidRPr="00243359">
              <w:t xml:space="preserve">iii. </w:t>
            </w:r>
            <w:proofErr w:type="gramStart"/>
            <w:r w:rsidRPr="00243359">
              <w:t>whether</w:t>
            </w:r>
            <w:proofErr w:type="gramEnd"/>
            <w:r w:rsidRPr="00243359">
              <w:t xml:space="preserve"> a declaration has been made by a relevant government authority that a terrorism event has occurred</w:t>
            </w:r>
            <w:r w:rsidRPr="00AF0BEB">
              <w:t>.</w:t>
            </w:r>
          </w:p>
        </w:tc>
      </w:tr>
    </w:tbl>
    <w:p w:rsidR="004929DE" w:rsidRDefault="004929DE" w:rsidP="008D5B3C">
      <w:pPr>
        <w:pStyle w:val="AERtablesource"/>
      </w:pPr>
      <w:r>
        <w:t>Source:</w:t>
      </w:r>
      <w:r>
        <w:tab/>
        <w:t>AER analysis.</w:t>
      </w:r>
    </w:p>
    <w:p w:rsidR="00DE563D" w:rsidRPr="001754EE" w:rsidRDefault="009B6F84" w:rsidP="001754EE">
      <w:pPr>
        <w:pStyle w:val="Heading2"/>
      </w:pPr>
      <w:bookmarkStart w:id="15" w:name="_Toc417487430"/>
      <w:proofErr w:type="spellStart"/>
      <w:r>
        <w:t>Ausgrid</w:t>
      </w:r>
      <w:r w:rsidR="00415F31" w:rsidRPr="001754EE">
        <w:t>’s</w:t>
      </w:r>
      <w:proofErr w:type="spellEnd"/>
      <w:r w:rsidR="00415F31" w:rsidRPr="001754EE">
        <w:t xml:space="preserve"> revised</w:t>
      </w:r>
      <w:r w:rsidR="00DE563D" w:rsidRPr="001754EE">
        <w:t xml:space="preserve"> proposal</w:t>
      </w:r>
      <w:bookmarkEnd w:id="13"/>
      <w:bookmarkEnd w:id="15"/>
    </w:p>
    <w:p w:rsidR="00266C43" w:rsidRDefault="00266C43" w:rsidP="00266C43">
      <w:r>
        <w:t xml:space="preserve">In our draft decision we did not accept </w:t>
      </w:r>
      <w:proofErr w:type="gramStart"/>
      <w:r>
        <w:t>all of the</w:t>
      </w:r>
      <w:proofErr w:type="gramEnd"/>
      <w:r>
        <w:t xml:space="preserve"> nominated pass through events proposed by </w:t>
      </w:r>
      <w:proofErr w:type="spellStart"/>
      <w:r>
        <w:t>Ausgrid</w:t>
      </w:r>
      <w:proofErr w:type="spellEnd"/>
      <w:r>
        <w:t xml:space="preserve">. Instead we substituted our own definitions of insurance cap event, terrorism event and natural disaster event which we considered satisfied the </w:t>
      </w:r>
      <w:r>
        <w:lastRenderedPageBreak/>
        <w:t xml:space="preserve">requirements of the NER. We did not accept </w:t>
      </w:r>
      <w:proofErr w:type="spellStart"/>
      <w:r>
        <w:t>Ausgrid's</w:t>
      </w:r>
      <w:proofErr w:type="spellEnd"/>
      <w:r>
        <w:t xml:space="preserve"> proposal for an insurer's credit risk event.</w:t>
      </w:r>
      <w:r w:rsidR="001161BC">
        <w:rPr>
          <w:rStyle w:val="FootnoteReference"/>
        </w:rPr>
        <w:footnoteReference w:id="2"/>
      </w:r>
    </w:p>
    <w:p w:rsidR="004F29CB" w:rsidRPr="004F29CB" w:rsidRDefault="004F29CB" w:rsidP="004F29CB">
      <w:r>
        <w:t xml:space="preserve">In its revised proposal, </w:t>
      </w:r>
      <w:proofErr w:type="spellStart"/>
      <w:r>
        <w:t>Ausgrid</w:t>
      </w:r>
      <w:proofErr w:type="spellEnd"/>
      <w:r w:rsidR="009E3E16">
        <w:t xml:space="preserve"> adopted some elements of the draft decision but challenged others. In particular, </w:t>
      </w:r>
      <w:proofErr w:type="spellStart"/>
      <w:r w:rsidR="009E3E16">
        <w:t>Ausgrid</w:t>
      </w:r>
      <w:proofErr w:type="spellEnd"/>
      <w:r w:rsidRPr="004F29CB">
        <w:t>:</w:t>
      </w:r>
      <w:r w:rsidR="00B26EE8" w:rsidRPr="00B26EE8">
        <w:rPr>
          <w:rStyle w:val="FootnoteReference"/>
        </w:rPr>
        <w:t xml:space="preserve"> </w:t>
      </w:r>
      <w:r w:rsidR="00B26EE8">
        <w:rPr>
          <w:rStyle w:val="FootnoteReference"/>
        </w:rPr>
        <w:footnoteReference w:id="3"/>
      </w:r>
    </w:p>
    <w:p w:rsidR="004F29CB" w:rsidRPr="004F29CB" w:rsidRDefault="009E3E16">
      <w:pPr>
        <w:pStyle w:val="AERbulletlistfirststyle"/>
      </w:pPr>
      <w:proofErr w:type="gramStart"/>
      <w:r>
        <w:t>challenged</w:t>
      </w:r>
      <w:proofErr w:type="gramEnd"/>
      <w:r>
        <w:t xml:space="preserve"> our inclusion</w:t>
      </w:r>
      <w:r w:rsidR="00E93445">
        <w:t>, in the definitions of the insurance cap</w:t>
      </w:r>
      <w:r w:rsidR="00C12A26">
        <w:t xml:space="preserve">, </w:t>
      </w:r>
      <w:r w:rsidR="00E93445">
        <w:t>terrorism and natural disaster events,</w:t>
      </w:r>
      <w:r>
        <w:t xml:space="preserve"> of information on how we would apply those definitions.</w:t>
      </w:r>
      <w:r w:rsidR="00B31D1E">
        <w:t xml:space="preserve"> </w:t>
      </w:r>
    </w:p>
    <w:p w:rsidR="009E3E16" w:rsidRDefault="004F29CB" w:rsidP="004F29CB">
      <w:pPr>
        <w:pStyle w:val="AERbulletlistfirststyle"/>
      </w:pPr>
      <w:proofErr w:type="gramStart"/>
      <w:r>
        <w:t>did</w:t>
      </w:r>
      <w:proofErr w:type="gramEnd"/>
      <w:r>
        <w:t xml:space="preserve"> not accept </w:t>
      </w:r>
      <w:r w:rsidR="009E3E16">
        <w:t>our</w:t>
      </w:r>
      <w:r>
        <w:t xml:space="preserve"> </w:t>
      </w:r>
      <w:r w:rsidR="009E3E16">
        <w:t xml:space="preserve">draft </w:t>
      </w:r>
      <w:r>
        <w:t xml:space="preserve">decision </w:t>
      </w:r>
      <w:r w:rsidR="009E3E16">
        <w:t xml:space="preserve">to reject its proposed </w:t>
      </w:r>
      <w:r>
        <w:t>insurer's credit risk</w:t>
      </w:r>
      <w:r w:rsidR="009E3E16">
        <w:t xml:space="preserve"> event, and </w:t>
      </w:r>
      <w:r w:rsidR="00965D08">
        <w:t>responded to our concerns</w:t>
      </w:r>
      <w:r w:rsidR="009E3E16">
        <w:t xml:space="preserve"> that this event </w:t>
      </w:r>
      <w:r w:rsidR="00965D08">
        <w:t>was not</w:t>
      </w:r>
      <w:r w:rsidR="009E3E16">
        <w:t xml:space="preserve"> consistent with the NER.</w:t>
      </w:r>
    </w:p>
    <w:p w:rsidR="004F29CB" w:rsidRDefault="009E3E16" w:rsidP="00D56FE1">
      <w:pPr>
        <w:pStyle w:val="AERbulletlistfirststyle"/>
        <w:numPr>
          <w:ilvl w:val="0"/>
          <w:numId w:val="0"/>
        </w:numPr>
        <w:ind w:left="357" w:hanging="357"/>
      </w:pPr>
      <w:r>
        <w:t xml:space="preserve">These are discussed further in section </w:t>
      </w:r>
      <w:r>
        <w:fldChar w:fldCharType="begin"/>
      </w:r>
      <w:r>
        <w:instrText xml:space="preserve"> REF _Ref414457089 \r \h </w:instrText>
      </w:r>
      <w:r>
        <w:fldChar w:fldCharType="separate"/>
      </w:r>
      <w:r>
        <w:t>15.4</w:t>
      </w:r>
      <w:r>
        <w:fldChar w:fldCharType="end"/>
      </w:r>
      <w:r>
        <w:t xml:space="preserve"> below.</w:t>
      </w:r>
      <w:r w:rsidR="004F29CB">
        <w:t xml:space="preserve"> </w:t>
      </w:r>
    </w:p>
    <w:p w:rsidR="004929DE" w:rsidRDefault="004929DE" w:rsidP="004929DE">
      <w:pPr>
        <w:pStyle w:val="Heading2"/>
      </w:pPr>
      <w:bookmarkStart w:id="16" w:name="_Toc412641895"/>
      <w:bookmarkStart w:id="17" w:name="_Toc417487431"/>
      <w:r w:rsidRPr="001754EE">
        <w:t>AER’s</w:t>
      </w:r>
      <w:r>
        <w:t xml:space="preserve"> assessment approach</w:t>
      </w:r>
      <w:bookmarkEnd w:id="16"/>
      <w:bookmarkEnd w:id="17"/>
    </w:p>
    <w:p w:rsidR="004929DE" w:rsidRDefault="004929DE" w:rsidP="004929DE">
      <w:r>
        <w:t xml:space="preserve">Our approach to assessing cost pass through events was described in detail in attachment 15 of our draft decision for </w:t>
      </w:r>
      <w:proofErr w:type="spellStart"/>
      <w:r>
        <w:t>Ausgrid</w:t>
      </w:r>
      <w:proofErr w:type="spellEnd"/>
      <w:r>
        <w:t>.</w:t>
      </w:r>
      <w:r>
        <w:rPr>
          <w:rStyle w:val="FootnoteReference"/>
        </w:rPr>
        <w:footnoteReference w:id="4"/>
      </w:r>
      <w:r>
        <w:t xml:space="preserve"> </w:t>
      </w:r>
    </w:p>
    <w:p w:rsidR="001C4617" w:rsidRDefault="001C4617" w:rsidP="001C4617">
      <w:r w:rsidRPr="002B285B">
        <w:t xml:space="preserve">Our approach has been guided by the NEO and the </w:t>
      </w:r>
      <w:r>
        <w:t xml:space="preserve">RPP. </w:t>
      </w:r>
      <w:r w:rsidRPr="002B285B">
        <w:t>It provides the NSP with a reasonable opportunity to recover at least the effi</w:t>
      </w:r>
      <w:r>
        <w:t>cient costs</w:t>
      </w:r>
      <w:r w:rsidR="00025F28">
        <w:rPr>
          <w:rStyle w:val="FootnoteReference"/>
        </w:rPr>
        <w:footnoteReference w:id="5"/>
      </w:r>
      <w:r>
        <w:t xml:space="preserve"> the operator incurs</w:t>
      </w:r>
      <w:r w:rsidRPr="002B285B">
        <w:rPr>
          <w:rStyle w:val="AERsuperscript"/>
        </w:rPr>
        <w:footnoteReference w:id="6"/>
      </w:r>
      <w:r>
        <w:t>,</w:t>
      </w:r>
      <w:r w:rsidRPr="002B285B">
        <w:t xml:space="preserve"> while also providing effective incentives to promote economic efficiency.</w:t>
      </w:r>
      <w:r w:rsidRPr="002B285B">
        <w:rPr>
          <w:rStyle w:val="AERsuperscript"/>
        </w:rPr>
        <w:footnoteReference w:id="7"/>
      </w:r>
      <w:r w:rsidRPr="002B285B">
        <w:rPr>
          <w:rStyle w:val="AERsuperscript"/>
        </w:rPr>
        <w:t xml:space="preserve"> </w:t>
      </w:r>
      <w:r w:rsidRPr="002B285B">
        <w:t>It promotes a balance between the economic costs and risks for promoting efficient investment.</w:t>
      </w:r>
      <w:r w:rsidRPr="002B285B">
        <w:rPr>
          <w:rStyle w:val="AERsuperscript"/>
        </w:rPr>
        <w:footnoteReference w:id="8"/>
      </w:r>
    </w:p>
    <w:p w:rsidR="001C4617" w:rsidRDefault="001C4617" w:rsidP="004929DE">
      <w:r>
        <w:t xml:space="preserve">We have maintained the same approach in this final decision.  </w:t>
      </w:r>
    </w:p>
    <w:p w:rsidR="00203BA8" w:rsidRDefault="00203BA8" w:rsidP="00203BA8">
      <w:pPr>
        <w:pStyle w:val="Heading2"/>
      </w:pPr>
      <w:bookmarkStart w:id="18" w:name="_Toc412641896"/>
      <w:bookmarkStart w:id="19" w:name="_Ref414457089"/>
      <w:bookmarkStart w:id="20" w:name="_Toc417487432"/>
      <w:r w:rsidRPr="001754EE">
        <w:t>Reasons</w:t>
      </w:r>
      <w:r>
        <w:t xml:space="preserve"> for final decision</w:t>
      </w:r>
      <w:bookmarkEnd w:id="18"/>
      <w:bookmarkEnd w:id="19"/>
      <w:bookmarkEnd w:id="20"/>
      <w:r>
        <w:t xml:space="preserve"> </w:t>
      </w:r>
    </w:p>
    <w:p w:rsidR="00653195" w:rsidRPr="00B31D1E" w:rsidRDefault="00653195" w:rsidP="00653195">
      <w:r>
        <w:t xml:space="preserve">This section sets out our reasons for the final decision on each pass through event. </w:t>
      </w:r>
    </w:p>
    <w:p w:rsidR="00397AC7" w:rsidRDefault="00653195" w:rsidP="009E3E16">
      <w:r>
        <w:t xml:space="preserve">We discuss </w:t>
      </w:r>
      <w:r w:rsidR="009E3E16">
        <w:t xml:space="preserve">the </w:t>
      </w:r>
      <w:r w:rsidR="00203BA8">
        <w:t xml:space="preserve">arguments in </w:t>
      </w:r>
      <w:proofErr w:type="spellStart"/>
      <w:r w:rsidR="009E3E16">
        <w:t>Ausgrid's</w:t>
      </w:r>
      <w:proofErr w:type="spellEnd"/>
      <w:r w:rsidR="009E3E16">
        <w:t xml:space="preserve"> </w:t>
      </w:r>
      <w:r w:rsidR="00203BA8">
        <w:t>revised proposal</w:t>
      </w:r>
      <w:r>
        <w:t xml:space="preserve"> and how we have addressed them in this final decision</w:t>
      </w:r>
      <w:r w:rsidR="009E3E16">
        <w:t>. In addition, w</w:t>
      </w:r>
      <w:r w:rsidR="00203BA8">
        <w:t>e receive</w:t>
      </w:r>
      <w:r w:rsidR="00397AC7">
        <w:t xml:space="preserve">d </w:t>
      </w:r>
      <w:r w:rsidR="00203BA8">
        <w:t>submissions on pass through</w:t>
      </w:r>
      <w:r w:rsidR="009E3E16">
        <w:t xml:space="preserve"> events</w:t>
      </w:r>
      <w:r w:rsidR="00203BA8">
        <w:t xml:space="preserve"> from </w:t>
      </w:r>
      <w:r w:rsidR="00397AC7">
        <w:t>the following stakeholders</w:t>
      </w:r>
      <w:r w:rsidR="009E3E16">
        <w:t>:</w:t>
      </w:r>
    </w:p>
    <w:p w:rsidR="00203BA8" w:rsidRDefault="00397AC7" w:rsidP="00397AC7">
      <w:pPr>
        <w:pStyle w:val="AERbulletlistfirststyle"/>
      </w:pPr>
      <w:proofErr w:type="spellStart"/>
      <w:r>
        <w:t>AusNet</w:t>
      </w:r>
      <w:proofErr w:type="spellEnd"/>
      <w:r>
        <w:t xml:space="preserve"> Services</w:t>
      </w:r>
      <w:r w:rsidR="00653195">
        <w:t xml:space="preserve"> proposed further amendments to the definition of the insurance cap event</w:t>
      </w:r>
      <w:r w:rsidR="00C12A26">
        <w:t xml:space="preserve"> (discussed in section </w:t>
      </w:r>
      <w:r w:rsidR="00C12A26">
        <w:fldChar w:fldCharType="begin"/>
      </w:r>
      <w:r w:rsidR="00C12A26">
        <w:instrText xml:space="preserve"> REF _Ref414971367 \r \h </w:instrText>
      </w:r>
      <w:r w:rsidR="00C12A26">
        <w:fldChar w:fldCharType="separate"/>
      </w:r>
      <w:r w:rsidR="00C12A26">
        <w:t>15.4.2</w:t>
      </w:r>
      <w:r w:rsidR="00C12A26">
        <w:fldChar w:fldCharType="end"/>
      </w:r>
      <w:r w:rsidR="00C12A26">
        <w:t xml:space="preserve"> below)</w:t>
      </w:r>
      <w:r w:rsidR="00653195">
        <w:t>.</w:t>
      </w:r>
      <w:r w:rsidR="00203BA8">
        <w:t xml:space="preserve"> </w:t>
      </w:r>
    </w:p>
    <w:p w:rsidR="008D5B3C" w:rsidRDefault="00397AC7" w:rsidP="00D56FE1">
      <w:pPr>
        <w:pStyle w:val="AERbulletlistfirststyle"/>
      </w:pPr>
      <w:r>
        <w:t>Jemena Limited</w:t>
      </w:r>
      <w:r w:rsidR="00653195">
        <w:t xml:space="preserve"> </w:t>
      </w:r>
      <w:r w:rsidR="008D5B3C">
        <w:t xml:space="preserve">proposed that we initiate a market consultation on pass through events. We note that </w:t>
      </w:r>
      <w:r w:rsidR="00653195">
        <w:t xml:space="preserve">such a review is beyond the scope of this final decision, but </w:t>
      </w:r>
      <w:r w:rsidR="00653195">
        <w:lastRenderedPageBreak/>
        <w:t xml:space="preserve">that our approach has been informed by </w:t>
      </w:r>
      <w:r w:rsidR="008D5B3C">
        <w:t>the AEMC</w:t>
      </w:r>
      <w:r w:rsidR="00653195">
        <w:t>'s</w:t>
      </w:r>
      <w:r w:rsidR="008D5B3C">
        <w:t xml:space="preserve"> recent consultation on pass through events.</w:t>
      </w:r>
      <w:r w:rsidR="008D5B3C">
        <w:rPr>
          <w:rStyle w:val="FootnoteReference"/>
        </w:rPr>
        <w:footnoteReference w:id="9"/>
      </w:r>
    </w:p>
    <w:p w:rsidR="007B186E" w:rsidRDefault="002C233C" w:rsidP="001754EE">
      <w:pPr>
        <w:pStyle w:val="Heading3"/>
      </w:pPr>
      <w:bookmarkStart w:id="21" w:name="_Toc417487433"/>
      <w:r>
        <w:t>Interrelationships</w:t>
      </w:r>
      <w:bookmarkEnd w:id="21"/>
      <w:r w:rsidR="007D456E">
        <w:t xml:space="preserve"> </w:t>
      </w:r>
    </w:p>
    <w:p w:rsidR="001C4617" w:rsidRPr="00F551EF" w:rsidRDefault="001C4617" w:rsidP="001C4617">
      <w:pPr>
        <w:numPr>
          <w:ilvl w:val="0"/>
          <w:numId w:val="25"/>
        </w:numPr>
      </w:pPr>
      <w:r>
        <w:t>As we discussed in the draft decision, t</w:t>
      </w:r>
      <w:r w:rsidRPr="00F551EF">
        <w:t xml:space="preserve">he nominated pass through events are interrelated with other parts of this determination, in particular with </w:t>
      </w:r>
      <w:proofErr w:type="spellStart"/>
      <w:r>
        <w:t>Ausgrid's</w:t>
      </w:r>
      <w:proofErr w:type="spellEnd"/>
      <w:r w:rsidRPr="00F551EF">
        <w:t xml:space="preserve"> proposed </w:t>
      </w:r>
      <w:proofErr w:type="spellStart"/>
      <w:r w:rsidRPr="00F551EF">
        <w:t>opex</w:t>
      </w:r>
      <w:proofErr w:type="spellEnd"/>
      <w:r w:rsidRPr="00F551EF">
        <w:t xml:space="preserve"> and capex allowances and the rate of return</w:t>
      </w:r>
      <w:r>
        <w:t>.</w:t>
      </w:r>
      <w:r w:rsidRPr="00F551EF">
        <w:t xml:space="preserve"> These interrelationships require </w:t>
      </w:r>
      <w:r w:rsidR="00FD5DC3">
        <w:t>that we</w:t>
      </w:r>
      <w:r w:rsidRPr="00F551EF">
        <w:t xml:space="preserve"> balance</w:t>
      </w:r>
      <w:r w:rsidR="00FD5DC3">
        <w:t xml:space="preserve"> our decision to accept nominated pass through events with the need</w:t>
      </w:r>
      <w:r w:rsidRPr="00F551EF">
        <w:t xml:space="preserve"> </w:t>
      </w:r>
      <w:r w:rsidR="00FD5DC3">
        <w:t>to maintain appropriate incentives in other parts of our decision</w:t>
      </w:r>
      <w:r w:rsidRPr="00F551EF">
        <w:t xml:space="preserve">. </w:t>
      </w:r>
    </w:p>
    <w:p w:rsidR="0098354D" w:rsidRDefault="00397AC7" w:rsidP="0098354D">
      <w:pPr>
        <w:pStyle w:val="Heading3"/>
      </w:pPr>
      <w:bookmarkStart w:id="22" w:name="_Ref414971367"/>
      <w:bookmarkStart w:id="23" w:name="_Toc417487434"/>
      <w:r>
        <w:t>I</w:t>
      </w:r>
      <w:r w:rsidR="0098354D">
        <w:t>nsurance cap, natural disaster and terrorism events</w:t>
      </w:r>
      <w:bookmarkEnd w:id="22"/>
      <w:bookmarkEnd w:id="23"/>
    </w:p>
    <w:p w:rsidR="009C2076" w:rsidRDefault="0088743B" w:rsidP="0098354D">
      <w:r>
        <w:t xml:space="preserve">In our draft decision we rejected </w:t>
      </w:r>
      <w:proofErr w:type="spellStart"/>
      <w:r>
        <w:t>Ausgrid's</w:t>
      </w:r>
      <w:proofErr w:type="spellEnd"/>
      <w:r>
        <w:t xml:space="preserve"> </w:t>
      </w:r>
      <w:r w:rsidR="00653195">
        <w:t xml:space="preserve">proposed </w:t>
      </w:r>
      <w:r>
        <w:t xml:space="preserve">definitions for insurance cap, terrorism and natural disaster events, and substituted </w:t>
      </w:r>
      <w:r w:rsidR="00653195">
        <w:t>alternative definitions that we considered satisfied the requirements of the NER</w:t>
      </w:r>
      <w:r>
        <w:t xml:space="preserve">. In its revised proposal </w:t>
      </w:r>
      <w:proofErr w:type="spellStart"/>
      <w:r w:rsidR="0041375A">
        <w:t>Ausgrid</w:t>
      </w:r>
      <w:proofErr w:type="spellEnd"/>
      <w:r w:rsidR="0041375A">
        <w:t xml:space="preserve"> </w:t>
      </w:r>
      <w:r w:rsidR="00160B46">
        <w:t xml:space="preserve">accepted part of our definitions in the draft decision but </w:t>
      </w:r>
      <w:r w:rsidR="0041375A">
        <w:t xml:space="preserve">proposed </w:t>
      </w:r>
      <w:r w:rsidR="00160B46">
        <w:t>amended</w:t>
      </w:r>
      <w:r>
        <w:t xml:space="preserve"> </w:t>
      </w:r>
      <w:r w:rsidR="00203BA8">
        <w:t>definitions</w:t>
      </w:r>
      <w:r>
        <w:t xml:space="preserve">. </w:t>
      </w:r>
    </w:p>
    <w:p w:rsidR="00292C23" w:rsidRDefault="00965D08" w:rsidP="0098354D">
      <w:r>
        <w:t xml:space="preserve">In relation to all three of these events, </w:t>
      </w:r>
      <w:proofErr w:type="spellStart"/>
      <w:r w:rsidR="00E60CCC">
        <w:t>Ausgrid</w:t>
      </w:r>
      <w:proofErr w:type="spellEnd"/>
      <w:r w:rsidR="00E60CCC">
        <w:t xml:space="preserve"> </w:t>
      </w:r>
      <w:r w:rsidR="00653195">
        <w:t>argues</w:t>
      </w:r>
      <w:r w:rsidR="00E60CCC">
        <w:t xml:space="preserve"> that</w:t>
      </w:r>
      <w:r w:rsidR="00292C23">
        <w:t>:</w:t>
      </w:r>
    </w:p>
    <w:p w:rsidR="000C5485" w:rsidRDefault="0088743B" w:rsidP="001C4617">
      <w:pPr>
        <w:pStyle w:val="AERbulletlistfirststyle"/>
      </w:pPr>
      <w:proofErr w:type="gramStart"/>
      <w:r>
        <w:t>the</w:t>
      </w:r>
      <w:proofErr w:type="gramEnd"/>
      <w:r>
        <w:t xml:space="preserve"> definitions of </w:t>
      </w:r>
      <w:r w:rsidR="00292C23">
        <w:t xml:space="preserve">pass through </w:t>
      </w:r>
      <w:r>
        <w:t>events</w:t>
      </w:r>
      <w:r w:rsidR="00E60CCC">
        <w:t xml:space="preserve"> should not include factors that go to the assessment of </w:t>
      </w:r>
      <w:r w:rsidR="00B342F0">
        <w:t>a pass through application, because these are already set out in the NER</w:t>
      </w:r>
      <w:r w:rsidR="00134006">
        <w:t>.</w:t>
      </w:r>
      <w:r w:rsidR="00B342F0" w:rsidRPr="00B342F0">
        <w:rPr>
          <w:rStyle w:val="FootnoteReference"/>
        </w:rPr>
        <w:footnoteReference w:id="10"/>
      </w:r>
      <w:r w:rsidR="00AA4D7A">
        <w:rPr>
          <w:rStyle w:val="FootnoteReference"/>
        </w:rPr>
        <w:t xml:space="preserve"> </w:t>
      </w:r>
      <w:r w:rsidR="00DD02ED">
        <w:t xml:space="preserve"> </w:t>
      </w:r>
      <w:proofErr w:type="spellStart"/>
      <w:r w:rsidR="000C5485">
        <w:t>Ausgrid</w:t>
      </w:r>
      <w:proofErr w:type="spellEnd"/>
      <w:r w:rsidR="000C5485">
        <w:t xml:space="preserve"> also considered that there was some overlap between the definitions of some of the elements of the nominated pass through event definitions and various provisions of the rules, in particular 6.6.1(j)(3), (5) and (7).</w:t>
      </w:r>
    </w:p>
    <w:p w:rsidR="00292C23" w:rsidRDefault="00DD02ED" w:rsidP="00752806">
      <w:pPr>
        <w:pStyle w:val="AERbulletlistfirststyle"/>
      </w:pPr>
      <w:proofErr w:type="gramStart"/>
      <w:r>
        <w:t>including</w:t>
      </w:r>
      <w:proofErr w:type="gramEnd"/>
      <w:r>
        <w:t xml:space="preserve"> the</w:t>
      </w:r>
      <w:r w:rsidR="00292C23">
        <w:t>se</w:t>
      </w:r>
      <w:r>
        <w:t xml:space="preserve"> factors would be inconsistent with the </w:t>
      </w:r>
      <w:r w:rsidR="00504FFB">
        <w:t xml:space="preserve">definitions of prescribed </w:t>
      </w:r>
      <w:r w:rsidR="00292C23">
        <w:t>pass through</w:t>
      </w:r>
      <w:r>
        <w:t xml:space="preserve"> events</w:t>
      </w:r>
      <w:r w:rsidR="00292C23">
        <w:t xml:space="preserve"> in the NER, which do not include </w:t>
      </w:r>
      <w:r w:rsidR="00B342F0">
        <w:t>this detail</w:t>
      </w:r>
      <w:r>
        <w:t>.</w:t>
      </w:r>
      <w:r>
        <w:rPr>
          <w:rStyle w:val="FootnoteReference"/>
        </w:rPr>
        <w:footnoteReference w:id="11"/>
      </w:r>
      <w:r w:rsidR="00E73444">
        <w:t xml:space="preserve"> </w:t>
      </w:r>
    </w:p>
    <w:p w:rsidR="000C5485" w:rsidRPr="00397AC7" w:rsidRDefault="000C5485" w:rsidP="000C5485">
      <w:r>
        <w:t xml:space="preserve">Similarly, in its submission, </w:t>
      </w:r>
      <w:proofErr w:type="spellStart"/>
      <w:r w:rsidRPr="00397AC7">
        <w:t>AusNet</w:t>
      </w:r>
      <w:proofErr w:type="spellEnd"/>
      <w:r w:rsidRPr="00397AC7">
        <w:t xml:space="preserve"> Services suggests the following refinements to the </w:t>
      </w:r>
      <w:r>
        <w:t>definitions in our draft decision, which it submits will</w:t>
      </w:r>
      <w:r w:rsidRPr="00397AC7">
        <w:t xml:space="preserve"> achieve greater clarity and consistency with existing definitions and Rules: </w:t>
      </w:r>
    </w:p>
    <w:p w:rsidR="000C5485" w:rsidRDefault="00C4227A" w:rsidP="000C5485">
      <w:pPr>
        <w:pStyle w:val="AERbulletlistfirststyle"/>
      </w:pPr>
      <w:r>
        <w:t>t</w:t>
      </w:r>
      <w:r w:rsidR="000C5485" w:rsidRPr="00397AC7">
        <w:t>he reference in para</w:t>
      </w:r>
      <w:r w:rsidR="000C5485">
        <w:t>graph</w:t>
      </w:r>
      <w:r w:rsidR="000C5485" w:rsidRPr="00397AC7">
        <w:t xml:space="preserve"> 5(</w:t>
      </w:r>
      <w:proofErr w:type="spellStart"/>
      <w:r w:rsidR="000C5485" w:rsidRPr="00397AC7">
        <w:t>i</w:t>
      </w:r>
      <w:proofErr w:type="spellEnd"/>
      <w:r w:rsidR="000C5485" w:rsidRPr="00397AC7">
        <w:t>)</w:t>
      </w:r>
      <w:r w:rsidR="000C5485">
        <w:t xml:space="preserve"> of the AER's definition of an insurance cap event</w:t>
      </w:r>
      <w:r w:rsidR="000C5485" w:rsidRPr="00397AC7">
        <w:t xml:space="preserve"> should be </w:t>
      </w:r>
      <w:r w:rsidR="000C5485">
        <w:t>to a 'relevant insurance policy'</w:t>
      </w:r>
      <w:r w:rsidR="000C5485">
        <w:rPr>
          <w:rStyle w:val="FootnoteReference"/>
        </w:rPr>
        <w:footnoteReference w:id="12"/>
      </w:r>
    </w:p>
    <w:p w:rsidR="000C5485" w:rsidRDefault="00C4227A" w:rsidP="000C5485">
      <w:pPr>
        <w:pStyle w:val="AERbulletlistfirststyle"/>
      </w:pPr>
      <w:proofErr w:type="gramStart"/>
      <w:r>
        <w:t>p</w:t>
      </w:r>
      <w:r w:rsidR="000C5485" w:rsidRPr="00397AC7">
        <w:t>ara</w:t>
      </w:r>
      <w:r w:rsidR="000C5485">
        <w:t>graph</w:t>
      </w:r>
      <w:proofErr w:type="gramEnd"/>
      <w:r w:rsidR="000C5485" w:rsidRPr="00397AC7">
        <w:t xml:space="preserve"> 5(iii) </w:t>
      </w:r>
      <w:r w:rsidR="000C5485">
        <w:t xml:space="preserve">should be deleted </w:t>
      </w:r>
      <w:r w:rsidR="000C5485" w:rsidRPr="00397AC7">
        <w:t>as it duplicates clause 6.6.1(j)(3) of the NER and potentially introduces confusion.</w:t>
      </w:r>
      <w:r w:rsidR="000C5485">
        <w:rPr>
          <w:rStyle w:val="FootnoteReference"/>
        </w:rPr>
        <w:footnoteReference w:id="13"/>
      </w:r>
    </w:p>
    <w:p w:rsidR="00B342F0" w:rsidRPr="00B342F0" w:rsidRDefault="00504FFB" w:rsidP="00752806">
      <w:r>
        <w:t>T</w:t>
      </w:r>
      <w:r w:rsidR="00B342F0" w:rsidRPr="00B342F0">
        <w:t xml:space="preserve">he NER do not include this additional information in defining </w:t>
      </w:r>
      <w:r w:rsidR="00AC6E20">
        <w:t xml:space="preserve">the </w:t>
      </w:r>
      <w:r w:rsidR="005004F2">
        <w:t>prescribed</w:t>
      </w:r>
      <w:r w:rsidR="00AC6E20" w:rsidRPr="00B342F0">
        <w:t xml:space="preserve"> </w:t>
      </w:r>
      <w:r w:rsidR="00B342F0" w:rsidRPr="00B342F0">
        <w:t>pass through events</w:t>
      </w:r>
      <w:r>
        <w:t>. However</w:t>
      </w:r>
      <w:r w:rsidR="00B342F0" w:rsidRPr="00B342F0">
        <w:t xml:space="preserve">, we do not consider </w:t>
      </w:r>
      <w:r w:rsidR="00AC6E20">
        <w:t xml:space="preserve">including </w:t>
      </w:r>
      <w:r w:rsidR="00A83DEE">
        <w:t xml:space="preserve">this additional information </w:t>
      </w:r>
      <w:r w:rsidR="000C5485">
        <w:t xml:space="preserve">in definitions of </w:t>
      </w:r>
      <w:r w:rsidR="00A83DEE">
        <w:t xml:space="preserve">nominated </w:t>
      </w:r>
      <w:r w:rsidR="000C5485">
        <w:t>events</w:t>
      </w:r>
      <w:r w:rsidR="00AC6E20">
        <w:t xml:space="preserve"> is</w:t>
      </w:r>
      <w:r w:rsidR="00B342F0" w:rsidRPr="00B342F0">
        <w:t xml:space="preserve"> inconsistent with</w:t>
      </w:r>
      <w:r>
        <w:t>, or contrary to,</w:t>
      </w:r>
      <w:r w:rsidR="00B342F0" w:rsidRPr="00B342F0">
        <w:t xml:space="preserve"> the NER.</w:t>
      </w:r>
    </w:p>
    <w:p w:rsidR="00B342F0" w:rsidRDefault="00B342F0" w:rsidP="00752806">
      <w:r w:rsidRPr="00B342F0">
        <w:lastRenderedPageBreak/>
        <w:t xml:space="preserve">The NER include, at a high level, matters that </w:t>
      </w:r>
      <w:r w:rsidR="00C12A26">
        <w:t>we are</w:t>
      </w:r>
      <w:r w:rsidRPr="00B342F0">
        <w:t xml:space="preserve"> to have </w:t>
      </w:r>
      <w:proofErr w:type="gramStart"/>
      <w:r w:rsidRPr="00B342F0">
        <w:t>regard</w:t>
      </w:r>
      <w:proofErr w:type="gramEnd"/>
      <w:r w:rsidRPr="00B342F0">
        <w:t xml:space="preserve"> to in assessing pass through applications.</w:t>
      </w:r>
      <w:r w:rsidR="00A83DEE">
        <w:rPr>
          <w:rStyle w:val="FootnoteReference"/>
        </w:rPr>
        <w:footnoteReference w:id="14"/>
      </w:r>
      <w:r w:rsidRPr="00B342F0">
        <w:t xml:space="preserve"> To more clearly identify when </w:t>
      </w:r>
      <w:r>
        <w:t xml:space="preserve">a </w:t>
      </w:r>
      <w:r w:rsidRPr="00B342F0">
        <w:t xml:space="preserve">pass through event would be taken to </w:t>
      </w:r>
      <w:r w:rsidR="00EC54C2">
        <w:t xml:space="preserve">have </w:t>
      </w:r>
      <w:r w:rsidRPr="00B342F0">
        <w:t>occur</w:t>
      </w:r>
      <w:r w:rsidR="00EC54C2">
        <w:t>red</w:t>
      </w:r>
      <w:r w:rsidRPr="00B342F0">
        <w:t xml:space="preserve">, the alternative definitions in our draft decision included specific factors which we will have regard to. These provide greater certainty and transparency in the operation of </w:t>
      </w:r>
      <w:r w:rsidR="00504FFB">
        <w:t xml:space="preserve">nominated </w:t>
      </w:r>
      <w:r w:rsidRPr="00B342F0">
        <w:t>pass through events given the 'significant cost impact'</w:t>
      </w:r>
      <w:r w:rsidRPr="00B342F0">
        <w:rPr>
          <w:rStyle w:val="FootnoteReference"/>
        </w:rPr>
        <w:footnoteReference w:id="15"/>
      </w:r>
      <w:r w:rsidRPr="00B342F0">
        <w:t xml:space="preserve"> that our decision on a pass through application can have on the NSP or its customers.</w:t>
      </w:r>
      <w:r w:rsidR="00504FFB">
        <w:t xml:space="preserve"> This </w:t>
      </w:r>
      <w:r w:rsidR="00A83DEE">
        <w:t xml:space="preserve">approach </w:t>
      </w:r>
      <w:r w:rsidR="00504FFB">
        <w:t>supports t</w:t>
      </w:r>
      <w:r w:rsidR="00504FFB" w:rsidRPr="00B342F0">
        <w:t xml:space="preserve">he nominated pass through event considerations </w:t>
      </w:r>
      <w:r w:rsidR="00504FFB">
        <w:t xml:space="preserve">in the NER, which </w:t>
      </w:r>
      <w:r w:rsidR="00504FFB" w:rsidRPr="00B342F0">
        <w:t xml:space="preserve">specifically state that nominated pass through </w:t>
      </w:r>
      <w:proofErr w:type="gramStart"/>
      <w:r w:rsidR="00504FFB" w:rsidRPr="00B342F0">
        <w:t>events</w:t>
      </w:r>
      <w:proofErr w:type="gramEnd"/>
      <w:r w:rsidR="00504FFB" w:rsidRPr="00B342F0">
        <w:t xml:space="preserve"> should be clearly identified at the time the determination is made.</w:t>
      </w:r>
      <w:r w:rsidR="00504FFB" w:rsidRPr="00504FFB">
        <w:rPr>
          <w:rStyle w:val="FootnoteReference"/>
        </w:rPr>
        <w:footnoteReference w:id="16"/>
      </w:r>
      <w:r w:rsidR="00A97B87">
        <w:t xml:space="preserve"> In the case of the insurance cap event</w:t>
      </w:r>
      <w:r w:rsidR="00A83DEE">
        <w:t>, the natural disaster event and the terrorism event</w:t>
      </w:r>
      <w:r w:rsidR="00A97B87">
        <w:t>, this includes whether the NSP has insurance against the event as well as the level of insurance that it has acquired.</w:t>
      </w:r>
    </w:p>
    <w:p w:rsidR="000C5485" w:rsidRDefault="000C5485" w:rsidP="000C5485">
      <w:r>
        <w:t xml:space="preserve">We </w:t>
      </w:r>
      <w:r w:rsidR="00A97B87">
        <w:t xml:space="preserve">do </w:t>
      </w:r>
      <w:r>
        <w:t>accept that paragraph 5(iii) of our definition is not required in addition to clause</w:t>
      </w:r>
      <w:r w:rsidR="001C4617">
        <w:t>s</w:t>
      </w:r>
      <w:r>
        <w:t xml:space="preserve"> 6.6.1(j</w:t>
      </w:r>
      <w:proofErr w:type="gramStart"/>
      <w:r>
        <w:t>)(</w:t>
      </w:r>
      <w:proofErr w:type="gramEnd"/>
      <w:r>
        <w:t>3)</w:t>
      </w:r>
      <w:r w:rsidR="001C4617">
        <w:t>,(5) and (7)</w:t>
      </w:r>
      <w:r w:rsidR="00747D93">
        <w:t xml:space="preserve"> of the NER</w:t>
      </w:r>
      <w:r>
        <w:t>. Specifically, in assessing a pass through application clause 6.6.1(j</w:t>
      </w:r>
      <w:proofErr w:type="gramStart"/>
      <w:r>
        <w:t>)(</w:t>
      </w:r>
      <w:proofErr w:type="gramEnd"/>
      <w:r>
        <w:t>3) states we are to</w:t>
      </w:r>
      <w:r w:rsidRPr="006E2611">
        <w:t xml:space="preserve"> </w:t>
      </w:r>
      <w:r>
        <w:t xml:space="preserve">consider the efficiency of the NSP's decisions and actions in relation to the risk of the event. </w:t>
      </w:r>
    </w:p>
    <w:p w:rsidR="00AC6E20" w:rsidRPr="00986300" w:rsidRDefault="00A97B87" w:rsidP="00AC6E20">
      <w:r>
        <w:t xml:space="preserve">We also agree that as </w:t>
      </w:r>
      <w:r w:rsidR="00AC6E20" w:rsidRPr="00986300">
        <w:t>'</w:t>
      </w:r>
      <w:r>
        <w:t>r</w:t>
      </w:r>
      <w:r w:rsidR="00AC6E20" w:rsidRPr="00986300">
        <w:t>elevant insurance policy' is defined</w:t>
      </w:r>
      <w:r w:rsidR="00AC6E20">
        <w:t xml:space="preserve"> within our definition of the insurance cap event, </w:t>
      </w:r>
      <w:r>
        <w:t xml:space="preserve">consistent </w:t>
      </w:r>
      <w:r w:rsidR="00AC6E20">
        <w:t xml:space="preserve">use of </w:t>
      </w:r>
      <w:r>
        <w:t>that</w:t>
      </w:r>
      <w:r w:rsidR="00AC6E20" w:rsidRPr="00986300">
        <w:t xml:space="preserve"> term throughout the definition</w:t>
      </w:r>
      <w:r w:rsidR="00AC6E20">
        <w:t xml:space="preserve"> is preferable</w:t>
      </w:r>
      <w:r w:rsidR="00AC6E20" w:rsidRPr="00986300">
        <w:t>. We have therefore amended the definition to use this term at paragraph 5(</w:t>
      </w:r>
      <w:proofErr w:type="spellStart"/>
      <w:r w:rsidR="00AC6E20" w:rsidRPr="00986300">
        <w:t>i</w:t>
      </w:r>
      <w:proofErr w:type="spellEnd"/>
      <w:r w:rsidR="00AC6E20" w:rsidRPr="00986300">
        <w:t>).</w:t>
      </w:r>
    </w:p>
    <w:p w:rsidR="00DA6343" w:rsidRDefault="00DA6343">
      <w:proofErr w:type="spellStart"/>
      <w:r>
        <w:t>Ausgrid</w:t>
      </w:r>
      <w:proofErr w:type="spellEnd"/>
      <w:r>
        <w:t xml:space="preserve"> also challenged </w:t>
      </w:r>
      <w:r w:rsidR="00CB535F">
        <w:t>aspects of our proposed definitions of the natural disaster and terrorism events.</w:t>
      </w:r>
      <w:r w:rsidR="003D38E6">
        <w:t xml:space="preserve"> </w:t>
      </w:r>
      <w:r w:rsidR="00CB535F">
        <w:t xml:space="preserve">It argued that we should not </w:t>
      </w:r>
      <w:r w:rsidR="008C3AE2">
        <w:t>include, in</w:t>
      </w:r>
      <w:r w:rsidR="00B02471">
        <w:t xml:space="preserve"> the</w:t>
      </w:r>
      <w:r>
        <w:t xml:space="preserve"> definition of</w:t>
      </w:r>
      <w:r w:rsidR="00441E48">
        <w:t xml:space="preserve"> </w:t>
      </w:r>
      <w:r>
        <w:t>the natural dis</w:t>
      </w:r>
      <w:r w:rsidR="00747D93">
        <w:t>aster event and terrorism event</w:t>
      </w:r>
      <w:r>
        <w:t xml:space="preserve"> </w:t>
      </w:r>
      <w:r w:rsidR="00B02471">
        <w:t xml:space="preserve">that </w:t>
      </w:r>
      <w:r w:rsidR="002D72E3">
        <w:t>we would have regard to</w:t>
      </w:r>
      <w:r>
        <w:t xml:space="preserve"> whether a 'declaration' has been made by a relevant government authority that such an event has occurred.</w:t>
      </w:r>
    </w:p>
    <w:p w:rsidR="00441E48" w:rsidRDefault="00441E48" w:rsidP="001C4617">
      <w:r w:rsidRPr="00B02471">
        <w:t>Whether a relevant government authority has made a relevant declaration in respect of these pass through events is a factor that we would have regard to in considering whether to approve such a pass through event. We consider that this adds clarity around the purpose of th</w:t>
      </w:r>
      <w:r w:rsidR="00B02471">
        <w:t>is nominated pass through event and when it is likely to be considered to have occurred. We therefore maintain this element of the definition.</w:t>
      </w:r>
    </w:p>
    <w:p w:rsidR="00DA6343" w:rsidRPr="00441E48" w:rsidRDefault="00441E48">
      <w:proofErr w:type="spellStart"/>
      <w:r>
        <w:t>Ausgrid</w:t>
      </w:r>
      <w:proofErr w:type="spellEnd"/>
      <w:r>
        <w:t xml:space="preserve"> </w:t>
      </w:r>
      <w:r w:rsidRPr="00441E48">
        <w:t xml:space="preserve">also challenged the </w:t>
      </w:r>
      <w:r w:rsidR="00CB535F">
        <w:t xml:space="preserve">addition of the following consideration in our proposed </w:t>
      </w:r>
      <w:r w:rsidR="00CB535F" w:rsidRPr="00441E48">
        <w:t>definition of</w:t>
      </w:r>
      <w:r w:rsidR="00CB535F">
        <w:t xml:space="preserve"> </w:t>
      </w:r>
      <w:r w:rsidR="00CB535F" w:rsidRPr="00441E48">
        <w:t>the natural disaster event</w:t>
      </w:r>
      <w:r w:rsidR="00DA6343" w:rsidRPr="00441E48">
        <w:t>:</w:t>
      </w:r>
    </w:p>
    <w:p w:rsidR="00DA6343" w:rsidRPr="006851F6" w:rsidRDefault="00DA6343" w:rsidP="00DA6343">
      <w:pPr>
        <w:pStyle w:val="AERquote"/>
      </w:pPr>
      <w:proofErr w:type="gramStart"/>
      <w:r w:rsidRPr="00DA6343">
        <w:t>Provided the fire, flood or other event was not a consequence of the acts or omissions of the service provider.</w:t>
      </w:r>
      <w:proofErr w:type="gramEnd"/>
    </w:p>
    <w:p w:rsidR="00DA6343" w:rsidRDefault="00B02471" w:rsidP="00752806">
      <w:r>
        <w:t>O</w:t>
      </w:r>
      <w:r w:rsidR="000B3887">
        <w:t xml:space="preserve">ur assessment approach for </w:t>
      </w:r>
      <w:r>
        <w:t>determining which nominated pass through events to include in our final decision</w:t>
      </w:r>
      <w:r w:rsidR="000B3887">
        <w:t xml:space="preserve"> </w:t>
      </w:r>
      <w:r>
        <w:t>includes consideration of</w:t>
      </w:r>
      <w:r w:rsidR="000B3887">
        <w:t xml:space="preserve"> who is best placed to bear the risks of events occurring. </w:t>
      </w:r>
      <w:r>
        <w:t>Adopting a definition which notes that we will not allow NSPs to pass through costs where the event has been caused by the NSP is consistent with the regulatory regime. W</w:t>
      </w:r>
      <w:r w:rsidR="000B3887">
        <w:t xml:space="preserve">e have sought to maintain the incentive properties of the </w:t>
      </w:r>
      <w:r w:rsidR="000B3887">
        <w:lastRenderedPageBreak/>
        <w:t>regime by excluding events that businesses have control over.</w:t>
      </w:r>
      <w:r>
        <w:t xml:space="preserve"> </w:t>
      </w:r>
      <w:r w:rsidR="000B3887">
        <w:t xml:space="preserve">We therefore </w:t>
      </w:r>
      <w:r>
        <w:t>maintain this element</w:t>
      </w:r>
      <w:r w:rsidR="00AC6E20">
        <w:t xml:space="preserve"> </w:t>
      </w:r>
      <w:r>
        <w:t>of</w:t>
      </w:r>
      <w:r w:rsidR="00AC6E20">
        <w:t xml:space="preserve"> the</w:t>
      </w:r>
      <w:r w:rsidR="000B3887">
        <w:t xml:space="preserve"> definition.</w:t>
      </w:r>
    </w:p>
    <w:p w:rsidR="001F6656" w:rsidRDefault="001F6656" w:rsidP="003D38E6">
      <w:r>
        <w:t xml:space="preserve">We have also considered the use of the terms, 'material' </w:t>
      </w:r>
      <w:r w:rsidR="00A462AF">
        <w:t>and</w:t>
      </w:r>
      <w:r>
        <w:t xml:space="preserve"> 'materially', in our pass through definitions. </w:t>
      </w:r>
      <w:r w:rsidR="003D38E6">
        <w:t>The use of these terms is not inconsistent with the definition of the term in the NER. The definitions of the prescribed pass through events also use these terms.</w:t>
      </w:r>
      <w:r w:rsidR="00652DD8">
        <w:t xml:space="preserve"> We have therefore </w:t>
      </w:r>
      <w:r w:rsidR="003D38E6">
        <w:t xml:space="preserve">maintained the use of </w:t>
      </w:r>
      <w:r w:rsidR="00652DD8">
        <w:t xml:space="preserve">these terms </w:t>
      </w:r>
      <w:r w:rsidR="003D38E6">
        <w:t xml:space="preserve">in </w:t>
      </w:r>
      <w:r w:rsidR="00652DD8">
        <w:t>our pass through definitions.</w:t>
      </w:r>
    </w:p>
    <w:p w:rsidR="00E93445" w:rsidRDefault="00E93445" w:rsidP="004F53ED">
      <w:r>
        <w:t>Our final decision therefore includes insurance cap, terrorism and natural disaster events, but</w:t>
      </w:r>
      <w:r w:rsidR="005C0A99">
        <w:t xml:space="preserve"> makes the following amendments to the definitions</w:t>
      </w:r>
      <w:r>
        <w:t>:</w:t>
      </w:r>
    </w:p>
    <w:p w:rsidR="00A83DEE" w:rsidRDefault="00C4227A" w:rsidP="00752806">
      <w:pPr>
        <w:pStyle w:val="AERbulletlistfirststyle"/>
      </w:pPr>
      <w:r>
        <w:t>r</w:t>
      </w:r>
      <w:r w:rsidR="00A83DEE">
        <w:t>emoves references which replicate clause 6.6.1(j)(3</w:t>
      </w:r>
      <w:r w:rsidR="00F57480">
        <w:t>) of the NER</w:t>
      </w:r>
    </w:p>
    <w:p w:rsidR="001F6656" w:rsidRDefault="00C4227A" w:rsidP="00752806">
      <w:pPr>
        <w:pStyle w:val="AERbulletlistfirststyle"/>
      </w:pPr>
      <w:proofErr w:type="gramStart"/>
      <w:r>
        <w:t>c</w:t>
      </w:r>
      <w:r w:rsidR="001F6656">
        <w:t>onsistent</w:t>
      </w:r>
      <w:proofErr w:type="gramEnd"/>
      <w:r w:rsidR="001F6656">
        <w:t xml:space="preserve"> use of the term, 'relevant </w:t>
      </w:r>
      <w:r w:rsidR="001910FB">
        <w:t>insurance policy</w:t>
      </w:r>
      <w:r w:rsidR="001F6656">
        <w:t>'</w:t>
      </w:r>
      <w:r w:rsidR="003D38E6">
        <w:t>.</w:t>
      </w:r>
    </w:p>
    <w:p w:rsidR="0098354D" w:rsidRPr="00612F4F" w:rsidRDefault="0098354D" w:rsidP="0098354D">
      <w:pPr>
        <w:pStyle w:val="Heading3"/>
      </w:pPr>
      <w:bookmarkStart w:id="24" w:name="_Toc417487435"/>
      <w:r>
        <w:t>Insurer's credit risk event</w:t>
      </w:r>
      <w:bookmarkEnd w:id="24"/>
    </w:p>
    <w:p w:rsidR="00323943" w:rsidRDefault="00203BA8" w:rsidP="00323943">
      <w:r>
        <w:t xml:space="preserve">The insurer's credit risk </w:t>
      </w:r>
      <w:r w:rsidR="00323943">
        <w:t xml:space="preserve">event is intended to provide for circumstances in </w:t>
      </w:r>
      <w:r>
        <w:t xml:space="preserve">which an insurance </w:t>
      </w:r>
      <w:r w:rsidR="00323943">
        <w:t>claim is successful,</w:t>
      </w:r>
      <w:r>
        <w:t xml:space="preserve"> but </w:t>
      </w:r>
      <w:proofErr w:type="spellStart"/>
      <w:r w:rsidR="00323943">
        <w:t>Ausgrid</w:t>
      </w:r>
      <w:proofErr w:type="spellEnd"/>
      <w:r w:rsidR="00323943">
        <w:t xml:space="preserve"> is unable to recover </w:t>
      </w:r>
      <w:r w:rsidR="00435E2C">
        <w:t>against its insurance policy</w:t>
      </w:r>
      <w:r w:rsidR="00323943">
        <w:t xml:space="preserve"> </w:t>
      </w:r>
      <w:r>
        <w:t xml:space="preserve">as a result of the insolvency of an insurance provider. </w:t>
      </w:r>
      <w:r w:rsidR="00323943">
        <w:t xml:space="preserve">In our draft decision, we rejected this event and stated that </w:t>
      </w:r>
      <w:proofErr w:type="spellStart"/>
      <w:r w:rsidR="00323943">
        <w:t>Ausgrid</w:t>
      </w:r>
      <w:proofErr w:type="spellEnd"/>
      <w:r w:rsidR="00323943" w:rsidRPr="00D42DA4">
        <w:t xml:space="preserve"> </w:t>
      </w:r>
      <w:r w:rsidR="00323943">
        <w:t xml:space="preserve">may be able to </w:t>
      </w:r>
      <w:r w:rsidR="00323943" w:rsidRPr="00D42DA4">
        <w:t xml:space="preserve">prevent this event occurring by </w:t>
      </w:r>
      <w:r w:rsidR="00323943">
        <w:t>purchasing</w:t>
      </w:r>
      <w:r w:rsidR="00323943" w:rsidRPr="00D42DA4">
        <w:t xml:space="preserve"> insurance from </w:t>
      </w:r>
      <w:r w:rsidR="00323943">
        <w:t>reputable providers who have the capacity to satisfy any claims.</w:t>
      </w:r>
      <w:r w:rsidR="00323943">
        <w:rPr>
          <w:rStyle w:val="FootnoteReference"/>
        </w:rPr>
        <w:footnoteReference w:id="17"/>
      </w:r>
      <w:r w:rsidR="00323943">
        <w:t xml:space="preserve"> We further stated, 'NSPs can assess the viability of an insurer by reviewing its track record, size credit rating and reputation.'</w:t>
      </w:r>
      <w:r w:rsidR="00323943">
        <w:rPr>
          <w:rStyle w:val="FootnoteReference"/>
        </w:rPr>
        <w:footnoteReference w:id="18"/>
      </w:r>
      <w:r w:rsidR="00323943">
        <w:t xml:space="preserve"> We also had regard to the incentives on </w:t>
      </w:r>
      <w:proofErr w:type="spellStart"/>
      <w:r w:rsidR="00323943">
        <w:t>Ausgrid</w:t>
      </w:r>
      <w:proofErr w:type="spellEnd"/>
      <w:r w:rsidR="00323943">
        <w:t xml:space="preserve"> </w:t>
      </w:r>
      <w:proofErr w:type="gramStart"/>
      <w:r w:rsidR="00323943">
        <w:t xml:space="preserve">to </w:t>
      </w:r>
      <w:r w:rsidR="00435E2C">
        <w:t xml:space="preserve"> acquire</w:t>
      </w:r>
      <w:proofErr w:type="gramEnd"/>
      <w:r w:rsidR="00323943">
        <w:t xml:space="preserve"> insurance</w:t>
      </w:r>
      <w:r w:rsidR="00F57480">
        <w:t xml:space="preserve"> prudently</w:t>
      </w:r>
      <w:r w:rsidR="00323943">
        <w:t>.</w:t>
      </w:r>
    </w:p>
    <w:p w:rsidR="00D42DA4" w:rsidRPr="00D42DA4" w:rsidRDefault="00D42DA4" w:rsidP="00D42DA4">
      <w:r w:rsidRPr="00D42DA4">
        <w:t xml:space="preserve">In </w:t>
      </w:r>
      <w:r>
        <w:t>its</w:t>
      </w:r>
      <w:r w:rsidRPr="00D42DA4">
        <w:t xml:space="preserve"> revised </w:t>
      </w:r>
      <w:r w:rsidR="00AC48FB">
        <w:t xml:space="preserve">regulatory </w:t>
      </w:r>
      <w:r w:rsidRPr="00D42DA4">
        <w:t xml:space="preserve">proposal, </w:t>
      </w:r>
      <w:proofErr w:type="spellStart"/>
      <w:r>
        <w:t>Ausgrid</w:t>
      </w:r>
      <w:proofErr w:type="spellEnd"/>
      <w:r>
        <w:t xml:space="preserve"> </w:t>
      </w:r>
      <w:r w:rsidR="00323943">
        <w:t>argue</w:t>
      </w:r>
      <w:r w:rsidR="005C0A99">
        <w:t>d</w:t>
      </w:r>
      <w:r w:rsidR="00323943">
        <w:t xml:space="preserve"> that</w:t>
      </w:r>
      <w:r w:rsidRPr="00D42DA4">
        <w:t>:</w:t>
      </w:r>
    </w:p>
    <w:p w:rsidR="00D42DA4" w:rsidRPr="00D42DA4" w:rsidRDefault="00AC48FB" w:rsidP="00D42DA4">
      <w:pPr>
        <w:pStyle w:val="AERbulletlistfirststyle"/>
      </w:pPr>
      <w:r>
        <w:t>t</w:t>
      </w:r>
      <w:r w:rsidR="00D42DA4" w:rsidRPr="00D42DA4">
        <w:t xml:space="preserve">he collapse of HIH </w:t>
      </w:r>
      <w:r w:rsidR="00D42DA4">
        <w:t>Insurance was</w:t>
      </w:r>
      <w:r w:rsidR="00D42DA4" w:rsidRPr="00D42DA4">
        <w:t xml:space="preserve"> not foreseen by the market and that in the weeks prior to its collapse HIH still had an investment-grade rating</w:t>
      </w:r>
      <w:r w:rsidR="00AB0949">
        <w:rPr>
          <w:rStyle w:val="FootnoteReference"/>
        </w:rPr>
        <w:footnoteReference w:id="19"/>
      </w:r>
      <w:r w:rsidR="00D42DA4" w:rsidRPr="00D42DA4">
        <w:t xml:space="preserve"> </w:t>
      </w:r>
    </w:p>
    <w:p w:rsidR="00AC48FB" w:rsidRDefault="00435E2C" w:rsidP="00D42DA4">
      <w:pPr>
        <w:pStyle w:val="AERbulletlistfirststyle"/>
      </w:pPr>
      <w:r>
        <w:t>it</w:t>
      </w:r>
      <w:r w:rsidRPr="00D42DA4">
        <w:t xml:space="preserve"> </w:t>
      </w:r>
      <w:r w:rsidR="00D42DA4" w:rsidRPr="00D42DA4">
        <w:t>only obtain</w:t>
      </w:r>
      <w:r w:rsidR="00AC48FB">
        <w:t>s</w:t>
      </w:r>
      <w:r w:rsidR="00D42DA4" w:rsidRPr="00D42DA4">
        <w:t xml:space="preserve"> insurance from an insurer with a minimum A- credit rating, and </w:t>
      </w:r>
      <w:r w:rsidR="00BE44AE">
        <w:t xml:space="preserve">it </w:t>
      </w:r>
      <w:r w:rsidR="00D42DA4" w:rsidRPr="00D42DA4">
        <w:t>monitor</w:t>
      </w:r>
      <w:r w:rsidR="00BE44AE">
        <w:t>s</w:t>
      </w:r>
      <w:r w:rsidR="00D42DA4" w:rsidRPr="00D42DA4">
        <w:t xml:space="preserve"> S&amp;P ratings movements</w:t>
      </w:r>
      <w:r w:rsidR="0080635E">
        <w:rPr>
          <w:rStyle w:val="FootnoteReference"/>
        </w:rPr>
        <w:footnoteReference w:id="20"/>
      </w:r>
      <w:r w:rsidR="00D42DA4" w:rsidRPr="00D42DA4">
        <w:t xml:space="preserve"> </w:t>
      </w:r>
    </w:p>
    <w:p w:rsidR="00D42DA4" w:rsidRPr="00D42DA4" w:rsidRDefault="00AC48FB" w:rsidP="00D42DA4">
      <w:pPr>
        <w:pStyle w:val="AERbulletlistfirststyle"/>
      </w:pPr>
      <w:proofErr w:type="gramStart"/>
      <w:r>
        <w:t>i</w:t>
      </w:r>
      <w:r w:rsidR="0080635E">
        <w:t>t</w:t>
      </w:r>
      <w:proofErr w:type="gramEnd"/>
      <w:r w:rsidR="00D42DA4" w:rsidRPr="00D42DA4">
        <w:t xml:space="preserve"> insure</w:t>
      </w:r>
      <w:r w:rsidR="0080635E">
        <w:t>s its</w:t>
      </w:r>
      <w:r w:rsidR="00D42DA4" w:rsidRPr="00D42DA4">
        <w:t xml:space="preserve"> risks with multiple insurers to diversify the risks</w:t>
      </w:r>
      <w:r>
        <w:t>.</w:t>
      </w:r>
      <w:r w:rsidR="0080635E">
        <w:rPr>
          <w:rStyle w:val="FootnoteReference"/>
        </w:rPr>
        <w:footnoteReference w:id="21"/>
      </w:r>
    </w:p>
    <w:p w:rsidR="00AC48FB" w:rsidRDefault="00AC48FB" w:rsidP="00D42DA4">
      <w:r>
        <w:t xml:space="preserve">We </w:t>
      </w:r>
      <w:r w:rsidR="00994F58">
        <w:t>have considered the</w:t>
      </w:r>
      <w:r w:rsidR="00AB0949">
        <w:t xml:space="preserve"> </w:t>
      </w:r>
      <w:r w:rsidR="00D42DA4" w:rsidRPr="00D42DA4">
        <w:t xml:space="preserve">example of </w:t>
      </w:r>
      <w:r w:rsidR="00994F58">
        <w:t>HIH and how a similar event would impact NSPs</w:t>
      </w:r>
      <w:r w:rsidR="00D42DA4" w:rsidRPr="00D42DA4">
        <w:t xml:space="preserve">. If </w:t>
      </w:r>
      <w:r>
        <w:t>a similar event</w:t>
      </w:r>
      <w:r w:rsidR="00D42DA4" w:rsidRPr="00D42DA4">
        <w:t xml:space="preserve"> were to occur </w:t>
      </w:r>
      <w:r w:rsidR="003C2FCF">
        <w:t>in the 2015–19 regulatory control period</w:t>
      </w:r>
      <w:r w:rsidR="00323943">
        <w:t>,</w:t>
      </w:r>
      <w:r w:rsidR="00D42DA4" w:rsidRPr="00D42DA4">
        <w:t xml:space="preserve"> </w:t>
      </w:r>
      <w:r w:rsidR="003C2FCF">
        <w:t>an</w:t>
      </w:r>
      <w:r w:rsidR="00994F58">
        <w:t xml:space="preserve"> NSP</w:t>
      </w:r>
      <w:r w:rsidR="00BA7C9B">
        <w:t xml:space="preserve"> that</w:t>
      </w:r>
      <w:r w:rsidR="00D42DA4" w:rsidRPr="00D42DA4">
        <w:t xml:space="preserve"> </w:t>
      </w:r>
      <w:r w:rsidR="00562EBB">
        <w:t xml:space="preserve">had adopted </w:t>
      </w:r>
      <w:r w:rsidR="00323943">
        <w:t xml:space="preserve">the risk management measures contemplated </w:t>
      </w:r>
      <w:r w:rsidR="00D42DA4" w:rsidRPr="00D42DA4">
        <w:t>in our draft decision</w:t>
      </w:r>
      <w:r w:rsidR="00323943">
        <w:t xml:space="preserve"> could </w:t>
      </w:r>
      <w:r w:rsidR="00BA7C9B">
        <w:t xml:space="preserve">nonetheless incur </w:t>
      </w:r>
      <w:r w:rsidR="00652DD8">
        <w:t xml:space="preserve">significant </w:t>
      </w:r>
      <w:r w:rsidR="00BA7C9B">
        <w:t>costs</w:t>
      </w:r>
      <w:r w:rsidR="00245222">
        <w:t>. The NSP may</w:t>
      </w:r>
      <w:r w:rsidR="003C2FCF">
        <w:t xml:space="preserve"> therefore</w:t>
      </w:r>
      <w:r w:rsidR="00D42DA4" w:rsidRPr="00D42DA4">
        <w:t xml:space="preserve"> still </w:t>
      </w:r>
      <w:r w:rsidR="00562EBB">
        <w:t>potentially</w:t>
      </w:r>
      <w:r w:rsidR="00245222">
        <w:t xml:space="preserve"> suffer</w:t>
      </w:r>
      <w:r w:rsidR="00D42DA4" w:rsidRPr="00D42DA4">
        <w:t xml:space="preserve"> a significant loss</w:t>
      </w:r>
      <w:r w:rsidR="00752806">
        <w:t xml:space="preserve"> as a consequence of an insurer becoming insolvent and thereby unable to satisfy all insurance claims</w:t>
      </w:r>
      <w:r w:rsidR="00D42DA4" w:rsidRPr="00D42DA4">
        <w:t xml:space="preserve">. </w:t>
      </w:r>
      <w:r w:rsidR="00994F58">
        <w:t xml:space="preserve">NSPs </w:t>
      </w:r>
      <w:r w:rsidR="003C2FCF">
        <w:t xml:space="preserve">are also limited </w:t>
      </w:r>
      <w:r w:rsidR="00994F58">
        <w:t xml:space="preserve">in </w:t>
      </w:r>
      <w:r w:rsidR="00BA7C9B">
        <w:t xml:space="preserve">the extent to which they can </w:t>
      </w:r>
      <w:r w:rsidR="00BA7C9B">
        <w:lastRenderedPageBreak/>
        <w:t>avoid such</w:t>
      </w:r>
      <w:r w:rsidR="00994F58">
        <w:t xml:space="preserve"> losses</w:t>
      </w:r>
      <w:r w:rsidR="00BA7C9B">
        <w:t>, short of taking out multiple insurance policies to cover the same risks</w:t>
      </w:r>
      <w:r w:rsidR="00994F58">
        <w:t>.</w:t>
      </w:r>
      <w:r w:rsidR="00BA7C9B">
        <w:t xml:space="preserve"> We accept that the options available to NSPs to manage these risks are limited and, given the rarity of such events, may in fact result in greater expenditure on insurance than is prudent or efficient.</w:t>
      </w:r>
    </w:p>
    <w:p w:rsidR="00BA7C9B" w:rsidRDefault="00DA381D" w:rsidP="00D42DA4">
      <w:proofErr w:type="spellStart"/>
      <w:r>
        <w:t>Ausgrid</w:t>
      </w:r>
      <w:proofErr w:type="spellEnd"/>
      <w:r>
        <w:t xml:space="preserve"> has also responded to our concerns around</w:t>
      </w:r>
      <w:r w:rsidR="003E54A3">
        <w:t xml:space="preserve"> the incentives </w:t>
      </w:r>
      <w:r w:rsidR="00BA7C9B">
        <w:t xml:space="preserve">a pass through option may create to reduce insurance costs by shifting this risk entirely to customers. In its revised proposal it has demonstrated </w:t>
      </w:r>
      <w:r w:rsidR="008029ED">
        <w:t>a robust and prudent approach to assessing risk and obtaining insurance.</w:t>
      </w:r>
      <w:r w:rsidR="005C0A99">
        <w:rPr>
          <w:rStyle w:val="FootnoteReference"/>
        </w:rPr>
        <w:footnoteReference w:id="22"/>
      </w:r>
      <w:r w:rsidR="008029ED">
        <w:t xml:space="preserve"> </w:t>
      </w:r>
      <w:proofErr w:type="spellStart"/>
      <w:r w:rsidR="008029ED">
        <w:t>Ausgrid's</w:t>
      </w:r>
      <w:proofErr w:type="spellEnd"/>
      <w:r w:rsidR="008029ED">
        <w:t xml:space="preserve"> </w:t>
      </w:r>
      <w:r w:rsidR="009C2076">
        <w:t>explanation of its</w:t>
      </w:r>
      <w:r w:rsidR="00843115" w:rsidRPr="00D42DA4">
        <w:t xml:space="preserve"> approach to insurance </w:t>
      </w:r>
      <w:r w:rsidR="009C2076">
        <w:t>demonstrates</w:t>
      </w:r>
      <w:r w:rsidR="00843115" w:rsidRPr="00D42DA4">
        <w:t xml:space="preserve"> that the </w:t>
      </w:r>
      <w:r w:rsidR="003E54A3">
        <w:t xml:space="preserve">regulatory regime </w:t>
      </w:r>
      <w:r w:rsidR="00BA7C9B">
        <w:t xml:space="preserve">already </w:t>
      </w:r>
      <w:r w:rsidR="003E54A3">
        <w:t>provides incentives to</w:t>
      </w:r>
      <w:r w:rsidR="00843115" w:rsidRPr="00D42DA4">
        <w:t xml:space="preserve"> take prudent a</w:t>
      </w:r>
      <w:r w:rsidR="00AC48FB">
        <w:t>ctions in relation to insurance</w:t>
      </w:r>
      <w:r w:rsidR="00BA7C9B">
        <w:t xml:space="preserve">, which </w:t>
      </w:r>
      <w:r w:rsidR="009C2076">
        <w:t xml:space="preserve">are not weakened by accepting this proposed pass through event. </w:t>
      </w:r>
      <w:r w:rsidR="00BA7C9B">
        <w:t>We also note</w:t>
      </w:r>
      <w:r w:rsidR="00752806">
        <w:t xml:space="preserve"> </w:t>
      </w:r>
      <w:r w:rsidR="001D398A">
        <w:t>clause 6.</w:t>
      </w:r>
      <w:r w:rsidR="000F5041">
        <w:t xml:space="preserve">6.1(j)(3) of the NER </w:t>
      </w:r>
      <w:r w:rsidR="00BA7C9B">
        <w:t xml:space="preserve">acts as an appropriate </w:t>
      </w:r>
      <w:r w:rsidR="00614C17">
        <w:t>balance to any incentive an insurer's credit risk event may create to transfer the risk of insurer failure entirely to customers.</w:t>
      </w:r>
    </w:p>
    <w:p w:rsidR="00B257A3" w:rsidRDefault="005F3288" w:rsidP="00CB535F">
      <w:r>
        <w:t xml:space="preserve">We </w:t>
      </w:r>
      <w:r w:rsidR="00BA7C9B">
        <w:t xml:space="preserve">therefore accept that an </w:t>
      </w:r>
      <w:r w:rsidR="000F5041">
        <w:t>insurer's credit risk</w:t>
      </w:r>
      <w:r w:rsidR="00BA7C9B">
        <w:t xml:space="preserve"> event </w:t>
      </w:r>
      <w:r w:rsidR="00CB535F">
        <w:t xml:space="preserve">can be </w:t>
      </w:r>
      <w:r w:rsidR="00BA7C9B">
        <w:t>consistent with the nominated pass through considerations</w:t>
      </w:r>
      <w:r w:rsidR="00CB535F">
        <w:t>, if appropriately defined</w:t>
      </w:r>
      <w:r w:rsidR="00BA7C9B">
        <w:t>.</w:t>
      </w:r>
      <w:r w:rsidR="007174D8">
        <w:t xml:space="preserve"> We have </w:t>
      </w:r>
      <w:r w:rsidR="007174D8" w:rsidRPr="007174D8">
        <w:t xml:space="preserve">added to </w:t>
      </w:r>
      <w:proofErr w:type="spellStart"/>
      <w:r w:rsidR="007174D8" w:rsidRPr="007174D8">
        <w:t>Ausgrid's</w:t>
      </w:r>
      <w:proofErr w:type="spellEnd"/>
      <w:r w:rsidR="007174D8" w:rsidRPr="007174D8">
        <w:t xml:space="preserve"> proposed definition of this pass through event the matters that we will have regard to in assessing an event</w:t>
      </w:r>
    </w:p>
    <w:p w:rsidR="00B257A3" w:rsidRDefault="00B257A3" w:rsidP="00B257A3">
      <w:r>
        <w:t xml:space="preserve">In its definition for this event, </w:t>
      </w:r>
      <w:proofErr w:type="spellStart"/>
      <w:r>
        <w:t>Ausgrid</w:t>
      </w:r>
      <w:proofErr w:type="spellEnd"/>
      <w:r>
        <w:t xml:space="preserve"> also sought to pass through the costs associated with significant changes to insurance premiums as a result of an insurer becoming insolvent. Insurance premiums are a typical business expense. They are subject to ordinary market factors of the economy. We consider this is a risk that businesses, and not their customers, are best placed to bear. We therefore do not consider it appropriate to allow this element of the nominated pass through event.</w:t>
      </w:r>
    </w:p>
    <w:p w:rsidR="00C549D7" w:rsidRDefault="00C549D7" w:rsidP="00C549D7">
      <w:r>
        <w:t xml:space="preserve">We consulted with </w:t>
      </w:r>
      <w:proofErr w:type="spellStart"/>
      <w:r>
        <w:t>Ausgrid</w:t>
      </w:r>
      <w:proofErr w:type="spellEnd"/>
      <w:r>
        <w:t xml:space="preserve"> and others on an appropriate definition for this event.</w:t>
      </w:r>
      <w:r w:rsidR="00C4227A">
        <w:rPr>
          <w:rStyle w:val="FootnoteReference"/>
        </w:rPr>
        <w:footnoteReference w:id="23"/>
      </w:r>
      <w:r>
        <w:t xml:space="preserve"> As a result of this consultation, we have </w:t>
      </w:r>
      <w:r w:rsidRPr="007174D8">
        <w:t xml:space="preserve">clarified that we may allow NSPs to pass through claims that would have been made immediately after the insurer became insolvent and </w:t>
      </w:r>
      <w:r w:rsidR="00747D93">
        <w:t>before</w:t>
      </w:r>
      <w:r w:rsidRPr="007174D8">
        <w:t xml:space="preserve"> the NSP </w:t>
      </w:r>
      <w:r>
        <w:t>had</w:t>
      </w:r>
      <w:r w:rsidRPr="007174D8">
        <w:t xml:space="preserve"> a reasonable opportunity to acquire new insurance for those risks.</w:t>
      </w:r>
      <w:r>
        <w:t xml:space="preserve"> This amendment maintains an incentive on NSPs to acquire new insurance as soon as reasonably possible after an insurance provider becomes insolvent.</w:t>
      </w:r>
    </w:p>
    <w:p w:rsidR="00091B15" w:rsidRPr="00F57480" w:rsidRDefault="00091B15" w:rsidP="00F57480"/>
    <w:sectPr w:rsidR="00091B15" w:rsidRPr="00F57480"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738" w:rsidRPr="00290C63" w:rsidRDefault="00081738" w:rsidP="00290C63">
      <w:r>
        <w:separator/>
      </w:r>
    </w:p>
    <w:p w:rsidR="00081738" w:rsidRDefault="00081738"/>
  </w:endnote>
  <w:endnote w:type="continuationSeparator" w:id="0">
    <w:p w:rsidR="00081738" w:rsidRPr="00290C63" w:rsidRDefault="00081738" w:rsidP="00290C63">
      <w:r>
        <w:continuationSeparator/>
      </w:r>
    </w:p>
    <w:p w:rsidR="00081738" w:rsidRDefault="00081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738" w:rsidRPr="00290C63" w:rsidRDefault="00081738"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81738" w:rsidRDefault="00081738"/>
  <w:p w:rsidR="00081738" w:rsidRDefault="00081738"/>
  <w:p w:rsidR="00081738" w:rsidRDefault="00081738"/>
  <w:p w:rsidR="00081738" w:rsidRDefault="00081738"/>
  <w:p w:rsidR="00081738" w:rsidRDefault="00081738"/>
  <w:p w:rsidR="00081738" w:rsidRDefault="00081738"/>
  <w:p w:rsidR="00081738" w:rsidRDefault="000817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081738" w:rsidRPr="009B6F84" w:rsidRDefault="00081738">
        <w:pPr>
          <w:pStyle w:val="Footer"/>
          <w:rPr>
            <w:sz w:val="20"/>
          </w:rPr>
        </w:pPr>
        <w:r>
          <w:fldChar w:fldCharType="begin"/>
        </w:r>
        <w:r>
          <w:instrText xml:space="preserve"> PAGE   \* MERGEFORMAT </w:instrText>
        </w:r>
        <w:r>
          <w:fldChar w:fldCharType="separate"/>
        </w:r>
        <w:r w:rsidR="00BB7F74">
          <w:rPr>
            <w:noProof/>
          </w:rPr>
          <w:t>15-7</w:t>
        </w:r>
        <w:r>
          <w:rPr>
            <w:noProof/>
          </w:rPr>
          <w:fldChar w:fldCharType="end"/>
        </w:r>
        <w:r>
          <w:rPr>
            <w:noProof/>
          </w:rPr>
          <w:t xml:space="preserve">          </w:t>
        </w:r>
        <w:r w:rsidRPr="008221F2">
          <w:t>Attachment 15 – Pass through events</w:t>
        </w:r>
        <w:r w:rsidRPr="00901C3C">
          <w:t xml:space="preserve"> </w:t>
        </w:r>
        <w:r w:rsidRPr="009B6F84">
          <w:rPr>
            <w:rFonts w:cs="Gautami"/>
            <w:noProof/>
            <w:szCs w:val="16"/>
          </w:rPr>
          <w:t>| Ausgrid Final decision</w:t>
        </w:r>
        <w:r w:rsidRPr="009B6F84">
          <w:rPr>
            <w:sz w:val="20"/>
          </w:rPr>
          <w:t xml:space="preserve"> </w:t>
        </w:r>
        <w:r w:rsidRPr="009B6F84">
          <w:rPr>
            <w:rFonts w:cs="Gautami"/>
            <w:noProof/>
            <w:szCs w:val="16"/>
          </w:rPr>
          <w:t>2015–19</w:t>
        </w:r>
      </w:p>
    </w:sdtContent>
  </w:sdt>
  <w:p w:rsidR="00081738" w:rsidRDefault="000817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738" w:rsidRPr="00290C63" w:rsidRDefault="00081738"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81738" w:rsidRDefault="00081738">
    <w:pPr>
      <w:pStyle w:val="Footer"/>
    </w:pPr>
  </w:p>
  <w:p w:rsidR="00081738" w:rsidRDefault="00081738"/>
  <w:p w:rsidR="00081738" w:rsidRDefault="00081738"/>
  <w:p w:rsidR="00081738" w:rsidRDefault="00081738"/>
  <w:p w:rsidR="00081738" w:rsidRDefault="00081738"/>
  <w:p w:rsidR="00081738" w:rsidRDefault="00081738"/>
  <w:p w:rsidR="00081738" w:rsidRDefault="00081738"/>
  <w:p w:rsidR="00081738" w:rsidRDefault="000817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738" w:rsidRPr="00290C63" w:rsidRDefault="00081738" w:rsidP="00290C63">
      <w:r>
        <w:separator/>
      </w:r>
    </w:p>
    <w:p w:rsidR="00081738" w:rsidRDefault="00081738"/>
  </w:footnote>
  <w:footnote w:type="continuationSeparator" w:id="0">
    <w:p w:rsidR="00081738" w:rsidRPr="00290C63" w:rsidRDefault="00081738" w:rsidP="00290C63">
      <w:r>
        <w:continuationSeparator/>
      </w:r>
    </w:p>
    <w:p w:rsidR="00081738" w:rsidRDefault="00081738"/>
  </w:footnote>
  <w:footnote w:id="1">
    <w:p w:rsidR="00081738" w:rsidRDefault="00081738" w:rsidP="00A53C3A">
      <w:pPr>
        <w:pStyle w:val="FootnoteText"/>
      </w:pPr>
      <w:r>
        <w:rPr>
          <w:rStyle w:val="FootnoteReference"/>
        </w:rPr>
        <w:footnoteRef/>
      </w:r>
      <w:r>
        <w:t xml:space="preserve"> </w:t>
      </w:r>
      <w:r>
        <w:tab/>
      </w:r>
      <w:proofErr w:type="gramStart"/>
      <w:r w:rsidRPr="007379AF">
        <w:t>NER</w:t>
      </w:r>
      <w:r>
        <w:t>, cl</w:t>
      </w:r>
      <w:r w:rsidR="001161BC">
        <w:t>ause</w:t>
      </w:r>
      <w:r>
        <w:t xml:space="preserve"> 6.5.10.</w:t>
      </w:r>
      <w:proofErr w:type="gramEnd"/>
    </w:p>
  </w:footnote>
  <w:footnote w:id="2">
    <w:p w:rsidR="001161BC" w:rsidRDefault="001161BC">
      <w:pPr>
        <w:pStyle w:val="FootnoteText"/>
      </w:pPr>
      <w:r>
        <w:rPr>
          <w:rStyle w:val="FootnoteReference"/>
        </w:rPr>
        <w:footnoteRef/>
      </w:r>
      <w:r>
        <w:t xml:space="preserve"> </w:t>
      </w:r>
      <w:r>
        <w:tab/>
      </w:r>
      <w:proofErr w:type="gramStart"/>
      <w:r>
        <w:t xml:space="preserve">AER, </w:t>
      </w:r>
      <w:r w:rsidR="00B26EE8" w:rsidRPr="008C3899">
        <w:rPr>
          <w:rStyle w:val="AERtextitalic"/>
        </w:rPr>
        <w:t xml:space="preserve">Draft decision, </w:t>
      </w:r>
      <w:proofErr w:type="spellStart"/>
      <w:r w:rsidR="00B26EE8" w:rsidRPr="008C3899">
        <w:rPr>
          <w:rStyle w:val="AERtextitalic"/>
        </w:rPr>
        <w:t>Ausgrid</w:t>
      </w:r>
      <w:proofErr w:type="spellEnd"/>
      <w:r w:rsidR="00B26EE8" w:rsidRPr="008C3899">
        <w:rPr>
          <w:rStyle w:val="AERtextitalic"/>
        </w:rPr>
        <w:t>, Attachment 15</w:t>
      </w:r>
      <w:r w:rsidR="00B26EE8">
        <w:t>, p. 7.</w:t>
      </w:r>
      <w:proofErr w:type="gramEnd"/>
    </w:p>
  </w:footnote>
  <w:footnote w:id="3">
    <w:p w:rsidR="00B26EE8" w:rsidRDefault="00B26EE8" w:rsidP="00B26EE8">
      <w:pPr>
        <w:pStyle w:val="FootnoteText"/>
      </w:pPr>
      <w:r>
        <w:rPr>
          <w:rStyle w:val="FootnoteReference"/>
        </w:rPr>
        <w:footnoteRef/>
      </w:r>
      <w:r>
        <w:t xml:space="preserve"> </w:t>
      </w:r>
      <w:r>
        <w:tab/>
      </w:r>
      <w:proofErr w:type="spellStart"/>
      <w:r>
        <w:t>Ausgrid</w:t>
      </w:r>
      <w:proofErr w:type="spellEnd"/>
      <w:r>
        <w:t xml:space="preserve">, </w:t>
      </w:r>
      <w:r w:rsidRPr="008C3899">
        <w:rPr>
          <w:rStyle w:val="AERtextitalic"/>
        </w:rPr>
        <w:t>Revised regulatory proposal</w:t>
      </w:r>
      <w:r>
        <w:t>, p. 69.</w:t>
      </w:r>
    </w:p>
  </w:footnote>
  <w:footnote w:id="4">
    <w:p w:rsidR="00081738" w:rsidRDefault="00081738" w:rsidP="004929DE">
      <w:pPr>
        <w:pStyle w:val="FootnoteText"/>
      </w:pPr>
      <w:r>
        <w:rPr>
          <w:rStyle w:val="FootnoteReference"/>
        </w:rPr>
        <w:footnoteRef/>
      </w:r>
      <w:r>
        <w:t xml:space="preserve"> </w:t>
      </w:r>
      <w:r>
        <w:tab/>
      </w:r>
      <w:proofErr w:type="gramStart"/>
      <w:r w:rsidR="00B26EE8">
        <w:t xml:space="preserve">AER, </w:t>
      </w:r>
      <w:r w:rsidR="00B26EE8" w:rsidRPr="008C3899">
        <w:rPr>
          <w:rStyle w:val="AERtextitalic"/>
        </w:rPr>
        <w:t xml:space="preserve">Draft decision, </w:t>
      </w:r>
      <w:proofErr w:type="spellStart"/>
      <w:r w:rsidR="00B26EE8" w:rsidRPr="008C3899">
        <w:rPr>
          <w:rStyle w:val="AERtextitalic"/>
        </w:rPr>
        <w:t>Ausgrid</w:t>
      </w:r>
      <w:proofErr w:type="spellEnd"/>
      <w:r w:rsidR="00B26EE8" w:rsidRPr="008C3899">
        <w:rPr>
          <w:rStyle w:val="AERtextitalic"/>
        </w:rPr>
        <w:t>, Attachment 15</w:t>
      </w:r>
      <w:r w:rsidR="00B26EE8">
        <w:t>, pp. 9–10.</w:t>
      </w:r>
      <w:proofErr w:type="gramEnd"/>
    </w:p>
  </w:footnote>
  <w:footnote w:id="5">
    <w:p w:rsidR="00025F28" w:rsidRDefault="00025F28">
      <w:pPr>
        <w:pStyle w:val="FootnoteText"/>
      </w:pPr>
      <w:r>
        <w:rPr>
          <w:rStyle w:val="FootnoteReference"/>
        </w:rPr>
        <w:footnoteRef/>
      </w:r>
      <w:r>
        <w:t xml:space="preserve"> </w:t>
      </w:r>
      <w:r>
        <w:tab/>
      </w:r>
      <w:r w:rsidR="00E163AF">
        <w:t xml:space="preserve">Under clauses 6.6.1(d), (g) and (j) of the NER, we are to make a decision on the costs of providing direct control services as a result of </w:t>
      </w:r>
      <w:r w:rsidR="003F193D">
        <w:t>a</w:t>
      </w:r>
      <w:r w:rsidR="00E163AF">
        <w:t xml:space="preserve"> pass through event occurring. </w:t>
      </w:r>
      <w:r>
        <w:t>Direct control services include alternative control services and standard control services.</w:t>
      </w:r>
    </w:p>
  </w:footnote>
  <w:footnote w:id="6">
    <w:p w:rsidR="00081738" w:rsidRDefault="00081738" w:rsidP="001C4617">
      <w:pPr>
        <w:pStyle w:val="FootnoteText"/>
      </w:pPr>
      <w:r>
        <w:rPr>
          <w:rStyle w:val="FootnoteReference"/>
        </w:rPr>
        <w:footnoteRef/>
      </w:r>
      <w:r>
        <w:t xml:space="preserve"> </w:t>
      </w:r>
      <w:r>
        <w:tab/>
        <w:t>NEL, s</w:t>
      </w:r>
      <w:r w:rsidRPr="00CE34CA">
        <w:t>.</w:t>
      </w:r>
      <w:r>
        <w:t xml:space="preserve"> </w:t>
      </w:r>
      <w:proofErr w:type="gramStart"/>
      <w:r w:rsidRPr="00CE34CA">
        <w:t>7A(</w:t>
      </w:r>
      <w:proofErr w:type="gramEnd"/>
      <w:r w:rsidRPr="00CE34CA">
        <w:t>2).</w:t>
      </w:r>
    </w:p>
  </w:footnote>
  <w:footnote w:id="7">
    <w:p w:rsidR="00081738" w:rsidRDefault="00081738" w:rsidP="001C4617">
      <w:pPr>
        <w:pStyle w:val="FootnoteText"/>
      </w:pPr>
      <w:r>
        <w:rPr>
          <w:rStyle w:val="FootnoteReference"/>
        </w:rPr>
        <w:footnoteRef/>
      </w:r>
      <w:r>
        <w:t xml:space="preserve"> </w:t>
      </w:r>
      <w:r>
        <w:tab/>
        <w:t>NEL, s</w:t>
      </w:r>
      <w:r w:rsidRPr="00CE34CA">
        <w:t>.</w:t>
      </w:r>
      <w:r>
        <w:t xml:space="preserve"> </w:t>
      </w:r>
      <w:proofErr w:type="gramStart"/>
      <w:r w:rsidRPr="00CE34CA">
        <w:t>7A(</w:t>
      </w:r>
      <w:proofErr w:type="gramEnd"/>
      <w:r w:rsidRPr="00CE34CA">
        <w:t>3)</w:t>
      </w:r>
      <w:r>
        <w:t>.</w:t>
      </w:r>
    </w:p>
  </w:footnote>
  <w:footnote w:id="8">
    <w:p w:rsidR="00081738" w:rsidRDefault="00081738" w:rsidP="001C4617">
      <w:pPr>
        <w:pStyle w:val="FootnoteText"/>
      </w:pPr>
      <w:r>
        <w:rPr>
          <w:rStyle w:val="FootnoteReference"/>
        </w:rPr>
        <w:footnoteRef/>
      </w:r>
      <w:r>
        <w:t xml:space="preserve"> </w:t>
      </w:r>
      <w:r>
        <w:tab/>
        <w:t>NEL, s</w:t>
      </w:r>
      <w:r w:rsidRPr="005D0FD3">
        <w:t>.</w:t>
      </w:r>
      <w:r>
        <w:t xml:space="preserve"> </w:t>
      </w:r>
      <w:proofErr w:type="gramStart"/>
      <w:r w:rsidRPr="005D0FD3">
        <w:t>7A(</w:t>
      </w:r>
      <w:proofErr w:type="gramEnd"/>
      <w:r w:rsidRPr="005D0FD3">
        <w:t>6)</w:t>
      </w:r>
      <w:r>
        <w:t>.</w:t>
      </w:r>
    </w:p>
  </w:footnote>
  <w:footnote w:id="9">
    <w:p w:rsidR="00081738" w:rsidRDefault="00081738">
      <w:pPr>
        <w:pStyle w:val="FootnoteText"/>
      </w:pPr>
      <w:r>
        <w:rPr>
          <w:rStyle w:val="FootnoteReference"/>
        </w:rPr>
        <w:footnoteRef/>
      </w:r>
      <w:r>
        <w:t xml:space="preserve"> </w:t>
      </w:r>
      <w:r w:rsidR="00F57480">
        <w:tab/>
        <w:t>Jemena, Submission, pp. 1–2.</w:t>
      </w:r>
    </w:p>
  </w:footnote>
  <w:footnote w:id="10">
    <w:p w:rsidR="00081738" w:rsidRDefault="00081738" w:rsidP="00B342F0">
      <w:pPr>
        <w:pStyle w:val="FootnoteText"/>
      </w:pPr>
      <w:r>
        <w:rPr>
          <w:rStyle w:val="FootnoteReference"/>
        </w:rPr>
        <w:footnoteRef/>
      </w:r>
      <w:r>
        <w:t xml:space="preserve"> </w:t>
      </w:r>
      <w:r>
        <w:tab/>
        <w:t>NER, Clauses 6.6.1(c</w:t>
      </w:r>
      <w:proofErr w:type="gramStart"/>
      <w:r>
        <w:t>)(</w:t>
      </w:r>
      <w:proofErr w:type="gramEnd"/>
      <w:r>
        <w:t>6); 6.6.1(j)(3),(5) and (7).</w:t>
      </w:r>
    </w:p>
  </w:footnote>
  <w:footnote w:id="11">
    <w:p w:rsidR="00081738" w:rsidRDefault="00081738">
      <w:pPr>
        <w:pStyle w:val="FootnoteText"/>
      </w:pPr>
      <w:r>
        <w:rPr>
          <w:rStyle w:val="FootnoteReference"/>
        </w:rPr>
        <w:footnoteRef/>
      </w:r>
      <w:r>
        <w:t xml:space="preserve"> </w:t>
      </w:r>
      <w:r>
        <w:tab/>
      </w:r>
      <w:proofErr w:type="spellStart"/>
      <w:r>
        <w:t>Ausgrid</w:t>
      </w:r>
      <w:proofErr w:type="spellEnd"/>
      <w:r>
        <w:t xml:space="preserve">, </w:t>
      </w:r>
      <w:r w:rsidRPr="00DD02ED">
        <w:rPr>
          <w:rStyle w:val="AERtextitalic"/>
        </w:rPr>
        <w:t>Revised regulatory proposal</w:t>
      </w:r>
      <w:r>
        <w:t>, p. 71.</w:t>
      </w:r>
    </w:p>
  </w:footnote>
  <w:footnote w:id="12">
    <w:p w:rsidR="00081738" w:rsidRDefault="00081738" w:rsidP="000C5485">
      <w:pPr>
        <w:pStyle w:val="FootnoteText"/>
      </w:pPr>
      <w:r>
        <w:rPr>
          <w:rStyle w:val="FootnoteReference"/>
        </w:rPr>
        <w:footnoteRef/>
      </w:r>
      <w:r>
        <w:t xml:space="preserve"> </w:t>
      </w:r>
      <w:r w:rsidR="00B26EE8">
        <w:tab/>
      </w:r>
      <w:proofErr w:type="spellStart"/>
      <w:r w:rsidR="00B26EE8">
        <w:t>AusNet</w:t>
      </w:r>
      <w:proofErr w:type="spellEnd"/>
      <w:r w:rsidR="00B26EE8">
        <w:t xml:space="preserve"> Services, </w:t>
      </w:r>
      <w:r w:rsidR="00B26EE8" w:rsidRPr="00B26EE8">
        <w:rPr>
          <w:rStyle w:val="AERtextitalic"/>
        </w:rPr>
        <w:t>Submission</w:t>
      </w:r>
      <w:r w:rsidR="00B26EE8">
        <w:t>, p. 9.</w:t>
      </w:r>
    </w:p>
  </w:footnote>
  <w:footnote w:id="13">
    <w:p w:rsidR="00081738" w:rsidRDefault="00081738" w:rsidP="000C5485">
      <w:pPr>
        <w:pStyle w:val="FootnoteText"/>
      </w:pPr>
      <w:r>
        <w:rPr>
          <w:rStyle w:val="FootnoteReference"/>
        </w:rPr>
        <w:footnoteRef/>
      </w:r>
      <w:r>
        <w:t xml:space="preserve"> </w:t>
      </w:r>
      <w:r w:rsidR="00B26EE8">
        <w:tab/>
      </w:r>
      <w:proofErr w:type="spellStart"/>
      <w:r w:rsidR="00B26EE8">
        <w:t>AusNet</w:t>
      </w:r>
      <w:proofErr w:type="spellEnd"/>
      <w:r w:rsidR="00B26EE8">
        <w:t xml:space="preserve"> Services, </w:t>
      </w:r>
      <w:r w:rsidR="00B26EE8" w:rsidRPr="00B26EE8">
        <w:rPr>
          <w:rStyle w:val="AERtextitalic"/>
        </w:rPr>
        <w:t>Submission</w:t>
      </w:r>
      <w:r w:rsidR="00B26EE8">
        <w:t>, pp. 9–10.</w:t>
      </w:r>
    </w:p>
  </w:footnote>
  <w:footnote w:id="14">
    <w:p w:rsidR="00A83DEE" w:rsidRDefault="00A83DEE">
      <w:pPr>
        <w:pStyle w:val="FootnoteText"/>
      </w:pPr>
      <w:r>
        <w:rPr>
          <w:rStyle w:val="FootnoteReference"/>
        </w:rPr>
        <w:footnoteRef/>
      </w:r>
      <w:r>
        <w:t xml:space="preserve"> </w:t>
      </w:r>
      <w:r>
        <w:tab/>
      </w:r>
      <w:proofErr w:type="gramStart"/>
      <w:r>
        <w:t>NER, clause 6.6.1(j).</w:t>
      </w:r>
      <w:proofErr w:type="gramEnd"/>
    </w:p>
  </w:footnote>
  <w:footnote w:id="15">
    <w:p w:rsidR="00081738" w:rsidRDefault="00081738" w:rsidP="00B342F0">
      <w:pPr>
        <w:pStyle w:val="FootnoteText"/>
      </w:pPr>
      <w:r>
        <w:rPr>
          <w:rStyle w:val="FootnoteReference"/>
        </w:rPr>
        <w:footnoteRef/>
      </w:r>
      <w:r>
        <w:t xml:space="preserve"> </w:t>
      </w:r>
      <w:r>
        <w:tab/>
      </w:r>
      <w:proofErr w:type="gramStart"/>
      <w:r>
        <w:t xml:space="preserve">AER, </w:t>
      </w:r>
      <w:r w:rsidRPr="008C3899">
        <w:rPr>
          <w:rStyle w:val="AERtextitalic"/>
        </w:rPr>
        <w:t>Draft decision</w:t>
      </w:r>
      <w:r w:rsidR="00F80BDA" w:rsidRPr="008C3899">
        <w:rPr>
          <w:rStyle w:val="AERtextitalic"/>
        </w:rPr>
        <w:t xml:space="preserve">, </w:t>
      </w:r>
      <w:proofErr w:type="spellStart"/>
      <w:r w:rsidR="00F80BDA" w:rsidRPr="008C3899">
        <w:rPr>
          <w:rStyle w:val="AERtextitalic"/>
        </w:rPr>
        <w:t>Ausgrid</w:t>
      </w:r>
      <w:proofErr w:type="spellEnd"/>
      <w:r w:rsidR="00B26EE8" w:rsidRPr="008C3899">
        <w:rPr>
          <w:rStyle w:val="AERtextitalic"/>
        </w:rPr>
        <w:t>, Attachment 15</w:t>
      </w:r>
      <w:r>
        <w:t>, p. 10.</w:t>
      </w:r>
      <w:proofErr w:type="gramEnd"/>
    </w:p>
  </w:footnote>
  <w:footnote w:id="16">
    <w:p w:rsidR="00081738" w:rsidRDefault="00081738" w:rsidP="00504FFB">
      <w:pPr>
        <w:pStyle w:val="FootnoteText"/>
      </w:pPr>
      <w:r>
        <w:rPr>
          <w:rStyle w:val="FootnoteReference"/>
        </w:rPr>
        <w:footnoteRef/>
      </w:r>
      <w:r>
        <w:t xml:space="preserve"> </w:t>
      </w:r>
      <w:r>
        <w:tab/>
        <w:t xml:space="preserve">NER, Chapter 10 (Glossary), Definition </w:t>
      </w:r>
      <w:proofErr w:type="gramStart"/>
      <w:r>
        <w:t>of  'Nominated</w:t>
      </w:r>
      <w:proofErr w:type="gramEnd"/>
      <w:r>
        <w:t xml:space="preserve"> pass through event considerations', paragraph (b).</w:t>
      </w:r>
    </w:p>
  </w:footnote>
  <w:footnote w:id="17">
    <w:p w:rsidR="00081738" w:rsidRDefault="00081738" w:rsidP="00323943">
      <w:pPr>
        <w:pStyle w:val="FootnoteText"/>
      </w:pPr>
      <w:r>
        <w:rPr>
          <w:rStyle w:val="FootnoteReference"/>
        </w:rPr>
        <w:footnoteRef/>
      </w:r>
      <w:r>
        <w:t xml:space="preserve"> </w:t>
      </w:r>
      <w:r>
        <w:tab/>
      </w:r>
      <w:proofErr w:type="gramStart"/>
      <w:r>
        <w:t xml:space="preserve">AER, </w:t>
      </w:r>
      <w:r w:rsidRPr="00F57480">
        <w:rPr>
          <w:rStyle w:val="AERtextitalic"/>
        </w:rPr>
        <w:t>Draft decision</w:t>
      </w:r>
      <w:r w:rsidR="00F80BDA">
        <w:rPr>
          <w:rStyle w:val="AERtextitalic"/>
        </w:rPr>
        <w:t xml:space="preserve">, </w:t>
      </w:r>
      <w:proofErr w:type="spellStart"/>
      <w:r w:rsidR="00F80BDA">
        <w:rPr>
          <w:rStyle w:val="AERtextitalic"/>
        </w:rPr>
        <w:t>Ausgrid</w:t>
      </w:r>
      <w:proofErr w:type="spellEnd"/>
      <w:r w:rsidR="00B26EE8" w:rsidRPr="00F57480">
        <w:rPr>
          <w:rStyle w:val="AERtextitalic"/>
        </w:rPr>
        <w:t>, Attachment 15</w:t>
      </w:r>
      <w:r>
        <w:t>, p. 13.</w:t>
      </w:r>
      <w:proofErr w:type="gramEnd"/>
    </w:p>
  </w:footnote>
  <w:footnote w:id="18">
    <w:p w:rsidR="00081738" w:rsidRDefault="00081738" w:rsidP="00323943">
      <w:pPr>
        <w:pStyle w:val="FootnoteText"/>
      </w:pPr>
      <w:r>
        <w:rPr>
          <w:rStyle w:val="FootnoteReference"/>
        </w:rPr>
        <w:footnoteRef/>
      </w:r>
      <w:r>
        <w:t xml:space="preserve"> </w:t>
      </w:r>
      <w:r>
        <w:tab/>
      </w:r>
      <w:proofErr w:type="gramStart"/>
      <w:r>
        <w:t xml:space="preserve">AER, </w:t>
      </w:r>
      <w:r w:rsidRPr="00F57480">
        <w:rPr>
          <w:rStyle w:val="AERtextitalic"/>
        </w:rPr>
        <w:t>Draft decision</w:t>
      </w:r>
      <w:r w:rsidR="00F80BDA">
        <w:rPr>
          <w:rStyle w:val="AERtextitalic"/>
        </w:rPr>
        <w:t xml:space="preserve">, </w:t>
      </w:r>
      <w:proofErr w:type="spellStart"/>
      <w:r w:rsidR="00F80BDA">
        <w:rPr>
          <w:rStyle w:val="AERtextitalic"/>
        </w:rPr>
        <w:t>Ausgrid</w:t>
      </w:r>
      <w:proofErr w:type="spellEnd"/>
      <w:r w:rsidR="00B26EE8" w:rsidRPr="00F57480">
        <w:rPr>
          <w:rStyle w:val="AERtextitalic"/>
        </w:rPr>
        <w:t>, Attachment 15</w:t>
      </w:r>
      <w:r>
        <w:t>, p. 13.</w:t>
      </w:r>
      <w:proofErr w:type="gramEnd"/>
    </w:p>
  </w:footnote>
  <w:footnote w:id="19">
    <w:p w:rsidR="00081738" w:rsidRDefault="00081738">
      <w:pPr>
        <w:pStyle w:val="FootnoteText"/>
      </w:pPr>
      <w:r>
        <w:rPr>
          <w:rStyle w:val="FootnoteReference"/>
        </w:rPr>
        <w:footnoteRef/>
      </w:r>
      <w:r>
        <w:t xml:space="preserve"> </w:t>
      </w:r>
      <w:r>
        <w:tab/>
      </w:r>
      <w:proofErr w:type="spellStart"/>
      <w:r w:rsidRPr="00AB0949">
        <w:t>Ausgrid</w:t>
      </w:r>
      <w:proofErr w:type="spellEnd"/>
      <w:r w:rsidRPr="00AB0949">
        <w:t xml:space="preserve">, </w:t>
      </w:r>
      <w:r w:rsidRPr="00F57480">
        <w:rPr>
          <w:rStyle w:val="AERtextitalic"/>
        </w:rPr>
        <w:t xml:space="preserve">Revised </w:t>
      </w:r>
      <w:r w:rsidR="00F80BDA" w:rsidRPr="00F57480">
        <w:rPr>
          <w:rStyle w:val="AERtextitalic"/>
        </w:rPr>
        <w:t xml:space="preserve">regulatory </w:t>
      </w:r>
      <w:r w:rsidRPr="00F57480">
        <w:rPr>
          <w:rStyle w:val="AERtextitalic"/>
        </w:rPr>
        <w:t>proposal</w:t>
      </w:r>
      <w:r w:rsidRPr="00AB0949">
        <w:t>, p. 70</w:t>
      </w:r>
      <w:r>
        <w:t>.</w:t>
      </w:r>
    </w:p>
  </w:footnote>
  <w:footnote w:id="20">
    <w:p w:rsidR="00081738" w:rsidRDefault="00081738">
      <w:pPr>
        <w:pStyle w:val="FootnoteText"/>
      </w:pPr>
      <w:r>
        <w:rPr>
          <w:rStyle w:val="FootnoteReference"/>
        </w:rPr>
        <w:footnoteRef/>
      </w:r>
      <w:r>
        <w:t xml:space="preserve"> </w:t>
      </w:r>
      <w:r>
        <w:tab/>
      </w:r>
      <w:proofErr w:type="spellStart"/>
      <w:proofErr w:type="gramStart"/>
      <w:r>
        <w:t>Ausgrid</w:t>
      </w:r>
      <w:proofErr w:type="spellEnd"/>
      <w:r>
        <w:t xml:space="preserve">, </w:t>
      </w:r>
      <w:r w:rsidRPr="00F57480">
        <w:rPr>
          <w:rStyle w:val="AERtextitalic"/>
        </w:rPr>
        <w:t xml:space="preserve">Revised </w:t>
      </w:r>
      <w:r w:rsidR="00F80BDA" w:rsidRPr="00F57480">
        <w:rPr>
          <w:rStyle w:val="AERtextitalic"/>
        </w:rPr>
        <w:t xml:space="preserve">regulatory </w:t>
      </w:r>
      <w:r w:rsidRPr="00F57480">
        <w:rPr>
          <w:rStyle w:val="AERtextitalic"/>
        </w:rPr>
        <w:t>proposal</w:t>
      </w:r>
      <w:r>
        <w:t xml:space="preserve">, p. 70; Attachment 4.13, </w:t>
      </w:r>
      <w:proofErr w:type="spellStart"/>
      <w:r>
        <w:t>Ausgrid's</w:t>
      </w:r>
      <w:proofErr w:type="spellEnd"/>
      <w:r>
        <w:t xml:space="preserve"> nominated pass through events (public), p. 15.</w:t>
      </w:r>
      <w:proofErr w:type="gramEnd"/>
    </w:p>
  </w:footnote>
  <w:footnote w:id="21">
    <w:p w:rsidR="00081738" w:rsidRDefault="00081738">
      <w:pPr>
        <w:pStyle w:val="FootnoteText"/>
      </w:pPr>
      <w:r>
        <w:rPr>
          <w:rStyle w:val="FootnoteReference"/>
        </w:rPr>
        <w:footnoteRef/>
      </w:r>
      <w:r>
        <w:t xml:space="preserve"> </w:t>
      </w:r>
      <w:r>
        <w:tab/>
      </w:r>
      <w:proofErr w:type="spellStart"/>
      <w:proofErr w:type="gramStart"/>
      <w:r w:rsidRPr="0080635E">
        <w:t>Ausgrid</w:t>
      </w:r>
      <w:proofErr w:type="spellEnd"/>
      <w:r w:rsidRPr="0080635E">
        <w:t xml:space="preserve">, </w:t>
      </w:r>
      <w:r w:rsidRPr="00F57480">
        <w:rPr>
          <w:rStyle w:val="AERtextitalic"/>
        </w:rPr>
        <w:t xml:space="preserve">Attachment 4.13, </w:t>
      </w:r>
      <w:proofErr w:type="spellStart"/>
      <w:r w:rsidRPr="00F57480">
        <w:rPr>
          <w:rStyle w:val="AERtextitalic"/>
        </w:rPr>
        <w:t>Ausgrid's</w:t>
      </w:r>
      <w:proofErr w:type="spellEnd"/>
      <w:r w:rsidRPr="00F57480">
        <w:rPr>
          <w:rStyle w:val="AERtextitalic"/>
        </w:rPr>
        <w:t xml:space="preserve"> nominated pass through events (public),</w:t>
      </w:r>
      <w:r w:rsidRPr="0080635E">
        <w:t xml:space="preserve"> p. 15</w:t>
      </w:r>
      <w:r>
        <w:t>.</w:t>
      </w:r>
      <w:proofErr w:type="gramEnd"/>
    </w:p>
  </w:footnote>
  <w:footnote w:id="22">
    <w:p w:rsidR="005C0A99" w:rsidRDefault="005C0A99">
      <w:pPr>
        <w:pStyle w:val="FootnoteText"/>
      </w:pPr>
      <w:r>
        <w:rPr>
          <w:rStyle w:val="FootnoteReference"/>
        </w:rPr>
        <w:footnoteRef/>
      </w:r>
      <w:r>
        <w:t xml:space="preserve"> </w:t>
      </w:r>
      <w:r>
        <w:tab/>
      </w:r>
      <w:proofErr w:type="spellStart"/>
      <w:r>
        <w:t>Ausgrid</w:t>
      </w:r>
      <w:proofErr w:type="spellEnd"/>
      <w:r>
        <w:t xml:space="preserve">, </w:t>
      </w:r>
      <w:r w:rsidRPr="00F57480">
        <w:rPr>
          <w:rStyle w:val="AERtextitalic"/>
        </w:rPr>
        <w:t>Revised regulatory proposal</w:t>
      </w:r>
      <w:r>
        <w:t>, p. 70.</w:t>
      </w:r>
    </w:p>
  </w:footnote>
  <w:footnote w:id="23">
    <w:p w:rsidR="00C4227A" w:rsidRDefault="00C4227A">
      <w:pPr>
        <w:pStyle w:val="FootnoteText"/>
      </w:pPr>
      <w:r>
        <w:rPr>
          <w:rStyle w:val="FootnoteReference"/>
        </w:rPr>
        <w:footnoteRef/>
      </w:r>
      <w:r>
        <w:t xml:space="preserve"> </w:t>
      </w:r>
      <w:r>
        <w:tab/>
      </w:r>
      <w:proofErr w:type="gramStart"/>
      <w:r>
        <w:t>Information request and response 064, 27 March 2015.</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92056E"/>
    <w:multiLevelType w:val="multilevel"/>
    <w:tmpl w:val="950A1C52"/>
    <w:numStyleLink w:val="AERHeadings"/>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F5F4FFC"/>
    <w:multiLevelType w:val="multilevel"/>
    <w:tmpl w:val="950A1C52"/>
    <w:numStyleLink w:val="AERHeadings"/>
  </w:abstractNum>
  <w:abstractNum w:abstractNumId="25">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41A80E45"/>
    <w:multiLevelType w:val="multilevel"/>
    <w:tmpl w:val="950A1C52"/>
    <w:numStyleLink w:val="AERHeadings"/>
  </w:abstractNum>
  <w:abstractNum w:abstractNumId="27">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8">
    <w:nsid w:val="487C7731"/>
    <w:multiLevelType w:val="multilevel"/>
    <w:tmpl w:val="950A1C52"/>
    <w:numStyleLink w:val="AERHeadings"/>
  </w:abstractNum>
  <w:abstractNum w:abstractNumId="2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2">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4">
    <w:nsid w:val="5ECE4384"/>
    <w:multiLevelType w:val="multilevel"/>
    <w:tmpl w:val="9A0C4416"/>
    <w:lvl w:ilvl="0">
      <w:start w:val="1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6">
    <w:nsid w:val="6DE36827"/>
    <w:multiLevelType w:val="multilevel"/>
    <w:tmpl w:val="950A1C52"/>
    <w:numStyleLink w:val="AERHeadings"/>
  </w:abstractNum>
  <w:abstractNum w:abstractNumId="37">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5"/>
  </w:num>
  <w:num w:numId="13">
    <w:abstractNumId w:val="22"/>
  </w:num>
  <w:num w:numId="14">
    <w:abstractNumId w:val="10"/>
  </w:num>
  <w:num w:numId="15">
    <w:abstractNumId w:val="13"/>
  </w:num>
  <w:num w:numId="16">
    <w:abstractNumId w:val="29"/>
  </w:num>
  <w:num w:numId="17">
    <w:abstractNumId w:val="9"/>
  </w:num>
  <w:num w:numId="18">
    <w:abstractNumId w:val="18"/>
  </w:num>
  <w:num w:numId="19">
    <w:abstractNumId w:val="30"/>
  </w:num>
  <w:num w:numId="20">
    <w:abstractNumId w:val="37"/>
  </w:num>
  <w:num w:numId="21">
    <w:abstractNumId w:val="14"/>
  </w:num>
  <w:num w:numId="22">
    <w:abstractNumId w:val="33"/>
  </w:num>
  <w:num w:numId="23">
    <w:abstractNumId w:val="31"/>
  </w:num>
  <w:num w:numId="24">
    <w:abstractNumId w:val="20"/>
  </w:num>
  <w:num w:numId="25">
    <w:abstractNumId w:val="32"/>
  </w:num>
  <w:num w:numId="26">
    <w:abstractNumId w:val="34"/>
  </w:num>
  <w:num w:numId="27">
    <w:abstractNumId w:val="21"/>
  </w:num>
  <w:num w:numId="28">
    <w:abstractNumId w:val="19"/>
  </w:num>
  <w:num w:numId="29">
    <w:abstractNumId w:val="17"/>
  </w:num>
  <w:num w:numId="30">
    <w:abstractNumId w:val="38"/>
  </w:num>
  <w:num w:numId="31">
    <w:abstractNumId w:val="15"/>
  </w:num>
  <w:num w:numId="32">
    <w:abstractNumId w:val="25"/>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6"/>
  </w:num>
  <w:num w:numId="37">
    <w:abstractNumId w:val="28"/>
  </w:num>
  <w:num w:numId="38">
    <w:abstractNumId w:val="24"/>
  </w:num>
  <w:num w:numId="39">
    <w:abstractNumId w:val="12"/>
  </w:num>
  <w:num w:numId="40">
    <w:abstractNumId w:val="34"/>
  </w:num>
  <w:num w:numId="41">
    <w:abstractNumId w:val="34"/>
  </w:num>
  <w:num w:numId="42">
    <w:abstractNumId w:val="26"/>
  </w:num>
  <w:num w:numId="43">
    <w:abstractNumId w:val="16"/>
  </w:num>
  <w:num w:numId="44">
    <w:abstractNumId w:val="27"/>
  </w:num>
  <w:num w:numId="45">
    <w:abstractNumId w:val="23"/>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ocumentProtection w:formatting="1" w:enforcement="1" w:spinCount="100000" w:hashValue="eUfdDDKalgKcGRMcgad94YJtvFKilOOWANPlrj6538k=" w:saltValue="70FYceDWN2PFIZAhQqUNIQ==" w:algorithmName="SHA-256"/>
  <w:defaultTabStop w:val="34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840\AER15 361  AER - Final decision Ausgrid distribution determination - Attachment 15 – Pass through events - April 2015.DOCX"/>
  </w:docVars>
  <w:rsids>
    <w:rsidRoot w:val="00961A4A"/>
    <w:rsid w:val="00005212"/>
    <w:rsid w:val="000060BB"/>
    <w:rsid w:val="00010286"/>
    <w:rsid w:val="00021202"/>
    <w:rsid w:val="00021C2B"/>
    <w:rsid w:val="0002517F"/>
    <w:rsid w:val="00025F28"/>
    <w:rsid w:val="0003578C"/>
    <w:rsid w:val="000439F1"/>
    <w:rsid w:val="000555A4"/>
    <w:rsid w:val="00063247"/>
    <w:rsid w:val="00070198"/>
    <w:rsid w:val="00070F9F"/>
    <w:rsid w:val="0007137B"/>
    <w:rsid w:val="00081738"/>
    <w:rsid w:val="0008351D"/>
    <w:rsid w:val="00085663"/>
    <w:rsid w:val="00085B88"/>
    <w:rsid w:val="00085EBF"/>
    <w:rsid w:val="00091B15"/>
    <w:rsid w:val="00092AF6"/>
    <w:rsid w:val="00094362"/>
    <w:rsid w:val="000A3020"/>
    <w:rsid w:val="000A6C7B"/>
    <w:rsid w:val="000B3887"/>
    <w:rsid w:val="000C01D7"/>
    <w:rsid w:val="000C2B40"/>
    <w:rsid w:val="000C5485"/>
    <w:rsid w:val="000D122C"/>
    <w:rsid w:val="000E1819"/>
    <w:rsid w:val="000E4821"/>
    <w:rsid w:val="000E6C72"/>
    <w:rsid w:val="000F0B2B"/>
    <w:rsid w:val="000F1144"/>
    <w:rsid w:val="000F5041"/>
    <w:rsid w:val="00111D82"/>
    <w:rsid w:val="001161BC"/>
    <w:rsid w:val="00116EB2"/>
    <w:rsid w:val="00117615"/>
    <w:rsid w:val="00124609"/>
    <w:rsid w:val="00126A4C"/>
    <w:rsid w:val="00134006"/>
    <w:rsid w:val="0014573B"/>
    <w:rsid w:val="00156B82"/>
    <w:rsid w:val="001573E4"/>
    <w:rsid w:val="00160756"/>
    <w:rsid w:val="00160B46"/>
    <w:rsid w:val="0017232E"/>
    <w:rsid w:val="00174102"/>
    <w:rsid w:val="001754EE"/>
    <w:rsid w:val="00180157"/>
    <w:rsid w:val="00185CB9"/>
    <w:rsid w:val="00186F77"/>
    <w:rsid w:val="001910FB"/>
    <w:rsid w:val="001926A4"/>
    <w:rsid w:val="00192AD5"/>
    <w:rsid w:val="00195712"/>
    <w:rsid w:val="001A504F"/>
    <w:rsid w:val="001A5E76"/>
    <w:rsid w:val="001B18A7"/>
    <w:rsid w:val="001B45A0"/>
    <w:rsid w:val="001B4949"/>
    <w:rsid w:val="001C19FE"/>
    <w:rsid w:val="001C4617"/>
    <w:rsid w:val="001D055E"/>
    <w:rsid w:val="001D398A"/>
    <w:rsid w:val="001D52F8"/>
    <w:rsid w:val="001D5499"/>
    <w:rsid w:val="001F05A4"/>
    <w:rsid w:val="001F237C"/>
    <w:rsid w:val="001F492E"/>
    <w:rsid w:val="001F5FFC"/>
    <w:rsid w:val="001F6656"/>
    <w:rsid w:val="001F6DA3"/>
    <w:rsid w:val="002010BC"/>
    <w:rsid w:val="002016E7"/>
    <w:rsid w:val="00202E03"/>
    <w:rsid w:val="00203BA8"/>
    <w:rsid w:val="0020478D"/>
    <w:rsid w:val="0020492C"/>
    <w:rsid w:val="00220AA9"/>
    <w:rsid w:val="00222E27"/>
    <w:rsid w:val="00224DB9"/>
    <w:rsid w:val="00233775"/>
    <w:rsid w:val="00243359"/>
    <w:rsid w:val="00245222"/>
    <w:rsid w:val="00246BAD"/>
    <w:rsid w:val="00247B45"/>
    <w:rsid w:val="00250E19"/>
    <w:rsid w:val="00251745"/>
    <w:rsid w:val="00252FDC"/>
    <w:rsid w:val="00254D92"/>
    <w:rsid w:val="00263AC0"/>
    <w:rsid w:val="00264264"/>
    <w:rsid w:val="00266C43"/>
    <w:rsid w:val="0026772D"/>
    <w:rsid w:val="00285AC9"/>
    <w:rsid w:val="00286874"/>
    <w:rsid w:val="00290C63"/>
    <w:rsid w:val="00292C23"/>
    <w:rsid w:val="00296B65"/>
    <w:rsid w:val="002A7DEF"/>
    <w:rsid w:val="002C233C"/>
    <w:rsid w:val="002C56DC"/>
    <w:rsid w:val="002D6EE2"/>
    <w:rsid w:val="002D72E3"/>
    <w:rsid w:val="002D72E8"/>
    <w:rsid w:val="002E7B22"/>
    <w:rsid w:val="002F7986"/>
    <w:rsid w:val="00301B40"/>
    <w:rsid w:val="003029EE"/>
    <w:rsid w:val="0030370B"/>
    <w:rsid w:val="00305CC8"/>
    <w:rsid w:val="00307F6D"/>
    <w:rsid w:val="00312ABB"/>
    <w:rsid w:val="003177A2"/>
    <w:rsid w:val="00323943"/>
    <w:rsid w:val="003271B5"/>
    <w:rsid w:val="00327A1E"/>
    <w:rsid w:val="00331264"/>
    <w:rsid w:val="00334C8D"/>
    <w:rsid w:val="00340AC4"/>
    <w:rsid w:val="00343A18"/>
    <w:rsid w:val="003518B3"/>
    <w:rsid w:val="00352570"/>
    <w:rsid w:val="00353B0E"/>
    <w:rsid w:val="003774C8"/>
    <w:rsid w:val="003821DC"/>
    <w:rsid w:val="003846F1"/>
    <w:rsid w:val="00397AC7"/>
    <w:rsid w:val="003A2E54"/>
    <w:rsid w:val="003B484F"/>
    <w:rsid w:val="003B5BF7"/>
    <w:rsid w:val="003B77F0"/>
    <w:rsid w:val="003B7FBA"/>
    <w:rsid w:val="003C223C"/>
    <w:rsid w:val="003C2FCF"/>
    <w:rsid w:val="003D38E6"/>
    <w:rsid w:val="003D6074"/>
    <w:rsid w:val="003E11E7"/>
    <w:rsid w:val="003E54A3"/>
    <w:rsid w:val="003F174D"/>
    <w:rsid w:val="003F193D"/>
    <w:rsid w:val="00401D5B"/>
    <w:rsid w:val="0041375A"/>
    <w:rsid w:val="00413AB8"/>
    <w:rsid w:val="00414716"/>
    <w:rsid w:val="00415F31"/>
    <w:rsid w:val="0042382B"/>
    <w:rsid w:val="00423A77"/>
    <w:rsid w:val="00435E2C"/>
    <w:rsid w:val="00437DC4"/>
    <w:rsid w:val="00441E48"/>
    <w:rsid w:val="0045777E"/>
    <w:rsid w:val="0046276F"/>
    <w:rsid w:val="00480B4B"/>
    <w:rsid w:val="00485DC4"/>
    <w:rsid w:val="004929DE"/>
    <w:rsid w:val="004A2000"/>
    <w:rsid w:val="004A43D1"/>
    <w:rsid w:val="004B106E"/>
    <w:rsid w:val="004B4412"/>
    <w:rsid w:val="004C1F39"/>
    <w:rsid w:val="004C348C"/>
    <w:rsid w:val="004D55BA"/>
    <w:rsid w:val="004D614D"/>
    <w:rsid w:val="004E22EC"/>
    <w:rsid w:val="004E3884"/>
    <w:rsid w:val="004E6DBE"/>
    <w:rsid w:val="004F29CB"/>
    <w:rsid w:val="004F53ED"/>
    <w:rsid w:val="004F6A0E"/>
    <w:rsid w:val="005004F2"/>
    <w:rsid w:val="0050481B"/>
    <w:rsid w:val="00504FFB"/>
    <w:rsid w:val="00530128"/>
    <w:rsid w:val="00530228"/>
    <w:rsid w:val="00532467"/>
    <w:rsid w:val="00542866"/>
    <w:rsid w:val="00551B38"/>
    <w:rsid w:val="00551F05"/>
    <w:rsid w:val="005572DD"/>
    <w:rsid w:val="00562EBB"/>
    <w:rsid w:val="00564A4D"/>
    <w:rsid w:val="00567BA5"/>
    <w:rsid w:val="00571B35"/>
    <w:rsid w:val="00571D57"/>
    <w:rsid w:val="00577A09"/>
    <w:rsid w:val="005829C2"/>
    <w:rsid w:val="00584D8F"/>
    <w:rsid w:val="00593FB0"/>
    <w:rsid w:val="005A404D"/>
    <w:rsid w:val="005B1E3C"/>
    <w:rsid w:val="005B704A"/>
    <w:rsid w:val="005C0A99"/>
    <w:rsid w:val="005C26CC"/>
    <w:rsid w:val="005D2A4D"/>
    <w:rsid w:val="005D7BA2"/>
    <w:rsid w:val="005E36C2"/>
    <w:rsid w:val="005F3288"/>
    <w:rsid w:val="005F35EF"/>
    <w:rsid w:val="005F5DDA"/>
    <w:rsid w:val="006007DE"/>
    <w:rsid w:val="00610EF9"/>
    <w:rsid w:val="00612F4F"/>
    <w:rsid w:val="00614B79"/>
    <w:rsid w:val="00614C17"/>
    <w:rsid w:val="00615C6B"/>
    <w:rsid w:val="006164B7"/>
    <w:rsid w:val="00621DCE"/>
    <w:rsid w:val="00632D6D"/>
    <w:rsid w:val="00641DF3"/>
    <w:rsid w:val="00642C3E"/>
    <w:rsid w:val="00644FEE"/>
    <w:rsid w:val="00646673"/>
    <w:rsid w:val="00652DD8"/>
    <w:rsid w:val="00653195"/>
    <w:rsid w:val="0066104A"/>
    <w:rsid w:val="00661D27"/>
    <w:rsid w:val="00663DAD"/>
    <w:rsid w:val="00672E25"/>
    <w:rsid w:val="00675456"/>
    <w:rsid w:val="00675E20"/>
    <w:rsid w:val="00676679"/>
    <w:rsid w:val="00683C89"/>
    <w:rsid w:val="00687020"/>
    <w:rsid w:val="006922C7"/>
    <w:rsid w:val="0069306F"/>
    <w:rsid w:val="00693682"/>
    <w:rsid w:val="006B2395"/>
    <w:rsid w:val="006B4CF9"/>
    <w:rsid w:val="006B7AC8"/>
    <w:rsid w:val="006C1736"/>
    <w:rsid w:val="006D550F"/>
    <w:rsid w:val="006D70BB"/>
    <w:rsid w:val="006E2603"/>
    <w:rsid w:val="006E2611"/>
    <w:rsid w:val="006F48D6"/>
    <w:rsid w:val="0070011E"/>
    <w:rsid w:val="00701CAB"/>
    <w:rsid w:val="00707563"/>
    <w:rsid w:val="00712957"/>
    <w:rsid w:val="00716578"/>
    <w:rsid w:val="007174D8"/>
    <w:rsid w:val="0072348C"/>
    <w:rsid w:val="00724A37"/>
    <w:rsid w:val="007303C3"/>
    <w:rsid w:val="007304E7"/>
    <w:rsid w:val="00732861"/>
    <w:rsid w:val="007429BE"/>
    <w:rsid w:val="00743223"/>
    <w:rsid w:val="00746E01"/>
    <w:rsid w:val="00747D93"/>
    <w:rsid w:val="00747EEA"/>
    <w:rsid w:val="00752806"/>
    <w:rsid w:val="00752F9E"/>
    <w:rsid w:val="00757364"/>
    <w:rsid w:val="00757BDF"/>
    <w:rsid w:val="007609D0"/>
    <w:rsid w:val="00763E5D"/>
    <w:rsid w:val="00767740"/>
    <w:rsid w:val="00773551"/>
    <w:rsid w:val="00775003"/>
    <w:rsid w:val="00777EE6"/>
    <w:rsid w:val="00782EEA"/>
    <w:rsid w:val="007B186E"/>
    <w:rsid w:val="007B2C72"/>
    <w:rsid w:val="007B3AC6"/>
    <w:rsid w:val="007C1C53"/>
    <w:rsid w:val="007C352D"/>
    <w:rsid w:val="007C74BB"/>
    <w:rsid w:val="007D456E"/>
    <w:rsid w:val="007E4904"/>
    <w:rsid w:val="007E4CB5"/>
    <w:rsid w:val="007E4CC2"/>
    <w:rsid w:val="007F066B"/>
    <w:rsid w:val="007F3EC7"/>
    <w:rsid w:val="008029ED"/>
    <w:rsid w:val="008033C4"/>
    <w:rsid w:val="0080635E"/>
    <w:rsid w:val="00806C88"/>
    <w:rsid w:val="0081034E"/>
    <w:rsid w:val="008221F2"/>
    <w:rsid w:val="008344F6"/>
    <w:rsid w:val="0083510F"/>
    <w:rsid w:val="008356CF"/>
    <w:rsid w:val="00836702"/>
    <w:rsid w:val="008411E4"/>
    <w:rsid w:val="00841E7D"/>
    <w:rsid w:val="00843115"/>
    <w:rsid w:val="00851209"/>
    <w:rsid w:val="008837AC"/>
    <w:rsid w:val="0088743B"/>
    <w:rsid w:val="008941F3"/>
    <w:rsid w:val="00896325"/>
    <w:rsid w:val="008A587D"/>
    <w:rsid w:val="008B35CD"/>
    <w:rsid w:val="008B5FCC"/>
    <w:rsid w:val="008C3899"/>
    <w:rsid w:val="008C3AE2"/>
    <w:rsid w:val="008C5486"/>
    <w:rsid w:val="008C7F6F"/>
    <w:rsid w:val="008D1661"/>
    <w:rsid w:val="008D5B3C"/>
    <w:rsid w:val="008D6800"/>
    <w:rsid w:val="008E7031"/>
    <w:rsid w:val="008E77DE"/>
    <w:rsid w:val="008F07A3"/>
    <w:rsid w:val="008F34DD"/>
    <w:rsid w:val="009001B6"/>
    <w:rsid w:val="00900E1B"/>
    <w:rsid w:val="00901C3C"/>
    <w:rsid w:val="00906719"/>
    <w:rsid w:val="00910F08"/>
    <w:rsid w:val="0091645F"/>
    <w:rsid w:val="009233EE"/>
    <w:rsid w:val="009261E3"/>
    <w:rsid w:val="00931924"/>
    <w:rsid w:val="009320C2"/>
    <w:rsid w:val="00937E90"/>
    <w:rsid w:val="00944ADD"/>
    <w:rsid w:val="009460AA"/>
    <w:rsid w:val="00946CBC"/>
    <w:rsid w:val="00951978"/>
    <w:rsid w:val="00954F32"/>
    <w:rsid w:val="00961A4A"/>
    <w:rsid w:val="009629C2"/>
    <w:rsid w:val="00965D08"/>
    <w:rsid w:val="009661DE"/>
    <w:rsid w:val="00972657"/>
    <w:rsid w:val="00977A5A"/>
    <w:rsid w:val="00977ACB"/>
    <w:rsid w:val="00977AED"/>
    <w:rsid w:val="0098354D"/>
    <w:rsid w:val="00983C25"/>
    <w:rsid w:val="009856B7"/>
    <w:rsid w:val="00985C86"/>
    <w:rsid w:val="00986300"/>
    <w:rsid w:val="0098786E"/>
    <w:rsid w:val="00990225"/>
    <w:rsid w:val="00994F58"/>
    <w:rsid w:val="009A5FC3"/>
    <w:rsid w:val="009B6F84"/>
    <w:rsid w:val="009B74B0"/>
    <w:rsid w:val="009C2076"/>
    <w:rsid w:val="009D3906"/>
    <w:rsid w:val="009D4888"/>
    <w:rsid w:val="009D6B46"/>
    <w:rsid w:val="009E10AA"/>
    <w:rsid w:val="009E1797"/>
    <w:rsid w:val="009E3E16"/>
    <w:rsid w:val="009F4940"/>
    <w:rsid w:val="009F4F61"/>
    <w:rsid w:val="009F5BA1"/>
    <w:rsid w:val="00A02A88"/>
    <w:rsid w:val="00A0562E"/>
    <w:rsid w:val="00A0726D"/>
    <w:rsid w:val="00A32FBB"/>
    <w:rsid w:val="00A356E0"/>
    <w:rsid w:val="00A428EE"/>
    <w:rsid w:val="00A4478A"/>
    <w:rsid w:val="00A44852"/>
    <w:rsid w:val="00A462AF"/>
    <w:rsid w:val="00A50502"/>
    <w:rsid w:val="00A53C3A"/>
    <w:rsid w:val="00A57AEA"/>
    <w:rsid w:val="00A57D04"/>
    <w:rsid w:val="00A60A26"/>
    <w:rsid w:val="00A61598"/>
    <w:rsid w:val="00A61F1B"/>
    <w:rsid w:val="00A62606"/>
    <w:rsid w:val="00A70BE7"/>
    <w:rsid w:val="00A72BCA"/>
    <w:rsid w:val="00A83DEE"/>
    <w:rsid w:val="00A84A99"/>
    <w:rsid w:val="00A84F46"/>
    <w:rsid w:val="00A871F4"/>
    <w:rsid w:val="00A87278"/>
    <w:rsid w:val="00A97B87"/>
    <w:rsid w:val="00AA4D7A"/>
    <w:rsid w:val="00AB0949"/>
    <w:rsid w:val="00AC1B2C"/>
    <w:rsid w:val="00AC3264"/>
    <w:rsid w:val="00AC48FB"/>
    <w:rsid w:val="00AC6E20"/>
    <w:rsid w:val="00AD445A"/>
    <w:rsid w:val="00AE1BF1"/>
    <w:rsid w:val="00AF0BEB"/>
    <w:rsid w:val="00AF0DD2"/>
    <w:rsid w:val="00B02471"/>
    <w:rsid w:val="00B13048"/>
    <w:rsid w:val="00B1716D"/>
    <w:rsid w:val="00B17A1D"/>
    <w:rsid w:val="00B207A0"/>
    <w:rsid w:val="00B257A3"/>
    <w:rsid w:val="00B26EE8"/>
    <w:rsid w:val="00B31D1E"/>
    <w:rsid w:val="00B342F0"/>
    <w:rsid w:val="00B368D9"/>
    <w:rsid w:val="00B377DE"/>
    <w:rsid w:val="00B408D9"/>
    <w:rsid w:val="00B514DD"/>
    <w:rsid w:val="00B52AF0"/>
    <w:rsid w:val="00B561BD"/>
    <w:rsid w:val="00B56E03"/>
    <w:rsid w:val="00B574BD"/>
    <w:rsid w:val="00B65583"/>
    <w:rsid w:val="00B710DB"/>
    <w:rsid w:val="00B7728A"/>
    <w:rsid w:val="00B8080B"/>
    <w:rsid w:val="00B82223"/>
    <w:rsid w:val="00B86552"/>
    <w:rsid w:val="00B87BA5"/>
    <w:rsid w:val="00B87C39"/>
    <w:rsid w:val="00B9562D"/>
    <w:rsid w:val="00BA4665"/>
    <w:rsid w:val="00BA7C9B"/>
    <w:rsid w:val="00BB2FB2"/>
    <w:rsid w:val="00BB3304"/>
    <w:rsid w:val="00BB65A8"/>
    <w:rsid w:val="00BB7F74"/>
    <w:rsid w:val="00BD3446"/>
    <w:rsid w:val="00BD381D"/>
    <w:rsid w:val="00BE1F1B"/>
    <w:rsid w:val="00BE44AE"/>
    <w:rsid w:val="00BE47B5"/>
    <w:rsid w:val="00BE6D37"/>
    <w:rsid w:val="00BF12C3"/>
    <w:rsid w:val="00C04223"/>
    <w:rsid w:val="00C04FF1"/>
    <w:rsid w:val="00C11282"/>
    <w:rsid w:val="00C12A26"/>
    <w:rsid w:val="00C16D93"/>
    <w:rsid w:val="00C25FA6"/>
    <w:rsid w:val="00C377E1"/>
    <w:rsid w:val="00C4227A"/>
    <w:rsid w:val="00C538A9"/>
    <w:rsid w:val="00C53B5A"/>
    <w:rsid w:val="00C549D7"/>
    <w:rsid w:val="00C54F5A"/>
    <w:rsid w:val="00C569B4"/>
    <w:rsid w:val="00C67A92"/>
    <w:rsid w:val="00C74715"/>
    <w:rsid w:val="00C8356E"/>
    <w:rsid w:val="00C84560"/>
    <w:rsid w:val="00C86679"/>
    <w:rsid w:val="00C915E5"/>
    <w:rsid w:val="00C97637"/>
    <w:rsid w:val="00CA15A5"/>
    <w:rsid w:val="00CA489E"/>
    <w:rsid w:val="00CA7681"/>
    <w:rsid w:val="00CB0279"/>
    <w:rsid w:val="00CB535F"/>
    <w:rsid w:val="00CB666B"/>
    <w:rsid w:val="00CC7F1D"/>
    <w:rsid w:val="00CE484B"/>
    <w:rsid w:val="00CF0DEE"/>
    <w:rsid w:val="00CF14E3"/>
    <w:rsid w:val="00D006AE"/>
    <w:rsid w:val="00D01CF0"/>
    <w:rsid w:val="00D0442A"/>
    <w:rsid w:val="00D2716E"/>
    <w:rsid w:val="00D42DA4"/>
    <w:rsid w:val="00D54DE7"/>
    <w:rsid w:val="00D56FE1"/>
    <w:rsid w:val="00D61388"/>
    <w:rsid w:val="00D61A54"/>
    <w:rsid w:val="00D61F1D"/>
    <w:rsid w:val="00D64DEA"/>
    <w:rsid w:val="00D64F5E"/>
    <w:rsid w:val="00D7168E"/>
    <w:rsid w:val="00D71E57"/>
    <w:rsid w:val="00D80893"/>
    <w:rsid w:val="00D84854"/>
    <w:rsid w:val="00D86444"/>
    <w:rsid w:val="00D92CF1"/>
    <w:rsid w:val="00D92D38"/>
    <w:rsid w:val="00D950F5"/>
    <w:rsid w:val="00D97E14"/>
    <w:rsid w:val="00DA381D"/>
    <w:rsid w:val="00DA40ED"/>
    <w:rsid w:val="00DA4752"/>
    <w:rsid w:val="00DA61F3"/>
    <w:rsid w:val="00DA6343"/>
    <w:rsid w:val="00DA6B9F"/>
    <w:rsid w:val="00DB0F93"/>
    <w:rsid w:val="00DB1A67"/>
    <w:rsid w:val="00DB5074"/>
    <w:rsid w:val="00DB5B21"/>
    <w:rsid w:val="00DC7981"/>
    <w:rsid w:val="00DD02ED"/>
    <w:rsid w:val="00DD334D"/>
    <w:rsid w:val="00DE1093"/>
    <w:rsid w:val="00DE4EFA"/>
    <w:rsid w:val="00DE5520"/>
    <w:rsid w:val="00DE563D"/>
    <w:rsid w:val="00E04818"/>
    <w:rsid w:val="00E06442"/>
    <w:rsid w:val="00E06BCF"/>
    <w:rsid w:val="00E07322"/>
    <w:rsid w:val="00E163AF"/>
    <w:rsid w:val="00E23993"/>
    <w:rsid w:val="00E25B8C"/>
    <w:rsid w:val="00E26C49"/>
    <w:rsid w:val="00E31351"/>
    <w:rsid w:val="00E4107A"/>
    <w:rsid w:val="00E478A6"/>
    <w:rsid w:val="00E60CCC"/>
    <w:rsid w:val="00E64F43"/>
    <w:rsid w:val="00E65ADC"/>
    <w:rsid w:val="00E65C85"/>
    <w:rsid w:val="00E66199"/>
    <w:rsid w:val="00E73444"/>
    <w:rsid w:val="00E755EC"/>
    <w:rsid w:val="00E7624D"/>
    <w:rsid w:val="00E93445"/>
    <w:rsid w:val="00EA3D42"/>
    <w:rsid w:val="00EA6B1B"/>
    <w:rsid w:val="00EB3681"/>
    <w:rsid w:val="00EB606C"/>
    <w:rsid w:val="00EC04F1"/>
    <w:rsid w:val="00EC2D30"/>
    <w:rsid w:val="00EC54C2"/>
    <w:rsid w:val="00ED5627"/>
    <w:rsid w:val="00ED67E8"/>
    <w:rsid w:val="00ED7323"/>
    <w:rsid w:val="00EE28F3"/>
    <w:rsid w:val="00EE50D1"/>
    <w:rsid w:val="00EE6514"/>
    <w:rsid w:val="00EE6BD7"/>
    <w:rsid w:val="00EF5110"/>
    <w:rsid w:val="00F02F2E"/>
    <w:rsid w:val="00F05888"/>
    <w:rsid w:val="00F10411"/>
    <w:rsid w:val="00F15882"/>
    <w:rsid w:val="00F171E0"/>
    <w:rsid w:val="00F20BD3"/>
    <w:rsid w:val="00F373A5"/>
    <w:rsid w:val="00F47559"/>
    <w:rsid w:val="00F54BFC"/>
    <w:rsid w:val="00F57480"/>
    <w:rsid w:val="00F61176"/>
    <w:rsid w:val="00F64C7B"/>
    <w:rsid w:val="00F676DD"/>
    <w:rsid w:val="00F726FA"/>
    <w:rsid w:val="00F75A26"/>
    <w:rsid w:val="00F76706"/>
    <w:rsid w:val="00F768C8"/>
    <w:rsid w:val="00F80BDA"/>
    <w:rsid w:val="00F83FAD"/>
    <w:rsid w:val="00F8653A"/>
    <w:rsid w:val="00F92349"/>
    <w:rsid w:val="00F952A0"/>
    <w:rsid w:val="00FA3C7F"/>
    <w:rsid w:val="00FB4402"/>
    <w:rsid w:val="00FB60FE"/>
    <w:rsid w:val="00FB74E2"/>
    <w:rsid w:val="00FC68E1"/>
    <w:rsid w:val="00FD2ED2"/>
    <w:rsid w:val="00FD5614"/>
    <w:rsid w:val="00FD5DC3"/>
    <w:rsid w:val="00FD5E78"/>
    <w:rsid w:val="00FE02AB"/>
    <w:rsid w:val="00FE0BE1"/>
    <w:rsid w:val="00FE1DE9"/>
    <w:rsid w:val="00FE36AF"/>
    <w:rsid w:val="00FE39C2"/>
    <w:rsid w:val="00FE3C32"/>
    <w:rsid w:val="00FE64AE"/>
    <w:rsid w:val="00FF4852"/>
    <w:rsid w:val="00FF77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1B4949"/>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1B4949"/>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B682227F.dotm</Template>
  <TotalTime>0</TotalTime>
  <Pages>14</Pages>
  <Words>3341</Words>
  <Characters>19046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2015-04-27T06:22:00Z</dcterms:created>
  <dcterms:modified xsi:type="dcterms:W3CDTF">2015-04-27T06:22:00Z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