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0EF282E5" wp14:editId="0894469D">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B04B4C" w:rsidRDefault="00B04B4C" w:rsidP="00F171E0"/>
        <w:p w:rsidR="00F171E0" w:rsidRDefault="00F171E0" w:rsidP="00F171E0"/>
        <w:p w:rsidR="00327A1E" w:rsidRDefault="001754EE" w:rsidP="001754EE">
          <w:pPr>
            <w:pStyle w:val="ReportSubtitle"/>
            <w:tabs>
              <w:tab w:val="left" w:pos="1122"/>
              <w:tab w:val="center" w:pos="4238"/>
            </w:tabs>
            <w:jc w:val="left"/>
          </w:pPr>
          <w:r>
            <w:tab/>
          </w:r>
          <w:r>
            <w:tab/>
          </w:r>
          <w:r w:rsidR="00A2303E">
            <w:t>FINAL</w:t>
          </w:r>
          <w:r w:rsidR="00DA4752">
            <w:t xml:space="preserve"> DECISION</w:t>
          </w:r>
        </w:p>
        <w:p w:rsidR="00415F31" w:rsidRDefault="00210FDB" w:rsidP="008F07A3">
          <w:pPr>
            <w:pStyle w:val="ReportSubtitle"/>
          </w:pPr>
          <w:r>
            <w:t>Australian Gas Networks</w:t>
          </w:r>
          <w:r w:rsidR="00CF2C05">
            <w:br/>
            <w:t>Access Arrangement</w:t>
          </w:r>
        </w:p>
        <w:p w:rsidR="000A6C7B" w:rsidRDefault="005C0A7F" w:rsidP="008F07A3">
          <w:pPr>
            <w:pStyle w:val="ReportSubtitle"/>
          </w:pPr>
          <w:r>
            <w:t>20</w:t>
          </w:r>
          <w:r w:rsidR="00DA4752">
            <w:t xml:space="preserve">16 to </w:t>
          </w:r>
          <w:r w:rsidR="00A06085">
            <w:t>2021</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301F1F">
            <w:t>10</w:t>
          </w:r>
          <w:r w:rsidR="00DA4752">
            <w:t xml:space="preserve"> </w:t>
          </w:r>
          <w:r w:rsidR="00415F31">
            <w:rPr>
              <w:rFonts w:cs="Arial"/>
            </w:rPr>
            <w:t>–</w:t>
          </w:r>
          <w:r w:rsidR="00DA4752">
            <w:t xml:space="preserve"> </w:t>
          </w:r>
          <w:r w:rsidR="00301F1F">
            <w:t>Reference tariff setting</w:t>
          </w:r>
        </w:p>
        <w:p w:rsidR="000A6C7B" w:rsidRPr="00327A1E" w:rsidRDefault="00333A3C" w:rsidP="00327A1E">
          <w:pPr>
            <w:pStyle w:val="ReportDate"/>
          </w:pPr>
          <w:r>
            <w:t xml:space="preserve">May </w:t>
          </w:r>
          <w:r w:rsidR="00A2303E">
            <w:t>2016</w:t>
          </w:r>
        </w:p>
      </w:sdtContent>
    </w:sdt>
    <w:p w:rsidR="00327A1E" w:rsidRPr="00290C63" w:rsidRDefault="00327A1E" w:rsidP="00290C63">
      <w:r>
        <w:br w:type="page"/>
      </w:r>
    </w:p>
    <w:p w:rsidR="000A6C7B" w:rsidRDefault="00CC4086" w:rsidP="00961A4A">
      <w:pPr>
        <w:pStyle w:val="Copyright"/>
      </w:pPr>
      <w:r>
        <w:lastRenderedPageBreak/>
        <w:t>© Commonwealth of Australia 2016</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rsidRPr="00CB10D2">
        <w:rPr>
          <w:sz w:val="20"/>
          <w:szCs w:val="20"/>
        </w:rPr>
        <w:t>the</w:t>
      </w:r>
      <w:r>
        <w:t xml:space="preserv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proofErr w:type="gramStart"/>
      <w:r>
        <w:t>or</w:t>
      </w:r>
      <w:proofErr w:type="gramEnd"/>
      <w:r>
        <w:t xml:space="preserve">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1" w:history="1">
        <w:r w:rsidRPr="00D64888">
          <w:rPr>
            <w:rStyle w:val="Hyperlink"/>
          </w:rPr>
          <w:t>AERInquiry@aer.gov.au</w:t>
        </w:r>
      </w:hyperlink>
      <w:r w:rsidR="00951978">
        <w:rPr>
          <w:rStyle w:val="Hyperlink"/>
        </w:rPr>
        <w:br/>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DE772C">
      <w:pPr>
        <w:pStyle w:val="UnnumberedHeading"/>
        <w:numPr>
          <w:ilvl w:val="0"/>
          <w:numId w:val="23"/>
        </w:numPr>
      </w:pPr>
      <w:bookmarkStart w:id="4" w:name="_Toc451527528"/>
      <w:r>
        <w:lastRenderedPageBreak/>
        <w:t>N</w:t>
      </w:r>
      <w:r w:rsidR="008F07A3">
        <w:t>ote</w:t>
      </w:r>
      <w:bookmarkEnd w:id="0"/>
      <w:bookmarkEnd w:id="1"/>
      <w:bookmarkEnd w:id="2"/>
      <w:bookmarkEnd w:id="3"/>
      <w:bookmarkEnd w:id="4"/>
    </w:p>
    <w:p w:rsidR="00415F31" w:rsidRDefault="00415F31" w:rsidP="00DE772C">
      <w:pPr>
        <w:numPr>
          <w:ilvl w:val="0"/>
          <w:numId w:val="24"/>
        </w:numPr>
        <w:spacing w:before="0" w:after="240" w:line="288" w:lineRule="auto"/>
        <w:jc w:val="both"/>
      </w:pPr>
    </w:p>
    <w:p w:rsidR="009202BD" w:rsidRPr="009202BD" w:rsidRDefault="009202BD" w:rsidP="009202BD">
      <w:r w:rsidRPr="009202BD">
        <w:t>This attachment forms part of the AER's final decision on the access arrangement for Australian Gas Networks South Australian distribution network for 2016–21. It should be read with all other parts of the final decision.</w:t>
      </w:r>
    </w:p>
    <w:p w:rsidR="00415F31" w:rsidRDefault="00415F31" w:rsidP="009202BD">
      <w:r>
        <w:t xml:space="preserve">The </w:t>
      </w:r>
      <w:r w:rsidR="00A2303E">
        <w:t>final</w:t>
      </w:r>
      <w:r w:rsidR="005C0A7F">
        <w:t xml:space="preserve"> </w:t>
      </w:r>
      <w:r>
        <w:t>decision includes the following documents:</w:t>
      </w:r>
    </w:p>
    <w:p w:rsidR="00415F31" w:rsidRDefault="00415F31" w:rsidP="009202BD">
      <w:r>
        <w:t>Overview</w:t>
      </w:r>
    </w:p>
    <w:p w:rsidR="0070011E" w:rsidRDefault="0070011E" w:rsidP="009202BD">
      <w:r>
        <w:t xml:space="preserve">Attachment 1 - </w:t>
      </w:r>
      <w:r w:rsidR="00EE77FA">
        <w:t>Services covered by the access arrangement</w:t>
      </w:r>
    </w:p>
    <w:p w:rsidR="0070011E" w:rsidRDefault="0070011E" w:rsidP="009202BD">
      <w:r>
        <w:t xml:space="preserve">Attachment 2 - </w:t>
      </w:r>
      <w:r w:rsidR="00EE77FA">
        <w:t>Capital base</w:t>
      </w:r>
    </w:p>
    <w:p w:rsidR="0070011E" w:rsidRDefault="0070011E" w:rsidP="009202BD">
      <w:r>
        <w:t xml:space="preserve">Attachment 3 - </w:t>
      </w:r>
      <w:r w:rsidR="00EE77FA">
        <w:t>R</w:t>
      </w:r>
      <w:r>
        <w:t>ate of return</w:t>
      </w:r>
    </w:p>
    <w:p w:rsidR="0070011E" w:rsidRDefault="0070011E" w:rsidP="009202BD">
      <w:r>
        <w:t>Attachment 4 - Value of imputation credits</w:t>
      </w:r>
    </w:p>
    <w:p w:rsidR="0070011E" w:rsidRDefault="0070011E" w:rsidP="009202BD">
      <w:r>
        <w:t>Attachment 5 - Regulatory depreciation</w:t>
      </w:r>
    </w:p>
    <w:p w:rsidR="0070011E" w:rsidRDefault="0070011E" w:rsidP="009202BD">
      <w:r>
        <w:t xml:space="preserve">Attachment 6 - Capital expenditure </w:t>
      </w:r>
    </w:p>
    <w:p w:rsidR="0070011E" w:rsidRDefault="0070011E" w:rsidP="009202BD">
      <w:r>
        <w:t>Attachment 7 - Operating expenditure</w:t>
      </w:r>
    </w:p>
    <w:p w:rsidR="0070011E" w:rsidRDefault="0070011E" w:rsidP="009202BD">
      <w:r>
        <w:t>Attachment 8 - Corporate income tax</w:t>
      </w:r>
    </w:p>
    <w:p w:rsidR="0070011E" w:rsidRDefault="0070011E" w:rsidP="009202BD">
      <w:r>
        <w:t xml:space="preserve">Attachment 9 - Efficiency </w:t>
      </w:r>
      <w:r w:rsidR="00EE77FA">
        <w:t>carryover mechanism</w:t>
      </w:r>
    </w:p>
    <w:p w:rsidR="0070011E" w:rsidRDefault="0070011E" w:rsidP="009202BD">
      <w:r>
        <w:t xml:space="preserve">Attachment 10 - </w:t>
      </w:r>
      <w:r w:rsidR="00EE77FA">
        <w:t>Reference tariff setting</w:t>
      </w:r>
    </w:p>
    <w:p w:rsidR="0070011E" w:rsidRDefault="0070011E" w:rsidP="009202BD">
      <w:r>
        <w:t xml:space="preserve">Attachment 11 - </w:t>
      </w:r>
      <w:r w:rsidR="00EE77FA">
        <w:t>Reference tariff variation mechanism</w:t>
      </w:r>
    </w:p>
    <w:p w:rsidR="0070011E" w:rsidRDefault="0070011E" w:rsidP="009202BD">
      <w:r>
        <w:t xml:space="preserve">Attachment 12 - </w:t>
      </w:r>
      <w:r w:rsidR="00EE77FA">
        <w:t>Non-tariff components</w:t>
      </w:r>
    </w:p>
    <w:p w:rsidR="0070011E" w:rsidRDefault="0070011E" w:rsidP="009202BD">
      <w:r>
        <w:t xml:space="preserve">Attachment 13 - </w:t>
      </w:r>
      <w:r w:rsidR="00EE77FA">
        <w:t>Demand</w:t>
      </w:r>
    </w:p>
    <w:p w:rsidR="00210FDB" w:rsidRDefault="00210FDB" w:rsidP="009202BD">
      <w:r>
        <w:t>Attachment 14 - Other incentive schemes</w:t>
      </w:r>
    </w:p>
    <w:p w:rsidR="00DE563D" w:rsidRPr="00A72B34" w:rsidRDefault="00DE563D" w:rsidP="00DE772C">
      <w:pPr>
        <w:pStyle w:val="UnnumberedHeading"/>
        <w:numPr>
          <w:ilvl w:val="0"/>
          <w:numId w:val="23"/>
        </w:numPr>
      </w:pPr>
      <w:bookmarkStart w:id="5" w:name="_Toc403144133"/>
      <w:bookmarkStart w:id="6" w:name="_Toc451527529"/>
      <w:r>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bookmarkStart w:id="7" w:name="_GoBack" w:displacedByCustomXml="prev"/>
        <w:bookmarkEnd w:id="7" w:displacedByCustomXml="prev"/>
        <w:p w:rsidR="00103A02" w:rsidRDefault="00E348AF">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"1-2" \h \z \t "Heading 3,3" </w:instrText>
          </w:r>
          <w:r>
            <w:rPr>
              <w:color w:val="auto"/>
              <w:sz w:val="22"/>
            </w:rPr>
            <w:fldChar w:fldCharType="separate"/>
          </w:r>
          <w:hyperlink w:anchor="_Toc451527528" w:history="1">
            <w:r w:rsidR="00103A02" w:rsidRPr="00F132EA">
              <w:rPr>
                <w:rStyle w:val="Hyperlink"/>
              </w:rPr>
              <w:t>Note</w:t>
            </w:r>
            <w:r w:rsidR="00103A02">
              <w:rPr>
                <w:webHidden/>
              </w:rPr>
              <w:tab/>
            </w:r>
            <w:r w:rsidR="00103A02">
              <w:rPr>
                <w:webHidden/>
              </w:rPr>
              <w:fldChar w:fldCharType="begin"/>
            </w:r>
            <w:r w:rsidR="00103A02">
              <w:rPr>
                <w:webHidden/>
              </w:rPr>
              <w:instrText xml:space="preserve"> PAGEREF _Toc451527528 \h </w:instrText>
            </w:r>
            <w:r w:rsidR="00103A02">
              <w:rPr>
                <w:webHidden/>
              </w:rPr>
            </w:r>
            <w:r w:rsidR="00103A02">
              <w:rPr>
                <w:webHidden/>
              </w:rPr>
              <w:fldChar w:fldCharType="separate"/>
            </w:r>
            <w:r w:rsidR="00103A02">
              <w:rPr>
                <w:webHidden/>
              </w:rPr>
              <w:t>10-2</w:t>
            </w:r>
            <w:r w:rsidR="00103A02">
              <w:rPr>
                <w:webHidden/>
              </w:rPr>
              <w:fldChar w:fldCharType="end"/>
            </w:r>
          </w:hyperlink>
        </w:p>
        <w:p w:rsidR="00103A02" w:rsidRDefault="00103A02">
          <w:pPr>
            <w:pStyle w:val="TOC1"/>
            <w:rPr>
              <w:rFonts w:asciiTheme="minorHAnsi" w:eastAsiaTheme="minorEastAsia" w:hAnsiTheme="minorHAnsi"/>
              <w:b w:val="0"/>
              <w:color w:val="auto"/>
              <w:sz w:val="22"/>
              <w:lang w:val="en-AU" w:eastAsia="en-AU"/>
            </w:rPr>
          </w:pPr>
          <w:hyperlink w:anchor="_Toc451527529" w:history="1">
            <w:r w:rsidRPr="00F132EA">
              <w:rPr>
                <w:rStyle w:val="Hyperlink"/>
              </w:rPr>
              <w:t>Contents</w:t>
            </w:r>
            <w:r>
              <w:rPr>
                <w:webHidden/>
              </w:rPr>
              <w:tab/>
            </w:r>
            <w:r>
              <w:rPr>
                <w:webHidden/>
              </w:rPr>
              <w:fldChar w:fldCharType="begin"/>
            </w:r>
            <w:r>
              <w:rPr>
                <w:webHidden/>
              </w:rPr>
              <w:instrText xml:space="preserve"> PAGEREF _Toc451527529 \h </w:instrText>
            </w:r>
            <w:r>
              <w:rPr>
                <w:webHidden/>
              </w:rPr>
            </w:r>
            <w:r>
              <w:rPr>
                <w:webHidden/>
              </w:rPr>
              <w:fldChar w:fldCharType="separate"/>
            </w:r>
            <w:r>
              <w:rPr>
                <w:webHidden/>
              </w:rPr>
              <w:t>10-3</w:t>
            </w:r>
            <w:r>
              <w:rPr>
                <w:webHidden/>
              </w:rPr>
              <w:fldChar w:fldCharType="end"/>
            </w:r>
          </w:hyperlink>
        </w:p>
        <w:p w:rsidR="00103A02" w:rsidRDefault="00103A02">
          <w:pPr>
            <w:pStyle w:val="TOC1"/>
            <w:rPr>
              <w:rFonts w:asciiTheme="minorHAnsi" w:eastAsiaTheme="minorEastAsia" w:hAnsiTheme="minorHAnsi"/>
              <w:b w:val="0"/>
              <w:color w:val="auto"/>
              <w:sz w:val="22"/>
              <w:lang w:val="en-AU" w:eastAsia="en-AU"/>
            </w:rPr>
          </w:pPr>
          <w:hyperlink w:anchor="_Toc451527530" w:history="1">
            <w:r w:rsidRPr="00F132EA">
              <w:rPr>
                <w:rStyle w:val="Hyperlink"/>
              </w:rPr>
              <w:t>Shortened forms</w:t>
            </w:r>
            <w:r>
              <w:rPr>
                <w:webHidden/>
              </w:rPr>
              <w:tab/>
            </w:r>
            <w:r>
              <w:rPr>
                <w:webHidden/>
              </w:rPr>
              <w:fldChar w:fldCharType="begin"/>
            </w:r>
            <w:r>
              <w:rPr>
                <w:webHidden/>
              </w:rPr>
              <w:instrText xml:space="preserve"> PAGEREF _Toc451527530 \h </w:instrText>
            </w:r>
            <w:r>
              <w:rPr>
                <w:webHidden/>
              </w:rPr>
            </w:r>
            <w:r>
              <w:rPr>
                <w:webHidden/>
              </w:rPr>
              <w:fldChar w:fldCharType="separate"/>
            </w:r>
            <w:r>
              <w:rPr>
                <w:webHidden/>
              </w:rPr>
              <w:t>10-4</w:t>
            </w:r>
            <w:r>
              <w:rPr>
                <w:webHidden/>
              </w:rPr>
              <w:fldChar w:fldCharType="end"/>
            </w:r>
          </w:hyperlink>
        </w:p>
        <w:p w:rsidR="00103A02" w:rsidRDefault="00103A02">
          <w:pPr>
            <w:pStyle w:val="TOC1"/>
            <w:rPr>
              <w:rFonts w:asciiTheme="minorHAnsi" w:eastAsiaTheme="minorEastAsia" w:hAnsiTheme="minorHAnsi"/>
              <w:b w:val="0"/>
              <w:color w:val="auto"/>
              <w:sz w:val="22"/>
              <w:lang w:val="en-AU" w:eastAsia="en-AU"/>
            </w:rPr>
          </w:pPr>
          <w:hyperlink w:anchor="_Toc451527531" w:history="1">
            <w:r w:rsidRPr="00F132EA">
              <w:rPr>
                <w:rStyle w:val="Hyperlink"/>
              </w:rPr>
              <w:t>10</w:t>
            </w:r>
            <w:r>
              <w:rPr>
                <w:rFonts w:asciiTheme="minorHAnsi" w:eastAsiaTheme="minorEastAsia" w:hAnsiTheme="minorHAnsi"/>
                <w:b w:val="0"/>
                <w:color w:val="auto"/>
                <w:sz w:val="22"/>
                <w:lang w:val="en-AU" w:eastAsia="en-AU"/>
              </w:rPr>
              <w:tab/>
            </w:r>
            <w:r w:rsidRPr="00F132EA">
              <w:rPr>
                <w:rStyle w:val="Hyperlink"/>
              </w:rPr>
              <w:t>Reference tariff setting</w:t>
            </w:r>
            <w:r>
              <w:rPr>
                <w:webHidden/>
              </w:rPr>
              <w:tab/>
            </w:r>
            <w:r>
              <w:rPr>
                <w:webHidden/>
              </w:rPr>
              <w:fldChar w:fldCharType="begin"/>
            </w:r>
            <w:r>
              <w:rPr>
                <w:webHidden/>
              </w:rPr>
              <w:instrText xml:space="preserve"> PAGEREF _Toc451527531 \h </w:instrText>
            </w:r>
            <w:r>
              <w:rPr>
                <w:webHidden/>
              </w:rPr>
            </w:r>
            <w:r>
              <w:rPr>
                <w:webHidden/>
              </w:rPr>
              <w:fldChar w:fldCharType="separate"/>
            </w:r>
            <w:r>
              <w:rPr>
                <w:webHidden/>
              </w:rPr>
              <w:t>10-6</w:t>
            </w:r>
            <w:r>
              <w:rPr>
                <w:webHidden/>
              </w:rPr>
              <w:fldChar w:fldCharType="end"/>
            </w:r>
          </w:hyperlink>
        </w:p>
        <w:p w:rsidR="00103A02" w:rsidRDefault="00103A02">
          <w:pPr>
            <w:pStyle w:val="TOC2"/>
            <w:tabs>
              <w:tab w:val="left" w:pos="1276"/>
            </w:tabs>
            <w:rPr>
              <w:rFonts w:asciiTheme="minorHAnsi" w:eastAsiaTheme="minorEastAsia" w:hAnsiTheme="minorHAnsi"/>
              <w:b w:val="0"/>
              <w:color w:val="auto"/>
              <w:sz w:val="22"/>
              <w:lang w:eastAsia="en-AU"/>
            </w:rPr>
          </w:pPr>
          <w:hyperlink w:anchor="_Toc451527532" w:history="1">
            <w:r w:rsidRPr="00F132EA">
              <w:rPr>
                <w:rStyle w:val="Hyperlink"/>
              </w:rPr>
              <w:t>10.1</w:t>
            </w:r>
            <w:r>
              <w:rPr>
                <w:rFonts w:asciiTheme="minorHAnsi" w:eastAsiaTheme="minorEastAsia" w:hAnsiTheme="minorHAnsi"/>
                <w:b w:val="0"/>
                <w:color w:val="auto"/>
                <w:sz w:val="22"/>
                <w:lang w:eastAsia="en-AU"/>
              </w:rPr>
              <w:tab/>
            </w:r>
            <w:r w:rsidRPr="00F132EA">
              <w:rPr>
                <w:rStyle w:val="Hyperlink"/>
              </w:rPr>
              <w:t>Final decision</w:t>
            </w:r>
            <w:r>
              <w:rPr>
                <w:webHidden/>
              </w:rPr>
              <w:tab/>
            </w:r>
            <w:r>
              <w:rPr>
                <w:webHidden/>
              </w:rPr>
              <w:fldChar w:fldCharType="begin"/>
            </w:r>
            <w:r>
              <w:rPr>
                <w:webHidden/>
              </w:rPr>
              <w:instrText xml:space="preserve"> PAGEREF _Toc451527532 \h </w:instrText>
            </w:r>
            <w:r>
              <w:rPr>
                <w:webHidden/>
              </w:rPr>
            </w:r>
            <w:r>
              <w:rPr>
                <w:webHidden/>
              </w:rPr>
              <w:fldChar w:fldCharType="separate"/>
            </w:r>
            <w:r>
              <w:rPr>
                <w:webHidden/>
              </w:rPr>
              <w:t>10-6</w:t>
            </w:r>
            <w:r>
              <w:rPr>
                <w:webHidden/>
              </w:rPr>
              <w:fldChar w:fldCharType="end"/>
            </w:r>
          </w:hyperlink>
        </w:p>
        <w:p w:rsidR="00103A02" w:rsidRDefault="00103A02">
          <w:pPr>
            <w:pStyle w:val="TOC2"/>
            <w:tabs>
              <w:tab w:val="left" w:pos="1276"/>
            </w:tabs>
            <w:rPr>
              <w:rFonts w:asciiTheme="minorHAnsi" w:eastAsiaTheme="minorEastAsia" w:hAnsiTheme="minorHAnsi"/>
              <w:b w:val="0"/>
              <w:color w:val="auto"/>
              <w:sz w:val="22"/>
              <w:lang w:eastAsia="en-AU"/>
            </w:rPr>
          </w:pPr>
          <w:hyperlink w:anchor="_Toc451527533" w:history="1">
            <w:r w:rsidRPr="00F132EA">
              <w:rPr>
                <w:rStyle w:val="Hyperlink"/>
              </w:rPr>
              <w:t>10.2</w:t>
            </w:r>
            <w:r>
              <w:rPr>
                <w:rFonts w:asciiTheme="minorHAnsi" w:eastAsiaTheme="minorEastAsia" w:hAnsiTheme="minorHAnsi"/>
                <w:b w:val="0"/>
                <w:color w:val="auto"/>
                <w:sz w:val="22"/>
                <w:lang w:eastAsia="en-AU"/>
              </w:rPr>
              <w:tab/>
            </w:r>
            <w:r w:rsidRPr="00F132EA">
              <w:rPr>
                <w:rStyle w:val="Hyperlink"/>
              </w:rPr>
              <w:t>AGN's revised proposal</w:t>
            </w:r>
            <w:r>
              <w:rPr>
                <w:webHidden/>
              </w:rPr>
              <w:tab/>
            </w:r>
            <w:r>
              <w:rPr>
                <w:webHidden/>
              </w:rPr>
              <w:fldChar w:fldCharType="begin"/>
            </w:r>
            <w:r>
              <w:rPr>
                <w:webHidden/>
              </w:rPr>
              <w:instrText xml:space="preserve"> PAGEREF _Toc451527533 \h </w:instrText>
            </w:r>
            <w:r>
              <w:rPr>
                <w:webHidden/>
              </w:rPr>
            </w:r>
            <w:r>
              <w:rPr>
                <w:webHidden/>
              </w:rPr>
              <w:fldChar w:fldCharType="separate"/>
            </w:r>
            <w:r>
              <w:rPr>
                <w:webHidden/>
              </w:rPr>
              <w:t>10-6</w:t>
            </w:r>
            <w:r>
              <w:rPr>
                <w:webHidden/>
              </w:rPr>
              <w:fldChar w:fldCharType="end"/>
            </w:r>
          </w:hyperlink>
        </w:p>
        <w:p w:rsidR="00103A02" w:rsidRDefault="00103A02">
          <w:pPr>
            <w:pStyle w:val="TOC2"/>
            <w:tabs>
              <w:tab w:val="left" w:pos="1276"/>
            </w:tabs>
            <w:rPr>
              <w:rFonts w:asciiTheme="minorHAnsi" w:eastAsiaTheme="minorEastAsia" w:hAnsiTheme="minorHAnsi"/>
              <w:b w:val="0"/>
              <w:color w:val="auto"/>
              <w:sz w:val="22"/>
              <w:lang w:eastAsia="en-AU"/>
            </w:rPr>
          </w:pPr>
          <w:hyperlink w:anchor="_Toc451527534" w:history="1">
            <w:r w:rsidRPr="00F132EA">
              <w:rPr>
                <w:rStyle w:val="Hyperlink"/>
              </w:rPr>
              <w:t>10.3</w:t>
            </w:r>
            <w:r>
              <w:rPr>
                <w:rFonts w:asciiTheme="minorHAnsi" w:eastAsiaTheme="minorEastAsia" w:hAnsiTheme="minorHAnsi"/>
                <w:b w:val="0"/>
                <w:color w:val="auto"/>
                <w:sz w:val="22"/>
                <w:lang w:eastAsia="en-AU"/>
              </w:rPr>
              <w:tab/>
            </w:r>
            <w:r w:rsidRPr="00F132EA">
              <w:rPr>
                <w:rStyle w:val="Hyperlink"/>
              </w:rPr>
              <w:t>AER’s assessment approach</w:t>
            </w:r>
            <w:r>
              <w:rPr>
                <w:webHidden/>
              </w:rPr>
              <w:tab/>
            </w:r>
            <w:r>
              <w:rPr>
                <w:webHidden/>
              </w:rPr>
              <w:fldChar w:fldCharType="begin"/>
            </w:r>
            <w:r>
              <w:rPr>
                <w:webHidden/>
              </w:rPr>
              <w:instrText xml:space="preserve"> PAGEREF _Toc451527534 \h </w:instrText>
            </w:r>
            <w:r>
              <w:rPr>
                <w:webHidden/>
              </w:rPr>
            </w:r>
            <w:r>
              <w:rPr>
                <w:webHidden/>
              </w:rPr>
              <w:fldChar w:fldCharType="separate"/>
            </w:r>
            <w:r>
              <w:rPr>
                <w:webHidden/>
              </w:rPr>
              <w:t>10-7</w:t>
            </w:r>
            <w:r>
              <w:rPr>
                <w:webHidden/>
              </w:rPr>
              <w:fldChar w:fldCharType="end"/>
            </w:r>
          </w:hyperlink>
        </w:p>
        <w:p w:rsidR="00103A02" w:rsidRDefault="00103A02">
          <w:pPr>
            <w:pStyle w:val="TOC2"/>
            <w:tabs>
              <w:tab w:val="left" w:pos="1276"/>
            </w:tabs>
            <w:rPr>
              <w:rFonts w:asciiTheme="minorHAnsi" w:eastAsiaTheme="minorEastAsia" w:hAnsiTheme="minorHAnsi"/>
              <w:b w:val="0"/>
              <w:color w:val="auto"/>
              <w:sz w:val="22"/>
              <w:lang w:eastAsia="en-AU"/>
            </w:rPr>
          </w:pPr>
          <w:hyperlink w:anchor="_Toc451527535" w:history="1">
            <w:r w:rsidRPr="00F132EA">
              <w:rPr>
                <w:rStyle w:val="Hyperlink"/>
              </w:rPr>
              <w:t>10.4</w:t>
            </w:r>
            <w:r>
              <w:rPr>
                <w:rFonts w:asciiTheme="minorHAnsi" w:eastAsiaTheme="minorEastAsia" w:hAnsiTheme="minorHAnsi"/>
                <w:b w:val="0"/>
                <w:color w:val="auto"/>
                <w:sz w:val="22"/>
                <w:lang w:eastAsia="en-AU"/>
              </w:rPr>
              <w:tab/>
            </w:r>
            <w:r w:rsidRPr="00F132EA">
              <w:rPr>
                <w:rStyle w:val="Hyperlink"/>
              </w:rPr>
              <w:t>Reasons for final decision</w:t>
            </w:r>
            <w:r>
              <w:rPr>
                <w:webHidden/>
              </w:rPr>
              <w:tab/>
            </w:r>
            <w:r>
              <w:rPr>
                <w:webHidden/>
              </w:rPr>
              <w:fldChar w:fldCharType="begin"/>
            </w:r>
            <w:r>
              <w:rPr>
                <w:webHidden/>
              </w:rPr>
              <w:instrText xml:space="preserve"> PAGEREF _Toc451527535 \h </w:instrText>
            </w:r>
            <w:r>
              <w:rPr>
                <w:webHidden/>
              </w:rPr>
            </w:r>
            <w:r>
              <w:rPr>
                <w:webHidden/>
              </w:rPr>
              <w:fldChar w:fldCharType="separate"/>
            </w:r>
            <w:r>
              <w:rPr>
                <w:webHidden/>
              </w:rPr>
              <w:t>10-9</w:t>
            </w:r>
            <w:r>
              <w:rPr>
                <w:webHidden/>
              </w:rPr>
              <w:fldChar w:fldCharType="end"/>
            </w:r>
          </w:hyperlink>
        </w:p>
        <w:p w:rsidR="00103A02" w:rsidRDefault="00103A02">
          <w:pPr>
            <w:pStyle w:val="TOC3"/>
            <w:rPr>
              <w:rFonts w:asciiTheme="minorHAnsi" w:eastAsiaTheme="minorEastAsia" w:hAnsiTheme="minorHAnsi"/>
              <w:lang w:eastAsia="en-AU"/>
            </w:rPr>
          </w:pPr>
          <w:hyperlink w:anchor="_Toc451527536" w:history="1">
            <w:r w:rsidRPr="00F132EA">
              <w:rPr>
                <w:rStyle w:val="Hyperlink"/>
              </w:rPr>
              <w:t>10.4.1</w:t>
            </w:r>
            <w:r>
              <w:rPr>
                <w:rFonts w:asciiTheme="minorHAnsi" w:eastAsiaTheme="minorEastAsia" w:hAnsiTheme="minorHAnsi"/>
                <w:lang w:eastAsia="en-AU"/>
              </w:rPr>
              <w:tab/>
            </w:r>
            <w:r w:rsidRPr="00F132EA">
              <w:rPr>
                <w:rStyle w:val="Hyperlink"/>
              </w:rPr>
              <w:t>Allocation of revenues and costs to reference services</w:t>
            </w:r>
            <w:r>
              <w:rPr>
                <w:webHidden/>
              </w:rPr>
              <w:tab/>
            </w:r>
            <w:r>
              <w:rPr>
                <w:webHidden/>
              </w:rPr>
              <w:fldChar w:fldCharType="begin"/>
            </w:r>
            <w:r>
              <w:rPr>
                <w:webHidden/>
              </w:rPr>
              <w:instrText xml:space="preserve"> PAGEREF _Toc451527536 \h </w:instrText>
            </w:r>
            <w:r>
              <w:rPr>
                <w:webHidden/>
              </w:rPr>
            </w:r>
            <w:r>
              <w:rPr>
                <w:webHidden/>
              </w:rPr>
              <w:fldChar w:fldCharType="separate"/>
            </w:r>
            <w:r>
              <w:rPr>
                <w:webHidden/>
              </w:rPr>
              <w:t>10-11</w:t>
            </w:r>
            <w:r>
              <w:rPr>
                <w:webHidden/>
              </w:rPr>
              <w:fldChar w:fldCharType="end"/>
            </w:r>
          </w:hyperlink>
        </w:p>
        <w:p w:rsidR="00103A02" w:rsidRDefault="00103A02">
          <w:pPr>
            <w:pStyle w:val="TOC3"/>
            <w:rPr>
              <w:rFonts w:asciiTheme="minorHAnsi" w:eastAsiaTheme="minorEastAsia" w:hAnsiTheme="minorHAnsi"/>
              <w:lang w:eastAsia="en-AU"/>
            </w:rPr>
          </w:pPr>
          <w:hyperlink w:anchor="_Toc451527537" w:history="1">
            <w:r w:rsidRPr="00F132EA">
              <w:rPr>
                <w:rStyle w:val="Hyperlink"/>
              </w:rPr>
              <w:t>10.4.2</w:t>
            </w:r>
            <w:r>
              <w:rPr>
                <w:rFonts w:asciiTheme="minorHAnsi" w:eastAsiaTheme="minorEastAsia" w:hAnsiTheme="minorHAnsi"/>
                <w:lang w:eastAsia="en-AU"/>
              </w:rPr>
              <w:tab/>
            </w:r>
            <w:r w:rsidRPr="00F132EA">
              <w:rPr>
                <w:rStyle w:val="Hyperlink"/>
              </w:rPr>
              <w:t>Establishment of tariff classes</w:t>
            </w:r>
            <w:r>
              <w:rPr>
                <w:webHidden/>
              </w:rPr>
              <w:tab/>
            </w:r>
            <w:r>
              <w:rPr>
                <w:webHidden/>
              </w:rPr>
              <w:fldChar w:fldCharType="begin"/>
            </w:r>
            <w:r>
              <w:rPr>
                <w:webHidden/>
              </w:rPr>
              <w:instrText xml:space="preserve"> PAGEREF _Toc451527537 \h </w:instrText>
            </w:r>
            <w:r>
              <w:rPr>
                <w:webHidden/>
              </w:rPr>
            </w:r>
            <w:r>
              <w:rPr>
                <w:webHidden/>
              </w:rPr>
              <w:fldChar w:fldCharType="separate"/>
            </w:r>
            <w:r>
              <w:rPr>
                <w:webHidden/>
              </w:rPr>
              <w:t>10-11</w:t>
            </w:r>
            <w:r>
              <w:rPr>
                <w:webHidden/>
              </w:rPr>
              <w:fldChar w:fldCharType="end"/>
            </w:r>
          </w:hyperlink>
        </w:p>
        <w:p w:rsidR="00103A02" w:rsidRDefault="00103A02">
          <w:pPr>
            <w:pStyle w:val="TOC3"/>
            <w:rPr>
              <w:rFonts w:asciiTheme="minorHAnsi" w:eastAsiaTheme="minorEastAsia" w:hAnsiTheme="minorHAnsi"/>
              <w:lang w:eastAsia="en-AU"/>
            </w:rPr>
          </w:pPr>
          <w:hyperlink w:anchor="_Toc451527538" w:history="1">
            <w:r w:rsidRPr="00F132EA">
              <w:rPr>
                <w:rStyle w:val="Hyperlink"/>
              </w:rPr>
              <w:t>10.4.3</w:t>
            </w:r>
            <w:r>
              <w:rPr>
                <w:rFonts w:asciiTheme="minorHAnsi" w:eastAsiaTheme="minorEastAsia" w:hAnsiTheme="minorHAnsi"/>
                <w:lang w:eastAsia="en-AU"/>
              </w:rPr>
              <w:tab/>
            </w:r>
            <w:r w:rsidRPr="00F132EA">
              <w:rPr>
                <w:rStyle w:val="Hyperlink"/>
              </w:rPr>
              <w:t>Tariff classes and revenue limits</w:t>
            </w:r>
            <w:r>
              <w:rPr>
                <w:webHidden/>
              </w:rPr>
              <w:tab/>
            </w:r>
            <w:r>
              <w:rPr>
                <w:webHidden/>
              </w:rPr>
              <w:fldChar w:fldCharType="begin"/>
            </w:r>
            <w:r>
              <w:rPr>
                <w:webHidden/>
              </w:rPr>
              <w:instrText xml:space="preserve"> PAGEREF _Toc451527538 \h </w:instrText>
            </w:r>
            <w:r>
              <w:rPr>
                <w:webHidden/>
              </w:rPr>
            </w:r>
            <w:r>
              <w:rPr>
                <w:webHidden/>
              </w:rPr>
              <w:fldChar w:fldCharType="separate"/>
            </w:r>
            <w:r>
              <w:rPr>
                <w:webHidden/>
              </w:rPr>
              <w:t>10-12</w:t>
            </w:r>
            <w:r>
              <w:rPr>
                <w:webHidden/>
              </w:rPr>
              <w:fldChar w:fldCharType="end"/>
            </w:r>
          </w:hyperlink>
        </w:p>
        <w:p w:rsidR="00103A02" w:rsidRDefault="00103A02">
          <w:pPr>
            <w:pStyle w:val="TOC3"/>
            <w:rPr>
              <w:rFonts w:asciiTheme="minorHAnsi" w:eastAsiaTheme="minorEastAsia" w:hAnsiTheme="minorHAnsi"/>
              <w:lang w:eastAsia="en-AU"/>
            </w:rPr>
          </w:pPr>
          <w:hyperlink w:anchor="_Toc451527539" w:history="1">
            <w:r w:rsidRPr="00F132EA">
              <w:rPr>
                <w:rStyle w:val="Hyperlink"/>
              </w:rPr>
              <w:t>10.4.4</w:t>
            </w:r>
            <w:r>
              <w:rPr>
                <w:rFonts w:asciiTheme="minorHAnsi" w:eastAsiaTheme="minorEastAsia" w:hAnsiTheme="minorHAnsi"/>
                <w:lang w:eastAsia="en-AU"/>
              </w:rPr>
              <w:tab/>
            </w:r>
            <w:r w:rsidRPr="00F132EA">
              <w:rPr>
                <w:rStyle w:val="Hyperlink"/>
              </w:rPr>
              <w:t>Prudent discounts</w:t>
            </w:r>
            <w:r>
              <w:rPr>
                <w:webHidden/>
              </w:rPr>
              <w:tab/>
            </w:r>
            <w:r>
              <w:rPr>
                <w:webHidden/>
              </w:rPr>
              <w:fldChar w:fldCharType="begin"/>
            </w:r>
            <w:r>
              <w:rPr>
                <w:webHidden/>
              </w:rPr>
              <w:instrText xml:space="preserve"> PAGEREF _Toc451527539 \h </w:instrText>
            </w:r>
            <w:r>
              <w:rPr>
                <w:webHidden/>
              </w:rPr>
            </w:r>
            <w:r>
              <w:rPr>
                <w:webHidden/>
              </w:rPr>
              <w:fldChar w:fldCharType="separate"/>
            </w:r>
            <w:r>
              <w:rPr>
                <w:webHidden/>
              </w:rPr>
              <w:t>10-13</w:t>
            </w:r>
            <w:r>
              <w:rPr>
                <w:webHidden/>
              </w:rPr>
              <w:fldChar w:fldCharType="end"/>
            </w:r>
          </w:hyperlink>
        </w:p>
        <w:p w:rsidR="00DE563D" w:rsidRDefault="00E348AF" w:rsidP="00E348AF">
          <w:pPr>
            <w:pStyle w:val="TOC1"/>
          </w:pPr>
          <w:r>
            <w:rPr>
              <w:color w:val="auto"/>
              <w:sz w:val="22"/>
            </w:rPr>
            <w:fldChar w:fldCharType="end"/>
          </w:r>
        </w:p>
      </w:sdtContent>
    </w:sdt>
    <w:p w:rsidR="00DE563D" w:rsidRDefault="00C84560">
      <w:pPr>
        <w:spacing w:line="240" w:lineRule="auto"/>
      </w:pPr>
      <w:r>
        <w:t xml:space="preserve"> </w:t>
      </w:r>
    </w:p>
    <w:p w:rsidR="00E7494F" w:rsidRDefault="00DE563D" w:rsidP="00DE772C">
      <w:pPr>
        <w:pStyle w:val="UnnumberedHeading"/>
        <w:numPr>
          <w:ilvl w:val="0"/>
          <w:numId w:val="23"/>
        </w:numPr>
      </w:pPr>
      <w:bookmarkStart w:id="8" w:name="_Toc404700925"/>
      <w:bookmarkStart w:id="9" w:name="_Toc451527530"/>
      <w:r>
        <w:t>Shortened forms</w:t>
      </w:r>
      <w:bookmarkEnd w:id="8"/>
      <w:bookmarkEnd w:id="9"/>
    </w:p>
    <w:tbl>
      <w:tblPr>
        <w:tblStyle w:val="AERtable-numbers"/>
        <w:tblW w:w="0" w:type="auto"/>
        <w:tblLook w:val="04A0" w:firstRow="1" w:lastRow="0" w:firstColumn="1" w:lastColumn="0" w:noHBand="0" w:noVBand="1"/>
      </w:tblPr>
      <w:tblGrid>
        <w:gridCol w:w="3652"/>
        <w:gridCol w:w="5041"/>
      </w:tblGrid>
      <w:tr w:rsidR="006D3A8E" w:rsidTr="006D3A8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Shortened form</w:t>
            </w:r>
          </w:p>
        </w:tc>
        <w:tc>
          <w:tcPr>
            <w:tcW w:w="5041" w:type="dxa"/>
            <w:tcBorders>
              <w:top w:val="nil"/>
              <w:left w:val="nil"/>
              <w:bottom w:val="nil"/>
              <w:right w:val="nil"/>
            </w:tcBorders>
            <w:hideMark/>
          </w:tcPr>
          <w:p w:rsidR="006D3A8E" w:rsidRPr="006D3A8E" w:rsidRDefault="006D3A8E" w:rsidP="006D3A8E">
            <w:pPr>
              <w:numPr>
                <w:ilvl w:val="0"/>
                <w:numId w:val="24"/>
              </w:numPr>
              <w:cnfStyle w:val="100000000000" w:firstRow="1" w:lastRow="0" w:firstColumn="0" w:lastColumn="0" w:oddVBand="0" w:evenVBand="0" w:oddHBand="0" w:evenHBand="0" w:firstRowFirstColumn="0" w:firstRowLastColumn="0" w:lastRowFirstColumn="0" w:lastRowLastColumn="0"/>
            </w:pPr>
            <w:r w:rsidRPr="006D3A8E">
              <w:t>Extended form</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AA</w:t>
            </w:r>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Access Arrangement</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AAI</w:t>
            </w:r>
          </w:p>
        </w:tc>
        <w:tc>
          <w:tcPr>
            <w:tcW w:w="5041" w:type="dxa"/>
            <w:tcBorders>
              <w:top w:val="nil"/>
              <w:left w:val="nil"/>
              <w:bottom w:val="nil"/>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Access Arrangement Information</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AER</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Australian Energy Regulator</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AGN</w:t>
            </w:r>
          </w:p>
        </w:tc>
        <w:tc>
          <w:tcPr>
            <w:tcW w:w="5041" w:type="dxa"/>
            <w:tcBorders>
              <w:top w:val="nil"/>
              <w:left w:val="nil"/>
              <w:bottom w:val="nil"/>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Australian Gas Networks</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ATO</w:t>
            </w:r>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Australian Tax Office</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capex</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capital expenditure</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CAPM</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capital asset pricing model</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CCP</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Consumer Challenge Panel</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CESS</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Capital Expenditure Sharing Scheme</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CPI</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consumer price index</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CSIS</w:t>
            </w:r>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Customer Service Incentive Scheme</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DRP</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debt risk premium</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EBSS</w:t>
            </w:r>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Efficiency Benefit Sharing Scheme</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ECM</w:t>
            </w:r>
          </w:p>
        </w:tc>
        <w:tc>
          <w:tcPr>
            <w:tcW w:w="5041" w:type="dxa"/>
            <w:tcBorders>
              <w:top w:val="nil"/>
              <w:left w:val="nil"/>
              <w:bottom w:val="nil"/>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Efficiency Carryover Mechanism</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ERP</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equity risk premium</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Expenditure Guideline</w:t>
            </w:r>
          </w:p>
        </w:tc>
        <w:tc>
          <w:tcPr>
            <w:tcW w:w="5041" w:type="dxa"/>
            <w:tcBorders>
              <w:top w:val="nil"/>
              <w:left w:val="nil"/>
              <w:bottom w:val="nil"/>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Expenditure Forecast Assessment Guideline</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gamma</w:t>
            </w:r>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value of imputation credits</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GSL</w:t>
            </w:r>
          </w:p>
        </w:tc>
        <w:tc>
          <w:tcPr>
            <w:tcW w:w="5041" w:type="dxa"/>
            <w:tcBorders>
              <w:top w:val="nil"/>
              <w:left w:val="nil"/>
              <w:bottom w:val="nil"/>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Guaranteed Service Level</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MRP</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market risk premium</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NECF</w:t>
            </w:r>
          </w:p>
        </w:tc>
        <w:tc>
          <w:tcPr>
            <w:tcW w:w="5041" w:type="dxa"/>
            <w:tcBorders>
              <w:top w:val="nil"/>
              <w:left w:val="nil"/>
              <w:bottom w:val="nil"/>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National Energy Customer Framework</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NERL</w:t>
            </w:r>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National Energy Retail Law</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NERR</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National Energy Retail Rules</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NGL</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National Gas Law</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NGO</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National Gas Objective</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NGR</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National Gas Rules</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NIS</w:t>
            </w:r>
          </w:p>
        </w:tc>
        <w:tc>
          <w:tcPr>
            <w:tcW w:w="5041" w:type="dxa"/>
            <w:tcBorders>
              <w:top w:val="nil"/>
              <w:left w:val="nil"/>
              <w:bottom w:val="nil"/>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Network Incentive Scheme</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NPV</w:t>
            </w:r>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net present value</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opex</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operating expenditure</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PFP</w:t>
            </w:r>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partial factor productivity</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PPI</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partial performance indicators</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PTRM</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post-tax revenue model</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RBA</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Reserve Bank of Australia</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RFM</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roll forward model</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RIN</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regulatory information notice</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proofErr w:type="spellStart"/>
            <w:r w:rsidRPr="006D3A8E">
              <w:t>RoLR</w:t>
            </w:r>
            <w:proofErr w:type="spellEnd"/>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retailer of last resort</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RPP</w:t>
            </w:r>
          </w:p>
        </w:tc>
        <w:tc>
          <w:tcPr>
            <w:tcW w:w="5041" w:type="dxa"/>
            <w:tcBorders>
              <w:top w:val="nil"/>
              <w:left w:val="nil"/>
              <w:bottom w:val="nil"/>
              <w:right w:val="nil"/>
            </w:tcBorders>
            <w:hideMark/>
          </w:tcPr>
          <w:p w:rsidR="006D3A8E" w:rsidRPr="006D3A8E" w:rsidRDefault="006D3A8E" w:rsidP="006D3A8E">
            <w:pPr>
              <w:numPr>
                <w:ilvl w:val="0"/>
                <w:numId w:val="24"/>
              </w:numPr>
              <w:cnfStyle w:val="000000010000" w:firstRow="0" w:lastRow="0" w:firstColumn="0" w:lastColumn="0" w:oddVBand="0" w:evenVBand="0" w:oddHBand="0" w:evenHBand="1" w:firstRowFirstColumn="0" w:firstRowLastColumn="0" w:lastRowFirstColumn="0" w:lastRowLastColumn="0"/>
            </w:pPr>
            <w:r w:rsidRPr="006D3A8E">
              <w:t>revenue and pricing principles</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SLCAPM</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Sharpe-</w:t>
            </w:r>
            <w:proofErr w:type="spellStart"/>
            <w:r w:rsidRPr="006D3A8E">
              <w:t>Lintner</w:t>
            </w:r>
            <w:proofErr w:type="spellEnd"/>
            <w:r w:rsidRPr="006D3A8E">
              <w:t xml:space="preserve"> capital asset pricing model</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STPIS</w:t>
            </w:r>
          </w:p>
        </w:tc>
        <w:tc>
          <w:tcPr>
            <w:tcW w:w="5041" w:type="dxa"/>
            <w:tcBorders>
              <w:top w:val="nil"/>
              <w:left w:val="nil"/>
              <w:bottom w:val="nil"/>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Service Target Performance Incentive Scheme</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TAB</w:t>
            </w:r>
          </w:p>
        </w:tc>
        <w:tc>
          <w:tcPr>
            <w:tcW w:w="5041" w:type="dxa"/>
            <w:tcBorders>
              <w:top w:val="nil"/>
              <w:left w:val="nil"/>
              <w:bottom w:val="nil"/>
              <w:right w:val="nil"/>
            </w:tcBorders>
            <w:hideMark/>
          </w:tcPr>
          <w:p w:rsidR="006D3A8E" w:rsidRPr="006D3A8E" w:rsidRDefault="006D3A8E" w:rsidP="006D3A8E">
            <w:pPr>
              <w:cnfStyle w:val="000000000000" w:firstRow="0" w:lastRow="0" w:firstColumn="0" w:lastColumn="0" w:oddVBand="0" w:evenVBand="0" w:oddHBand="0" w:evenHBand="0" w:firstRowFirstColumn="0" w:firstRowLastColumn="0" w:lastRowFirstColumn="0" w:lastRowLastColumn="0"/>
            </w:pPr>
            <w:r w:rsidRPr="006D3A8E">
              <w:t>tax asset base</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UAFG</w:t>
            </w:r>
          </w:p>
        </w:tc>
        <w:tc>
          <w:tcPr>
            <w:tcW w:w="5041" w:type="dxa"/>
            <w:tcBorders>
              <w:top w:val="nil"/>
              <w:left w:val="nil"/>
              <w:bottom w:val="nil"/>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unaccounted for gas</w:t>
            </w:r>
          </w:p>
        </w:tc>
      </w:tr>
      <w:tr w:rsidR="006D3A8E" w:rsidTr="006D3A8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6D3A8E" w:rsidRPr="006D3A8E" w:rsidRDefault="006D3A8E" w:rsidP="006D3A8E">
            <w:pPr>
              <w:numPr>
                <w:ilvl w:val="0"/>
                <w:numId w:val="24"/>
              </w:numPr>
            </w:pPr>
            <w:r w:rsidRPr="006D3A8E">
              <w:t>WACC</w:t>
            </w:r>
          </w:p>
        </w:tc>
        <w:tc>
          <w:tcPr>
            <w:tcW w:w="5041" w:type="dxa"/>
            <w:tcBorders>
              <w:top w:val="nil"/>
              <w:left w:val="nil"/>
              <w:bottom w:val="nil"/>
              <w:right w:val="nil"/>
            </w:tcBorders>
            <w:hideMark/>
          </w:tcPr>
          <w:p w:rsidR="006D3A8E" w:rsidRPr="006D3A8E" w:rsidRDefault="006D3A8E" w:rsidP="006D3A8E">
            <w:pPr>
              <w:numPr>
                <w:ilvl w:val="0"/>
                <w:numId w:val="24"/>
              </w:numPr>
              <w:cnfStyle w:val="000000000000" w:firstRow="0" w:lastRow="0" w:firstColumn="0" w:lastColumn="0" w:oddVBand="0" w:evenVBand="0" w:oddHBand="0" w:evenHBand="0" w:firstRowFirstColumn="0" w:firstRowLastColumn="0" w:lastRowFirstColumn="0" w:lastRowLastColumn="0"/>
            </w:pPr>
            <w:r w:rsidRPr="006D3A8E">
              <w:t>weighted average cost of capital</w:t>
            </w:r>
          </w:p>
        </w:tc>
      </w:tr>
      <w:tr w:rsidR="006D3A8E" w:rsidTr="006D3A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single" w:sz="4" w:space="0" w:color="365F91"/>
              <w:right w:val="nil"/>
            </w:tcBorders>
            <w:hideMark/>
          </w:tcPr>
          <w:p w:rsidR="006D3A8E" w:rsidRPr="006D3A8E" w:rsidRDefault="006D3A8E" w:rsidP="006D3A8E">
            <w:pPr>
              <w:numPr>
                <w:ilvl w:val="0"/>
                <w:numId w:val="24"/>
              </w:numPr>
            </w:pPr>
            <w:r w:rsidRPr="006D3A8E">
              <w:t>WPI</w:t>
            </w:r>
          </w:p>
        </w:tc>
        <w:tc>
          <w:tcPr>
            <w:tcW w:w="5041" w:type="dxa"/>
            <w:tcBorders>
              <w:top w:val="nil"/>
              <w:left w:val="nil"/>
              <w:bottom w:val="single" w:sz="4" w:space="0" w:color="365F91"/>
              <w:right w:val="nil"/>
            </w:tcBorders>
            <w:hideMark/>
          </w:tcPr>
          <w:p w:rsidR="006D3A8E" w:rsidRPr="006D3A8E" w:rsidRDefault="006D3A8E" w:rsidP="006D3A8E">
            <w:pPr>
              <w:cnfStyle w:val="000000010000" w:firstRow="0" w:lastRow="0" w:firstColumn="0" w:lastColumn="0" w:oddVBand="0" w:evenVBand="0" w:oddHBand="0" w:evenHBand="1" w:firstRowFirstColumn="0" w:firstRowLastColumn="0" w:lastRowFirstColumn="0" w:lastRowLastColumn="0"/>
            </w:pPr>
            <w:r w:rsidRPr="006D3A8E">
              <w:t>Wage Price Index</w:t>
            </w:r>
          </w:p>
        </w:tc>
      </w:tr>
    </w:tbl>
    <w:p w:rsidR="006D3A8E" w:rsidRPr="006D3A8E" w:rsidRDefault="006D3A8E" w:rsidP="006D3A8E"/>
    <w:p w:rsidR="00DE563D" w:rsidRDefault="009D2B38" w:rsidP="00301F1F">
      <w:pPr>
        <w:pStyle w:val="Heading1"/>
      </w:pPr>
      <w:bookmarkStart w:id="10" w:name="_Toc451527531"/>
      <w:r>
        <w:t xml:space="preserve">Reference tariff </w:t>
      </w:r>
      <w:r w:rsidR="00CF598F">
        <w:t>setting</w:t>
      </w:r>
      <w:bookmarkEnd w:id="10"/>
    </w:p>
    <w:p w:rsidR="00342C9A" w:rsidRPr="00342C9A" w:rsidRDefault="00342C9A" w:rsidP="00342C9A">
      <w:r w:rsidRPr="00342C9A">
        <w:t>This attachment outlines our assessment of the reference tariffs proposed by Australian Gas Networks (AGN) against the requirements of the National Gas Rules</w:t>
      </w:r>
      <w:r w:rsidR="00E348AF">
        <w:t xml:space="preserve"> (NGR)</w:t>
      </w:r>
      <w:r w:rsidRPr="00342C9A">
        <w:t>. Our assessment focuses on the structure of reference tariffs and takes into account the revenue and pricing principles.</w:t>
      </w:r>
      <w:r w:rsidRPr="00342C9A">
        <w:rPr>
          <w:rStyle w:val="FootnoteReference"/>
        </w:rPr>
        <w:footnoteReference w:id="1"/>
      </w:r>
    </w:p>
    <w:p w:rsidR="00A2303E" w:rsidRDefault="00A2303E" w:rsidP="00A2303E">
      <w:pPr>
        <w:pStyle w:val="Heading2"/>
      </w:pPr>
      <w:bookmarkStart w:id="11" w:name="_Toc408404320"/>
      <w:bookmarkStart w:id="12" w:name="_Toc419366913"/>
      <w:bookmarkStart w:id="13" w:name="_Toc451527532"/>
      <w:r>
        <w:t>Final</w:t>
      </w:r>
      <w:r w:rsidRPr="0074565D">
        <w:t xml:space="preserve"> decision</w:t>
      </w:r>
      <w:bookmarkEnd w:id="11"/>
      <w:bookmarkEnd w:id="12"/>
      <w:bookmarkEnd w:id="13"/>
    </w:p>
    <w:p w:rsidR="002004DB" w:rsidRDefault="005079B5" w:rsidP="002004DB">
      <w:r>
        <w:t xml:space="preserve">We do not accept AGN's revised proposal structure of reference tariffs for the 2016–21 access arrangement. </w:t>
      </w:r>
      <w:r w:rsidR="000C1E74" w:rsidRPr="000C1E74">
        <w:t xml:space="preserve"> Our final decision </w:t>
      </w:r>
      <w:r w:rsidR="003F7FE2">
        <w:t>applies</w:t>
      </w:r>
      <w:r w:rsidR="000C1E74" w:rsidRPr="000C1E74">
        <w:t xml:space="preserve"> the structure of reference tariffs initially proposed by AGN and accepted in our draft decision.</w:t>
      </w:r>
      <w:r w:rsidR="000C1E74" w:rsidRPr="000C1E74">
        <w:rPr>
          <w:rStyle w:val="FootnoteReference"/>
        </w:rPr>
        <w:footnoteReference w:id="2"/>
      </w:r>
      <w:r w:rsidR="000C1E74" w:rsidRPr="000C1E74">
        <w:t xml:space="preserve"> We are satisfied the structure of the reference tariffs accepted in our draft decision complies with the requirements of the NGR.</w:t>
      </w:r>
      <w:r w:rsidR="000C1E74" w:rsidRPr="000C1E74">
        <w:rPr>
          <w:rStyle w:val="FootnoteReference"/>
        </w:rPr>
        <w:footnoteReference w:id="3"/>
      </w:r>
      <w:r w:rsidR="000B3DF4">
        <w:t xml:space="preserve"> The final decision </w:t>
      </w:r>
      <w:r w:rsidR="000B3DF4" w:rsidRPr="007F0C39">
        <w:t>reference tariffs are</w:t>
      </w:r>
      <w:r w:rsidR="000B3DF4">
        <w:t xml:space="preserve"> set</w:t>
      </w:r>
      <w:r w:rsidR="000B3DF4" w:rsidRPr="007F0C39">
        <w:t xml:space="preserve"> out in </w:t>
      </w:r>
      <w:r w:rsidR="000B3DF4">
        <w:fldChar w:fldCharType="begin"/>
      </w:r>
      <w:r w:rsidR="000B3DF4">
        <w:instrText xml:space="preserve"> REF  _Ref443631528 \* Lower \h </w:instrText>
      </w:r>
      <w:r w:rsidR="000B3DF4">
        <w:fldChar w:fldCharType="separate"/>
      </w:r>
      <w:r w:rsidR="009440F4">
        <w:t xml:space="preserve">table </w:t>
      </w:r>
      <w:r w:rsidR="009440F4">
        <w:rPr>
          <w:noProof/>
        </w:rPr>
        <w:t>10</w:t>
      </w:r>
      <w:r w:rsidR="009440F4">
        <w:t>.</w:t>
      </w:r>
      <w:r w:rsidR="009440F4">
        <w:rPr>
          <w:noProof/>
        </w:rPr>
        <w:t>1</w:t>
      </w:r>
      <w:r w:rsidR="000B3DF4">
        <w:fldChar w:fldCharType="end"/>
      </w:r>
      <w:r w:rsidR="000B3DF4">
        <w:t xml:space="preserve"> and t</w:t>
      </w:r>
      <w:r w:rsidR="000B3DF4" w:rsidRPr="007F0C39">
        <w:t>he ancillary reference tariffs are</w:t>
      </w:r>
      <w:r w:rsidR="000B3DF4">
        <w:t xml:space="preserve"> set</w:t>
      </w:r>
      <w:r w:rsidR="000B3DF4" w:rsidRPr="007F0C39">
        <w:t xml:space="preserve"> out in </w:t>
      </w:r>
      <w:r w:rsidR="000B3DF4">
        <w:fldChar w:fldCharType="begin"/>
      </w:r>
      <w:r w:rsidR="000B3DF4">
        <w:instrText xml:space="preserve"> REF  _Ref443631557 \* Lower \h </w:instrText>
      </w:r>
      <w:r w:rsidR="000B3DF4">
        <w:fldChar w:fldCharType="separate"/>
      </w:r>
      <w:r w:rsidR="009440F4">
        <w:t xml:space="preserve">table </w:t>
      </w:r>
      <w:r w:rsidR="009440F4">
        <w:rPr>
          <w:noProof/>
        </w:rPr>
        <w:t>10</w:t>
      </w:r>
      <w:r w:rsidR="009440F4">
        <w:t>.</w:t>
      </w:r>
      <w:r w:rsidR="009440F4">
        <w:rPr>
          <w:noProof/>
        </w:rPr>
        <w:t>2</w:t>
      </w:r>
      <w:r w:rsidR="000B3DF4">
        <w:fldChar w:fldCharType="end"/>
      </w:r>
      <w:r w:rsidR="000B3DF4" w:rsidRPr="007F0C39">
        <w:t>.</w:t>
      </w:r>
      <w:r w:rsidR="000B3DF4">
        <w:t xml:space="preserve"> </w:t>
      </w:r>
      <w:r w:rsidR="00E348AF">
        <w:t>T</w:t>
      </w:r>
      <w:r w:rsidR="002004DB" w:rsidRPr="002004DB">
        <w:t xml:space="preserve">he </w:t>
      </w:r>
      <w:r w:rsidR="00F34BB7" w:rsidRPr="002004DB">
        <w:t>quantum of the reference</w:t>
      </w:r>
      <w:r w:rsidR="00F34BB7">
        <w:t xml:space="preserve"> tariffs has</w:t>
      </w:r>
      <w:r w:rsidR="002004DB" w:rsidRPr="002004DB">
        <w:t xml:space="preserve"> be</w:t>
      </w:r>
      <w:r w:rsidR="000B3DF4">
        <w:t>en</w:t>
      </w:r>
      <w:r w:rsidR="002004DB" w:rsidRPr="002004DB">
        <w:t xml:space="preserve"> amended to reflect our final decision</w:t>
      </w:r>
      <w:r w:rsidR="009E74FC">
        <w:t xml:space="preserve"> total</w:t>
      </w:r>
      <w:r w:rsidR="002004DB" w:rsidRPr="002004DB">
        <w:t xml:space="preserve"> revenue </w:t>
      </w:r>
      <w:r w:rsidR="009E74FC">
        <w:t>requirement for AGN.</w:t>
      </w:r>
    </w:p>
    <w:p w:rsidR="00F34BB7" w:rsidRPr="002004DB" w:rsidRDefault="00F34BB7" w:rsidP="00F34BB7">
      <w:r w:rsidRPr="00F34BB7">
        <w:t>We have revised the access arrangement having regard to our reason</w:t>
      </w:r>
      <w:r>
        <w:t>s for refusing to approve AGN</w:t>
      </w:r>
      <w:r w:rsidRPr="00F34BB7">
        <w:t xml:space="preserve">'s proposal.  Our revisions are reflected in </w:t>
      </w:r>
      <w:r>
        <w:t>Annexure B</w:t>
      </w:r>
      <w:r w:rsidRPr="00C65A6E">
        <w:t xml:space="preserve"> of the </w:t>
      </w:r>
      <w:r w:rsidRPr="00C65A6E">
        <w:rPr>
          <w:rStyle w:val="AERtextitalic"/>
        </w:rPr>
        <w:t>Approved Access Arrangement for AGN’s South Australian Gas Distribution Network 1 July 2016–30 June 2021</w:t>
      </w:r>
      <w:r w:rsidRPr="00C65A6E">
        <w:t xml:space="preserve">, </w:t>
      </w:r>
      <w:r w:rsidR="005017AF" w:rsidRPr="00F34BB7">
        <w:t>which gives effect to this decision.</w:t>
      </w:r>
    </w:p>
    <w:p w:rsidR="000B3DF4" w:rsidRPr="002750F9" w:rsidRDefault="007E38F5" w:rsidP="002750F9">
      <w:r>
        <w:t>For the reasons set out in</w:t>
      </w:r>
      <w:r w:rsidR="005079B5">
        <w:t xml:space="preserve"> our draft decision,</w:t>
      </w:r>
      <w:r w:rsidR="005079B5" w:rsidRPr="002004DB">
        <w:t xml:space="preserve"> </w:t>
      </w:r>
      <w:r w:rsidR="005079B5">
        <w:t>w</w:t>
      </w:r>
      <w:r w:rsidR="002004DB" w:rsidRPr="002004DB">
        <w:t>e accept AGN’s proposed prudent discounts.</w:t>
      </w:r>
      <w:r w:rsidR="002004DB">
        <w:rPr>
          <w:rStyle w:val="FootnoteReference"/>
        </w:rPr>
        <w:footnoteReference w:id="4"/>
      </w:r>
      <w:r w:rsidR="002004DB" w:rsidRPr="002004DB">
        <w:t xml:space="preserve"> </w:t>
      </w:r>
      <w:r w:rsidR="000B3DF4">
        <w:t>T</w:t>
      </w:r>
      <w:r w:rsidR="002004DB" w:rsidRPr="002004DB">
        <w:t>he</w:t>
      </w:r>
      <w:r w:rsidR="000B3DF4">
        <w:t xml:space="preserve"> prudent discounts are</w:t>
      </w:r>
      <w:r w:rsidR="002004DB" w:rsidRPr="002004DB">
        <w:t xml:space="preserve"> consistent with th</w:t>
      </w:r>
      <w:r w:rsidR="000B3DF4">
        <w:t xml:space="preserve">ose approved for </w:t>
      </w:r>
      <w:r>
        <w:t>AGN's</w:t>
      </w:r>
      <w:r w:rsidRPr="002004DB">
        <w:t xml:space="preserve"> </w:t>
      </w:r>
      <w:r w:rsidR="002004DB" w:rsidRPr="002004DB">
        <w:t>past two access arrangements.</w:t>
      </w:r>
    </w:p>
    <w:p w:rsidR="00A2303E" w:rsidRDefault="00210FDB" w:rsidP="00A2303E">
      <w:pPr>
        <w:pStyle w:val="Heading2"/>
      </w:pPr>
      <w:bookmarkStart w:id="14" w:name="_Toc419366914"/>
      <w:bookmarkStart w:id="15" w:name="_Toc451527533"/>
      <w:r>
        <w:t>AGN's</w:t>
      </w:r>
      <w:r w:rsidR="00CC4086">
        <w:t xml:space="preserve"> revised</w:t>
      </w:r>
      <w:r w:rsidR="00A2303E">
        <w:t xml:space="preserve"> proposal</w:t>
      </w:r>
      <w:bookmarkEnd w:id="14"/>
      <w:bookmarkEnd w:id="15"/>
    </w:p>
    <w:p w:rsidR="002B23BD" w:rsidRDefault="002004DB" w:rsidP="002004DB">
      <w:r>
        <w:t>AGN's revised proposal</w:t>
      </w:r>
      <w:r w:rsidR="002B23BD">
        <w:t xml:space="preserve"> largely</w:t>
      </w:r>
      <w:r w:rsidR="001E624C">
        <w:t xml:space="preserve"> accepted ou</w:t>
      </w:r>
      <w:r w:rsidR="002B2596">
        <w:t>r</w:t>
      </w:r>
      <w:r w:rsidR="001E624C">
        <w:t xml:space="preserve"> draft decision</w:t>
      </w:r>
      <w:r w:rsidR="002B23BD">
        <w:t>.</w:t>
      </w:r>
      <w:r w:rsidR="002B23BD">
        <w:rPr>
          <w:rStyle w:val="FootnoteReference"/>
        </w:rPr>
        <w:footnoteReference w:id="5"/>
      </w:r>
      <w:r w:rsidR="002B23BD">
        <w:t xml:space="preserve"> However, it made one change to </w:t>
      </w:r>
      <w:r w:rsidR="00A45B4B">
        <w:t xml:space="preserve">the </w:t>
      </w:r>
      <w:r>
        <w:t>structure of reference tariffs</w:t>
      </w:r>
      <w:r w:rsidR="002B23BD">
        <w:t xml:space="preserve"> accepted in our draft decision which is the addition of the Mount Barker region to the </w:t>
      </w:r>
      <w:r w:rsidR="007E38F5">
        <w:t xml:space="preserve">tariff category that was specific to </w:t>
      </w:r>
      <w:r w:rsidR="002B23BD">
        <w:t xml:space="preserve">Tanunda. This change was brought about due to AGN's proposed network </w:t>
      </w:r>
      <w:r w:rsidR="00E348AF">
        <w:t xml:space="preserve">extension </w:t>
      </w:r>
      <w:r w:rsidR="002B23BD">
        <w:t xml:space="preserve">to </w:t>
      </w:r>
      <w:r w:rsidR="00E348AF">
        <w:t xml:space="preserve">the </w:t>
      </w:r>
      <w:r w:rsidR="002B23BD">
        <w:t>Mount</w:t>
      </w:r>
      <w:r w:rsidR="00392899">
        <w:t> </w:t>
      </w:r>
      <w:r w:rsidR="002B23BD">
        <w:t>Barker region.</w:t>
      </w:r>
    </w:p>
    <w:p w:rsidR="00A2303E" w:rsidRDefault="00A2303E" w:rsidP="00CB10D2">
      <w:pPr>
        <w:pStyle w:val="Heading2"/>
        <w:keepNext/>
      </w:pPr>
      <w:bookmarkStart w:id="16" w:name="_Toc408404322"/>
      <w:bookmarkStart w:id="17" w:name="_Toc419366915"/>
      <w:bookmarkStart w:id="18" w:name="_Toc451527534"/>
      <w:r w:rsidRPr="0074565D">
        <w:t>AER’s assessment approach</w:t>
      </w:r>
      <w:bookmarkEnd w:id="16"/>
      <w:bookmarkEnd w:id="17"/>
      <w:bookmarkEnd w:id="18"/>
    </w:p>
    <w:p w:rsidR="00342C9A" w:rsidRPr="00342C9A" w:rsidRDefault="00342C9A" w:rsidP="00CB10D2">
      <w:pPr>
        <w:keepNext/>
      </w:pPr>
      <w:r w:rsidRPr="00342C9A">
        <w:t>In an access arrangement, a service provider is required to specify for each reference service the reference tariff and proposed approach to setting the reference tariffs.</w:t>
      </w:r>
      <w:r w:rsidRPr="00342C9A">
        <w:rPr>
          <w:rStyle w:val="FootnoteReference"/>
        </w:rPr>
        <w:footnoteReference w:id="6"/>
      </w:r>
      <w:r w:rsidRPr="00342C9A">
        <w:t xml:space="preserve"> This is done by:</w:t>
      </w:r>
    </w:p>
    <w:p w:rsidR="00342C9A" w:rsidRPr="00342C9A" w:rsidRDefault="00342C9A" w:rsidP="00CB10D2">
      <w:pPr>
        <w:pStyle w:val="AERbulletlistfirststyle"/>
        <w:keepNext/>
      </w:pPr>
      <w:r w:rsidRPr="00342C9A">
        <w:t>explaining how revenues and costs are allocated, including the relationship between costs and tariffs</w:t>
      </w:r>
      <w:r w:rsidRPr="00342C9A">
        <w:rPr>
          <w:rStyle w:val="FootnoteReference"/>
        </w:rPr>
        <w:footnoteReference w:id="7"/>
      </w:r>
    </w:p>
    <w:p w:rsidR="00342C9A" w:rsidRPr="00342C9A" w:rsidRDefault="00342C9A" w:rsidP="00CB10D2">
      <w:pPr>
        <w:pStyle w:val="AERbulletlistfirststyle"/>
        <w:keepNext/>
      </w:pPr>
      <w:r w:rsidRPr="00342C9A">
        <w:t>defin</w:t>
      </w:r>
      <w:r w:rsidR="004660E0">
        <w:t>ing</w:t>
      </w:r>
      <w:r w:rsidRPr="00342C9A">
        <w:t xml:space="preserve"> the tariff classes</w:t>
      </w:r>
      <w:r w:rsidRPr="00342C9A">
        <w:rPr>
          <w:rStyle w:val="FootnoteReference"/>
        </w:rPr>
        <w:footnoteReference w:id="8"/>
      </w:r>
    </w:p>
    <w:p w:rsidR="00342C9A" w:rsidRPr="00342C9A" w:rsidRDefault="00342C9A" w:rsidP="00CB10D2">
      <w:pPr>
        <w:pStyle w:val="AERbulletlistfirststyle"/>
        <w:keepNext/>
      </w:pPr>
      <w:r w:rsidRPr="00342C9A">
        <w:t>comparing the revenue to be raised by each reference tariff with the cost of providing each individual reference service</w:t>
      </w:r>
      <w:r w:rsidRPr="00342C9A">
        <w:rPr>
          <w:rStyle w:val="FootnoteReference"/>
        </w:rPr>
        <w:footnoteReference w:id="9"/>
      </w:r>
    </w:p>
    <w:p w:rsidR="00342C9A" w:rsidRPr="00342C9A" w:rsidRDefault="00342C9A" w:rsidP="00CB10D2">
      <w:pPr>
        <w:pStyle w:val="AERbulletlistfirststyle"/>
        <w:keepNext/>
      </w:pPr>
      <w:proofErr w:type="gramStart"/>
      <w:r w:rsidRPr="00342C9A">
        <w:t>explaining</w:t>
      </w:r>
      <w:proofErr w:type="gramEnd"/>
      <w:r w:rsidRPr="00342C9A">
        <w:t xml:space="preserve"> and describing any pricing principles it employed.</w:t>
      </w:r>
      <w:r w:rsidRPr="00342C9A">
        <w:rPr>
          <w:rStyle w:val="FootnoteReference"/>
        </w:rPr>
        <w:footnoteReference w:id="10"/>
      </w:r>
    </w:p>
    <w:p w:rsidR="00342C9A" w:rsidRPr="00342C9A" w:rsidRDefault="00342C9A" w:rsidP="00CB10D2">
      <w:pPr>
        <w:keepNext/>
      </w:pPr>
      <w:r w:rsidRPr="00342C9A">
        <w:t>We are required to assess AGN’s proposed reference tariffs. Where we do not accept them, we must determine the initial (i.e. 2016) reference tariffs to apply for each reference service.</w:t>
      </w:r>
    </w:p>
    <w:p w:rsidR="00342C9A" w:rsidRPr="00342C9A" w:rsidRDefault="00342C9A" w:rsidP="00CB10D2">
      <w:pPr>
        <w:keepNext/>
      </w:pPr>
      <w:r w:rsidRPr="00342C9A">
        <w:t>In our assessment of the proposed reference tariff</w:t>
      </w:r>
      <w:r w:rsidR="00390614">
        <w:t>s</w:t>
      </w:r>
      <w:r w:rsidRPr="00342C9A">
        <w:t>, we reviewed AGN’s:</w:t>
      </w:r>
    </w:p>
    <w:p w:rsidR="00342C9A" w:rsidRPr="00342C9A" w:rsidRDefault="00342C9A" w:rsidP="00CB10D2">
      <w:pPr>
        <w:pStyle w:val="AERbulletlistfirststyle"/>
        <w:keepNext/>
      </w:pPr>
      <w:r w:rsidRPr="00342C9A">
        <w:t>access arrangement information</w:t>
      </w:r>
      <w:r w:rsidRPr="00342C9A">
        <w:rPr>
          <w:rStyle w:val="FootnoteReference"/>
        </w:rPr>
        <w:footnoteReference w:id="11"/>
      </w:r>
    </w:p>
    <w:p w:rsidR="00342C9A" w:rsidRPr="00342C9A" w:rsidRDefault="00342C9A" w:rsidP="00CB10D2">
      <w:pPr>
        <w:pStyle w:val="AERbulletlistfirststyle"/>
        <w:keepNext/>
      </w:pPr>
      <w:r w:rsidRPr="00342C9A">
        <w:t>access arrangement proposal</w:t>
      </w:r>
      <w:r w:rsidRPr="00342C9A">
        <w:rPr>
          <w:rStyle w:val="FootnoteReference"/>
        </w:rPr>
        <w:footnoteReference w:id="12"/>
      </w:r>
    </w:p>
    <w:p w:rsidR="00342C9A" w:rsidRPr="00342C9A" w:rsidRDefault="00342C9A" w:rsidP="00CB10D2">
      <w:pPr>
        <w:pStyle w:val="AERbulletlistfirststyle"/>
        <w:keepNext/>
      </w:pPr>
      <w:proofErr w:type="gramStart"/>
      <w:r w:rsidRPr="00342C9A">
        <w:t>additional</w:t>
      </w:r>
      <w:proofErr w:type="gramEnd"/>
      <w:r w:rsidRPr="00342C9A">
        <w:t xml:space="preserve"> information provided in response to our information requests.</w:t>
      </w:r>
      <w:r w:rsidRPr="00342C9A">
        <w:rPr>
          <w:rStyle w:val="FootnoteReference"/>
        </w:rPr>
        <w:footnoteReference w:id="13"/>
      </w:r>
    </w:p>
    <w:p w:rsidR="00342C9A" w:rsidRPr="00342C9A" w:rsidRDefault="00342C9A" w:rsidP="00CB10D2">
      <w:pPr>
        <w:keepNext/>
      </w:pPr>
      <w:r w:rsidRPr="00342C9A">
        <w:t>We also had regard to submissions received in the course of our consultation on the proposed access arrangement.</w:t>
      </w:r>
      <w:r w:rsidRPr="00342C9A">
        <w:rPr>
          <w:rStyle w:val="FootnoteReference"/>
        </w:rPr>
        <w:footnoteReference w:id="14"/>
      </w:r>
    </w:p>
    <w:p w:rsidR="00342C9A" w:rsidRPr="00342C9A" w:rsidRDefault="00342C9A" w:rsidP="00342C9A">
      <w:pPr>
        <w:pStyle w:val="HeadingBoldBlue"/>
      </w:pPr>
      <w:r w:rsidRPr="00342C9A">
        <w:t>Identifying the reference service</w:t>
      </w:r>
    </w:p>
    <w:p w:rsidR="00342C9A" w:rsidRPr="00342C9A" w:rsidRDefault="00342C9A" w:rsidP="00342C9A">
      <w:r w:rsidRPr="00342C9A">
        <w:t>Service providers are required by the NGR to specify a reference tariff for each reference service.</w:t>
      </w:r>
      <w:r w:rsidRPr="00342C9A">
        <w:rPr>
          <w:rStyle w:val="FootnoteReference"/>
        </w:rPr>
        <w:footnoteReference w:id="15"/>
      </w:r>
      <w:r w:rsidRPr="00342C9A">
        <w:t xml:space="preserve"> We first consider what is (or are) the reference service(s) for the purpose of the NGR when undertaking our review.</w:t>
      </w:r>
      <w:r w:rsidRPr="00342C9A">
        <w:rPr>
          <w:rStyle w:val="FootnoteReference"/>
        </w:rPr>
        <w:footnoteReference w:id="16"/>
      </w:r>
      <w:r w:rsidRPr="00342C9A">
        <w:t xml:space="preserve"> Our decision on what constitutes the reference service is set out in </w:t>
      </w:r>
      <w:r w:rsidR="0030491F">
        <w:t>A</w:t>
      </w:r>
      <w:r w:rsidRPr="00342C9A">
        <w:t>ttachment 1</w:t>
      </w:r>
      <w:r w:rsidR="0030491F">
        <w:t xml:space="preserve"> to this final decision</w:t>
      </w:r>
      <w:r w:rsidRPr="00342C9A">
        <w:t>.</w:t>
      </w:r>
    </w:p>
    <w:p w:rsidR="00342C9A" w:rsidRPr="00342C9A" w:rsidRDefault="00342C9A" w:rsidP="00342C9A">
      <w:pPr>
        <w:pStyle w:val="HeadingBoldBlue"/>
      </w:pPr>
      <w:r w:rsidRPr="00342C9A">
        <w:t>Assessing the tariff setting method for the reference service</w:t>
      </w:r>
    </w:p>
    <w:p w:rsidR="00342C9A" w:rsidRPr="00342C9A" w:rsidRDefault="00342C9A" w:rsidP="00342C9A">
      <w:r w:rsidRPr="00342C9A">
        <w:t>The reference tariffs for a full access arrangement must be designed to meet the requirements of the NGR. Our discretion on tariff design is limited.</w:t>
      </w:r>
      <w:r w:rsidRPr="00342C9A">
        <w:rPr>
          <w:rStyle w:val="FootnoteReference"/>
        </w:rPr>
        <w:footnoteReference w:id="17"/>
      </w:r>
    </w:p>
    <w:p w:rsidR="00342C9A" w:rsidRPr="00342C9A" w:rsidRDefault="00342C9A" w:rsidP="00342C9A">
      <w:r w:rsidRPr="00342C9A">
        <w:t>Consequently, we consider how the service provider intends to charge for reference services by:</w:t>
      </w:r>
    </w:p>
    <w:p w:rsidR="00342C9A" w:rsidRPr="00342C9A" w:rsidRDefault="00342C9A" w:rsidP="00342C9A">
      <w:pPr>
        <w:pStyle w:val="ListNumber"/>
      </w:pPr>
      <w:proofErr w:type="gramStart"/>
      <w:r w:rsidRPr="00342C9A">
        <w:t>assessing</w:t>
      </w:r>
      <w:proofErr w:type="gramEnd"/>
      <w:r w:rsidRPr="00342C9A">
        <w:t xml:space="preserve"> how AGN intends to allocate costs and revenues between reference services and other services. It must demonstrate that total revenue is allocated between reference and other services in the ratio in which costs are allocated between reference services and other services. Costs must also be allocated to the reference service and other services to which the cost is directly attributable.</w:t>
      </w:r>
      <w:r w:rsidRPr="00342C9A">
        <w:rPr>
          <w:rStyle w:val="FootnoteReference"/>
        </w:rPr>
        <w:footnoteReference w:id="18"/>
      </w:r>
    </w:p>
    <w:p w:rsidR="00342C9A" w:rsidRPr="00342C9A" w:rsidRDefault="00342C9A" w:rsidP="00342C9A">
      <w:pPr>
        <w:pStyle w:val="ListNumber"/>
      </w:pPr>
      <w:proofErr w:type="gramStart"/>
      <w:r w:rsidRPr="00342C9A">
        <w:t>assessing</w:t>
      </w:r>
      <w:proofErr w:type="gramEnd"/>
      <w:r w:rsidRPr="00342C9A">
        <w:t xml:space="preserve"> how AGN grouped its customers into tariff classes. AGN is required to group together customers for reference services on an economically efficient basis and to avoid unnecessary transaction costs.</w:t>
      </w:r>
      <w:r w:rsidRPr="00342C9A">
        <w:rPr>
          <w:rStyle w:val="FootnoteReference"/>
        </w:rPr>
        <w:footnoteReference w:id="19"/>
      </w:r>
      <w:r w:rsidRPr="00342C9A">
        <w:t xml:space="preserve"> We consider the nature of the reference service (e.g. volume and demand tariff classes) </w:t>
      </w:r>
      <w:r w:rsidR="00A07735">
        <w:t>is</w:t>
      </w:r>
      <w:r w:rsidR="00A07735" w:rsidRPr="00342C9A">
        <w:t xml:space="preserve"> </w:t>
      </w:r>
      <w:r w:rsidRPr="00342C9A">
        <w:t>consistent with the need to group customers for reference services together on an economically efficiently basis and avoid unnecessary transaction costs.</w:t>
      </w:r>
    </w:p>
    <w:p w:rsidR="00342C9A" w:rsidRPr="00342C9A" w:rsidRDefault="00342C9A" w:rsidP="00342C9A">
      <w:pPr>
        <w:pStyle w:val="ListNumber"/>
      </w:pPr>
      <w:r w:rsidRPr="00342C9A">
        <w:t>assessing how:</w:t>
      </w:r>
    </w:p>
    <w:p w:rsidR="00342C9A" w:rsidRPr="00342C9A" w:rsidRDefault="00342C9A" w:rsidP="00342C9A">
      <w:pPr>
        <w:pStyle w:val="AERnumberedlistsecondstyle"/>
      </w:pPr>
      <w:r w:rsidRPr="00342C9A">
        <w:t>the expected average revenue of a tariff class compares with the stand alone cost and avoidable cost of providing the reference service to that tariff class</w:t>
      </w:r>
    </w:p>
    <w:p w:rsidR="00342C9A" w:rsidRPr="00342C9A" w:rsidRDefault="00342C9A" w:rsidP="00342C9A">
      <w:pPr>
        <w:pStyle w:val="AERnumberedlistsecondstyle"/>
      </w:pPr>
      <w:r w:rsidRPr="00342C9A">
        <w:t>whether the tariff takes into account transaction costs associated with developing and applying the tariff</w:t>
      </w:r>
    </w:p>
    <w:p w:rsidR="00342C9A" w:rsidRPr="00342C9A" w:rsidRDefault="00342C9A" w:rsidP="00342C9A">
      <w:pPr>
        <w:pStyle w:val="AERnumberedlistsecondstyle"/>
      </w:pPr>
      <w:r w:rsidRPr="00342C9A">
        <w:t>whether the tariffs take into account the long run marginal costs of providing reference services</w:t>
      </w:r>
    </w:p>
    <w:p w:rsidR="00342C9A" w:rsidRPr="00342C9A" w:rsidRDefault="00342C9A" w:rsidP="00342C9A">
      <w:pPr>
        <w:pStyle w:val="AERnumberedlistsecondstyle"/>
      </w:pPr>
      <w:proofErr w:type="gramStart"/>
      <w:r w:rsidRPr="00342C9A">
        <w:t>whether</w:t>
      </w:r>
      <w:proofErr w:type="gramEnd"/>
      <w:r w:rsidRPr="00342C9A">
        <w:t xml:space="preserve"> customers belonging to the relevant tariff class are able, or likely, to respond to price signals.</w:t>
      </w:r>
      <w:r w:rsidRPr="00342C9A">
        <w:rPr>
          <w:rStyle w:val="FootnoteReference"/>
        </w:rPr>
        <w:footnoteReference w:id="20"/>
      </w:r>
    </w:p>
    <w:p w:rsidR="00342C9A" w:rsidRPr="00342C9A" w:rsidRDefault="00342C9A" w:rsidP="00342C9A">
      <w:pPr>
        <w:pStyle w:val="HeadingBoldBlue"/>
      </w:pPr>
      <w:r w:rsidRPr="00342C9A">
        <w:t>Prudent discounts</w:t>
      </w:r>
    </w:p>
    <w:p w:rsidR="00342C9A" w:rsidRPr="00342C9A" w:rsidRDefault="00342C9A" w:rsidP="00342C9A">
      <w:r w:rsidRPr="00342C9A">
        <w:t>We also assessed whether AGN’s proposed prudent discounts were necessary to respond to competition from other providers of pipeline services or other sources of energy or to maintain efficient use of the pipeline.</w:t>
      </w:r>
      <w:r w:rsidRPr="00342C9A">
        <w:rPr>
          <w:rStyle w:val="FootnoteReference"/>
        </w:rPr>
        <w:footnoteReference w:id="21"/>
      </w:r>
      <w:r w:rsidRPr="00342C9A">
        <w:t xml:space="preserve"> Th</w:t>
      </w:r>
      <w:r w:rsidR="00392899">
        <w:t>e prudent discounts were</w:t>
      </w:r>
      <w:r w:rsidRPr="00342C9A">
        <w:t xml:space="preserve"> provided to us by way of confidential mathematical calculations. </w:t>
      </w:r>
      <w:r w:rsidR="00416B4C">
        <w:t>W</w:t>
      </w:r>
      <w:r w:rsidRPr="00342C9A">
        <w:t>e also assessed whether the provision of the discount is likely to lead to lower reference tariffs than would otherwise be the case.</w:t>
      </w:r>
      <w:r w:rsidRPr="00342C9A">
        <w:rPr>
          <w:rStyle w:val="FootnoteReference"/>
        </w:rPr>
        <w:footnoteReference w:id="22"/>
      </w:r>
    </w:p>
    <w:p w:rsidR="00A2303E" w:rsidRDefault="00A2303E" w:rsidP="00A2303E">
      <w:pPr>
        <w:pStyle w:val="Heading2"/>
      </w:pPr>
      <w:bookmarkStart w:id="19" w:name="_Toc408404324"/>
      <w:bookmarkStart w:id="20" w:name="_Toc419366917"/>
      <w:bookmarkStart w:id="21" w:name="_Toc451527535"/>
      <w:r w:rsidRPr="0074565D">
        <w:t xml:space="preserve">Reasons for </w:t>
      </w:r>
      <w:r>
        <w:t>final</w:t>
      </w:r>
      <w:r w:rsidRPr="0074565D">
        <w:t xml:space="preserve"> decision</w:t>
      </w:r>
      <w:bookmarkEnd w:id="19"/>
      <w:bookmarkEnd w:id="20"/>
      <w:bookmarkEnd w:id="21"/>
      <w:r w:rsidRPr="0074565D">
        <w:t xml:space="preserve"> </w:t>
      </w:r>
    </w:p>
    <w:p w:rsidR="009E74FC" w:rsidRPr="009E74FC" w:rsidRDefault="002B23BD" w:rsidP="009E74FC">
      <w:r>
        <w:t>W</w:t>
      </w:r>
      <w:r w:rsidR="004D58CD">
        <w:t>e do not accept AGN's revised proposal structure of reference tariffs for the 2016–21 access arrangement</w:t>
      </w:r>
      <w:r w:rsidR="009E74FC">
        <w:t>.</w:t>
      </w:r>
      <w:r w:rsidR="004D58CD">
        <w:t xml:space="preserve"> </w:t>
      </w:r>
      <w:r w:rsidR="009E74FC" w:rsidRPr="009E74FC">
        <w:t>The revised structure includes tariffs for the Mount Barker region.</w:t>
      </w:r>
      <w:r w:rsidR="009E74FC" w:rsidRPr="009E74FC">
        <w:rPr>
          <w:rStyle w:val="FootnoteReference"/>
        </w:rPr>
        <w:footnoteReference w:id="23"/>
      </w:r>
      <w:r w:rsidR="009E74FC" w:rsidRPr="009E74FC">
        <w:t xml:space="preserve"> </w:t>
      </w:r>
      <w:r w:rsidR="00392899">
        <w:t xml:space="preserve">This change was brought about due to AGN's proposed network </w:t>
      </w:r>
      <w:r w:rsidR="003164A6">
        <w:t xml:space="preserve">extension </w:t>
      </w:r>
      <w:r w:rsidR="00392899">
        <w:t xml:space="preserve">to </w:t>
      </w:r>
      <w:r w:rsidR="003164A6">
        <w:t xml:space="preserve">the </w:t>
      </w:r>
      <w:r w:rsidR="00392899">
        <w:t xml:space="preserve">Mount Barker region. </w:t>
      </w:r>
      <w:r w:rsidR="009E74FC" w:rsidRPr="009E74FC">
        <w:t>However, our final decision</w:t>
      </w:r>
      <w:r w:rsidR="009E74FC">
        <w:t xml:space="preserve"> on AGN's capital expenditure—see </w:t>
      </w:r>
      <w:r w:rsidR="003164A6">
        <w:t xml:space="preserve">Attachment </w:t>
      </w:r>
      <w:r w:rsidR="009E74FC">
        <w:t xml:space="preserve">6 </w:t>
      </w:r>
      <w:r w:rsidR="003164A6">
        <w:t>to this final decision</w:t>
      </w:r>
      <w:r w:rsidR="009E74FC">
        <w:t>—</w:t>
      </w:r>
      <w:r w:rsidR="00F13216">
        <w:t xml:space="preserve"> is that we are not satisfied that that the capex for </w:t>
      </w:r>
      <w:r w:rsidR="009E74FC" w:rsidRPr="009E74FC">
        <w:t xml:space="preserve">the proposed </w:t>
      </w:r>
      <w:r w:rsidR="003164A6" w:rsidRPr="009E74FC">
        <w:t>ex</w:t>
      </w:r>
      <w:r w:rsidR="003164A6">
        <w:t>te</w:t>
      </w:r>
      <w:r w:rsidR="003164A6" w:rsidRPr="009E74FC">
        <w:t xml:space="preserve">nsion </w:t>
      </w:r>
      <w:r w:rsidR="009E74FC" w:rsidRPr="009E74FC">
        <w:t>to the Mount Barker region</w:t>
      </w:r>
      <w:r w:rsidR="00F13216">
        <w:t xml:space="preserve"> is conforming capex</w:t>
      </w:r>
      <w:r w:rsidR="009E74FC" w:rsidRPr="009E74FC">
        <w:t xml:space="preserve">. Therefore, the </w:t>
      </w:r>
      <w:r w:rsidR="003164A6">
        <w:t xml:space="preserve">proposed </w:t>
      </w:r>
      <w:r w:rsidR="009E74FC" w:rsidRPr="009E74FC">
        <w:t xml:space="preserve">Mount Barker tariffs </w:t>
      </w:r>
      <w:r w:rsidR="00F13216">
        <w:t xml:space="preserve">have not been </w:t>
      </w:r>
      <w:r w:rsidR="003164A6">
        <w:t>included</w:t>
      </w:r>
      <w:r w:rsidR="000848DD">
        <w:t xml:space="preserve"> in our final decision</w:t>
      </w:r>
      <w:r w:rsidR="009E74FC" w:rsidRPr="009E74FC">
        <w:t>.</w:t>
      </w:r>
    </w:p>
    <w:p w:rsidR="002E05CE" w:rsidRDefault="005A5CC5" w:rsidP="009E74FC">
      <w:r>
        <w:t>O</w:t>
      </w:r>
      <w:r w:rsidR="002E05CE" w:rsidRPr="002E05CE">
        <w:t>ur final decision is to apply the structure of reference tariffs initially proposed by AGN for the 2016–21 access arrangement</w:t>
      </w:r>
      <w:r w:rsidR="002E05CE">
        <w:t xml:space="preserve"> </w:t>
      </w:r>
      <w:r w:rsidR="002E05CE" w:rsidRPr="002E05CE">
        <w:t>and accepted in our draft decision.</w:t>
      </w:r>
      <w:r w:rsidR="002E05CE" w:rsidRPr="002E05CE">
        <w:rPr>
          <w:rStyle w:val="FootnoteReference"/>
        </w:rPr>
        <w:footnoteReference w:id="24"/>
      </w:r>
      <w:r w:rsidR="002E05CE" w:rsidRPr="002E05CE">
        <w:t xml:space="preserve"> </w:t>
      </w:r>
      <w:r w:rsidR="009E74FC">
        <w:t xml:space="preserve">AGN's revised proposal structure of tariffs is consistent with its initial proposal structure but for </w:t>
      </w:r>
      <w:r w:rsidR="00CC6AEA">
        <w:t xml:space="preserve">the </w:t>
      </w:r>
      <w:r>
        <w:t>addition of</w:t>
      </w:r>
      <w:r w:rsidR="00CC6AEA">
        <w:t xml:space="preserve"> Mount Barker</w:t>
      </w:r>
      <w:r>
        <w:t xml:space="preserve"> to the </w:t>
      </w:r>
      <w:r w:rsidR="00767305">
        <w:t xml:space="preserve">tariff category that was specific to </w:t>
      </w:r>
      <w:r>
        <w:t>Tanunda</w:t>
      </w:r>
      <w:r w:rsidR="00CC6AEA">
        <w:t xml:space="preserve">. </w:t>
      </w:r>
      <w:r w:rsidR="00412C55" w:rsidRPr="002E05CE">
        <w:t xml:space="preserve">We are satisfied the structure of the reference tariffs </w:t>
      </w:r>
      <w:r w:rsidR="009E74FC">
        <w:t>initially proposed by AGN and</w:t>
      </w:r>
      <w:r w:rsidR="009E74FC" w:rsidRPr="002E05CE">
        <w:t xml:space="preserve"> </w:t>
      </w:r>
      <w:r w:rsidR="004C298A">
        <w:t xml:space="preserve">which we </w:t>
      </w:r>
      <w:r w:rsidR="009E74FC" w:rsidRPr="002E05CE">
        <w:t>accepted</w:t>
      </w:r>
      <w:r w:rsidR="00412C55" w:rsidRPr="002E05CE">
        <w:t xml:space="preserve"> in our draft decision complies with the requirements of the NGR.</w:t>
      </w:r>
      <w:r w:rsidR="00412C55" w:rsidRPr="002E05CE">
        <w:rPr>
          <w:rStyle w:val="FootnoteReference"/>
        </w:rPr>
        <w:footnoteReference w:id="25"/>
      </w:r>
      <w:r w:rsidR="005F16C4">
        <w:t xml:space="preserve"> </w:t>
      </w:r>
      <w:r w:rsidR="00342372">
        <w:t>T</w:t>
      </w:r>
      <w:r w:rsidR="004C298A">
        <w:t>he</w:t>
      </w:r>
      <w:r w:rsidR="00D15824">
        <w:t xml:space="preserve"> final decision </w:t>
      </w:r>
      <w:r w:rsidR="00D15824" w:rsidRPr="007F0C39">
        <w:t>reference tariffs are</w:t>
      </w:r>
      <w:r w:rsidR="00D15824">
        <w:t xml:space="preserve"> set</w:t>
      </w:r>
      <w:r w:rsidR="00D15824" w:rsidRPr="007F0C39">
        <w:t xml:space="preserve"> out in </w:t>
      </w:r>
      <w:r w:rsidR="00D15824">
        <w:fldChar w:fldCharType="begin"/>
      </w:r>
      <w:r w:rsidR="00D15824">
        <w:instrText xml:space="preserve"> REF  _Ref443631528 \* Lower \h </w:instrText>
      </w:r>
      <w:r w:rsidR="00D15824">
        <w:fldChar w:fldCharType="separate"/>
      </w:r>
      <w:r w:rsidR="009440F4">
        <w:t xml:space="preserve">table </w:t>
      </w:r>
      <w:r w:rsidR="009440F4">
        <w:rPr>
          <w:noProof/>
        </w:rPr>
        <w:t>10</w:t>
      </w:r>
      <w:r w:rsidR="009440F4">
        <w:t>.</w:t>
      </w:r>
      <w:r w:rsidR="009440F4">
        <w:rPr>
          <w:noProof/>
        </w:rPr>
        <w:t>1</w:t>
      </w:r>
      <w:r w:rsidR="00D15824">
        <w:fldChar w:fldCharType="end"/>
      </w:r>
      <w:r w:rsidR="00D15824">
        <w:t xml:space="preserve"> and </w:t>
      </w:r>
      <w:r w:rsidR="00D15824">
        <w:fldChar w:fldCharType="begin"/>
      </w:r>
      <w:r w:rsidR="00D15824">
        <w:instrText xml:space="preserve"> REF  _Ref443631557 \* Lower \h </w:instrText>
      </w:r>
      <w:r w:rsidR="00D15824">
        <w:fldChar w:fldCharType="separate"/>
      </w:r>
      <w:r w:rsidR="009440F4">
        <w:t xml:space="preserve">table </w:t>
      </w:r>
      <w:r w:rsidR="009440F4">
        <w:rPr>
          <w:noProof/>
        </w:rPr>
        <w:t>10</w:t>
      </w:r>
      <w:r w:rsidR="009440F4">
        <w:t>.</w:t>
      </w:r>
      <w:r w:rsidR="009440F4">
        <w:rPr>
          <w:noProof/>
        </w:rPr>
        <w:t>2</w:t>
      </w:r>
      <w:r w:rsidR="00D15824">
        <w:fldChar w:fldCharType="end"/>
      </w:r>
      <w:r w:rsidR="00D15824">
        <w:t xml:space="preserve"> below.</w:t>
      </w:r>
    </w:p>
    <w:p w:rsidR="005F16C4" w:rsidRDefault="00F90F55" w:rsidP="005F16C4">
      <w:r>
        <w:t>F</w:t>
      </w:r>
      <w:r w:rsidR="006625F6">
        <w:t>inal decision</w:t>
      </w:r>
      <w:r w:rsidR="009E74FC">
        <w:t xml:space="preserve"> reference tariffs have</w:t>
      </w:r>
      <w:r w:rsidR="005F16C4" w:rsidRPr="002E05CE">
        <w:t xml:space="preserve"> be</w:t>
      </w:r>
      <w:r>
        <w:t>en</w:t>
      </w:r>
      <w:r w:rsidR="005F16C4" w:rsidRPr="002E05CE">
        <w:t xml:space="preserve"> amended to reflect our final decision </w:t>
      </w:r>
      <w:r w:rsidR="00DC6E12">
        <w:t xml:space="preserve">total </w:t>
      </w:r>
      <w:r w:rsidR="005F16C4" w:rsidRPr="002E05CE">
        <w:t xml:space="preserve">revenue </w:t>
      </w:r>
      <w:r w:rsidR="00DC6E12">
        <w:t>requirement</w:t>
      </w:r>
      <w:r w:rsidR="005F16C4" w:rsidRPr="002E05CE">
        <w:t>.</w:t>
      </w:r>
    </w:p>
    <w:p w:rsidR="005F16C4" w:rsidRPr="00AD7036" w:rsidRDefault="005F16C4" w:rsidP="005F16C4">
      <w:r w:rsidRPr="00AD7036">
        <w:t xml:space="preserve">The remainder of this section </w:t>
      </w:r>
      <w:r>
        <w:t xml:space="preserve">summarises </w:t>
      </w:r>
      <w:r w:rsidRPr="00AD7036">
        <w:t xml:space="preserve">our </w:t>
      </w:r>
      <w:r w:rsidR="009C51E9">
        <w:t>final</w:t>
      </w:r>
      <w:r w:rsidR="009C51E9" w:rsidRPr="00AD7036">
        <w:t xml:space="preserve"> </w:t>
      </w:r>
      <w:r w:rsidRPr="00AD7036">
        <w:t>decision</w:t>
      </w:r>
      <w:r>
        <w:t xml:space="preserve"> </w:t>
      </w:r>
      <w:r w:rsidR="009C51E9">
        <w:t>to apply</w:t>
      </w:r>
      <w:r w:rsidR="009C51E9" w:rsidRPr="000C1E74">
        <w:t xml:space="preserve"> the structure of reference tariffs initially proposed by AGN </w:t>
      </w:r>
      <w:r w:rsidRPr="00AD7036">
        <w:t>under the following headings:</w:t>
      </w:r>
    </w:p>
    <w:p w:rsidR="005F16C4" w:rsidRPr="00AD7036" w:rsidRDefault="005F16C4" w:rsidP="005F16C4">
      <w:r w:rsidRPr="00AD7036">
        <w:t>•</w:t>
      </w:r>
      <w:r w:rsidRPr="00AD7036">
        <w:tab/>
      </w:r>
      <w:proofErr w:type="gramStart"/>
      <w:r w:rsidRPr="00AD7036">
        <w:t>the</w:t>
      </w:r>
      <w:proofErr w:type="gramEnd"/>
      <w:r w:rsidRPr="00AD7036">
        <w:t xml:space="preserve"> allocation of revenues and costs to reference tariffs</w:t>
      </w:r>
    </w:p>
    <w:p w:rsidR="005F16C4" w:rsidRPr="00AD7036" w:rsidRDefault="005F16C4" w:rsidP="005F16C4">
      <w:r w:rsidRPr="00AD7036">
        <w:t>•</w:t>
      </w:r>
      <w:r w:rsidRPr="00AD7036">
        <w:tab/>
      </w:r>
      <w:proofErr w:type="gramStart"/>
      <w:r w:rsidRPr="00AD7036">
        <w:t>the</w:t>
      </w:r>
      <w:proofErr w:type="gramEnd"/>
      <w:r w:rsidRPr="00AD7036">
        <w:t xml:space="preserve"> establishment of tariff classes</w:t>
      </w:r>
    </w:p>
    <w:p w:rsidR="005F16C4" w:rsidRPr="00AD7036" w:rsidRDefault="005F16C4" w:rsidP="005F16C4">
      <w:r w:rsidRPr="00AD7036">
        <w:t>•</w:t>
      </w:r>
      <w:r w:rsidRPr="00AD7036">
        <w:tab/>
      </w:r>
      <w:proofErr w:type="gramStart"/>
      <w:r w:rsidRPr="00AD7036">
        <w:t>tariff</w:t>
      </w:r>
      <w:proofErr w:type="gramEnd"/>
      <w:r w:rsidRPr="00AD7036">
        <w:t xml:space="preserve"> classes and revenue limits.</w:t>
      </w:r>
    </w:p>
    <w:p w:rsidR="000B3DF4" w:rsidRDefault="000B3DF4" w:rsidP="003164A6">
      <w:pPr>
        <w:pStyle w:val="Caption"/>
      </w:pPr>
      <w:bookmarkStart w:id="22" w:name="_Ref443631528"/>
      <w:proofErr w:type="gramStart"/>
      <w:r>
        <w:t xml:space="preserve">Table </w:t>
      </w:r>
      <w:proofErr w:type="gramEnd"/>
      <w:r w:rsidR="006D3A8E">
        <w:fldChar w:fldCharType="begin"/>
      </w:r>
      <w:r w:rsidR="006D3A8E">
        <w:instrText xml:space="preserve"> STYLEREF 1 \s </w:instrText>
      </w:r>
      <w:r w:rsidR="006D3A8E">
        <w:fldChar w:fldCharType="separate"/>
      </w:r>
      <w:r w:rsidR="009440F4">
        <w:rPr>
          <w:noProof/>
        </w:rPr>
        <w:t>10</w:t>
      </w:r>
      <w:r w:rsidR="006D3A8E">
        <w:rPr>
          <w:noProof/>
        </w:rPr>
        <w:fldChar w:fldCharType="end"/>
      </w:r>
      <w:proofErr w:type="gramStart"/>
      <w:r>
        <w:t>.</w:t>
      </w:r>
      <w:proofErr w:type="gramEnd"/>
      <w:r w:rsidR="007E0863">
        <w:fldChar w:fldCharType="begin"/>
      </w:r>
      <w:r w:rsidR="007E0863">
        <w:instrText xml:space="preserve"> SEQ Table \* ARABIC \s 1 </w:instrText>
      </w:r>
      <w:r w:rsidR="007E0863">
        <w:fldChar w:fldCharType="separate"/>
      </w:r>
      <w:r w:rsidR="009440F4">
        <w:rPr>
          <w:noProof/>
        </w:rPr>
        <w:t>1</w:t>
      </w:r>
      <w:r w:rsidR="007E0863">
        <w:rPr>
          <w:noProof/>
        </w:rPr>
        <w:fldChar w:fldCharType="end"/>
      </w:r>
      <w:bookmarkEnd w:id="22"/>
      <w:r>
        <w:tab/>
        <w:t xml:space="preserve">AER final decision for AGN's initial tariff classes and tariff charge components for the 2016–21 access arrangement </w:t>
      </w:r>
      <w:proofErr w:type="gramStart"/>
      <w:r>
        <w:t>period</w:t>
      </w:r>
      <w:proofErr w:type="gramEnd"/>
    </w:p>
    <w:tbl>
      <w:tblPr>
        <w:tblStyle w:val="AERtable-text0"/>
        <w:tblW w:w="0" w:type="auto"/>
        <w:tblLook w:val="04A0" w:firstRow="1" w:lastRow="0" w:firstColumn="1" w:lastColumn="0" w:noHBand="0" w:noVBand="1"/>
      </w:tblPr>
      <w:tblGrid>
        <w:gridCol w:w="1809"/>
        <w:gridCol w:w="2127"/>
        <w:gridCol w:w="1559"/>
        <w:gridCol w:w="3198"/>
      </w:tblGrid>
      <w:tr w:rsidR="000B3DF4" w:rsidTr="00D15824">
        <w:trPr>
          <w:cnfStyle w:val="100000000000" w:firstRow="1" w:lastRow="0" w:firstColumn="0" w:lastColumn="0" w:oddVBand="0" w:evenVBand="0" w:oddHBand="0" w:evenHBand="0" w:firstRowFirstColumn="0" w:firstRowLastColumn="0" w:lastRowFirstColumn="0" w:lastRowLastColumn="0"/>
        </w:trPr>
        <w:tc>
          <w:tcPr>
            <w:tcW w:w="1809" w:type="dxa"/>
          </w:tcPr>
          <w:p w:rsidR="000B3DF4" w:rsidRPr="000B3DF4" w:rsidRDefault="000B3DF4" w:rsidP="00CB10D2">
            <w:pPr>
              <w:keepNext/>
            </w:pPr>
            <w:r>
              <w:t>Customer category</w:t>
            </w:r>
          </w:p>
        </w:tc>
        <w:tc>
          <w:tcPr>
            <w:tcW w:w="2127" w:type="dxa"/>
          </w:tcPr>
          <w:p w:rsidR="000B3DF4" w:rsidRPr="000B3DF4" w:rsidRDefault="000B3DF4" w:rsidP="00CB10D2">
            <w:pPr>
              <w:keepNext/>
            </w:pPr>
            <w:r>
              <w:t>Tariff class</w:t>
            </w:r>
          </w:p>
        </w:tc>
        <w:tc>
          <w:tcPr>
            <w:tcW w:w="1559" w:type="dxa"/>
          </w:tcPr>
          <w:p w:rsidR="000B3DF4" w:rsidRPr="000B3DF4" w:rsidRDefault="000B3DF4" w:rsidP="00CB10D2">
            <w:pPr>
              <w:keepNext/>
            </w:pPr>
            <w:r>
              <w:t>Tariff category</w:t>
            </w:r>
          </w:p>
        </w:tc>
        <w:tc>
          <w:tcPr>
            <w:tcW w:w="3198" w:type="dxa"/>
          </w:tcPr>
          <w:p w:rsidR="000B3DF4" w:rsidRPr="000B3DF4" w:rsidRDefault="000B3DF4" w:rsidP="00CB10D2">
            <w:pPr>
              <w:keepNext/>
            </w:pPr>
            <w:r>
              <w:t>Charge components</w:t>
            </w:r>
          </w:p>
        </w:tc>
      </w:tr>
      <w:tr w:rsidR="000B3DF4" w:rsidTr="00D15824">
        <w:tc>
          <w:tcPr>
            <w:tcW w:w="1809" w:type="dxa"/>
          </w:tcPr>
          <w:p w:rsidR="000B3DF4" w:rsidRPr="000B3DF4" w:rsidRDefault="000B3DF4" w:rsidP="00CB10D2">
            <w:pPr>
              <w:keepNext/>
              <w:rPr>
                <w:rStyle w:val="Strong"/>
              </w:rPr>
            </w:pPr>
            <w:r w:rsidRPr="009944C3">
              <w:rPr>
                <w:rStyle w:val="Strong"/>
              </w:rPr>
              <w:t>Domestic</w:t>
            </w:r>
          </w:p>
        </w:tc>
        <w:tc>
          <w:tcPr>
            <w:tcW w:w="2127" w:type="dxa"/>
          </w:tcPr>
          <w:p w:rsidR="000B3DF4" w:rsidRPr="000B3DF4" w:rsidRDefault="000B3DF4" w:rsidP="00CB10D2">
            <w:pPr>
              <w:keepNext/>
            </w:pPr>
            <w:r>
              <w:t>Tariff R – Residential</w:t>
            </w:r>
          </w:p>
        </w:tc>
        <w:tc>
          <w:tcPr>
            <w:tcW w:w="1559" w:type="dxa"/>
          </w:tcPr>
          <w:p w:rsidR="000B3DF4" w:rsidRPr="000B3DF4" w:rsidRDefault="000B3DF4" w:rsidP="00CB10D2">
            <w:pPr>
              <w:keepNext/>
            </w:pPr>
            <w:r>
              <w:t>Residential (excluding Tanunda)</w:t>
            </w:r>
          </w:p>
        </w:tc>
        <w:tc>
          <w:tcPr>
            <w:tcW w:w="3198" w:type="dxa"/>
          </w:tcPr>
          <w:p w:rsidR="000B3DF4" w:rsidRPr="000B3DF4" w:rsidRDefault="000B3DF4" w:rsidP="00CB10D2">
            <w:pPr>
              <w:keepNext/>
            </w:pPr>
            <w:r>
              <w:t>One fixed charge</w:t>
            </w:r>
          </w:p>
          <w:p w:rsidR="000B3DF4" w:rsidRPr="000B3DF4" w:rsidRDefault="000B3DF4" w:rsidP="00CB10D2">
            <w:pPr>
              <w:keepNext/>
            </w:pPr>
            <w:r>
              <w:t>Three volume throughput block charges</w:t>
            </w:r>
          </w:p>
          <w:p w:rsidR="000B3DF4" w:rsidRPr="000B3DF4" w:rsidRDefault="000B3DF4" w:rsidP="00CB10D2">
            <w:pPr>
              <w:keepNext/>
            </w:pPr>
            <w:r>
              <w:t>Ancillary reference charges</w:t>
            </w:r>
          </w:p>
        </w:tc>
      </w:tr>
      <w:tr w:rsidR="000B3DF4" w:rsidTr="00D15824">
        <w:trPr>
          <w:cnfStyle w:val="000000010000" w:firstRow="0" w:lastRow="0" w:firstColumn="0" w:lastColumn="0" w:oddVBand="0" w:evenVBand="0" w:oddHBand="0" w:evenHBand="1" w:firstRowFirstColumn="0" w:firstRowLastColumn="0" w:lastRowFirstColumn="0" w:lastRowLastColumn="0"/>
        </w:trPr>
        <w:tc>
          <w:tcPr>
            <w:tcW w:w="1809" w:type="dxa"/>
          </w:tcPr>
          <w:p w:rsidR="000B3DF4" w:rsidRDefault="000B3DF4" w:rsidP="00CB10D2">
            <w:pPr>
              <w:keepNext/>
            </w:pPr>
          </w:p>
        </w:tc>
        <w:tc>
          <w:tcPr>
            <w:tcW w:w="2127" w:type="dxa"/>
          </w:tcPr>
          <w:p w:rsidR="000B3DF4" w:rsidRPr="000B3DF4" w:rsidRDefault="000B3DF4" w:rsidP="00CB10D2">
            <w:pPr>
              <w:keepNext/>
            </w:pPr>
            <w:r>
              <w:t xml:space="preserve">Tariff R </w:t>
            </w:r>
            <w:r w:rsidRPr="000B3DF4">
              <w:t>– Residential</w:t>
            </w:r>
          </w:p>
        </w:tc>
        <w:tc>
          <w:tcPr>
            <w:tcW w:w="1559" w:type="dxa"/>
          </w:tcPr>
          <w:p w:rsidR="000B3DF4" w:rsidRPr="000B3DF4" w:rsidRDefault="000B3DF4" w:rsidP="00CB10D2">
            <w:pPr>
              <w:keepNext/>
            </w:pPr>
            <w:r>
              <w:t>Residential – Tanunda</w:t>
            </w:r>
          </w:p>
        </w:tc>
        <w:tc>
          <w:tcPr>
            <w:tcW w:w="3198" w:type="dxa"/>
          </w:tcPr>
          <w:p w:rsidR="000B3DF4" w:rsidRPr="000B3DF4" w:rsidRDefault="000B3DF4" w:rsidP="00CB10D2">
            <w:pPr>
              <w:keepNext/>
            </w:pPr>
            <w:r>
              <w:t>One fixed charge</w:t>
            </w:r>
          </w:p>
          <w:p w:rsidR="000B3DF4" w:rsidRPr="000B3DF4" w:rsidRDefault="000B3DF4" w:rsidP="00CB10D2">
            <w:pPr>
              <w:keepNext/>
            </w:pPr>
            <w:r>
              <w:t>Three volume throughput block charges</w:t>
            </w:r>
          </w:p>
          <w:p w:rsidR="000B3DF4" w:rsidRPr="000B3DF4" w:rsidRDefault="000B3DF4" w:rsidP="00CB10D2">
            <w:pPr>
              <w:keepNext/>
            </w:pPr>
            <w:r>
              <w:t>Ancillary reference charges</w:t>
            </w:r>
          </w:p>
        </w:tc>
      </w:tr>
      <w:tr w:rsidR="000B3DF4" w:rsidTr="00D15824">
        <w:tc>
          <w:tcPr>
            <w:tcW w:w="1809" w:type="dxa"/>
          </w:tcPr>
          <w:p w:rsidR="000B3DF4" w:rsidRPr="000B3DF4" w:rsidRDefault="000B3DF4" w:rsidP="00CB10D2">
            <w:pPr>
              <w:keepNext/>
              <w:rPr>
                <w:rStyle w:val="Strong"/>
              </w:rPr>
            </w:pPr>
            <w:r w:rsidRPr="009944C3">
              <w:rPr>
                <w:rStyle w:val="Strong"/>
              </w:rPr>
              <w:t>Commercial</w:t>
            </w:r>
          </w:p>
        </w:tc>
        <w:tc>
          <w:tcPr>
            <w:tcW w:w="2127" w:type="dxa"/>
          </w:tcPr>
          <w:p w:rsidR="000B3DF4" w:rsidRPr="000B3DF4" w:rsidRDefault="000B3DF4" w:rsidP="00CB10D2">
            <w:pPr>
              <w:keepNext/>
            </w:pPr>
            <w:r>
              <w:t>Tariff C – Commercial</w:t>
            </w:r>
          </w:p>
        </w:tc>
        <w:tc>
          <w:tcPr>
            <w:tcW w:w="1559" w:type="dxa"/>
          </w:tcPr>
          <w:p w:rsidR="000B3DF4" w:rsidRPr="000B3DF4" w:rsidRDefault="000B3DF4" w:rsidP="00CB10D2">
            <w:pPr>
              <w:keepNext/>
            </w:pPr>
            <w:r>
              <w:t>Commercial (excluding Tanunda)</w:t>
            </w:r>
          </w:p>
        </w:tc>
        <w:tc>
          <w:tcPr>
            <w:tcW w:w="3198" w:type="dxa"/>
          </w:tcPr>
          <w:p w:rsidR="000B3DF4" w:rsidRPr="000B3DF4" w:rsidRDefault="000B3DF4" w:rsidP="00CB10D2">
            <w:pPr>
              <w:keepNext/>
            </w:pPr>
            <w:r>
              <w:t>One fixed charge</w:t>
            </w:r>
          </w:p>
          <w:p w:rsidR="000B3DF4" w:rsidRPr="000B3DF4" w:rsidRDefault="000B3DF4" w:rsidP="00CB10D2">
            <w:pPr>
              <w:keepNext/>
            </w:pPr>
            <w:r>
              <w:t>Four volume throughput block charges</w:t>
            </w:r>
          </w:p>
          <w:p w:rsidR="000B3DF4" w:rsidRPr="000B3DF4" w:rsidRDefault="000B3DF4" w:rsidP="00CB10D2">
            <w:pPr>
              <w:keepNext/>
            </w:pPr>
            <w:r>
              <w:t>Ancillary reference charges</w:t>
            </w:r>
          </w:p>
        </w:tc>
      </w:tr>
      <w:tr w:rsidR="000B3DF4" w:rsidTr="00D15824">
        <w:trPr>
          <w:cnfStyle w:val="000000010000" w:firstRow="0" w:lastRow="0" w:firstColumn="0" w:lastColumn="0" w:oddVBand="0" w:evenVBand="0" w:oddHBand="0" w:evenHBand="1" w:firstRowFirstColumn="0" w:firstRowLastColumn="0" w:lastRowFirstColumn="0" w:lastRowLastColumn="0"/>
        </w:trPr>
        <w:tc>
          <w:tcPr>
            <w:tcW w:w="1809" w:type="dxa"/>
          </w:tcPr>
          <w:p w:rsidR="000B3DF4" w:rsidRDefault="000B3DF4" w:rsidP="00CB10D2">
            <w:pPr>
              <w:keepNext/>
            </w:pPr>
          </w:p>
        </w:tc>
        <w:tc>
          <w:tcPr>
            <w:tcW w:w="2127" w:type="dxa"/>
          </w:tcPr>
          <w:p w:rsidR="000B3DF4" w:rsidRPr="000B3DF4" w:rsidRDefault="000B3DF4" w:rsidP="00CB10D2">
            <w:pPr>
              <w:keepNext/>
            </w:pPr>
            <w:r>
              <w:t>Tariff C – Commercial</w:t>
            </w:r>
          </w:p>
        </w:tc>
        <w:tc>
          <w:tcPr>
            <w:tcW w:w="1559" w:type="dxa"/>
          </w:tcPr>
          <w:p w:rsidR="000B3DF4" w:rsidRPr="000B3DF4" w:rsidRDefault="000B3DF4" w:rsidP="00CB10D2">
            <w:pPr>
              <w:keepNext/>
            </w:pPr>
            <w:r>
              <w:t>Commercial – Tanunda</w:t>
            </w:r>
          </w:p>
        </w:tc>
        <w:tc>
          <w:tcPr>
            <w:tcW w:w="3198" w:type="dxa"/>
          </w:tcPr>
          <w:p w:rsidR="000B3DF4" w:rsidRPr="000B3DF4" w:rsidRDefault="000B3DF4" w:rsidP="00CB10D2">
            <w:pPr>
              <w:keepNext/>
            </w:pPr>
            <w:r>
              <w:t>One fixed charge</w:t>
            </w:r>
          </w:p>
          <w:p w:rsidR="000B3DF4" w:rsidRPr="000B3DF4" w:rsidRDefault="000B3DF4" w:rsidP="00CB10D2">
            <w:pPr>
              <w:keepNext/>
            </w:pPr>
            <w:r>
              <w:t xml:space="preserve">Four volume </w:t>
            </w:r>
            <w:r w:rsidRPr="000B3DF4">
              <w:t>throughput block charges</w:t>
            </w:r>
          </w:p>
          <w:p w:rsidR="000B3DF4" w:rsidRPr="000B3DF4" w:rsidRDefault="000B3DF4" w:rsidP="00CB10D2">
            <w:pPr>
              <w:keepNext/>
            </w:pPr>
            <w:r>
              <w:t>Ancillary reference charges</w:t>
            </w:r>
          </w:p>
        </w:tc>
      </w:tr>
      <w:tr w:rsidR="000B3DF4" w:rsidTr="00D15824">
        <w:tc>
          <w:tcPr>
            <w:tcW w:w="1809" w:type="dxa"/>
          </w:tcPr>
          <w:p w:rsidR="000B3DF4" w:rsidRPr="000B3DF4" w:rsidRDefault="000B3DF4" w:rsidP="00CB10D2">
            <w:pPr>
              <w:keepNext/>
              <w:rPr>
                <w:rStyle w:val="Strong"/>
              </w:rPr>
            </w:pPr>
            <w:r w:rsidRPr="009944C3">
              <w:rPr>
                <w:rStyle w:val="Strong"/>
              </w:rPr>
              <w:t>Demand</w:t>
            </w:r>
          </w:p>
        </w:tc>
        <w:tc>
          <w:tcPr>
            <w:tcW w:w="2127" w:type="dxa"/>
          </w:tcPr>
          <w:p w:rsidR="000B3DF4" w:rsidRPr="000B3DF4" w:rsidRDefault="000B3DF4" w:rsidP="00CB10D2">
            <w:pPr>
              <w:keepNext/>
            </w:pPr>
            <w:r>
              <w:t xml:space="preserve">Tariff D – </w:t>
            </w:r>
            <w:r w:rsidRPr="000B3DF4">
              <w:t>Northern</w:t>
            </w:r>
          </w:p>
        </w:tc>
        <w:tc>
          <w:tcPr>
            <w:tcW w:w="1559" w:type="dxa"/>
          </w:tcPr>
          <w:p w:rsidR="000B3DF4" w:rsidRPr="000B3DF4" w:rsidRDefault="000B3DF4" w:rsidP="00CB10D2">
            <w:pPr>
              <w:keepNext/>
            </w:pPr>
            <w:r>
              <w:t>Tariff D</w:t>
            </w:r>
          </w:p>
        </w:tc>
        <w:tc>
          <w:tcPr>
            <w:tcW w:w="3198" w:type="dxa"/>
          </w:tcPr>
          <w:p w:rsidR="000B3DF4" w:rsidRPr="000B3DF4" w:rsidRDefault="000B3DF4" w:rsidP="00CB10D2">
            <w:pPr>
              <w:keepNext/>
            </w:pPr>
            <w:r>
              <w:t>Five capacity throughput block charges</w:t>
            </w:r>
          </w:p>
          <w:p w:rsidR="000B3DF4" w:rsidRPr="000B3DF4" w:rsidRDefault="000B3DF4" w:rsidP="00CB10D2">
            <w:pPr>
              <w:keepNext/>
            </w:pPr>
            <w:r>
              <w:t>Ancillary reference charges</w:t>
            </w:r>
          </w:p>
        </w:tc>
      </w:tr>
      <w:tr w:rsidR="000B3DF4" w:rsidTr="00D15824">
        <w:trPr>
          <w:cnfStyle w:val="000000010000" w:firstRow="0" w:lastRow="0" w:firstColumn="0" w:lastColumn="0" w:oddVBand="0" w:evenVBand="0" w:oddHBand="0" w:evenHBand="1" w:firstRowFirstColumn="0" w:firstRowLastColumn="0" w:lastRowFirstColumn="0" w:lastRowLastColumn="0"/>
        </w:trPr>
        <w:tc>
          <w:tcPr>
            <w:tcW w:w="1809" w:type="dxa"/>
          </w:tcPr>
          <w:p w:rsidR="000B3DF4" w:rsidRDefault="000B3DF4" w:rsidP="00CB10D2">
            <w:pPr>
              <w:keepNext/>
            </w:pPr>
          </w:p>
        </w:tc>
        <w:tc>
          <w:tcPr>
            <w:tcW w:w="2127" w:type="dxa"/>
          </w:tcPr>
          <w:p w:rsidR="000B3DF4" w:rsidRPr="000B3DF4" w:rsidRDefault="000B3DF4" w:rsidP="00CB10D2">
            <w:pPr>
              <w:keepNext/>
            </w:pPr>
            <w:r>
              <w:t xml:space="preserve">Tariff D – </w:t>
            </w:r>
            <w:r w:rsidRPr="000B3DF4">
              <w:t>Central</w:t>
            </w:r>
          </w:p>
        </w:tc>
        <w:tc>
          <w:tcPr>
            <w:tcW w:w="1559" w:type="dxa"/>
          </w:tcPr>
          <w:p w:rsidR="000B3DF4" w:rsidRPr="000B3DF4" w:rsidRDefault="000B3DF4" w:rsidP="00CB10D2">
            <w:pPr>
              <w:keepNext/>
            </w:pPr>
            <w:r>
              <w:t>Tariff D</w:t>
            </w:r>
          </w:p>
        </w:tc>
        <w:tc>
          <w:tcPr>
            <w:tcW w:w="3198" w:type="dxa"/>
          </w:tcPr>
          <w:p w:rsidR="000B3DF4" w:rsidRPr="000B3DF4" w:rsidRDefault="000B3DF4" w:rsidP="00CB10D2">
            <w:pPr>
              <w:keepNext/>
            </w:pPr>
            <w:r>
              <w:t>Five capacity throughput block charges</w:t>
            </w:r>
          </w:p>
          <w:p w:rsidR="000B3DF4" w:rsidRPr="000B3DF4" w:rsidRDefault="000B3DF4" w:rsidP="00CB10D2">
            <w:pPr>
              <w:keepNext/>
            </w:pPr>
            <w:r>
              <w:t>Ancillary reference charges</w:t>
            </w:r>
          </w:p>
        </w:tc>
      </w:tr>
      <w:tr w:rsidR="000B3DF4" w:rsidTr="00D15824">
        <w:tc>
          <w:tcPr>
            <w:tcW w:w="1809" w:type="dxa"/>
          </w:tcPr>
          <w:p w:rsidR="000B3DF4" w:rsidRDefault="000B3DF4" w:rsidP="00CB10D2">
            <w:pPr>
              <w:keepNext/>
            </w:pPr>
          </w:p>
        </w:tc>
        <w:tc>
          <w:tcPr>
            <w:tcW w:w="2127" w:type="dxa"/>
          </w:tcPr>
          <w:p w:rsidR="000B3DF4" w:rsidRPr="000B3DF4" w:rsidRDefault="000B3DF4" w:rsidP="00CB10D2">
            <w:pPr>
              <w:keepNext/>
            </w:pPr>
            <w:r>
              <w:t>Tariff D – Southern</w:t>
            </w:r>
          </w:p>
        </w:tc>
        <w:tc>
          <w:tcPr>
            <w:tcW w:w="1559" w:type="dxa"/>
          </w:tcPr>
          <w:p w:rsidR="000B3DF4" w:rsidRPr="000B3DF4" w:rsidRDefault="000B3DF4" w:rsidP="00CB10D2">
            <w:pPr>
              <w:keepNext/>
            </w:pPr>
            <w:r>
              <w:t>Tariff D</w:t>
            </w:r>
          </w:p>
        </w:tc>
        <w:tc>
          <w:tcPr>
            <w:tcW w:w="3198" w:type="dxa"/>
          </w:tcPr>
          <w:p w:rsidR="000B3DF4" w:rsidRPr="000B3DF4" w:rsidRDefault="000B3DF4" w:rsidP="00CB10D2">
            <w:pPr>
              <w:keepNext/>
            </w:pPr>
            <w:r>
              <w:t>Five capacity throughput block charges</w:t>
            </w:r>
          </w:p>
          <w:p w:rsidR="000B3DF4" w:rsidRPr="000B3DF4" w:rsidRDefault="000B3DF4" w:rsidP="00CB10D2">
            <w:pPr>
              <w:keepNext/>
            </w:pPr>
            <w:r>
              <w:t>Ancillary reference charges</w:t>
            </w:r>
          </w:p>
        </w:tc>
      </w:tr>
      <w:tr w:rsidR="000B3DF4" w:rsidTr="00D15824">
        <w:trPr>
          <w:cnfStyle w:val="000000010000" w:firstRow="0" w:lastRow="0" w:firstColumn="0" w:lastColumn="0" w:oddVBand="0" w:evenVBand="0" w:oddHBand="0" w:evenHBand="1" w:firstRowFirstColumn="0" w:firstRowLastColumn="0" w:lastRowFirstColumn="0" w:lastRowLastColumn="0"/>
        </w:trPr>
        <w:tc>
          <w:tcPr>
            <w:tcW w:w="1809" w:type="dxa"/>
          </w:tcPr>
          <w:p w:rsidR="000B3DF4" w:rsidRDefault="000B3DF4" w:rsidP="00CB10D2">
            <w:pPr>
              <w:keepNext/>
            </w:pPr>
          </w:p>
        </w:tc>
        <w:tc>
          <w:tcPr>
            <w:tcW w:w="2127" w:type="dxa"/>
          </w:tcPr>
          <w:p w:rsidR="000B3DF4" w:rsidRPr="000B3DF4" w:rsidRDefault="000B3DF4" w:rsidP="00CB10D2">
            <w:pPr>
              <w:keepNext/>
            </w:pPr>
            <w:r>
              <w:t>Tariff D – Peterborough</w:t>
            </w:r>
          </w:p>
        </w:tc>
        <w:tc>
          <w:tcPr>
            <w:tcW w:w="1559" w:type="dxa"/>
          </w:tcPr>
          <w:p w:rsidR="000B3DF4" w:rsidRPr="000B3DF4" w:rsidRDefault="000B3DF4" w:rsidP="00CB10D2">
            <w:pPr>
              <w:keepNext/>
            </w:pPr>
            <w:r>
              <w:t>Tariff D</w:t>
            </w:r>
          </w:p>
        </w:tc>
        <w:tc>
          <w:tcPr>
            <w:tcW w:w="3198" w:type="dxa"/>
          </w:tcPr>
          <w:p w:rsidR="000B3DF4" w:rsidRPr="000B3DF4" w:rsidRDefault="000B3DF4" w:rsidP="00CB10D2">
            <w:pPr>
              <w:keepNext/>
            </w:pPr>
            <w:r>
              <w:t>Five capacity throughput block charges</w:t>
            </w:r>
          </w:p>
          <w:p w:rsidR="000B3DF4" w:rsidRPr="000B3DF4" w:rsidRDefault="000B3DF4" w:rsidP="00CB10D2">
            <w:pPr>
              <w:keepNext/>
            </w:pPr>
            <w:r>
              <w:t>Ancillary reference charges</w:t>
            </w:r>
          </w:p>
        </w:tc>
      </w:tr>
      <w:tr w:rsidR="000B3DF4" w:rsidTr="00D15824">
        <w:tc>
          <w:tcPr>
            <w:tcW w:w="1809" w:type="dxa"/>
          </w:tcPr>
          <w:p w:rsidR="000B3DF4" w:rsidRDefault="000B3DF4" w:rsidP="00CB10D2">
            <w:pPr>
              <w:keepNext/>
            </w:pPr>
          </w:p>
        </w:tc>
        <w:tc>
          <w:tcPr>
            <w:tcW w:w="2127" w:type="dxa"/>
          </w:tcPr>
          <w:p w:rsidR="000B3DF4" w:rsidRPr="000B3DF4" w:rsidRDefault="000B3DF4" w:rsidP="00CB10D2">
            <w:pPr>
              <w:keepNext/>
            </w:pPr>
            <w:r>
              <w:t>Tariff D – Port Pirie</w:t>
            </w:r>
          </w:p>
        </w:tc>
        <w:tc>
          <w:tcPr>
            <w:tcW w:w="1559" w:type="dxa"/>
          </w:tcPr>
          <w:p w:rsidR="000B3DF4" w:rsidRPr="000B3DF4" w:rsidRDefault="000B3DF4" w:rsidP="00CB10D2">
            <w:pPr>
              <w:keepNext/>
            </w:pPr>
            <w:r>
              <w:t>Tariff D</w:t>
            </w:r>
          </w:p>
        </w:tc>
        <w:tc>
          <w:tcPr>
            <w:tcW w:w="3198" w:type="dxa"/>
          </w:tcPr>
          <w:p w:rsidR="000B3DF4" w:rsidRPr="000B3DF4" w:rsidRDefault="000B3DF4" w:rsidP="00CB10D2">
            <w:pPr>
              <w:keepNext/>
            </w:pPr>
            <w:r>
              <w:t xml:space="preserve">Five capacity throughput </w:t>
            </w:r>
            <w:r w:rsidRPr="000B3DF4">
              <w:t>block charges</w:t>
            </w:r>
          </w:p>
          <w:p w:rsidR="000B3DF4" w:rsidRPr="000B3DF4" w:rsidRDefault="000B3DF4" w:rsidP="00CB10D2">
            <w:pPr>
              <w:keepNext/>
            </w:pPr>
            <w:r>
              <w:t>Ancillary reference charges</w:t>
            </w:r>
          </w:p>
        </w:tc>
      </w:tr>
      <w:tr w:rsidR="000B3DF4" w:rsidTr="00D15824">
        <w:trPr>
          <w:cnfStyle w:val="000000010000" w:firstRow="0" w:lastRow="0" w:firstColumn="0" w:lastColumn="0" w:oddVBand="0" w:evenVBand="0" w:oddHBand="0" w:evenHBand="1" w:firstRowFirstColumn="0" w:firstRowLastColumn="0" w:lastRowFirstColumn="0" w:lastRowLastColumn="0"/>
        </w:trPr>
        <w:tc>
          <w:tcPr>
            <w:tcW w:w="1809" w:type="dxa"/>
          </w:tcPr>
          <w:p w:rsidR="000B3DF4" w:rsidRDefault="000B3DF4" w:rsidP="00CB10D2">
            <w:pPr>
              <w:keepNext/>
            </w:pPr>
          </w:p>
        </w:tc>
        <w:tc>
          <w:tcPr>
            <w:tcW w:w="2127" w:type="dxa"/>
          </w:tcPr>
          <w:p w:rsidR="000B3DF4" w:rsidRPr="000B3DF4" w:rsidRDefault="000B3DF4" w:rsidP="00CB10D2">
            <w:pPr>
              <w:keepNext/>
            </w:pPr>
            <w:r>
              <w:t>Tariff D – Riverland</w:t>
            </w:r>
          </w:p>
        </w:tc>
        <w:tc>
          <w:tcPr>
            <w:tcW w:w="1559" w:type="dxa"/>
          </w:tcPr>
          <w:p w:rsidR="000B3DF4" w:rsidRPr="000B3DF4" w:rsidRDefault="000B3DF4" w:rsidP="00CB10D2">
            <w:pPr>
              <w:keepNext/>
            </w:pPr>
            <w:r>
              <w:t>Tariff D</w:t>
            </w:r>
          </w:p>
        </w:tc>
        <w:tc>
          <w:tcPr>
            <w:tcW w:w="3198" w:type="dxa"/>
          </w:tcPr>
          <w:p w:rsidR="000B3DF4" w:rsidRPr="000B3DF4" w:rsidRDefault="000B3DF4" w:rsidP="00CB10D2">
            <w:pPr>
              <w:keepNext/>
            </w:pPr>
            <w:r>
              <w:t>Five capacity throughput block charges</w:t>
            </w:r>
          </w:p>
          <w:p w:rsidR="000B3DF4" w:rsidRPr="000B3DF4" w:rsidRDefault="000B3DF4" w:rsidP="00CB10D2">
            <w:pPr>
              <w:keepNext/>
            </w:pPr>
            <w:r>
              <w:t>Ancillary reference charges</w:t>
            </w:r>
          </w:p>
        </w:tc>
      </w:tr>
      <w:tr w:rsidR="000B3DF4" w:rsidTr="00D15824">
        <w:tc>
          <w:tcPr>
            <w:tcW w:w="1809" w:type="dxa"/>
          </w:tcPr>
          <w:p w:rsidR="000B3DF4" w:rsidRDefault="000B3DF4" w:rsidP="00CB10D2">
            <w:pPr>
              <w:keepNext/>
            </w:pPr>
          </w:p>
        </w:tc>
        <w:tc>
          <w:tcPr>
            <w:tcW w:w="2127" w:type="dxa"/>
          </w:tcPr>
          <w:p w:rsidR="000B3DF4" w:rsidRPr="000B3DF4" w:rsidRDefault="000B3DF4" w:rsidP="00CB10D2">
            <w:pPr>
              <w:keepNext/>
            </w:pPr>
            <w:r>
              <w:t>Tariff D – South East</w:t>
            </w:r>
          </w:p>
        </w:tc>
        <w:tc>
          <w:tcPr>
            <w:tcW w:w="1559" w:type="dxa"/>
          </w:tcPr>
          <w:p w:rsidR="000B3DF4" w:rsidRPr="000B3DF4" w:rsidRDefault="000B3DF4" w:rsidP="00CB10D2">
            <w:pPr>
              <w:keepNext/>
            </w:pPr>
            <w:r>
              <w:t>Tariff D</w:t>
            </w:r>
          </w:p>
        </w:tc>
        <w:tc>
          <w:tcPr>
            <w:tcW w:w="3198" w:type="dxa"/>
          </w:tcPr>
          <w:p w:rsidR="000B3DF4" w:rsidRPr="000B3DF4" w:rsidRDefault="000B3DF4" w:rsidP="00CB10D2">
            <w:pPr>
              <w:keepNext/>
            </w:pPr>
            <w:r>
              <w:t>Five capacity throughput block charges</w:t>
            </w:r>
          </w:p>
          <w:p w:rsidR="000B3DF4" w:rsidRPr="000B3DF4" w:rsidRDefault="000B3DF4" w:rsidP="00CB10D2">
            <w:pPr>
              <w:keepNext/>
            </w:pPr>
            <w:r>
              <w:t>Ancillary reference charges</w:t>
            </w:r>
          </w:p>
        </w:tc>
      </w:tr>
      <w:tr w:rsidR="000B3DF4" w:rsidTr="00D15824">
        <w:trPr>
          <w:cnfStyle w:val="000000010000" w:firstRow="0" w:lastRow="0" w:firstColumn="0" w:lastColumn="0" w:oddVBand="0" w:evenVBand="0" w:oddHBand="0" w:evenHBand="1" w:firstRowFirstColumn="0" w:firstRowLastColumn="0" w:lastRowFirstColumn="0" w:lastRowLastColumn="0"/>
        </w:trPr>
        <w:tc>
          <w:tcPr>
            <w:tcW w:w="1809" w:type="dxa"/>
          </w:tcPr>
          <w:p w:rsidR="000B3DF4" w:rsidRDefault="000B3DF4" w:rsidP="00CB10D2">
            <w:pPr>
              <w:keepNext/>
            </w:pPr>
          </w:p>
        </w:tc>
        <w:tc>
          <w:tcPr>
            <w:tcW w:w="2127" w:type="dxa"/>
          </w:tcPr>
          <w:p w:rsidR="000B3DF4" w:rsidRPr="000B3DF4" w:rsidRDefault="000B3DF4" w:rsidP="00CB10D2">
            <w:pPr>
              <w:keepNext/>
            </w:pPr>
            <w:r>
              <w:t xml:space="preserve">Tariff D – </w:t>
            </w:r>
            <w:r w:rsidRPr="000B3DF4">
              <w:t>Whyalla</w:t>
            </w:r>
          </w:p>
        </w:tc>
        <w:tc>
          <w:tcPr>
            <w:tcW w:w="1559" w:type="dxa"/>
          </w:tcPr>
          <w:p w:rsidR="000B3DF4" w:rsidRPr="000B3DF4" w:rsidRDefault="000B3DF4" w:rsidP="00CB10D2">
            <w:pPr>
              <w:keepNext/>
            </w:pPr>
            <w:r>
              <w:t>Tariff D</w:t>
            </w:r>
          </w:p>
        </w:tc>
        <w:tc>
          <w:tcPr>
            <w:tcW w:w="3198" w:type="dxa"/>
          </w:tcPr>
          <w:p w:rsidR="000B3DF4" w:rsidRPr="000B3DF4" w:rsidRDefault="000B3DF4" w:rsidP="00CB10D2">
            <w:pPr>
              <w:keepNext/>
            </w:pPr>
            <w:r>
              <w:t>Five capacity throughput block charges</w:t>
            </w:r>
          </w:p>
          <w:p w:rsidR="000B3DF4" w:rsidRPr="000B3DF4" w:rsidRDefault="000B3DF4" w:rsidP="00CB10D2">
            <w:pPr>
              <w:keepNext/>
            </w:pPr>
            <w:r>
              <w:t>Ancillary reference charges</w:t>
            </w:r>
          </w:p>
        </w:tc>
      </w:tr>
    </w:tbl>
    <w:p w:rsidR="000B3DF4" w:rsidRDefault="000B3DF4" w:rsidP="00CB10D2">
      <w:pPr>
        <w:pStyle w:val="AERtablesource"/>
      </w:pPr>
      <w:r>
        <w:t>Source:</w:t>
      </w:r>
      <w:r>
        <w:tab/>
        <w:t xml:space="preserve">AER, </w:t>
      </w:r>
      <w:r w:rsidRPr="00FF3253">
        <w:rPr>
          <w:rStyle w:val="AERtextitalic"/>
        </w:rPr>
        <w:t>Draft decision: A</w:t>
      </w:r>
      <w:r>
        <w:rPr>
          <w:rStyle w:val="AERtextitalic"/>
        </w:rPr>
        <w:t xml:space="preserve">ustralian Gas Networks </w:t>
      </w:r>
      <w:r w:rsidRPr="00FF3253">
        <w:rPr>
          <w:rStyle w:val="AERtextitalic"/>
        </w:rPr>
        <w:t>access arrangement 2016 to 2021: Attachment 1</w:t>
      </w:r>
      <w:r>
        <w:rPr>
          <w:rStyle w:val="AERtextitalic"/>
        </w:rPr>
        <w:t>0</w:t>
      </w:r>
      <w:r w:rsidRPr="00FF3253">
        <w:rPr>
          <w:rStyle w:val="AERtextitalic"/>
        </w:rPr>
        <w:t>–</w:t>
      </w:r>
      <w:r>
        <w:rPr>
          <w:rStyle w:val="AERtextitalic"/>
        </w:rPr>
        <w:t>Reference tariff setting</w:t>
      </w:r>
      <w:r>
        <w:t xml:space="preserve">, November 2015, p. 7; AGN, </w:t>
      </w:r>
      <w:r>
        <w:rPr>
          <w:rStyle w:val="AERtextitalic"/>
        </w:rPr>
        <w:t>Access arrangement i</w:t>
      </w:r>
      <w:r w:rsidRPr="00594109">
        <w:rPr>
          <w:rStyle w:val="AERtextitalic"/>
        </w:rPr>
        <w:t>nformation</w:t>
      </w:r>
      <w:r w:rsidR="003164A6" w:rsidRPr="003164A6">
        <w:rPr>
          <w:rStyle w:val="AERtextitalic"/>
        </w:rPr>
        <w:t xml:space="preserve"> </w:t>
      </w:r>
      <w:r w:rsidR="003164A6" w:rsidRPr="00E348AF">
        <w:rPr>
          <w:rStyle w:val="AERtextitalic"/>
        </w:rPr>
        <w:t>for AGN's SA Natural Gas Distribution Networ</w:t>
      </w:r>
      <w:r w:rsidR="003164A6">
        <w:rPr>
          <w:rStyle w:val="AERtextitalic"/>
        </w:rPr>
        <w:t>k</w:t>
      </w:r>
      <w:r>
        <w:t>,</w:t>
      </w:r>
      <w:r w:rsidRPr="00594109">
        <w:t xml:space="preserve"> July 2015</w:t>
      </w:r>
      <w:r>
        <w:t>, pp. 247–249.</w:t>
      </w:r>
    </w:p>
    <w:p w:rsidR="000B3DF4" w:rsidRDefault="000B3DF4" w:rsidP="00CB10D2">
      <w:pPr>
        <w:pStyle w:val="Caption"/>
      </w:pPr>
      <w:bookmarkStart w:id="23" w:name="_Ref443631557"/>
      <w:proofErr w:type="gramStart"/>
      <w:r>
        <w:t xml:space="preserve">Table </w:t>
      </w:r>
      <w:proofErr w:type="gramEnd"/>
      <w:r w:rsidR="006D3A8E">
        <w:fldChar w:fldCharType="begin"/>
      </w:r>
      <w:r w:rsidR="006D3A8E">
        <w:instrText xml:space="preserve"> STYLEREF 1 \s </w:instrText>
      </w:r>
      <w:r w:rsidR="006D3A8E">
        <w:fldChar w:fldCharType="separate"/>
      </w:r>
      <w:r w:rsidR="009440F4">
        <w:rPr>
          <w:noProof/>
        </w:rPr>
        <w:t>10</w:t>
      </w:r>
      <w:r w:rsidR="006D3A8E">
        <w:rPr>
          <w:noProof/>
        </w:rPr>
        <w:fldChar w:fldCharType="end"/>
      </w:r>
      <w:proofErr w:type="gramStart"/>
      <w:r>
        <w:t>.</w:t>
      </w:r>
      <w:proofErr w:type="gramEnd"/>
      <w:r w:rsidR="007E0863">
        <w:fldChar w:fldCharType="begin"/>
      </w:r>
      <w:r w:rsidR="007E0863">
        <w:instrText xml:space="preserve"> SEQ Table \* ARABIC \s 1 </w:instrText>
      </w:r>
      <w:r w:rsidR="007E0863">
        <w:fldChar w:fldCharType="separate"/>
      </w:r>
      <w:r w:rsidR="009440F4">
        <w:rPr>
          <w:noProof/>
        </w:rPr>
        <w:t>2</w:t>
      </w:r>
      <w:r w:rsidR="007E0863">
        <w:rPr>
          <w:noProof/>
        </w:rPr>
        <w:fldChar w:fldCharType="end"/>
      </w:r>
      <w:bookmarkEnd w:id="23"/>
      <w:r>
        <w:tab/>
        <w:t>AER final decision for AGN's proposed ancillary reference services for the 2016–21 access arrangement period</w:t>
      </w:r>
    </w:p>
    <w:tbl>
      <w:tblPr>
        <w:tblStyle w:val="AERtable-text0"/>
        <w:tblW w:w="0" w:type="auto"/>
        <w:tblLook w:val="04A0" w:firstRow="1" w:lastRow="0" w:firstColumn="1" w:lastColumn="0" w:noHBand="0" w:noVBand="1"/>
      </w:tblPr>
      <w:tblGrid>
        <w:gridCol w:w="8693"/>
      </w:tblGrid>
      <w:tr w:rsidR="000B3DF4" w:rsidTr="00D15824">
        <w:trPr>
          <w:cnfStyle w:val="100000000000" w:firstRow="1" w:lastRow="0" w:firstColumn="0" w:lastColumn="0" w:oddVBand="0" w:evenVBand="0" w:oddHBand="0" w:evenHBand="0" w:firstRowFirstColumn="0" w:firstRowLastColumn="0" w:lastRowFirstColumn="0" w:lastRowLastColumn="0"/>
        </w:trPr>
        <w:tc>
          <w:tcPr>
            <w:tcW w:w="8693" w:type="dxa"/>
          </w:tcPr>
          <w:p w:rsidR="000B3DF4" w:rsidRPr="000B3DF4" w:rsidRDefault="000B3DF4" w:rsidP="003164A6">
            <w:pPr>
              <w:keepNext/>
            </w:pPr>
            <w:r>
              <w:t xml:space="preserve">Ancillary reference </w:t>
            </w:r>
            <w:r w:rsidRPr="000B3DF4">
              <w:t>service</w:t>
            </w:r>
          </w:p>
        </w:tc>
      </w:tr>
      <w:tr w:rsidR="000B3DF4" w:rsidTr="00D15824">
        <w:tc>
          <w:tcPr>
            <w:tcW w:w="8693" w:type="dxa"/>
          </w:tcPr>
          <w:p w:rsidR="000B3DF4" w:rsidRPr="000B3DF4" w:rsidRDefault="000B3DF4" w:rsidP="003164A6">
            <w:pPr>
              <w:keepNext/>
            </w:pPr>
            <w:r>
              <w:t>Special meter read</w:t>
            </w:r>
          </w:p>
        </w:tc>
      </w:tr>
      <w:tr w:rsidR="000B3DF4" w:rsidTr="00D15824">
        <w:trPr>
          <w:cnfStyle w:val="000000010000" w:firstRow="0" w:lastRow="0" w:firstColumn="0" w:lastColumn="0" w:oddVBand="0" w:evenVBand="0" w:oddHBand="0" w:evenHBand="1" w:firstRowFirstColumn="0" w:firstRowLastColumn="0" w:lastRowFirstColumn="0" w:lastRowLastColumn="0"/>
        </w:trPr>
        <w:tc>
          <w:tcPr>
            <w:tcW w:w="8693" w:type="dxa"/>
          </w:tcPr>
          <w:p w:rsidR="000B3DF4" w:rsidRPr="000B3DF4" w:rsidRDefault="000B3DF4" w:rsidP="003164A6">
            <w:pPr>
              <w:keepNext/>
            </w:pPr>
            <w:r>
              <w:t>Disconnection service</w:t>
            </w:r>
          </w:p>
        </w:tc>
      </w:tr>
      <w:tr w:rsidR="000B3DF4" w:rsidTr="00D15824">
        <w:tc>
          <w:tcPr>
            <w:tcW w:w="8693" w:type="dxa"/>
          </w:tcPr>
          <w:p w:rsidR="000B3DF4" w:rsidRPr="000B3DF4" w:rsidRDefault="000B3DF4" w:rsidP="003164A6">
            <w:pPr>
              <w:keepNext/>
            </w:pPr>
            <w:r>
              <w:t>Reconnection service</w:t>
            </w:r>
          </w:p>
        </w:tc>
      </w:tr>
      <w:tr w:rsidR="000B3DF4" w:rsidTr="00D15824">
        <w:trPr>
          <w:cnfStyle w:val="000000010000" w:firstRow="0" w:lastRow="0" w:firstColumn="0" w:lastColumn="0" w:oddVBand="0" w:evenVBand="0" w:oddHBand="0" w:evenHBand="1" w:firstRowFirstColumn="0" w:firstRowLastColumn="0" w:lastRowFirstColumn="0" w:lastRowLastColumn="0"/>
        </w:trPr>
        <w:tc>
          <w:tcPr>
            <w:tcW w:w="8693" w:type="dxa"/>
          </w:tcPr>
          <w:p w:rsidR="000B3DF4" w:rsidRPr="000B3DF4" w:rsidRDefault="000B3DF4" w:rsidP="003164A6">
            <w:pPr>
              <w:keepNext/>
            </w:pPr>
            <w:r>
              <w:t>Meter removal</w:t>
            </w:r>
          </w:p>
        </w:tc>
      </w:tr>
      <w:tr w:rsidR="000B3DF4" w:rsidTr="00D15824">
        <w:tc>
          <w:tcPr>
            <w:tcW w:w="8693" w:type="dxa"/>
          </w:tcPr>
          <w:p w:rsidR="000B3DF4" w:rsidRPr="000B3DF4" w:rsidRDefault="000B3DF4" w:rsidP="003164A6">
            <w:pPr>
              <w:keepNext/>
            </w:pPr>
            <w:r>
              <w:t>Meter reinstallation</w:t>
            </w:r>
          </w:p>
        </w:tc>
      </w:tr>
      <w:tr w:rsidR="000B3DF4" w:rsidTr="00D15824">
        <w:trPr>
          <w:cnfStyle w:val="000000010000" w:firstRow="0" w:lastRow="0" w:firstColumn="0" w:lastColumn="0" w:oddVBand="0" w:evenVBand="0" w:oddHBand="0" w:evenHBand="1" w:firstRowFirstColumn="0" w:firstRowLastColumn="0" w:lastRowFirstColumn="0" w:lastRowLastColumn="0"/>
        </w:trPr>
        <w:tc>
          <w:tcPr>
            <w:tcW w:w="8693" w:type="dxa"/>
          </w:tcPr>
          <w:p w:rsidR="000B3DF4" w:rsidRPr="000B3DF4" w:rsidRDefault="000B3DF4" w:rsidP="003164A6">
            <w:pPr>
              <w:keepNext/>
            </w:pPr>
            <w:r>
              <w:t>Meter gas and installation test</w:t>
            </w:r>
          </w:p>
        </w:tc>
      </w:tr>
    </w:tbl>
    <w:p w:rsidR="000B3DF4" w:rsidRDefault="000B3DF4" w:rsidP="003164A6">
      <w:pPr>
        <w:pStyle w:val="AERtablesource"/>
        <w:keepNext/>
      </w:pPr>
      <w:r>
        <w:t>Source:</w:t>
      </w:r>
      <w:r>
        <w:tab/>
        <w:t xml:space="preserve">AER, </w:t>
      </w:r>
      <w:r w:rsidRPr="00FF3253">
        <w:rPr>
          <w:rStyle w:val="AERtextitalic"/>
        </w:rPr>
        <w:t>Draft decision: A</w:t>
      </w:r>
      <w:r>
        <w:rPr>
          <w:rStyle w:val="AERtextitalic"/>
        </w:rPr>
        <w:t xml:space="preserve">ustralian Gas Networks </w:t>
      </w:r>
      <w:r w:rsidRPr="00FF3253">
        <w:rPr>
          <w:rStyle w:val="AERtextitalic"/>
        </w:rPr>
        <w:t>access arrangement 2016 to 2021: Attachment 1</w:t>
      </w:r>
      <w:r>
        <w:rPr>
          <w:rStyle w:val="AERtextitalic"/>
        </w:rPr>
        <w:t>0</w:t>
      </w:r>
      <w:r w:rsidRPr="00FF3253">
        <w:rPr>
          <w:rStyle w:val="AERtextitalic"/>
        </w:rPr>
        <w:t>–</w:t>
      </w:r>
      <w:r>
        <w:rPr>
          <w:rStyle w:val="AERtextitalic"/>
        </w:rPr>
        <w:t>Reference tariff setting</w:t>
      </w:r>
      <w:r>
        <w:t>, November 2015, p. </w:t>
      </w:r>
      <w:r w:rsidR="00333A3C">
        <w:t>10-</w:t>
      </w:r>
      <w:r>
        <w:t>8; AGN</w:t>
      </w:r>
      <w:r w:rsidRPr="00E5257A">
        <w:rPr>
          <w:rStyle w:val="AERtextitalic"/>
        </w:rPr>
        <w:t>, Revised access arrangement information</w:t>
      </w:r>
      <w:r w:rsidR="003164A6" w:rsidRPr="003164A6">
        <w:rPr>
          <w:rStyle w:val="AERtextitalic"/>
        </w:rPr>
        <w:t xml:space="preserve"> </w:t>
      </w:r>
      <w:r w:rsidR="003164A6" w:rsidRPr="00E348AF">
        <w:rPr>
          <w:rStyle w:val="AERtextitalic"/>
        </w:rPr>
        <w:t>for AGN's SA Natural Gas Distribution Networ</w:t>
      </w:r>
      <w:r w:rsidR="003164A6">
        <w:rPr>
          <w:rStyle w:val="AERtextitalic"/>
        </w:rPr>
        <w:t>k</w:t>
      </w:r>
      <w:r w:rsidRPr="00E5257A">
        <w:rPr>
          <w:rStyle w:val="AERtextitalic"/>
        </w:rPr>
        <w:t xml:space="preserve">: Attachment </w:t>
      </w:r>
      <w:r>
        <w:rPr>
          <w:rStyle w:val="AERtextitalic"/>
        </w:rPr>
        <w:t>15</w:t>
      </w:r>
      <w:r w:rsidRPr="00E5257A">
        <w:rPr>
          <w:rStyle w:val="AERtextitalic"/>
        </w:rPr>
        <w:t>.</w:t>
      </w:r>
      <w:r>
        <w:rPr>
          <w:rStyle w:val="AERtextitalic"/>
        </w:rPr>
        <w:t>2</w:t>
      </w:r>
      <w:r w:rsidRPr="00E5257A">
        <w:rPr>
          <w:rStyle w:val="AERtextitalic"/>
        </w:rPr>
        <w:t xml:space="preserve"> – Response to d</w:t>
      </w:r>
      <w:r>
        <w:rPr>
          <w:rStyle w:val="AERtextitalic"/>
        </w:rPr>
        <w:t>raft decision: Reference tariffs</w:t>
      </w:r>
      <w:r>
        <w:t>, January 2016, p.</w:t>
      </w:r>
      <w:r w:rsidR="001F3646">
        <w:t> </w:t>
      </w:r>
      <w:r>
        <w:t>3.</w:t>
      </w:r>
    </w:p>
    <w:p w:rsidR="002E05CE" w:rsidRDefault="00D15824" w:rsidP="00D15824">
      <w:pPr>
        <w:pStyle w:val="Heading3"/>
      </w:pPr>
      <w:bookmarkStart w:id="24" w:name="_Toc451527536"/>
      <w:r>
        <w:t>Allocation of revenues and costs to reference services</w:t>
      </w:r>
      <w:bookmarkEnd w:id="24"/>
    </w:p>
    <w:p w:rsidR="00D15824" w:rsidRPr="00D15824" w:rsidRDefault="009C51E9" w:rsidP="00D15824">
      <w:r>
        <w:t>For the reasons set out in</w:t>
      </w:r>
      <w:r w:rsidR="00D15824">
        <w:t xml:space="preserve"> our</w:t>
      </w:r>
      <w:r w:rsidR="00F57DC8">
        <w:t xml:space="preserve"> draft</w:t>
      </w:r>
      <w:r w:rsidR="00D15824">
        <w:t xml:space="preserve"> decision, w</w:t>
      </w:r>
      <w:r w:rsidR="00D15824" w:rsidRPr="00D15824">
        <w:t xml:space="preserve">e are satisfied AGN’s approach to allocating revenue and </w:t>
      </w:r>
      <w:proofErr w:type="gramStart"/>
      <w:r w:rsidR="00D15824" w:rsidRPr="00D15824">
        <w:t>costs bet</w:t>
      </w:r>
      <w:r w:rsidR="00D15824">
        <w:t>ween reference services and non</w:t>
      </w:r>
      <w:r w:rsidR="00D15824">
        <w:noBreakHyphen/>
      </w:r>
      <w:r w:rsidR="00D15824" w:rsidRPr="00D15824">
        <w:t>reference services compl</w:t>
      </w:r>
      <w:r>
        <w:t>ies</w:t>
      </w:r>
      <w:proofErr w:type="gramEnd"/>
      <w:r w:rsidR="00D15824" w:rsidRPr="00D15824">
        <w:t xml:space="preserve"> with the NGR</w:t>
      </w:r>
      <w:r w:rsidR="00D15824">
        <w:rPr>
          <w:rStyle w:val="FootnoteReference"/>
        </w:rPr>
        <w:footnoteReference w:id="26"/>
      </w:r>
      <w:r w:rsidR="00D15824" w:rsidRPr="00D15824">
        <w:t xml:space="preserve"> </w:t>
      </w:r>
      <w:r w:rsidR="003164A6">
        <w:t>because</w:t>
      </w:r>
      <w:r w:rsidR="00D15824" w:rsidRPr="00D15824">
        <w:t>:</w:t>
      </w:r>
    </w:p>
    <w:p w:rsidR="00D15824" w:rsidRPr="00D15824" w:rsidRDefault="00D15824" w:rsidP="00D15824">
      <w:pPr>
        <w:pStyle w:val="AERbulletlistfirststyle"/>
      </w:pPr>
      <w:r w:rsidRPr="00D15824">
        <w:t>AGN’s proposed costs relating to its reference services do not include costs incurred (and recovered) from the provision of its non–reference services.</w:t>
      </w:r>
    </w:p>
    <w:p w:rsidR="00D15824" w:rsidRPr="00D15824" w:rsidRDefault="00D15824" w:rsidP="00D15824">
      <w:pPr>
        <w:pStyle w:val="AERbulletlistfirststyle"/>
      </w:pPr>
      <w:r w:rsidRPr="00D15824">
        <w:t>AGN has not allocated the non–reference service revenue to a reference service because the underlying costs have not been included in AGN’s building block revenues.</w:t>
      </w:r>
    </w:p>
    <w:p w:rsidR="00D15824" w:rsidRDefault="00D15824" w:rsidP="00D15824">
      <w:pPr>
        <w:pStyle w:val="AERbulletlistfirststyle"/>
      </w:pPr>
      <w:r w:rsidRPr="00D15824">
        <w:t>AGN's proposal included information outlining its stand–alone costs, long run marginal costs and incremental costs which we have no objection to.</w:t>
      </w:r>
      <w:r>
        <w:rPr>
          <w:rStyle w:val="FootnoteReference"/>
        </w:rPr>
        <w:footnoteReference w:id="27"/>
      </w:r>
    </w:p>
    <w:p w:rsidR="00D15824" w:rsidRDefault="00D15824" w:rsidP="00D15824">
      <w:pPr>
        <w:pStyle w:val="Heading3"/>
      </w:pPr>
      <w:bookmarkStart w:id="25" w:name="_Toc451527537"/>
      <w:r>
        <w:t>Establishment of tariff classes</w:t>
      </w:r>
      <w:bookmarkEnd w:id="25"/>
    </w:p>
    <w:p w:rsidR="00D15824" w:rsidRPr="00D15824" w:rsidRDefault="00D15824" w:rsidP="00D15824">
      <w:r w:rsidRPr="00D15824">
        <w:t>AGN groups its customers by the nature of the haulage reference service (residential, commercial or demand tariff categories) and classifies them by their location on the distribution network.</w:t>
      </w:r>
      <w:r>
        <w:rPr>
          <w:rStyle w:val="FootnoteReference"/>
        </w:rPr>
        <w:footnoteReference w:id="28"/>
      </w:r>
      <w:r w:rsidRPr="00D15824">
        <w:t xml:space="preserve"> We consider that these characteristics are likely to be the driver of costs within AGN's gas distribution network. Therefore, using them to group customers into tariff class is appropriate. We note AGN’s proposed tariff classes are consistent with the tariff classes in the current access arrangement. </w:t>
      </w:r>
    </w:p>
    <w:p w:rsidR="00D15824" w:rsidRDefault="00D15824" w:rsidP="00D15824">
      <w:r w:rsidRPr="00D15824">
        <w:t>Based on the above reasons, we are satisfied that the proposed tariff classes are consistent with the requirements of the NGR.</w:t>
      </w:r>
      <w:r>
        <w:rPr>
          <w:rStyle w:val="FootnoteReference"/>
        </w:rPr>
        <w:footnoteReference w:id="29"/>
      </w:r>
    </w:p>
    <w:p w:rsidR="00D15824" w:rsidRDefault="00D15824" w:rsidP="00D15824">
      <w:pPr>
        <w:pStyle w:val="Heading3"/>
      </w:pPr>
      <w:bookmarkStart w:id="26" w:name="_Toc451527538"/>
      <w:r>
        <w:t>Tariff classes and revenue limits</w:t>
      </w:r>
      <w:bookmarkEnd w:id="26"/>
    </w:p>
    <w:p w:rsidR="00D15824" w:rsidRDefault="00F57DC8" w:rsidP="00D15824">
      <w:r>
        <w:t>Our draft decision considered AGN's initial proposed reference tariffs were consistent with the NGR requirements for tariff classes and revenue limits.</w:t>
      </w:r>
      <w:r>
        <w:rPr>
          <w:rStyle w:val="FootnoteReference"/>
        </w:rPr>
        <w:footnoteReference w:id="30"/>
      </w:r>
      <w:r>
        <w:t xml:space="preserve"> Our final decision maintains this consideration.</w:t>
      </w:r>
    </w:p>
    <w:p w:rsidR="00F57DC8" w:rsidRDefault="00F57DC8" w:rsidP="00D15824">
      <w:r>
        <w:t>Our draft decision assessed AGN's tariff classes and revenue limits against the following NGR considerations:</w:t>
      </w:r>
    </w:p>
    <w:p w:rsidR="00F57DC8" w:rsidRPr="00F57DC8" w:rsidRDefault="008F6FDE" w:rsidP="00CB10D2">
      <w:pPr>
        <w:pStyle w:val="AERnumberedlistsecondstyle"/>
        <w:numPr>
          <w:ilvl w:val="0"/>
          <w:numId w:val="30"/>
        </w:numPr>
        <w:rPr>
          <w:rStyle w:val="AERbody"/>
        </w:rPr>
      </w:pPr>
      <w:r>
        <w:rPr>
          <w:rStyle w:val="AERbody"/>
        </w:rPr>
        <w:t xml:space="preserve">whether </w:t>
      </w:r>
      <w:r w:rsidR="00F57DC8" w:rsidRPr="00F57DC8">
        <w:rPr>
          <w:rStyle w:val="AERbody"/>
        </w:rPr>
        <w:t>the expected average revenue of a tariff class compares with the stand–alone cost and avoidable cost of providing the reference service to that tariff class</w:t>
      </w:r>
    </w:p>
    <w:p w:rsidR="00F57DC8" w:rsidRPr="00F57DC8" w:rsidRDefault="00F57DC8" w:rsidP="00CB10D2">
      <w:pPr>
        <w:pStyle w:val="AERnumberedlistsecondstyle"/>
        <w:numPr>
          <w:ilvl w:val="0"/>
          <w:numId w:val="30"/>
        </w:numPr>
        <w:rPr>
          <w:rStyle w:val="AERbody"/>
        </w:rPr>
      </w:pPr>
      <w:r w:rsidRPr="00F57DC8">
        <w:rPr>
          <w:rStyle w:val="AERbody"/>
        </w:rPr>
        <w:t>whether the tariff takes into account transaction costs associated with developing and applying the tariff</w:t>
      </w:r>
    </w:p>
    <w:p w:rsidR="00F57DC8" w:rsidRPr="00F57DC8" w:rsidRDefault="00F57DC8" w:rsidP="00CB10D2">
      <w:pPr>
        <w:pStyle w:val="AERnumberedlistsecondstyle"/>
        <w:numPr>
          <w:ilvl w:val="0"/>
          <w:numId w:val="30"/>
        </w:numPr>
        <w:rPr>
          <w:rStyle w:val="AERbody"/>
        </w:rPr>
      </w:pPr>
      <w:r w:rsidRPr="00F57DC8">
        <w:rPr>
          <w:rStyle w:val="AERbody"/>
        </w:rPr>
        <w:t>whether the tariffs take into account the long run marginal costs of reference services</w:t>
      </w:r>
    </w:p>
    <w:p w:rsidR="00F57DC8" w:rsidRDefault="00F57DC8" w:rsidP="00CB10D2">
      <w:pPr>
        <w:pStyle w:val="AERnumberedlistsecondstyle"/>
        <w:numPr>
          <w:ilvl w:val="0"/>
          <w:numId w:val="30"/>
        </w:numPr>
        <w:rPr>
          <w:rStyle w:val="AERbody"/>
        </w:rPr>
      </w:pPr>
      <w:proofErr w:type="gramStart"/>
      <w:r w:rsidRPr="00F57DC8">
        <w:rPr>
          <w:rStyle w:val="AERbody"/>
        </w:rPr>
        <w:t>whether</w:t>
      </w:r>
      <w:proofErr w:type="gramEnd"/>
      <w:r w:rsidRPr="00F57DC8">
        <w:rPr>
          <w:rStyle w:val="AERbody"/>
        </w:rPr>
        <w:t xml:space="preserve"> customers belonging to the relevant tariff class are able, or likely, to respond to price signals.</w:t>
      </w:r>
      <w:r>
        <w:rPr>
          <w:rStyle w:val="FootnoteReference"/>
        </w:rPr>
        <w:footnoteReference w:id="31"/>
      </w:r>
    </w:p>
    <w:p w:rsidR="00F57DC8" w:rsidRDefault="00F57DC8" w:rsidP="00F57DC8">
      <w:pPr>
        <w:pStyle w:val="HeadingBoldBlue"/>
        <w:rPr>
          <w:rStyle w:val="AERbody"/>
        </w:rPr>
      </w:pPr>
      <w:r w:rsidRPr="00F57DC8">
        <w:rPr>
          <w:rStyle w:val="AERbody"/>
          <w:color w:val="70635A" w:themeColor="text2"/>
          <w:sz w:val="28"/>
        </w:rPr>
        <w:t>Stand–alone and avoidable costs</w:t>
      </w:r>
    </w:p>
    <w:p w:rsidR="00F57DC8" w:rsidRPr="00F57DC8" w:rsidRDefault="00DD655C" w:rsidP="00F57DC8">
      <w:r>
        <w:t>We maintain our draft decision</w:t>
      </w:r>
      <w:r>
        <w:rPr>
          <w:rStyle w:val="FootnoteReference"/>
        </w:rPr>
        <w:footnoteReference w:id="32"/>
      </w:r>
      <w:r>
        <w:t xml:space="preserve"> </w:t>
      </w:r>
      <w:r w:rsidR="00F57DC8" w:rsidRPr="00F57DC8">
        <w:t>that AGN's proposed reference tariffs are consistent with the NGR requirements</w:t>
      </w:r>
      <w:r w:rsidR="00F57DC8">
        <w:rPr>
          <w:rStyle w:val="FootnoteReference"/>
        </w:rPr>
        <w:footnoteReference w:id="33"/>
      </w:r>
      <w:r w:rsidR="00F57DC8" w:rsidRPr="00F57DC8">
        <w:t xml:space="preserve"> because the expected revenue to be recovered lie</w:t>
      </w:r>
      <w:r w:rsidR="00353A5F">
        <w:t>s</w:t>
      </w:r>
      <w:r w:rsidR="00F57DC8" w:rsidRPr="00F57DC8">
        <w:t xml:space="preserve"> on or between:</w:t>
      </w:r>
    </w:p>
    <w:p w:rsidR="00F57DC8" w:rsidRPr="00F57DC8" w:rsidRDefault="00F57DC8" w:rsidP="00F57DC8">
      <w:pPr>
        <w:pStyle w:val="AERbulletlistfirststyle"/>
      </w:pPr>
      <w:r w:rsidRPr="00F57DC8">
        <w:t>an upper bound representing the stand–alone cost of providing the reference service to customers who belong to that tariff class</w:t>
      </w:r>
    </w:p>
    <w:p w:rsidR="00F57DC8" w:rsidRPr="00F57DC8" w:rsidRDefault="00F57DC8" w:rsidP="00F57DC8">
      <w:pPr>
        <w:pStyle w:val="AERbulletlistfirststyle"/>
      </w:pPr>
      <w:proofErr w:type="gramStart"/>
      <w:r w:rsidRPr="00F57DC8">
        <w:t>a</w:t>
      </w:r>
      <w:proofErr w:type="gramEnd"/>
      <w:r w:rsidRPr="00F57DC8">
        <w:t xml:space="preserve"> lower bound representing the avoidable cost of not providing the reference service to those customers.</w:t>
      </w:r>
      <w:r>
        <w:rPr>
          <w:rStyle w:val="FootnoteReference"/>
        </w:rPr>
        <w:footnoteReference w:id="34"/>
      </w:r>
      <w:r w:rsidRPr="00F57DC8">
        <w:t xml:space="preserve"> </w:t>
      </w:r>
    </w:p>
    <w:p w:rsidR="00F57DC8" w:rsidRDefault="00F57DC8" w:rsidP="00CB10D2">
      <w:pPr>
        <w:pStyle w:val="HeadingBoldBlue"/>
        <w:keepNext/>
        <w:rPr>
          <w:rStyle w:val="AERbody"/>
        </w:rPr>
      </w:pPr>
      <w:r w:rsidRPr="00F57DC8">
        <w:rPr>
          <w:rStyle w:val="AERbody"/>
          <w:color w:val="70635A" w:themeColor="text2"/>
          <w:sz w:val="28"/>
        </w:rPr>
        <w:t>Transaction costs</w:t>
      </w:r>
    </w:p>
    <w:p w:rsidR="00F57DC8" w:rsidRPr="00F57DC8" w:rsidRDefault="007F38C6" w:rsidP="00CB10D2">
      <w:pPr>
        <w:keepNext/>
      </w:pPr>
      <w:r>
        <w:t>In o</w:t>
      </w:r>
      <w:r w:rsidR="00DD655C">
        <w:t>ur draft decision</w:t>
      </w:r>
      <w:r>
        <w:t xml:space="preserve"> we were</w:t>
      </w:r>
      <w:r w:rsidR="00DD655C">
        <w:t xml:space="preserve"> </w:t>
      </w:r>
      <w:r w:rsidR="00A91DD2" w:rsidRPr="00A91DD2">
        <w:t xml:space="preserve">satisfied that AGN’s proposed reference tariffs </w:t>
      </w:r>
      <w:r w:rsidR="00DD655C">
        <w:t>took</w:t>
      </w:r>
      <w:r w:rsidR="00A91DD2" w:rsidRPr="00A91DD2">
        <w:t xml:space="preserve"> into account transaction costs associated with the tariff and the need to avoid them where possible.</w:t>
      </w:r>
      <w:r w:rsidR="00A91DD2">
        <w:rPr>
          <w:rStyle w:val="FootnoteReference"/>
        </w:rPr>
        <w:footnoteReference w:id="35"/>
      </w:r>
      <w:r w:rsidR="00A91DD2" w:rsidRPr="00A91DD2">
        <w:t xml:space="preserve"> We consider</w:t>
      </w:r>
      <w:r>
        <w:t>ed</w:t>
      </w:r>
      <w:r w:rsidR="00A91DD2" w:rsidRPr="00A91DD2">
        <w:t xml:space="preserve"> the continuation of the current access arrangement tariff classes and tariff structures will minimise any additional transaction costs across access arrangement periods</w:t>
      </w:r>
      <w:r w:rsidR="00A07735">
        <w:t>,</w:t>
      </w:r>
      <w:r w:rsidR="00A91DD2" w:rsidRPr="00A91DD2">
        <w:t xml:space="preserve"> thereby avoiding </w:t>
      </w:r>
      <w:r w:rsidR="00D55A83">
        <w:t>any unnecessary transaction costs</w:t>
      </w:r>
      <w:r w:rsidR="00A91DD2" w:rsidRPr="00A91DD2">
        <w:t>.</w:t>
      </w:r>
    </w:p>
    <w:p w:rsidR="00F57DC8" w:rsidRDefault="00F57DC8" w:rsidP="00F57DC8">
      <w:pPr>
        <w:pStyle w:val="HeadingBoldBlue"/>
      </w:pPr>
      <w:r>
        <w:t>Long run marginal cost</w:t>
      </w:r>
    </w:p>
    <w:p w:rsidR="00A91DD2" w:rsidRPr="00A91DD2" w:rsidRDefault="00A91DD2" w:rsidP="00A91DD2">
      <w:r w:rsidRPr="00A91DD2">
        <w:t>AGN used the Average Incremental Cost approach to calculate the long run marginal cost (LRMC) by tariff class.</w:t>
      </w:r>
      <w:r>
        <w:rPr>
          <w:rStyle w:val="FootnoteReference"/>
        </w:rPr>
        <w:footnoteReference w:id="36"/>
      </w:r>
      <w:r w:rsidRPr="00A91DD2">
        <w:t xml:space="preserve"> </w:t>
      </w:r>
      <w:r w:rsidR="00E07F16">
        <w:t>However</w:t>
      </w:r>
      <w:r w:rsidR="00A07735">
        <w:t>,</w:t>
      </w:r>
      <w:r w:rsidR="00E07F16">
        <w:t xml:space="preserve"> it noted </w:t>
      </w:r>
      <w:r w:rsidRPr="00A91DD2">
        <w:t>that given data limitations it is not possible to obtain reasonable LRMC outcomes at the tariff class level, by geographical region or even at a whole–of–network level.</w:t>
      </w:r>
      <w:r>
        <w:rPr>
          <w:rStyle w:val="FootnoteReference"/>
        </w:rPr>
        <w:footnoteReference w:id="37"/>
      </w:r>
      <w:r w:rsidRPr="00A91DD2">
        <w:t xml:space="preserve"> </w:t>
      </w:r>
    </w:p>
    <w:p w:rsidR="00F57DC8" w:rsidRPr="00F57DC8" w:rsidRDefault="00A91DD2" w:rsidP="00A91DD2">
      <w:r>
        <w:t>O</w:t>
      </w:r>
      <w:r w:rsidRPr="00A91DD2">
        <w:t>ur discretion under the NGR on L</w:t>
      </w:r>
      <w:r w:rsidR="003164A6">
        <w:t>R</w:t>
      </w:r>
      <w:r w:rsidRPr="00A91DD2">
        <w:t>MC is limited.</w:t>
      </w:r>
      <w:r>
        <w:rPr>
          <w:rStyle w:val="FootnoteReference"/>
        </w:rPr>
        <w:footnoteReference w:id="38"/>
      </w:r>
      <w:r w:rsidRPr="00A91DD2">
        <w:t xml:space="preserve"> However, we consider the approach taken by AGN is generally consistent with that applied by other gas distribution networks and has historical precedent in past access arrangements. </w:t>
      </w:r>
    </w:p>
    <w:p w:rsidR="00F57DC8" w:rsidRDefault="00F57DC8" w:rsidP="00F57DC8">
      <w:pPr>
        <w:pStyle w:val="HeadingBoldBlue"/>
      </w:pPr>
      <w:r>
        <w:t>Response to price signals</w:t>
      </w:r>
    </w:p>
    <w:p w:rsidR="00A91DD2" w:rsidRDefault="00A91DD2" w:rsidP="00A91DD2">
      <w:r w:rsidRPr="00A91DD2">
        <w:t>We are satisfied AGN’s</w:t>
      </w:r>
      <w:r>
        <w:t xml:space="preserve"> </w:t>
      </w:r>
      <w:r w:rsidRPr="00A91DD2">
        <w:t>reference tariffs have been determined having regard to whether customers are able, or likely, to respond to price signals.</w:t>
      </w:r>
      <w:r>
        <w:rPr>
          <w:rStyle w:val="FootnoteReference"/>
        </w:rPr>
        <w:footnoteReference w:id="39"/>
      </w:r>
      <w:r w:rsidRPr="00A91DD2">
        <w:t xml:space="preserve"> </w:t>
      </w:r>
      <w:r>
        <w:t>T</w:t>
      </w:r>
      <w:r w:rsidRPr="00A91DD2">
        <w:t>he existing structure of tariffs is well known to AGN’s customers</w:t>
      </w:r>
      <w:r w:rsidR="00550FEF">
        <w:t xml:space="preserve"> because it is based on historic precedent</w:t>
      </w:r>
      <w:r w:rsidRPr="00A91DD2">
        <w:t xml:space="preserve"> and allows them to respond to the prices within each block (or band) by adjusting their consumption</w:t>
      </w:r>
      <w:r w:rsidR="00550FEF">
        <w:t xml:space="preserve"> </w:t>
      </w:r>
      <w:r w:rsidR="00F4128F">
        <w:t xml:space="preserve">and thereby </w:t>
      </w:r>
      <w:r w:rsidR="00550FEF">
        <w:t>alter their total charges</w:t>
      </w:r>
      <w:r w:rsidRPr="00A91DD2">
        <w:t>.</w:t>
      </w:r>
    </w:p>
    <w:p w:rsidR="00A91DD2" w:rsidRDefault="00A91DD2" w:rsidP="00A91DD2">
      <w:pPr>
        <w:pStyle w:val="Heading3"/>
      </w:pPr>
      <w:bookmarkStart w:id="27" w:name="_Toc451527539"/>
      <w:r>
        <w:t>Prudent discounts</w:t>
      </w:r>
      <w:bookmarkEnd w:id="27"/>
    </w:p>
    <w:p w:rsidR="00A91DD2" w:rsidRPr="00A91DD2" w:rsidRDefault="00DD655C" w:rsidP="00A91DD2">
      <w:r>
        <w:t>As per our</w:t>
      </w:r>
      <w:r w:rsidR="00A91DD2">
        <w:t xml:space="preserve"> draft decision, w</w:t>
      </w:r>
      <w:r w:rsidR="00A91DD2" w:rsidRPr="00A91DD2">
        <w:t>e consider that the prudent discounts</w:t>
      </w:r>
      <w:r w:rsidR="00A91DD2" w:rsidRPr="00DD655C">
        <w:rPr>
          <w:rStyle w:val="FootnoteReference"/>
        </w:rPr>
        <w:footnoteReference w:id="40"/>
      </w:r>
      <w:r w:rsidR="00A91DD2" w:rsidRPr="00DD655C">
        <w:rPr>
          <w:rStyle w:val="FootnoteReference"/>
        </w:rPr>
        <w:t xml:space="preserve"> </w:t>
      </w:r>
      <w:r w:rsidR="00A91DD2" w:rsidRPr="00A91DD2">
        <w:t xml:space="preserve">AGN proposed to offer </w:t>
      </w:r>
      <w:r w:rsidR="003164A6">
        <w:t>are</w:t>
      </w:r>
      <w:r w:rsidR="003164A6" w:rsidRPr="00A91DD2">
        <w:t xml:space="preserve"> </w:t>
      </w:r>
      <w:r w:rsidR="00A91DD2" w:rsidRPr="00A91DD2">
        <w:t>necessary to respond to competition from other providers of pipeline services or alternative energy sources and to ensure the ongoing efficient use of its pipeline. AGN demonstrated that the negotiated revenue from each prudent discount service exceeds the estimate of the avoidable costs.</w:t>
      </w:r>
      <w:r w:rsidR="00A91DD2" w:rsidRPr="00DD655C">
        <w:rPr>
          <w:rStyle w:val="FootnoteReference"/>
        </w:rPr>
        <w:footnoteReference w:id="41"/>
      </w:r>
      <w:r w:rsidR="00A91DD2" w:rsidRPr="00A91DD2">
        <w:t xml:space="preserve"> Without a prudent discount a customer may bypass the network with the consequence that tariffs would be higher for all remaining users. AGN’s proposal is entirely consistent with the prudent discounts methodology we have approved for it previously.</w:t>
      </w:r>
      <w:r w:rsidR="00A91DD2" w:rsidRPr="00DD655C">
        <w:rPr>
          <w:rStyle w:val="FootnoteReference"/>
        </w:rPr>
        <w:footnoteReference w:id="42"/>
      </w:r>
      <w:r w:rsidR="00A91DD2" w:rsidRPr="00DD655C">
        <w:rPr>
          <w:rStyle w:val="FootnoteReference"/>
        </w:rPr>
        <w:t xml:space="preserve"> </w:t>
      </w:r>
    </w:p>
    <w:p w:rsidR="00342C9A" w:rsidRPr="00342C9A" w:rsidRDefault="00A91DD2" w:rsidP="00342C9A">
      <w:r w:rsidRPr="00A91DD2">
        <w:t>The proposed prudent discounts will be offered to the same demand customers who have received these discounts during the past two access arrangements.</w:t>
      </w:r>
      <w:r w:rsidRPr="00DD655C">
        <w:rPr>
          <w:rStyle w:val="FootnoteReference"/>
        </w:rPr>
        <w:footnoteReference w:id="43"/>
      </w:r>
      <w:r w:rsidR="00DD655C">
        <w:t xml:space="preserve"> </w:t>
      </w:r>
      <w:r w:rsidRPr="00A91DD2">
        <w:t>For each current prudent discount, AGN provided justification that the provision of the discount is likely to lead to lower reference tariffs than otherwise would have been the case.</w:t>
      </w:r>
      <w:r w:rsidRPr="00DD655C">
        <w:rPr>
          <w:rStyle w:val="FootnoteReference"/>
        </w:rPr>
        <w:footnoteReference w:id="44"/>
      </w:r>
      <w:r w:rsidRPr="00A91DD2">
        <w:t xml:space="preserve"> Therefore</w:t>
      </w:r>
      <w:r w:rsidR="00A07735">
        <w:t>,</w:t>
      </w:r>
      <w:r w:rsidRPr="00A91DD2">
        <w:t xml:space="preserve"> we are satisfied that the proposed prudent discounts are consistent with the NGR and are thus approved.</w:t>
      </w:r>
      <w:r w:rsidRPr="00DD655C">
        <w:rPr>
          <w:rStyle w:val="FootnoteReference"/>
        </w:rPr>
        <w:footnoteReference w:id="45"/>
      </w:r>
    </w:p>
    <w:sectPr w:rsidR="00342C9A" w:rsidRPr="00342C9A" w:rsidSect="00B757A6">
      <w:headerReference w:type="even" r:id="rId12"/>
      <w:footerReference w:type="even" r:id="rId13"/>
      <w:footerReference w:type="default" r:id="rId14"/>
      <w:headerReference w:type="first" r:id="rId15"/>
      <w:pgSz w:w="11906" w:h="16838" w:code="9"/>
      <w:pgMar w:top="1440" w:right="1700" w:bottom="1582" w:left="1729" w:header="720" w:footer="0" w:gutter="0"/>
      <w:pgNumType w:start="0"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491F" w:rsidRPr="00290C63" w:rsidRDefault="0030491F" w:rsidP="00290C63">
      <w:r>
        <w:separator/>
      </w:r>
    </w:p>
    <w:p w:rsidR="0030491F" w:rsidRDefault="0030491F"/>
  </w:endnote>
  <w:endnote w:type="continuationSeparator" w:id="0">
    <w:p w:rsidR="0030491F" w:rsidRPr="00290C63" w:rsidRDefault="0030491F" w:rsidP="00290C63">
      <w:r>
        <w:continuationSeparator/>
      </w:r>
    </w:p>
    <w:p w:rsidR="0030491F" w:rsidRDefault="003049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dge Round">
    <w:altName w:val="Calibri"/>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91F" w:rsidRDefault="0030491F">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30491F" w:rsidRDefault="0030491F">
    <w:pPr>
      <w:pStyle w:val="Footer"/>
    </w:pPr>
  </w:p>
  <w:p w:rsidR="0030491F" w:rsidRDefault="0030491F">
    <w:pPr>
      <w:pStyle w:val="Footer"/>
    </w:pPr>
    <w:r>
      <w:fldChar w:fldCharType="begin"/>
    </w:r>
    <w:r>
      <w:instrText xml:space="preserve"> DOCPROPERTY DocumentID \* MERGEFORMAT </w:instrText>
    </w:r>
    <w:r>
      <w:fldChar w:fldCharType="separate"/>
    </w:r>
    <w:r>
      <w:rPr>
        <w:b/>
        <w:bCs/>
        <w:lang w:val="en-US"/>
      </w:rPr>
      <w:t>Error! Unknown document property name.</w:t>
    </w:r>
    <w:r>
      <w:rPr>
        <w:color w:val="191919"/>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4776863"/>
      <w:docPartObj>
        <w:docPartGallery w:val="Page Numbers (Bottom of Page)"/>
        <w:docPartUnique/>
      </w:docPartObj>
    </w:sdtPr>
    <w:sdtEndPr/>
    <w:sdtContent>
      <w:p w:rsidR="0030491F" w:rsidRPr="00CA52A2" w:rsidRDefault="0030491F" w:rsidP="00CA52A2">
        <w:pPr>
          <w:pStyle w:val="Footer"/>
        </w:pPr>
        <w:r w:rsidRPr="00CA52A2">
          <w:fldChar w:fldCharType="begin"/>
        </w:r>
        <w:r>
          <w:instrText xml:space="preserve"> PAGE   \* MERGEFORMAT </w:instrText>
        </w:r>
        <w:r w:rsidRPr="00CA52A2">
          <w:fldChar w:fldCharType="separate"/>
        </w:r>
        <w:r w:rsidR="00736E37">
          <w:rPr>
            <w:noProof/>
          </w:rPr>
          <w:t>10-11</w:t>
        </w:r>
        <w:r w:rsidRPr="00CA52A2">
          <w:fldChar w:fldCharType="end"/>
        </w:r>
        <w:r w:rsidRPr="00CA52A2">
          <w:t xml:space="preserve">          Attachment </w:t>
        </w:r>
        <w:r>
          <w:t xml:space="preserve">10 </w:t>
        </w:r>
        <w:r w:rsidRPr="00CA52A2">
          <w:t xml:space="preserve">– </w:t>
        </w:r>
        <w:r>
          <w:t>Reference tariff setting</w:t>
        </w:r>
        <w:r w:rsidRPr="00CA52A2">
          <w:t xml:space="preserve"> | </w:t>
        </w:r>
        <w:r>
          <w:t>Final decision: Australian Gas Networks Access Arrangement 2016</w:t>
        </w:r>
        <w:r w:rsidRPr="00CA52A2">
          <w:t>–</w:t>
        </w:r>
        <w:r>
          <w:t>21</w:t>
        </w:r>
      </w:p>
    </w:sdtContent>
  </w:sdt>
  <w:p w:rsidR="0030491F" w:rsidRDefault="0030491F">
    <w:pPr>
      <w:pStyle w:val="Footer"/>
      <w:tabs>
        <w:tab w:val="right" w:pos="9639"/>
      </w:tabs>
      <w:rPr>
        <w:rFonts w:ascii="Cambridge Round" w:hAnsi="Cambridge Round"/>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491F" w:rsidRPr="00290C63" w:rsidRDefault="0030491F" w:rsidP="00290C63">
      <w:r>
        <w:separator/>
      </w:r>
    </w:p>
    <w:p w:rsidR="0030491F" w:rsidRDefault="0030491F"/>
  </w:footnote>
  <w:footnote w:type="continuationSeparator" w:id="0">
    <w:p w:rsidR="0030491F" w:rsidRPr="00290C63" w:rsidRDefault="0030491F" w:rsidP="00290C63">
      <w:r>
        <w:continuationSeparator/>
      </w:r>
    </w:p>
    <w:p w:rsidR="0030491F" w:rsidRDefault="0030491F"/>
  </w:footnote>
  <w:footnote w:id="1">
    <w:p w:rsidR="0030491F" w:rsidRDefault="0030491F" w:rsidP="00342C9A">
      <w:pPr>
        <w:pStyle w:val="FootnoteText"/>
      </w:pPr>
      <w:r>
        <w:rPr>
          <w:rStyle w:val="FootnoteReference"/>
        </w:rPr>
        <w:footnoteRef/>
      </w:r>
      <w:r>
        <w:t xml:space="preserve"> </w:t>
      </w:r>
      <w:r>
        <w:tab/>
        <w:t>NGL, ss. 24(2)–(7).</w:t>
      </w:r>
    </w:p>
  </w:footnote>
  <w:footnote w:id="2">
    <w:p w:rsidR="0030491F" w:rsidRDefault="0030491F" w:rsidP="000C1E74">
      <w:pPr>
        <w:pStyle w:val="FootnoteText"/>
      </w:pPr>
      <w:r>
        <w:rPr>
          <w:rStyle w:val="FootnoteReference"/>
        </w:rPr>
        <w:footnoteRef/>
      </w:r>
      <w:r>
        <w:t xml:space="preserve"> </w:t>
      </w:r>
      <w:r>
        <w:tab/>
        <w:t xml:space="preserve">AGN, </w:t>
      </w:r>
      <w:r>
        <w:rPr>
          <w:rStyle w:val="AERtextitalic"/>
        </w:rPr>
        <w:t>Access arrangement i</w:t>
      </w:r>
      <w:r w:rsidRPr="00594109">
        <w:rPr>
          <w:rStyle w:val="AERtextitalic"/>
        </w:rPr>
        <w:t>nformation</w:t>
      </w:r>
      <w:r>
        <w:rPr>
          <w:rStyle w:val="AERtextitalic"/>
        </w:rPr>
        <w:t xml:space="preserve"> </w:t>
      </w:r>
      <w:r w:rsidRPr="00E348AF">
        <w:rPr>
          <w:rStyle w:val="AERtextitalic"/>
        </w:rPr>
        <w:t>for AGN's SA Natural Gas Distribution Networ</w:t>
      </w:r>
      <w:r>
        <w:rPr>
          <w:rStyle w:val="AERtextitalic"/>
        </w:rPr>
        <w:t>k</w:t>
      </w:r>
      <w:r>
        <w:t>,</w:t>
      </w:r>
      <w:r w:rsidRPr="00594109">
        <w:t xml:space="preserve"> July 2015</w:t>
      </w:r>
      <w:r>
        <w:t xml:space="preserve">, pp. 247–249; AER, </w:t>
      </w:r>
      <w:r w:rsidRPr="00FF3253">
        <w:rPr>
          <w:rStyle w:val="AERtextitalic"/>
        </w:rPr>
        <w:t>Draft decision: A</w:t>
      </w:r>
      <w:r>
        <w:rPr>
          <w:rStyle w:val="AERtextitalic"/>
        </w:rPr>
        <w:t xml:space="preserve">ustralian Gas Networks </w:t>
      </w:r>
      <w:r w:rsidRPr="00FF3253">
        <w:rPr>
          <w:rStyle w:val="AERtextitalic"/>
        </w:rPr>
        <w:t>access arrangement 2016 to 2021: Attachment 1</w:t>
      </w:r>
      <w:r>
        <w:rPr>
          <w:rStyle w:val="AERtextitalic"/>
        </w:rPr>
        <w:t>0</w:t>
      </w:r>
      <w:r w:rsidRPr="00FF3253">
        <w:rPr>
          <w:rStyle w:val="AERtextitalic"/>
        </w:rPr>
        <w:t>–</w:t>
      </w:r>
      <w:r>
        <w:rPr>
          <w:rStyle w:val="AERtextitalic"/>
        </w:rPr>
        <w:t>Reference tariff setting</w:t>
      </w:r>
      <w:r>
        <w:t>, November 2015, p. 10-7.</w:t>
      </w:r>
    </w:p>
  </w:footnote>
  <w:footnote w:id="3">
    <w:p w:rsidR="0030491F" w:rsidRDefault="0030491F" w:rsidP="000C1E74">
      <w:pPr>
        <w:pStyle w:val="FootnoteText"/>
      </w:pPr>
      <w:r>
        <w:rPr>
          <w:rStyle w:val="FootnoteReference"/>
        </w:rPr>
        <w:footnoteRef/>
      </w:r>
      <w:r>
        <w:t xml:space="preserve"> </w:t>
      </w:r>
      <w:r>
        <w:tab/>
      </w:r>
      <w:r w:rsidRPr="002004DB">
        <w:t xml:space="preserve">NGR, </w:t>
      </w:r>
      <w:proofErr w:type="gramStart"/>
      <w:r w:rsidRPr="002004DB">
        <w:t>rr</w:t>
      </w:r>
      <w:proofErr w:type="gramEnd"/>
      <w:r w:rsidRPr="002004DB">
        <w:t xml:space="preserve">. </w:t>
      </w:r>
      <w:proofErr w:type="gramStart"/>
      <w:r w:rsidRPr="002004DB">
        <w:t>93, 94.</w:t>
      </w:r>
      <w:proofErr w:type="gramEnd"/>
    </w:p>
  </w:footnote>
  <w:footnote w:id="4">
    <w:p w:rsidR="0030491F" w:rsidRDefault="0030491F">
      <w:pPr>
        <w:pStyle w:val="FootnoteText"/>
      </w:pPr>
      <w:r>
        <w:rPr>
          <w:rStyle w:val="FootnoteReference"/>
        </w:rPr>
        <w:footnoteRef/>
      </w:r>
      <w:r>
        <w:t xml:space="preserve"> </w:t>
      </w:r>
      <w:r>
        <w:tab/>
      </w:r>
      <w:proofErr w:type="gramStart"/>
      <w:r>
        <w:t>NGR, r. 96.</w:t>
      </w:r>
      <w:proofErr w:type="gramEnd"/>
    </w:p>
  </w:footnote>
  <w:footnote w:id="5">
    <w:p w:rsidR="0030491F" w:rsidRDefault="0030491F" w:rsidP="002B23BD">
      <w:pPr>
        <w:pStyle w:val="FootnoteText"/>
      </w:pPr>
      <w:r>
        <w:rPr>
          <w:rStyle w:val="FootnoteReference"/>
        </w:rPr>
        <w:footnoteRef/>
      </w:r>
      <w:r>
        <w:t xml:space="preserve"> </w:t>
      </w:r>
      <w:r>
        <w:tab/>
      </w:r>
      <w:r w:rsidRPr="002B2596">
        <w:t>AGN</w:t>
      </w:r>
      <w:r w:rsidRPr="002B2596">
        <w:rPr>
          <w:rStyle w:val="AERtextitalic"/>
        </w:rPr>
        <w:t xml:space="preserve">, </w:t>
      </w:r>
      <w:r w:rsidRPr="00E348AF">
        <w:rPr>
          <w:rStyle w:val="AERtextitalic"/>
        </w:rPr>
        <w:t>Revised Access Arrangement Information for AGN's SA Natural Gas Distribution Networ</w:t>
      </w:r>
      <w:r>
        <w:rPr>
          <w:rStyle w:val="AERtextitalic"/>
        </w:rPr>
        <w:t>k</w:t>
      </w:r>
      <w:r w:rsidRPr="002B2596">
        <w:rPr>
          <w:rStyle w:val="AERtextitalic"/>
        </w:rPr>
        <w:t>: Attachment 15.2 – Response to draft decision: Reference tariffs</w:t>
      </w:r>
      <w:r w:rsidRPr="002B2596">
        <w:t>, January 2016, p. 2.</w:t>
      </w:r>
    </w:p>
  </w:footnote>
  <w:footnote w:id="6">
    <w:p w:rsidR="0030491F" w:rsidRDefault="0030491F" w:rsidP="00342C9A">
      <w:pPr>
        <w:pStyle w:val="FootnoteText"/>
      </w:pPr>
      <w:r>
        <w:rPr>
          <w:rStyle w:val="FootnoteReference"/>
        </w:rPr>
        <w:footnoteRef/>
      </w:r>
      <w:r>
        <w:t xml:space="preserve"> </w:t>
      </w:r>
      <w:r>
        <w:tab/>
        <w:t xml:space="preserve">NGR, </w:t>
      </w:r>
      <w:proofErr w:type="gramStart"/>
      <w:r>
        <w:t>rr</w:t>
      </w:r>
      <w:proofErr w:type="gramEnd"/>
      <w:r>
        <w:t>. 48(1</w:t>
      </w:r>
      <w:proofErr w:type="gramStart"/>
      <w:r>
        <w:t>)(</w:t>
      </w:r>
      <w:proofErr w:type="gramEnd"/>
      <w:r>
        <w:t>d)(</w:t>
      </w:r>
      <w:proofErr w:type="spellStart"/>
      <w:r>
        <w:t>i</w:t>
      </w:r>
      <w:proofErr w:type="spellEnd"/>
      <w:r>
        <w:t>), 72(1)(j).</w:t>
      </w:r>
    </w:p>
  </w:footnote>
  <w:footnote w:id="7">
    <w:p w:rsidR="0030491F" w:rsidRDefault="0030491F" w:rsidP="00342C9A">
      <w:pPr>
        <w:pStyle w:val="FootnoteText"/>
      </w:pPr>
      <w:r>
        <w:rPr>
          <w:rStyle w:val="FootnoteReference"/>
        </w:rPr>
        <w:footnoteRef/>
      </w:r>
      <w:r>
        <w:t xml:space="preserve"> </w:t>
      </w:r>
      <w:r>
        <w:tab/>
        <w:t xml:space="preserve">NGR, </w:t>
      </w:r>
      <w:proofErr w:type="gramStart"/>
      <w:r>
        <w:t>rr</w:t>
      </w:r>
      <w:proofErr w:type="gramEnd"/>
      <w:r>
        <w:t>. 72(1</w:t>
      </w:r>
      <w:proofErr w:type="gramStart"/>
      <w:r>
        <w:t>)(</w:t>
      </w:r>
      <w:proofErr w:type="gramEnd"/>
      <w:r>
        <w:t>j)(</w:t>
      </w:r>
      <w:proofErr w:type="spellStart"/>
      <w:r>
        <w:t>i</w:t>
      </w:r>
      <w:proofErr w:type="spellEnd"/>
      <w:r>
        <w:t>), 93(1)–(2).</w:t>
      </w:r>
    </w:p>
  </w:footnote>
  <w:footnote w:id="8">
    <w:p w:rsidR="0030491F" w:rsidRDefault="0030491F" w:rsidP="00342C9A">
      <w:pPr>
        <w:pStyle w:val="FootnoteText"/>
      </w:pPr>
      <w:r>
        <w:rPr>
          <w:rStyle w:val="FootnoteReference"/>
        </w:rPr>
        <w:footnoteRef/>
      </w:r>
      <w:r>
        <w:t xml:space="preserve"> </w:t>
      </w:r>
      <w:r>
        <w:tab/>
        <w:t xml:space="preserve">NGR, </w:t>
      </w:r>
      <w:proofErr w:type="spellStart"/>
      <w:proofErr w:type="gramStart"/>
      <w:r w:rsidR="001F3646">
        <w:t>r</w:t>
      </w:r>
      <w:r>
        <w:t>r</w:t>
      </w:r>
      <w:proofErr w:type="spellEnd"/>
      <w:proofErr w:type="gramEnd"/>
      <w:r>
        <w:t>. 94(1)–(2).</w:t>
      </w:r>
    </w:p>
  </w:footnote>
  <w:footnote w:id="9">
    <w:p w:rsidR="0030491F" w:rsidRDefault="0030491F" w:rsidP="00342C9A">
      <w:pPr>
        <w:pStyle w:val="FootnoteText"/>
      </w:pPr>
      <w:r>
        <w:rPr>
          <w:rStyle w:val="FootnoteReference"/>
        </w:rPr>
        <w:footnoteRef/>
      </w:r>
      <w:r>
        <w:t xml:space="preserve"> </w:t>
      </w:r>
      <w:r>
        <w:tab/>
      </w:r>
      <w:proofErr w:type="gramStart"/>
      <w:r>
        <w:t>NGR, r. 94(3).</w:t>
      </w:r>
      <w:proofErr w:type="gramEnd"/>
    </w:p>
  </w:footnote>
  <w:footnote w:id="10">
    <w:p w:rsidR="0030491F" w:rsidRDefault="0030491F" w:rsidP="00342C9A">
      <w:pPr>
        <w:pStyle w:val="FootnoteText"/>
      </w:pPr>
      <w:r>
        <w:rPr>
          <w:rStyle w:val="FootnoteReference"/>
        </w:rPr>
        <w:footnoteRef/>
      </w:r>
      <w:r>
        <w:t xml:space="preserve"> </w:t>
      </w:r>
      <w:r>
        <w:tab/>
        <w:t>NGR, r. 72(1</w:t>
      </w:r>
      <w:proofErr w:type="gramStart"/>
      <w:r>
        <w:t>)(</w:t>
      </w:r>
      <w:proofErr w:type="gramEnd"/>
      <w:r>
        <w:t>j)(ii).</w:t>
      </w:r>
    </w:p>
  </w:footnote>
  <w:footnote w:id="11">
    <w:p w:rsidR="0030491F" w:rsidRDefault="0030491F" w:rsidP="00342C9A">
      <w:pPr>
        <w:pStyle w:val="FootnoteText"/>
      </w:pPr>
      <w:r>
        <w:rPr>
          <w:rStyle w:val="FootnoteReference"/>
        </w:rPr>
        <w:footnoteRef/>
      </w:r>
      <w:r>
        <w:t xml:space="preserve"> </w:t>
      </w:r>
      <w:r>
        <w:tab/>
        <w:t xml:space="preserve">AGN, </w:t>
      </w:r>
      <w:r w:rsidRPr="00A77430">
        <w:rPr>
          <w:rStyle w:val="AERtextitalic"/>
        </w:rPr>
        <w:t>Access arrangement information</w:t>
      </w:r>
      <w:r>
        <w:rPr>
          <w:rStyle w:val="AERtextitalic"/>
        </w:rPr>
        <w:t xml:space="preserve"> </w:t>
      </w:r>
      <w:r w:rsidRPr="00E348AF">
        <w:rPr>
          <w:rStyle w:val="AERtextitalic"/>
        </w:rPr>
        <w:t>for AGN's SA Natural Gas Distribution Networ</w:t>
      </w:r>
      <w:r>
        <w:rPr>
          <w:rStyle w:val="AERtextitalic"/>
        </w:rPr>
        <w:t>k</w:t>
      </w:r>
      <w:r>
        <w:t>, July 2015, pp. 245–256; AGN</w:t>
      </w:r>
      <w:r w:rsidRPr="00E5257A">
        <w:rPr>
          <w:rStyle w:val="AERtextitalic"/>
        </w:rPr>
        <w:t>, Revised access arrangement information</w:t>
      </w:r>
      <w:r>
        <w:rPr>
          <w:rStyle w:val="AERtextitalic"/>
        </w:rPr>
        <w:t xml:space="preserve"> </w:t>
      </w:r>
      <w:r w:rsidRPr="00E348AF">
        <w:rPr>
          <w:rStyle w:val="AERtextitalic"/>
        </w:rPr>
        <w:t>for AGN's SA Natural Gas Distribution Networ</w:t>
      </w:r>
      <w:r>
        <w:rPr>
          <w:rStyle w:val="AERtextitalic"/>
        </w:rPr>
        <w:t>k</w:t>
      </w:r>
      <w:r w:rsidRPr="00E5257A">
        <w:rPr>
          <w:rStyle w:val="AERtextitalic"/>
        </w:rPr>
        <w:t xml:space="preserve">: Attachment </w:t>
      </w:r>
      <w:r>
        <w:rPr>
          <w:rStyle w:val="AERtextitalic"/>
        </w:rPr>
        <w:t>15</w:t>
      </w:r>
      <w:r w:rsidRPr="00E5257A">
        <w:rPr>
          <w:rStyle w:val="AERtextitalic"/>
        </w:rPr>
        <w:t>.</w:t>
      </w:r>
      <w:r>
        <w:rPr>
          <w:rStyle w:val="AERtextitalic"/>
        </w:rPr>
        <w:t>2</w:t>
      </w:r>
      <w:r w:rsidRPr="00E5257A">
        <w:rPr>
          <w:rStyle w:val="AERtextitalic"/>
        </w:rPr>
        <w:t xml:space="preserve"> – Response to d</w:t>
      </w:r>
      <w:r>
        <w:rPr>
          <w:rStyle w:val="AERtextitalic"/>
        </w:rPr>
        <w:t>raft decision: Reference tariffs</w:t>
      </w:r>
      <w:r>
        <w:t>, January 2016, pp. 1–3.</w:t>
      </w:r>
    </w:p>
  </w:footnote>
  <w:footnote w:id="12">
    <w:p w:rsidR="0030491F" w:rsidRDefault="0030491F" w:rsidP="00342C9A">
      <w:pPr>
        <w:pStyle w:val="FootnoteText"/>
      </w:pPr>
      <w:r>
        <w:rPr>
          <w:rStyle w:val="FootnoteReference"/>
        </w:rPr>
        <w:footnoteRef/>
      </w:r>
      <w:r>
        <w:t xml:space="preserve"> </w:t>
      </w:r>
      <w:r>
        <w:tab/>
      </w:r>
      <w:proofErr w:type="gramStart"/>
      <w:r>
        <w:t xml:space="preserve">AGN, </w:t>
      </w:r>
      <w:r w:rsidRPr="00B404D1">
        <w:rPr>
          <w:rStyle w:val="AERtextitalic"/>
        </w:rPr>
        <w:t>Access arrangement for AGN’s South Australian Gas Distribution Network 1 July 2016 – 30 June 2021</w:t>
      </w:r>
      <w:r>
        <w:t>, July 2015, cll.</w:t>
      </w:r>
      <w:proofErr w:type="gramEnd"/>
      <w:r>
        <w:t xml:space="preserve"> </w:t>
      </w:r>
      <w:proofErr w:type="gramStart"/>
      <w:r>
        <w:t xml:space="preserve">2, 3 and 4; Annexure B; AGN, </w:t>
      </w:r>
      <w:r w:rsidRPr="00B404D1">
        <w:rPr>
          <w:rStyle w:val="AERtextitalic"/>
        </w:rPr>
        <w:t>Access arrangement for AGN’s South Australian Gas Distribution Network 1 July 2016 – 30 June 2021</w:t>
      </w:r>
      <w:r>
        <w:t>, January 2016, cll.</w:t>
      </w:r>
      <w:proofErr w:type="gramEnd"/>
      <w:r>
        <w:t> </w:t>
      </w:r>
      <w:proofErr w:type="gramStart"/>
      <w:r>
        <w:t>2, 3 and 4; Annexure B.</w:t>
      </w:r>
      <w:proofErr w:type="gramEnd"/>
    </w:p>
  </w:footnote>
  <w:footnote w:id="13">
    <w:p w:rsidR="0030491F" w:rsidRDefault="0030491F" w:rsidP="00342C9A">
      <w:pPr>
        <w:pStyle w:val="FootnoteText"/>
      </w:pPr>
      <w:r>
        <w:rPr>
          <w:rStyle w:val="FootnoteReference"/>
        </w:rPr>
        <w:footnoteRef/>
      </w:r>
      <w:r>
        <w:t xml:space="preserve"> </w:t>
      </w:r>
      <w:r>
        <w:tab/>
      </w:r>
      <w:proofErr w:type="gramStart"/>
      <w:r>
        <w:t>AGN</w:t>
      </w:r>
      <w:r w:rsidRPr="003A708D">
        <w:rPr>
          <w:rStyle w:val="AERtextitalic"/>
        </w:rPr>
        <w:t>, Response to AER’s information request no. 25—Cost allocation method</w:t>
      </w:r>
      <w:r>
        <w:rPr>
          <w:rStyle w:val="AERtextitalic"/>
        </w:rPr>
        <w:t xml:space="preserve"> </w:t>
      </w:r>
      <w:r w:rsidRPr="00CB10D2">
        <w:rPr>
          <w:rStyle w:val="AERtextunderline"/>
        </w:rPr>
        <w:t>[email to AER]</w:t>
      </w:r>
      <w:r>
        <w:t>, 30 September 2015.</w:t>
      </w:r>
      <w:proofErr w:type="gramEnd"/>
    </w:p>
  </w:footnote>
  <w:footnote w:id="14">
    <w:p w:rsidR="0030491F" w:rsidRDefault="0030491F" w:rsidP="00342C9A">
      <w:pPr>
        <w:pStyle w:val="FootnoteText"/>
      </w:pPr>
      <w:r>
        <w:rPr>
          <w:rStyle w:val="FootnoteReference"/>
        </w:rPr>
        <w:footnoteRef/>
      </w:r>
      <w:r>
        <w:t xml:space="preserve"> </w:t>
      </w:r>
      <w:r>
        <w:tab/>
      </w:r>
      <w:proofErr w:type="gramStart"/>
      <w:r>
        <w:t>NGR, r. 59.</w:t>
      </w:r>
      <w:proofErr w:type="gramEnd"/>
    </w:p>
  </w:footnote>
  <w:footnote w:id="15">
    <w:p w:rsidR="0030491F" w:rsidRDefault="0030491F" w:rsidP="00342C9A">
      <w:pPr>
        <w:pStyle w:val="FootnoteText"/>
      </w:pPr>
      <w:r>
        <w:rPr>
          <w:rStyle w:val="FootnoteReference"/>
        </w:rPr>
        <w:footnoteRef/>
      </w:r>
      <w:r>
        <w:t xml:space="preserve"> </w:t>
      </w:r>
      <w:r>
        <w:tab/>
        <w:t>NGR, r. 48(1</w:t>
      </w:r>
      <w:proofErr w:type="gramStart"/>
      <w:r>
        <w:t>)(</w:t>
      </w:r>
      <w:proofErr w:type="gramEnd"/>
      <w:r>
        <w:t>d)(</w:t>
      </w:r>
      <w:proofErr w:type="spellStart"/>
      <w:r>
        <w:t>i</w:t>
      </w:r>
      <w:proofErr w:type="spellEnd"/>
      <w:r>
        <w:t>).</w:t>
      </w:r>
    </w:p>
  </w:footnote>
  <w:footnote w:id="16">
    <w:p w:rsidR="0030491F" w:rsidRDefault="0030491F" w:rsidP="00342C9A">
      <w:pPr>
        <w:pStyle w:val="FootnoteText"/>
      </w:pPr>
      <w:r>
        <w:rPr>
          <w:rStyle w:val="FootnoteReference"/>
        </w:rPr>
        <w:footnoteRef/>
      </w:r>
      <w:r>
        <w:t xml:space="preserve"> </w:t>
      </w:r>
      <w:r>
        <w:tab/>
        <w:t xml:space="preserve">AGN, </w:t>
      </w:r>
      <w:r w:rsidR="003164A6" w:rsidRPr="00B404D1">
        <w:rPr>
          <w:rStyle w:val="AERtextitalic"/>
        </w:rPr>
        <w:t>Access arrangement for AGN’s South Australian Gas Distribution Network 1 July 2016 – 30 June 2021</w:t>
      </w:r>
      <w:r>
        <w:t xml:space="preserve">, July 2015, sections 2 and 3; AGN, </w:t>
      </w:r>
      <w:r w:rsidR="003164A6" w:rsidRPr="00B404D1">
        <w:rPr>
          <w:rStyle w:val="AERtextitalic"/>
        </w:rPr>
        <w:t>Access arrangement for AGN’s South Australian Gas Distribution Network 1 July 2016 – 30 June 2021</w:t>
      </w:r>
      <w:r>
        <w:t>, January 2016, sections 2 and 3.</w:t>
      </w:r>
    </w:p>
  </w:footnote>
  <w:footnote w:id="17">
    <w:p w:rsidR="0030491F" w:rsidRDefault="0030491F" w:rsidP="00342C9A">
      <w:pPr>
        <w:pStyle w:val="FootnoteText"/>
      </w:pPr>
      <w:r>
        <w:rPr>
          <w:rStyle w:val="FootnoteReference"/>
        </w:rPr>
        <w:footnoteRef/>
      </w:r>
      <w:r>
        <w:t xml:space="preserve"> </w:t>
      </w:r>
      <w:r>
        <w:tab/>
      </w:r>
      <w:proofErr w:type="gramStart"/>
      <w:r>
        <w:t>NGR, r. 94(6).</w:t>
      </w:r>
      <w:proofErr w:type="gramEnd"/>
    </w:p>
  </w:footnote>
  <w:footnote w:id="18">
    <w:p w:rsidR="0030491F" w:rsidRDefault="0030491F" w:rsidP="00342C9A">
      <w:pPr>
        <w:pStyle w:val="FootnoteText"/>
      </w:pPr>
      <w:r>
        <w:rPr>
          <w:rStyle w:val="FootnoteReference"/>
        </w:rPr>
        <w:footnoteRef/>
      </w:r>
      <w:r>
        <w:t xml:space="preserve"> </w:t>
      </w:r>
      <w:r>
        <w:tab/>
      </w:r>
      <w:proofErr w:type="gramStart"/>
      <w:r>
        <w:t>NGR, r. 93(2).</w:t>
      </w:r>
      <w:proofErr w:type="gramEnd"/>
    </w:p>
  </w:footnote>
  <w:footnote w:id="19">
    <w:p w:rsidR="0030491F" w:rsidRDefault="0030491F" w:rsidP="00342C9A">
      <w:pPr>
        <w:pStyle w:val="FootnoteText"/>
      </w:pPr>
      <w:r>
        <w:rPr>
          <w:rStyle w:val="FootnoteReference"/>
        </w:rPr>
        <w:footnoteRef/>
      </w:r>
      <w:r>
        <w:t xml:space="preserve"> </w:t>
      </w:r>
      <w:r>
        <w:tab/>
      </w:r>
      <w:proofErr w:type="gramStart"/>
      <w:r>
        <w:t>NGR, r. 94(2)</w:t>
      </w:r>
      <w:r w:rsidR="003164A6">
        <w:t>.</w:t>
      </w:r>
      <w:proofErr w:type="gramEnd"/>
    </w:p>
  </w:footnote>
  <w:footnote w:id="20">
    <w:p w:rsidR="0030491F" w:rsidRDefault="0030491F" w:rsidP="00342C9A">
      <w:pPr>
        <w:pStyle w:val="FootnoteText"/>
      </w:pPr>
      <w:r>
        <w:rPr>
          <w:rStyle w:val="FootnoteReference"/>
        </w:rPr>
        <w:footnoteRef/>
      </w:r>
      <w:r>
        <w:t xml:space="preserve"> </w:t>
      </w:r>
      <w:r>
        <w:tab/>
        <w:t xml:space="preserve">NGR, </w:t>
      </w:r>
      <w:proofErr w:type="spellStart"/>
      <w:proofErr w:type="gramStart"/>
      <w:r w:rsidR="001F3646">
        <w:t>r</w:t>
      </w:r>
      <w:r>
        <w:t>r</w:t>
      </w:r>
      <w:proofErr w:type="spellEnd"/>
      <w:proofErr w:type="gramEnd"/>
      <w:r>
        <w:t>. 94(3)–(4).</w:t>
      </w:r>
    </w:p>
  </w:footnote>
  <w:footnote w:id="21">
    <w:p w:rsidR="0030491F" w:rsidRDefault="0030491F" w:rsidP="00342C9A">
      <w:pPr>
        <w:pStyle w:val="FootnoteText"/>
      </w:pPr>
      <w:r>
        <w:rPr>
          <w:rStyle w:val="FootnoteReference"/>
        </w:rPr>
        <w:footnoteRef/>
      </w:r>
      <w:r>
        <w:t xml:space="preserve"> </w:t>
      </w:r>
      <w:r>
        <w:tab/>
        <w:t>NGR, r. 96(2</w:t>
      </w:r>
      <w:proofErr w:type="gramStart"/>
      <w:r>
        <w:t>)(</w:t>
      </w:r>
      <w:proofErr w:type="gramEnd"/>
      <w:r>
        <w:t>a).</w:t>
      </w:r>
    </w:p>
  </w:footnote>
  <w:footnote w:id="22">
    <w:p w:rsidR="0030491F" w:rsidRDefault="0030491F" w:rsidP="00342C9A">
      <w:pPr>
        <w:pStyle w:val="FootnoteText"/>
      </w:pPr>
      <w:r>
        <w:rPr>
          <w:rStyle w:val="FootnoteReference"/>
        </w:rPr>
        <w:footnoteRef/>
      </w:r>
      <w:r>
        <w:t xml:space="preserve"> </w:t>
      </w:r>
      <w:r>
        <w:tab/>
        <w:t>NGR, r. 96(2</w:t>
      </w:r>
      <w:proofErr w:type="gramStart"/>
      <w:r>
        <w:t>)(</w:t>
      </w:r>
      <w:proofErr w:type="gramEnd"/>
      <w:r>
        <w:t>b).</w:t>
      </w:r>
    </w:p>
  </w:footnote>
  <w:footnote w:id="23">
    <w:p w:rsidR="0030491F" w:rsidRDefault="0030491F" w:rsidP="009E74FC">
      <w:pPr>
        <w:pStyle w:val="FootnoteText"/>
      </w:pPr>
      <w:r>
        <w:rPr>
          <w:rStyle w:val="FootnoteReference"/>
        </w:rPr>
        <w:footnoteRef/>
      </w:r>
      <w:r>
        <w:t xml:space="preserve"> </w:t>
      </w:r>
      <w:r>
        <w:tab/>
        <w:t>AGN</w:t>
      </w:r>
      <w:r w:rsidRPr="00E5257A">
        <w:rPr>
          <w:rStyle w:val="AERtextitalic"/>
        </w:rPr>
        <w:t xml:space="preserve">, Revised access arrangement information: Attachment </w:t>
      </w:r>
      <w:r>
        <w:rPr>
          <w:rStyle w:val="AERtextitalic"/>
        </w:rPr>
        <w:t>15</w:t>
      </w:r>
      <w:r w:rsidRPr="00E5257A">
        <w:rPr>
          <w:rStyle w:val="AERtextitalic"/>
        </w:rPr>
        <w:t>.</w:t>
      </w:r>
      <w:r>
        <w:rPr>
          <w:rStyle w:val="AERtextitalic"/>
        </w:rPr>
        <w:t>2</w:t>
      </w:r>
      <w:r w:rsidRPr="00E5257A">
        <w:rPr>
          <w:rStyle w:val="AERtextitalic"/>
        </w:rPr>
        <w:t xml:space="preserve"> – Response to d</w:t>
      </w:r>
      <w:r>
        <w:rPr>
          <w:rStyle w:val="AERtextitalic"/>
        </w:rPr>
        <w:t>raft decision: Reference tariffs</w:t>
      </w:r>
      <w:r>
        <w:t>, January 2016, p. 2.</w:t>
      </w:r>
    </w:p>
  </w:footnote>
  <w:footnote w:id="24">
    <w:p w:rsidR="0030491F" w:rsidRDefault="0030491F" w:rsidP="002E05CE">
      <w:pPr>
        <w:pStyle w:val="FootnoteText"/>
      </w:pPr>
      <w:r>
        <w:rPr>
          <w:rStyle w:val="FootnoteReference"/>
        </w:rPr>
        <w:footnoteRef/>
      </w:r>
      <w:r>
        <w:t xml:space="preserve"> </w:t>
      </w:r>
      <w:r>
        <w:tab/>
        <w:t xml:space="preserve">AGN, </w:t>
      </w:r>
      <w:r>
        <w:rPr>
          <w:rStyle w:val="AERtextitalic"/>
        </w:rPr>
        <w:t>Access arrangement i</w:t>
      </w:r>
      <w:r w:rsidRPr="00594109">
        <w:rPr>
          <w:rStyle w:val="AERtextitalic"/>
        </w:rPr>
        <w:t>nformation</w:t>
      </w:r>
      <w:r>
        <w:t>,</w:t>
      </w:r>
      <w:r w:rsidRPr="00594109">
        <w:t xml:space="preserve"> July 2015</w:t>
      </w:r>
      <w:r>
        <w:t xml:space="preserve">, pp. 247–249; AER, </w:t>
      </w:r>
      <w:r w:rsidRPr="00FF3253">
        <w:rPr>
          <w:rStyle w:val="AERtextitalic"/>
        </w:rPr>
        <w:t>Draft decision: A</w:t>
      </w:r>
      <w:r>
        <w:rPr>
          <w:rStyle w:val="AERtextitalic"/>
        </w:rPr>
        <w:t xml:space="preserve">ustralian Gas Networks </w:t>
      </w:r>
      <w:r w:rsidRPr="00FF3253">
        <w:rPr>
          <w:rStyle w:val="AERtextitalic"/>
        </w:rPr>
        <w:t>access arrangement 2016 to 2021: Attachment 1</w:t>
      </w:r>
      <w:r>
        <w:rPr>
          <w:rStyle w:val="AERtextitalic"/>
        </w:rPr>
        <w:t>0</w:t>
      </w:r>
      <w:r w:rsidRPr="00FF3253">
        <w:rPr>
          <w:rStyle w:val="AERtextitalic"/>
        </w:rPr>
        <w:t>–</w:t>
      </w:r>
      <w:r>
        <w:rPr>
          <w:rStyle w:val="AERtextitalic"/>
        </w:rPr>
        <w:t>Reference tariff setting</w:t>
      </w:r>
      <w:r>
        <w:t>, November 2015, p. 10-7.</w:t>
      </w:r>
    </w:p>
  </w:footnote>
  <w:footnote w:id="25">
    <w:p w:rsidR="0030491F" w:rsidRDefault="0030491F" w:rsidP="00412C55">
      <w:pPr>
        <w:pStyle w:val="FootnoteText"/>
      </w:pPr>
      <w:r>
        <w:rPr>
          <w:rStyle w:val="FootnoteReference"/>
        </w:rPr>
        <w:footnoteRef/>
      </w:r>
      <w:r>
        <w:t xml:space="preserve"> </w:t>
      </w:r>
      <w:r>
        <w:tab/>
      </w:r>
      <w:r w:rsidRPr="002004DB">
        <w:t xml:space="preserve">NGR, </w:t>
      </w:r>
      <w:proofErr w:type="gramStart"/>
      <w:r w:rsidRPr="002004DB">
        <w:t>rr</w:t>
      </w:r>
      <w:proofErr w:type="gramEnd"/>
      <w:r w:rsidRPr="002004DB">
        <w:t xml:space="preserve">. </w:t>
      </w:r>
      <w:proofErr w:type="gramStart"/>
      <w:r w:rsidRPr="002004DB">
        <w:t>93, 94.</w:t>
      </w:r>
      <w:proofErr w:type="gramEnd"/>
    </w:p>
  </w:footnote>
  <w:footnote w:id="26">
    <w:p w:rsidR="0030491F" w:rsidRDefault="0030491F">
      <w:pPr>
        <w:pStyle w:val="FootnoteText"/>
      </w:pPr>
      <w:r>
        <w:rPr>
          <w:rStyle w:val="FootnoteReference"/>
        </w:rPr>
        <w:footnoteRef/>
      </w:r>
      <w:r>
        <w:t xml:space="preserve"> </w:t>
      </w:r>
      <w:r>
        <w:tab/>
      </w:r>
      <w:r w:rsidRPr="00AC5E38">
        <w:t xml:space="preserve">NGR, </w:t>
      </w:r>
      <w:proofErr w:type="gramStart"/>
      <w:r>
        <w:t>r</w:t>
      </w:r>
      <w:r w:rsidRPr="00AC5E38">
        <w:t>r</w:t>
      </w:r>
      <w:proofErr w:type="gramEnd"/>
      <w:r w:rsidRPr="00AC5E38">
        <w:t xml:space="preserve">. </w:t>
      </w:r>
      <w:proofErr w:type="gramStart"/>
      <w:r w:rsidRPr="00AC5E38">
        <w:t>93(1)</w:t>
      </w:r>
      <w:r>
        <w:t>,</w:t>
      </w:r>
      <w:r w:rsidRPr="00AC5E38">
        <w:t xml:space="preserve"> (2).</w:t>
      </w:r>
      <w:proofErr w:type="gramEnd"/>
    </w:p>
  </w:footnote>
  <w:footnote w:id="27">
    <w:p w:rsidR="0030491F" w:rsidRDefault="0030491F">
      <w:pPr>
        <w:pStyle w:val="FootnoteText"/>
      </w:pPr>
      <w:r>
        <w:rPr>
          <w:rStyle w:val="FootnoteReference"/>
        </w:rPr>
        <w:footnoteRef/>
      </w:r>
      <w:r>
        <w:t xml:space="preserve"> </w:t>
      </w:r>
      <w:r>
        <w:tab/>
      </w:r>
      <w:proofErr w:type="gramStart"/>
      <w:r>
        <w:t xml:space="preserve">AGN, </w:t>
      </w:r>
      <w:r w:rsidRPr="00A77430">
        <w:rPr>
          <w:rStyle w:val="AERtextitalic"/>
        </w:rPr>
        <w:t>Access arrangement information</w:t>
      </w:r>
      <w:r w:rsidR="003164A6" w:rsidRPr="003164A6">
        <w:rPr>
          <w:rStyle w:val="AERtextitalic"/>
        </w:rPr>
        <w:t xml:space="preserve"> </w:t>
      </w:r>
      <w:r w:rsidR="003164A6" w:rsidRPr="00E348AF">
        <w:rPr>
          <w:rStyle w:val="AERtextitalic"/>
        </w:rPr>
        <w:t>for AGN's SA Natural Gas Distribution Networ</w:t>
      </w:r>
      <w:r w:rsidR="003164A6">
        <w:rPr>
          <w:rStyle w:val="AERtextitalic"/>
        </w:rPr>
        <w:t>k</w:t>
      </w:r>
      <w:r>
        <w:t>, July 2015, pp. 250–253.</w:t>
      </w:r>
      <w:proofErr w:type="gramEnd"/>
    </w:p>
  </w:footnote>
  <w:footnote w:id="28">
    <w:p w:rsidR="0030491F" w:rsidRDefault="0030491F">
      <w:pPr>
        <w:pStyle w:val="FootnoteText"/>
      </w:pPr>
      <w:r>
        <w:rPr>
          <w:rStyle w:val="FootnoteReference"/>
        </w:rPr>
        <w:footnoteRef/>
      </w:r>
      <w:r>
        <w:t xml:space="preserve"> </w:t>
      </w:r>
      <w:r>
        <w:tab/>
      </w:r>
      <w:proofErr w:type="gramStart"/>
      <w:r>
        <w:t xml:space="preserve">AGN, </w:t>
      </w:r>
      <w:r w:rsidRPr="00A77430">
        <w:rPr>
          <w:rStyle w:val="AERtextitalic"/>
        </w:rPr>
        <w:t>Access arrangement information</w:t>
      </w:r>
      <w:r w:rsidR="003164A6" w:rsidRPr="003164A6">
        <w:rPr>
          <w:rStyle w:val="AERtextitalic"/>
        </w:rPr>
        <w:t xml:space="preserve"> </w:t>
      </w:r>
      <w:r w:rsidR="003164A6" w:rsidRPr="00E348AF">
        <w:rPr>
          <w:rStyle w:val="AERtextitalic"/>
        </w:rPr>
        <w:t>for AGN's SA Natural Gas Distribution Networ</w:t>
      </w:r>
      <w:r w:rsidR="003164A6">
        <w:rPr>
          <w:rStyle w:val="AERtextitalic"/>
        </w:rPr>
        <w:t>k</w:t>
      </w:r>
      <w:r>
        <w:t>, July 2015, pp. 247–250.</w:t>
      </w:r>
      <w:proofErr w:type="gramEnd"/>
    </w:p>
  </w:footnote>
  <w:footnote w:id="29">
    <w:p w:rsidR="0030491F" w:rsidRDefault="0030491F">
      <w:pPr>
        <w:pStyle w:val="FootnoteText"/>
      </w:pPr>
      <w:r>
        <w:rPr>
          <w:rStyle w:val="FootnoteReference"/>
        </w:rPr>
        <w:footnoteRef/>
      </w:r>
      <w:r>
        <w:t xml:space="preserve"> </w:t>
      </w:r>
      <w:r>
        <w:tab/>
      </w:r>
      <w:r w:rsidRPr="00761A86">
        <w:t xml:space="preserve">NGR, </w:t>
      </w:r>
      <w:proofErr w:type="gramStart"/>
      <w:r w:rsidRPr="00761A86">
        <w:t>r</w:t>
      </w:r>
      <w:r>
        <w:t>r</w:t>
      </w:r>
      <w:proofErr w:type="gramEnd"/>
      <w:r w:rsidRPr="00761A86">
        <w:t xml:space="preserve">. </w:t>
      </w:r>
      <w:proofErr w:type="gramStart"/>
      <w:r w:rsidRPr="00761A86">
        <w:t>94(1)</w:t>
      </w:r>
      <w:r>
        <w:t xml:space="preserve">, </w:t>
      </w:r>
      <w:r w:rsidRPr="00761A86">
        <w:t>(2).</w:t>
      </w:r>
      <w:proofErr w:type="gramEnd"/>
    </w:p>
  </w:footnote>
  <w:footnote w:id="30">
    <w:p w:rsidR="0030491F" w:rsidRDefault="0030491F">
      <w:pPr>
        <w:pStyle w:val="FootnoteText"/>
      </w:pPr>
      <w:r>
        <w:rPr>
          <w:rStyle w:val="FootnoteReference"/>
        </w:rPr>
        <w:footnoteRef/>
      </w:r>
      <w:r>
        <w:t xml:space="preserve"> </w:t>
      </w:r>
      <w:r>
        <w:tab/>
        <w:t xml:space="preserve">AER, </w:t>
      </w:r>
      <w:r w:rsidRPr="00FF3253">
        <w:rPr>
          <w:rStyle w:val="AERtextitalic"/>
        </w:rPr>
        <w:t>Draft decision: A</w:t>
      </w:r>
      <w:r>
        <w:rPr>
          <w:rStyle w:val="AERtextitalic"/>
        </w:rPr>
        <w:t xml:space="preserve">ustralian Gas Networks </w:t>
      </w:r>
      <w:r w:rsidRPr="00FF3253">
        <w:rPr>
          <w:rStyle w:val="AERtextitalic"/>
        </w:rPr>
        <w:t>access arrangement 2016 to 2021: Attachment 1</w:t>
      </w:r>
      <w:r>
        <w:rPr>
          <w:rStyle w:val="AERtextitalic"/>
        </w:rPr>
        <w:t>0</w:t>
      </w:r>
      <w:r w:rsidRPr="00FF3253">
        <w:rPr>
          <w:rStyle w:val="AERtextitalic"/>
        </w:rPr>
        <w:t>–</w:t>
      </w:r>
      <w:r>
        <w:rPr>
          <w:rStyle w:val="AERtextitalic"/>
        </w:rPr>
        <w:t>Reference tariff setting</w:t>
      </w:r>
      <w:r>
        <w:t>, November 2015, pp. 10-11 to 10</w:t>
      </w:r>
      <w:r w:rsidR="001F3646">
        <w:t>-</w:t>
      </w:r>
      <w:r>
        <w:t>13.</w:t>
      </w:r>
    </w:p>
  </w:footnote>
  <w:footnote w:id="31">
    <w:p w:rsidR="0030491F" w:rsidRDefault="0030491F">
      <w:pPr>
        <w:pStyle w:val="FootnoteText"/>
      </w:pPr>
      <w:r>
        <w:rPr>
          <w:rStyle w:val="FootnoteReference"/>
        </w:rPr>
        <w:footnoteRef/>
      </w:r>
      <w:r>
        <w:t xml:space="preserve"> </w:t>
      </w:r>
      <w:r>
        <w:tab/>
      </w:r>
      <w:proofErr w:type="gramStart"/>
      <w:r>
        <w:t>NGR, r. 94.</w:t>
      </w:r>
      <w:proofErr w:type="gramEnd"/>
    </w:p>
  </w:footnote>
  <w:footnote w:id="32">
    <w:p w:rsidR="0030491F" w:rsidRDefault="0030491F">
      <w:pPr>
        <w:pStyle w:val="FootnoteText"/>
      </w:pPr>
      <w:r>
        <w:rPr>
          <w:rStyle w:val="FootnoteReference"/>
        </w:rPr>
        <w:footnoteRef/>
      </w:r>
      <w:r>
        <w:t xml:space="preserve"> </w:t>
      </w:r>
      <w:r>
        <w:tab/>
        <w:t xml:space="preserve">AER, </w:t>
      </w:r>
      <w:r w:rsidRPr="00FF3253">
        <w:rPr>
          <w:rStyle w:val="AERtextitalic"/>
        </w:rPr>
        <w:t>Draft decision: A</w:t>
      </w:r>
      <w:r>
        <w:rPr>
          <w:rStyle w:val="AERtextitalic"/>
        </w:rPr>
        <w:t xml:space="preserve">ustralian Gas Networks </w:t>
      </w:r>
      <w:r w:rsidRPr="00FF3253">
        <w:rPr>
          <w:rStyle w:val="AERtextitalic"/>
        </w:rPr>
        <w:t>access arrangement 2016 to 2021: Attachment 1</w:t>
      </w:r>
      <w:r>
        <w:rPr>
          <w:rStyle w:val="AERtextitalic"/>
        </w:rPr>
        <w:t>0</w:t>
      </w:r>
      <w:r w:rsidRPr="00FF3253">
        <w:rPr>
          <w:rStyle w:val="AERtextitalic"/>
        </w:rPr>
        <w:t>–</w:t>
      </w:r>
      <w:r>
        <w:rPr>
          <w:rStyle w:val="AERtextitalic"/>
        </w:rPr>
        <w:t>Reference tariff setting</w:t>
      </w:r>
      <w:r>
        <w:t>, November 2015, p. 10-12.</w:t>
      </w:r>
    </w:p>
  </w:footnote>
  <w:footnote w:id="33">
    <w:p w:rsidR="0030491F" w:rsidRDefault="0030491F">
      <w:pPr>
        <w:pStyle w:val="FootnoteText"/>
      </w:pPr>
      <w:r>
        <w:rPr>
          <w:rStyle w:val="FootnoteReference"/>
        </w:rPr>
        <w:footnoteRef/>
      </w:r>
      <w:r>
        <w:t xml:space="preserve"> </w:t>
      </w:r>
      <w:r>
        <w:tab/>
      </w:r>
      <w:proofErr w:type="gramStart"/>
      <w:r>
        <w:t>NGR, r. 94(3).</w:t>
      </w:r>
      <w:proofErr w:type="gramEnd"/>
    </w:p>
  </w:footnote>
  <w:footnote w:id="34">
    <w:p w:rsidR="0030491F" w:rsidRDefault="0030491F">
      <w:pPr>
        <w:pStyle w:val="FootnoteText"/>
      </w:pPr>
      <w:r>
        <w:rPr>
          <w:rStyle w:val="FootnoteReference"/>
        </w:rPr>
        <w:footnoteRef/>
      </w:r>
      <w:r>
        <w:t xml:space="preserve"> </w:t>
      </w:r>
      <w:r>
        <w:tab/>
      </w:r>
      <w:r w:rsidRPr="00A91DD2">
        <w:t xml:space="preserve">AGN, </w:t>
      </w:r>
      <w:r w:rsidRPr="00A91DD2">
        <w:rPr>
          <w:rStyle w:val="AERtextitalic"/>
        </w:rPr>
        <w:t>Access arrangement information</w:t>
      </w:r>
      <w:r w:rsidR="003164A6" w:rsidRPr="003164A6">
        <w:rPr>
          <w:rStyle w:val="Heading1Char"/>
        </w:rPr>
        <w:t xml:space="preserve"> </w:t>
      </w:r>
      <w:r w:rsidR="003164A6" w:rsidRPr="00E348AF">
        <w:rPr>
          <w:rStyle w:val="AERtextitalic"/>
        </w:rPr>
        <w:t>for AGN's SA Natural Gas Distribution Networ</w:t>
      </w:r>
      <w:r w:rsidR="003164A6">
        <w:rPr>
          <w:rStyle w:val="AERtextitalic"/>
        </w:rPr>
        <w:t>k</w:t>
      </w:r>
      <w:r w:rsidRPr="00A91DD2">
        <w:t xml:space="preserve">, July 2015, pp. 250–251; AGN, </w:t>
      </w:r>
      <w:r w:rsidRPr="00A91DD2">
        <w:rPr>
          <w:rStyle w:val="AERtextitalic"/>
        </w:rPr>
        <w:t>Access arrangement information</w:t>
      </w:r>
      <w:r w:rsidR="003164A6" w:rsidRPr="003164A6">
        <w:rPr>
          <w:rStyle w:val="Heading1Char"/>
        </w:rPr>
        <w:t xml:space="preserve"> </w:t>
      </w:r>
      <w:r w:rsidR="003164A6" w:rsidRPr="00E348AF">
        <w:rPr>
          <w:rStyle w:val="AERtextitalic"/>
        </w:rPr>
        <w:t>for AGN's SA Natural Gas Distribution Networ</w:t>
      </w:r>
      <w:r w:rsidR="003164A6">
        <w:rPr>
          <w:rStyle w:val="AERtextitalic"/>
        </w:rPr>
        <w:t>k</w:t>
      </w:r>
      <w:r w:rsidRPr="00A91DD2">
        <w:t>, July</w:t>
      </w:r>
      <w:r>
        <w:t> </w:t>
      </w:r>
      <w:r w:rsidRPr="00A91DD2">
        <w:t>2015, Attachment 15.1.</w:t>
      </w:r>
    </w:p>
  </w:footnote>
  <w:footnote w:id="35">
    <w:p w:rsidR="0030491F" w:rsidRDefault="0030491F">
      <w:pPr>
        <w:pStyle w:val="FootnoteText"/>
      </w:pPr>
      <w:r>
        <w:rPr>
          <w:rStyle w:val="FootnoteReference"/>
        </w:rPr>
        <w:footnoteRef/>
      </w:r>
      <w:r>
        <w:t xml:space="preserve"> </w:t>
      </w:r>
      <w:r>
        <w:tab/>
      </w:r>
      <w:r w:rsidRPr="00A91DD2">
        <w:t xml:space="preserve">NGR, </w:t>
      </w:r>
      <w:proofErr w:type="gramStart"/>
      <w:r w:rsidRPr="00A91DD2">
        <w:t>rr</w:t>
      </w:r>
      <w:proofErr w:type="gramEnd"/>
      <w:r w:rsidRPr="00A91DD2">
        <w:t xml:space="preserve">. </w:t>
      </w:r>
      <w:proofErr w:type="gramStart"/>
      <w:r w:rsidRPr="00A91DD2">
        <w:t>94(2), 94(4).</w:t>
      </w:r>
      <w:proofErr w:type="gramEnd"/>
    </w:p>
  </w:footnote>
  <w:footnote w:id="36">
    <w:p w:rsidR="0030491F" w:rsidRDefault="0030491F">
      <w:pPr>
        <w:pStyle w:val="FootnoteText"/>
      </w:pPr>
      <w:r>
        <w:rPr>
          <w:rStyle w:val="FootnoteReference"/>
        </w:rPr>
        <w:footnoteRef/>
      </w:r>
      <w:r>
        <w:t xml:space="preserve"> </w:t>
      </w:r>
      <w:r>
        <w:tab/>
      </w:r>
      <w:proofErr w:type="gramStart"/>
      <w:r w:rsidRPr="00A91DD2">
        <w:t xml:space="preserve">AGN, </w:t>
      </w:r>
      <w:r w:rsidRPr="00A91DD2">
        <w:rPr>
          <w:rStyle w:val="AERtextitalic"/>
        </w:rPr>
        <w:t>Access arrangement information</w:t>
      </w:r>
      <w:r w:rsidR="003164A6">
        <w:rPr>
          <w:rStyle w:val="Heading1Char"/>
        </w:rPr>
        <w:t xml:space="preserve"> </w:t>
      </w:r>
      <w:r w:rsidR="003164A6" w:rsidRPr="00E348AF">
        <w:rPr>
          <w:rStyle w:val="AERtextitalic"/>
        </w:rPr>
        <w:t>for AGN's SA Natural Gas Distribution Networ</w:t>
      </w:r>
      <w:r w:rsidR="003164A6">
        <w:rPr>
          <w:rStyle w:val="AERtextitalic"/>
        </w:rPr>
        <w:t>k</w:t>
      </w:r>
      <w:r w:rsidRPr="00A91DD2">
        <w:t>, July 2015, pp. 251–252.</w:t>
      </w:r>
      <w:proofErr w:type="gramEnd"/>
    </w:p>
  </w:footnote>
  <w:footnote w:id="37">
    <w:p w:rsidR="0030491F" w:rsidRDefault="0030491F">
      <w:pPr>
        <w:pStyle w:val="FootnoteText"/>
      </w:pPr>
      <w:r>
        <w:rPr>
          <w:rStyle w:val="FootnoteReference"/>
        </w:rPr>
        <w:footnoteRef/>
      </w:r>
      <w:r>
        <w:t xml:space="preserve"> </w:t>
      </w:r>
      <w:r>
        <w:tab/>
      </w:r>
      <w:proofErr w:type="gramStart"/>
      <w:r>
        <w:t xml:space="preserve">AGN, </w:t>
      </w:r>
      <w:r w:rsidRPr="00A77430">
        <w:rPr>
          <w:rStyle w:val="AERtextitalic"/>
        </w:rPr>
        <w:t>Access arrangement information</w:t>
      </w:r>
      <w:r w:rsidR="003164A6" w:rsidRPr="003164A6">
        <w:rPr>
          <w:rStyle w:val="Heading1Char"/>
        </w:rPr>
        <w:t xml:space="preserve"> </w:t>
      </w:r>
      <w:r w:rsidR="003164A6" w:rsidRPr="00E348AF">
        <w:rPr>
          <w:rStyle w:val="AERtextitalic"/>
        </w:rPr>
        <w:t>for AGN's SA Natural Gas Distribution Networ</w:t>
      </w:r>
      <w:r w:rsidR="003164A6">
        <w:rPr>
          <w:rStyle w:val="AERtextitalic"/>
        </w:rPr>
        <w:t>k</w:t>
      </w:r>
      <w:r>
        <w:t>, July 2015, p. 253.</w:t>
      </w:r>
      <w:proofErr w:type="gramEnd"/>
    </w:p>
  </w:footnote>
  <w:footnote w:id="38">
    <w:p w:rsidR="0030491F" w:rsidRDefault="0030491F">
      <w:pPr>
        <w:pStyle w:val="FootnoteText"/>
      </w:pPr>
      <w:r>
        <w:rPr>
          <w:rStyle w:val="FootnoteReference"/>
        </w:rPr>
        <w:footnoteRef/>
      </w:r>
      <w:r>
        <w:t xml:space="preserve"> </w:t>
      </w:r>
      <w:r>
        <w:tab/>
      </w:r>
      <w:proofErr w:type="gramStart"/>
      <w:r>
        <w:t>NGR, r. 94(6).</w:t>
      </w:r>
      <w:proofErr w:type="gramEnd"/>
    </w:p>
  </w:footnote>
  <w:footnote w:id="39">
    <w:p w:rsidR="0030491F" w:rsidRDefault="0030491F">
      <w:pPr>
        <w:pStyle w:val="FootnoteText"/>
      </w:pPr>
      <w:r>
        <w:rPr>
          <w:rStyle w:val="FootnoteReference"/>
        </w:rPr>
        <w:footnoteRef/>
      </w:r>
      <w:r>
        <w:t xml:space="preserve"> </w:t>
      </w:r>
      <w:r>
        <w:tab/>
        <w:t>NGR, r. 94(4</w:t>
      </w:r>
      <w:proofErr w:type="gramStart"/>
      <w:r>
        <w:t>)(</w:t>
      </w:r>
      <w:proofErr w:type="gramEnd"/>
      <w:r>
        <w:t>b)(ii).</w:t>
      </w:r>
    </w:p>
  </w:footnote>
  <w:footnote w:id="40">
    <w:p w:rsidR="0030491F" w:rsidRDefault="0030491F" w:rsidP="00A91DD2">
      <w:pPr>
        <w:pStyle w:val="FootnoteText"/>
      </w:pPr>
      <w:r>
        <w:rPr>
          <w:rStyle w:val="FootnoteReference"/>
        </w:rPr>
        <w:footnoteRef/>
      </w:r>
      <w:r>
        <w:t xml:space="preserve"> </w:t>
      </w:r>
      <w:r>
        <w:tab/>
      </w:r>
      <w:r w:rsidRPr="00DD4987">
        <w:t>Service providers offer prudent discount to users in order to respond to competition from other providers of pipeline services or other services of energy. Alternatively, the service provider may offer prudent discounts in order to maintain the efficient use of the pipeline.</w:t>
      </w:r>
      <w:r>
        <w:t xml:space="preserve"> Statistical data is provided on a confidential basis to the AER.</w:t>
      </w:r>
    </w:p>
  </w:footnote>
  <w:footnote w:id="41">
    <w:p w:rsidR="0030491F" w:rsidRDefault="0030491F" w:rsidP="00A91DD2">
      <w:pPr>
        <w:pStyle w:val="FootnoteText"/>
      </w:pPr>
      <w:r>
        <w:rPr>
          <w:rStyle w:val="FootnoteReference"/>
        </w:rPr>
        <w:footnoteRef/>
      </w:r>
      <w:r>
        <w:t xml:space="preserve"> </w:t>
      </w:r>
      <w:r>
        <w:tab/>
        <w:t xml:space="preserve">AGN, </w:t>
      </w:r>
      <w:r w:rsidRPr="00A77430">
        <w:rPr>
          <w:rStyle w:val="AERtextitalic"/>
        </w:rPr>
        <w:t>Access arrangement information</w:t>
      </w:r>
      <w:r w:rsidR="00CB10D2" w:rsidRPr="00CB10D2">
        <w:rPr>
          <w:rStyle w:val="Heading1Char"/>
        </w:rPr>
        <w:t xml:space="preserve"> </w:t>
      </w:r>
      <w:r w:rsidR="00CB10D2" w:rsidRPr="00E348AF">
        <w:rPr>
          <w:rStyle w:val="AERtextitalic"/>
        </w:rPr>
        <w:t>for AGN's SA Natural Gas Distribution Networ</w:t>
      </w:r>
      <w:r w:rsidR="00CB10D2">
        <w:rPr>
          <w:rStyle w:val="AERtextitalic"/>
        </w:rPr>
        <w:t>k</w:t>
      </w:r>
      <w:r>
        <w:rPr>
          <w:rStyle w:val="AERtextitalic"/>
        </w:rPr>
        <w:t>: Attachment 13.1 (confidential)</w:t>
      </w:r>
      <w:r>
        <w:t>, July 2015.</w:t>
      </w:r>
    </w:p>
  </w:footnote>
  <w:footnote w:id="42">
    <w:p w:rsidR="0030491F" w:rsidRDefault="0030491F" w:rsidP="00A91DD2">
      <w:pPr>
        <w:pStyle w:val="FootnoteText"/>
      </w:pPr>
      <w:r>
        <w:rPr>
          <w:rStyle w:val="FootnoteReference"/>
        </w:rPr>
        <w:footnoteRef/>
      </w:r>
      <w:r>
        <w:t xml:space="preserve"> </w:t>
      </w:r>
      <w:r>
        <w:tab/>
        <w:t xml:space="preserve">AER, </w:t>
      </w:r>
      <w:r w:rsidRPr="000A4568">
        <w:rPr>
          <w:rStyle w:val="AERtextitalic"/>
        </w:rPr>
        <w:t>Final decision: Envestra Ltd Access arrangement proposal for the SA gas network</w:t>
      </w:r>
      <w:r>
        <w:t>, June 2011, p. 114.</w:t>
      </w:r>
    </w:p>
  </w:footnote>
  <w:footnote w:id="43">
    <w:p w:rsidR="0030491F" w:rsidRDefault="0030491F" w:rsidP="00A91DD2">
      <w:pPr>
        <w:pStyle w:val="FootnoteText"/>
      </w:pPr>
      <w:r>
        <w:rPr>
          <w:rStyle w:val="FootnoteReference"/>
        </w:rPr>
        <w:footnoteRef/>
      </w:r>
      <w:r>
        <w:t xml:space="preserve"> </w:t>
      </w:r>
      <w:r>
        <w:tab/>
        <w:t xml:space="preserve">AGN, </w:t>
      </w:r>
      <w:r w:rsidRPr="00A77430">
        <w:rPr>
          <w:rStyle w:val="AERtextitalic"/>
        </w:rPr>
        <w:t>Access arrangement information</w:t>
      </w:r>
      <w:r w:rsidR="00CB10D2" w:rsidRPr="00CB10D2">
        <w:rPr>
          <w:rStyle w:val="Heading1Char"/>
        </w:rPr>
        <w:t xml:space="preserve"> </w:t>
      </w:r>
      <w:r w:rsidR="00CB10D2" w:rsidRPr="00E348AF">
        <w:rPr>
          <w:rStyle w:val="AERtextitalic"/>
        </w:rPr>
        <w:t>for AGN's SA Natural Gas Distribution Networ</w:t>
      </w:r>
      <w:r w:rsidR="00CB10D2">
        <w:rPr>
          <w:rStyle w:val="AERtextitalic"/>
        </w:rPr>
        <w:t>k</w:t>
      </w:r>
      <w:r>
        <w:rPr>
          <w:rStyle w:val="AERtextitalic"/>
        </w:rPr>
        <w:t>: Attachment 13.1 (confidential)</w:t>
      </w:r>
      <w:r>
        <w:t>, July 2015.</w:t>
      </w:r>
    </w:p>
  </w:footnote>
  <w:footnote w:id="44">
    <w:p w:rsidR="0030491F" w:rsidRDefault="0030491F" w:rsidP="00A91DD2">
      <w:pPr>
        <w:pStyle w:val="FootnoteText"/>
      </w:pPr>
      <w:r>
        <w:rPr>
          <w:rStyle w:val="FootnoteReference"/>
        </w:rPr>
        <w:footnoteRef/>
      </w:r>
      <w:r>
        <w:t xml:space="preserve"> </w:t>
      </w:r>
      <w:r>
        <w:tab/>
        <w:t>NGR, r. 96(2</w:t>
      </w:r>
      <w:proofErr w:type="gramStart"/>
      <w:r>
        <w:t>)(</w:t>
      </w:r>
      <w:proofErr w:type="gramEnd"/>
      <w:r>
        <w:t>b).</w:t>
      </w:r>
    </w:p>
  </w:footnote>
  <w:footnote w:id="45">
    <w:p w:rsidR="0030491F" w:rsidRDefault="0030491F" w:rsidP="00A91DD2">
      <w:pPr>
        <w:pStyle w:val="FootnoteText"/>
      </w:pPr>
      <w:r>
        <w:rPr>
          <w:rStyle w:val="FootnoteReference"/>
        </w:rPr>
        <w:footnoteRef/>
      </w:r>
      <w:r>
        <w:t xml:space="preserve"> </w:t>
      </w:r>
      <w:r>
        <w:tab/>
      </w:r>
      <w:proofErr w:type="gramStart"/>
      <w:r>
        <w:t>NGR, r. 96(2).</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91F" w:rsidRDefault="005C052B">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4" type="#_x0000_t136" style="position:absolute;left:0;text-align:left;margin-left:0;margin-top:0;width:608.75pt;height:110.65pt;rotation:315;z-index:-25164595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2" type="#_x0000_t136" style="position:absolute;left:0;text-align:left;margin-left:0;margin-top:0;width:485.65pt;height:194.25pt;rotation:315;z-index:-25164800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30491F">
      <w:t>January 2005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91F" w:rsidRDefault="005C052B">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3" type="#_x0000_t136" style="position:absolute;margin-left:0;margin-top:0;width:608.75pt;height:110.65pt;rotation:315;z-index:-25164697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1" type="#_x0000_t136" style="position:absolute;margin-left:0;margin-top:0;width:485.65pt;height:194.25pt;rotation:315;z-index:-25164902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1">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3">
    <w:nsid w:val="5ECE4384"/>
    <w:multiLevelType w:val="multilevel"/>
    <w:tmpl w:val="E29C3454"/>
    <w:lvl w:ilvl="0">
      <w:start w:val="10"/>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E2819EC"/>
    <w:multiLevelType w:val="multilevel"/>
    <w:tmpl w:val="1250F310"/>
    <w:lvl w:ilvl="0">
      <w:start w:val="1"/>
      <w:numFmt w:val="bullet"/>
      <w:pStyle w:val="AERbulletlistfirststyle"/>
      <w:lvlText w:val=""/>
      <w:lvlJc w:val="left"/>
      <w:pPr>
        <w:ind w:left="644"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6"/>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4"/>
  </w:num>
  <w:num w:numId="13">
    <w:abstractNumId w:val="17"/>
  </w:num>
  <w:num w:numId="14">
    <w:abstractNumId w:val="10"/>
  </w:num>
  <w:num w:numId="15">
    <w:abstractNumId w:val="12"/>
  </w:num>
  <w:num w:numId="16">
    <w:abstractNumId w:val="18"/>
  </w:num>
  <w:num w:numId="17">
    <w:abstractNumId w:val="9"/>
  </w:num>
  <w:num w:numId="18">
    <w:abstractNumId w:val="14"/>
  </w:num>
  <w:num w:numId="19">
    <w:abstractNumId w:val="19"/>
  </w:num>
  <w:num w:numId="20">
    <w:abstractNumId w:val="25"/>
  </w:num>
  <w:num w:numId="21">
    <w:abstractNumId w:val="22"/>
  </w:num>
  <w:num w:numId="22">
    <w:abstractNumId w:val="20"/>
  </w:num>
  <w:num w:numId="23">
    <w:abstractNumId w:val="15"/>
  </w:num>
  <w:num w:numId="24">
    <w:abstractNumId w:val="21"/>
  </w:num>
  <w:num w:numId="25">
    <w:abstractNumId w:val="23"/>
  </w:num>
  <w:num w:numId="26">
    <w:abstractNumId w:val="16"/>
  </w:num>
  <w:num w:numId="27">
    <w:abstractNumId w:val="13"/>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lvlOverride w:ilvl="0">
      <w:startOverride w:val="1"/>
    </w:lvlOverride>
  </w:num>
  <w:num w:numId="30">
    <w:abstractNumId w:val="14"/>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RxemIc/JzyAyEgnT6f+23Qa4arwo7PtQhhDeh1rWkDw=" w:saltValue="Vld54XbwQgFTY8NIVpfMtQ==" w:algorithmName="SHA-256"/>
  <w:defaultTabStop w:val="340"/>
  <w:characterSpacingControl w:val="doNotCompress"/>
  <w:hdrShapeDefaults>
    <o:shapedefaults v:ext="edit" spidmax="79885"/>
    <o:shapelayout v:ext="edit">
      <o:idmap v:ext="edit" data="7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5108\AER15 4323  AER - Final decision Amadeus Gas Pipeline Access Arrangement - Attachment 10 - Reference tariff setting - April 2016.DOCX"/>
  </w:docVars>
  <w:rsids>
    <w:rsidRoot w:val="00961A4A"/>
    <w:rsid w:val="00004633"/>
    <w:rsid w:val="00010286"/>
    <w:rsid w:val="00021202"/>
    <w:rsid w:val="00021C2B"/>
    <w:rsid w:val="0002517F"/>
    <w:rsid w:val="00026495"/>
    <w:rsid w:val="0003578C"/>
    <w:rsid w:val="000401AF"/>
    <w:rsid w:val="00041DDA"/>
    <w:rsid w:val="00063247"/>
    <w:rsid w:val="00063A92"/>
    <w:rsid w:val="00070F9F"/>
    <w:rsid w:val="0007137B"/>
    <w:rsid w:val="000848DD"/>
    <w:rsid w:val="00085663"/>
    <w:rsid w:val="00085EBF"/>
    <w:rsid w:val="00085F93"/>
    <w:rsid w:val="00091B15"/>
    <w:rsid w:val="000A1E7C"/>
    <w:rsid w:val="000A3020"/>
    <w:rsid w:val="000A6C7B"/>
    <w:rsid w:val="000B0360"/>
    <w:rsid w:val="000B3DF4"/>
    <w:rsid w:val="000C1E74"/>
    <w:rsid w:val="000C2B40"/>
    <w:rsid w:val="000D01F4"/>
    <w:rsid w:val="000D06C1"/>
    <w:rsid w:val="000D122C"/>
    <w:rsid w:val="000D3016"/>
    <w:rsid w:val="000D64F2"/>
    <w:rsid w:val="000D7F32"/>
    <w:rsid w:val="000E1819"/>
    <w:rsid w:val="000E4821"/>
    <w:rsid w:val="000E6C72"/>
    <w:rsid w:val="000F0B2B"/>
    <w:rsid w:val="000F3E72"/>
    <w:rsid w:val="000F48B1"/>
    <w:rsid w:val="000F723D"/>
    <w:rsid w:val="000F7607"/>
    <w:rsid w:val="00103A02"/>
    <w:rsid w:val="00103A67"/>
    <w:rsid w:val="00116EB2"/>
    <w:rsid w:val="00124609"/>
    <w:rsid w:val="00126A4C"/>
    <w:rsid w:val="00142AB6"/>
    <w:rsid w:val="0014573B"/>
    <w:rsid w:val="00147E70"/>
    <w:rsid w:val="00156DCC"/>
    <w:rsid w:val="001573E4"/>
    <w:rsid w:val="00160756"/>
    <w:rsid w:val="00165C4E"/>
    <w:rsid w:val="0017232E"/>
    <w:rsid w:val="00174102"/>
    <w:rsid w:val="0017480F"/>
    <w:rsid w:val="001754EE"/>
    <w:rsid w:val="00180157"/>
    <w:rsid w:val="00182467"/>
    <w:rsid w:val="00185CB9"/>
    <w:rsid w:val="00186F77"/>
    <w:rsid w:val="001926A4"/>
    <w:rsid w:val="00192AD5"/>
    <w:rsid w:val="001B3F62"/>
    <w:rsid w:val="001B45A0"/>
    <w:rsid w:val="001B45C0"/>
    <w:rsid w:val="001B6F2E"/>
    <w:rsid w:val="001B7D00"/>
    <w:rsid w:val="001C17E7"/>
    <w:rsid w:val="001D055E"/>
    <w:rsid w:val="001E009C"/>
    <w:rsid w:val="001E0901"/>
    <w:rsid w:val="001E5FE2"/>
    <w:rsid w:val="001E624C"/>
    <w:rsid w:val="001F05A4"/>
    <w:rsid w:val="001F3646"/>
    <w:rsid w:val="001F492E"/>
    <w:rsid w:val="001F6DA3"/>
    <w:rsid w:val="002004DB"/>
    <w:rsid w:val="002010BC"/>
    <w:rsid w:val="002016E7"/>
    <w:rsid w:val="00201C10"/>
    <w:rsid w:val="00201F98"/>
    <w:rsid w:val="00202E03"/>
    <w:rsid w:val="0020478D"/>
    <w:rsid w:val="0020492C"/>
    <w:rsid w:val="00205A33"/>
    <w:rsid w:val="00210FDB"/>
    <w:rsid w:val="0022444D"/>
    <w:rsid w:val="00224DB9"/>
    <w:rsid w:val="00227DCE"/>
    <w:rsid w:val="0023276C"/>
    <w:rsid w:val="00233775"/>
    <w:rsid w:val="00251745"/>
    <w:rsid w:val="00263AC0"/>
    <w:rsid w:val="00264264"/>
    <w:rsid w:val="0026772D"/>
    <w:rsid w:val="00272A0B"/>
    <w:rsid w:val="002750F9"/>
    <w:rsid w:val="00277554"/>
    <w:rsid w:val="00286874"/>
    <w:rsid w:val="00290C63"/>
    <w:rsid w:val="00296B65"/>
    <w:rsid w:val="0029724D"/>
    <w:rsid w:val="002A6688"/>
    <w:rsid w:val="002A7DEF"/>
    <w:rsid w:val="002B1003"/>
    <w:rsid w:val="002B23BD"/>
    <w:rsid w:val="002B2596"/>
    <w:rsid w:val="002B573C"/>
    <w:rsid w:val="002C233C"/>
    <w:rsid w:val="002D72E8"/>
    <w:rsid w:val="002E05CE"/>
    <w:rsid w:val="002E7B22"/>
    <w:rsid w:val="002F7986"/>
    <w:rsid w:val="00301B40"/>
    <w:rsid w:val="00301F1F"/>
    <w:rsid w:val="003029A5"/>
    <w:rsid w:val="003029EE"/>
    <w:rsid w:val="0030370B"/>
    <w:rsid w:val="00303B86"/>
    <w:rsid w:val="0030491F"/>
    <w:rsid w:val="00305CC8"/>
    <w:rsid w:val="00307F6D"/>
    <w:rsid w:val="003130C9"/>
    <w:rsid w:val="003164A6"/>
    <w:rsid w:val="003177A2"/>
    <w:rsid w:val="00320869"/>
    <w:rsid w:val="00326B1D"/>
    <w:rsid w:val="003271B5"/>
    <w:rsid w:val="00327A1E"/>
    <w:rsid w:val="00331264"/>
    <w:rsid w:val="003338A2"/>
    <w:rsid w:val="00333A3C"/>
    <w:rsid w:val="00334C8D"/>
    <w:rsid w:val="0033548E"/>
    <w:rsid w:val="00342372"/>
    <w:rsid w:val="00342C9A"/>
    <w:rsid w:val="00343A18"/>
    <w:rsid w:val="00344473"/>
    <w:rsid w:val="00344D08"/>
    <w:rsid w:val="003457F9"/>
    <w:rsid w:val="00347114"/>
    <w:rsid w:val="003518B3"/>
    <w:rsid w:val="00353A5F"/>
    <w:rsid w:val="003578CD"/>
    <w:rsid w:val="003666F2"/>
    <w:rsid w:val="003717D8"/>
    <w:rsid w:val="003846F1"/>
    <w:rsid w:val="003903D4"/>
    <w:rsid w:val="00390614"/>
    <w:rsid w:val="00391BF0"/>
    <w:rsid w:val="00392899"/>
    <w:rsid w:val="003931A7"/>
    <w:rsid w:val="00393646"/>
    <w:rsid w:val="003B484F"/>
    <w:rsid w:val="003B7FBA"/>
    <w:rsid w:val="003F174D"/>
    <w:rsid w:val="003F572D"/>
    <w:rsid w:val="003F59D8"/>
    <w:rsid w:val="003F7442"/>
    <w:rsid w:val="003F7FE2"/>
    <w:rsid w:val="00412C55"/>
    <w:rsid w:val="00415F31"/>
    <w:rsid w:val="00416B4C"/>
    <w:rsid w:val="0042205D"/>
    <w:rsid w:val="00423A77"/>
    <w:rsid w:val="00436ECD"/>
    <w:rsid w:val="00452473"/>
    <w:rsid w:val="0045777E"/>
    <w:rsid w:val="00461B0F"/>
    <w:rsid w:val="00461C29"/>
    <w:rsid w:val="004660E0"/>
    <w:rsid w:val="00474EC7"/>
    <w:rsid w:val="00480B4B"/>
    <w:rsid w:val="00485DC4"/>
    <w:rsid w:val="004970D1"/>
    <w:rsid w:val="004A0A5E"/>
    <w:rsid w:val="004A43D1"/>
    <w:rsid w:val="004B355D"/>
    <w:rsid w:val="004B4412"/>
    <w:rsid w:val="004C0C43"/>
    <w:rsid w:val="004C298A"/>
    <w:rsid w:val="004C348C"/>
    <w:rsid w:val="004C6A30"/>
    <w:rsid w:val="004D1A96"/>
    <w:rsid w:val="004D55BA"/>
    <w:rsid w:val="004D58CD"/>
    <w:rsid w:val="004E1EF0"/>
    <w:rsid w:val="004E22EC"/>
    <w:rsid w:val="004E2A4C"/>
    <w:rsid w:val="004F6A0E"/>
    <w:rsid w:val="005017AF"/>
    <w:rsid w:val="005079B5"/>
    <w:rsid w:val="005142C3"/>
    <w:rsid w:val="00530128"/>
    <w:rsid w:val="00532467"/>
    <w:rsid w:val="00537FD6"/>
    <w:rsid w:val="00550FEF"/>
    <w:rsid w:val="00564A4D"/>
    <w:rsid w:val="0056588A"/>
    <w:rsid w:val="00567BA5"/>
    <w:rsid w:val="00571B35"/>
    <w:rsid w:val="00571D57"/>
    <w:rsid w:val="00577A09"/>
    <w:rsid w:val="005829C2"/>
    <w:rsid w:val="00584D8F"/>
    <w:rsid w:val="00585A4E"/>
    <w:rsid w:val="00586819"/>
    <w:rsid w:val="0059704C"/>
    <w:rsid w:val="005A404D"/>
    <w:rsid w:val="005A5CC5"/>
    <w:rsid w:val="005B1E3C"/>
    <w:rsid w:val="005B3FB7"/>
    <w:rsid w:val="005B4D33"/>
    <w:rsid w:val="005B704A"/>
    <w:rsid w:val="005C052B"/>
    <w:rsid w:val="005C0A7F"/>
    <w:rsid w:val="005C26CC"/>
    <w:rsid w:val="005C44A4"/>
    <w:rsid w:val="005C4C9C"/>
    <w:rsid w:val="005C6218"/>
    <w:rsid w:val="005D7BA2"/>
    <w:rsid w:val="005E36C2"/>
    <w:rsid w:val="005F0183"/>
    <w:rsid w:val="005F16C4"/>
    <w:rsid w:val="005F727F"/>
    <w:rsid w:val="006007DE"/>
    <w:rsid w:val="00601638"/>
    <w:rsid w:val="00607636"/>
    <w:rsid w:val="00610EF9"/>
    <w:rsid w:val="00612F4F"/>
    <w:rsid w:val="00615C6B"/>
    <w:rsid w:val="006163BC"/>
    <w:rsid w:val="006207A2"/>
    <w:rsid w:val="00620DC3"/>
    <w:rsid w:val="00621DCE"/>
    <w:rsid w:val="00631268"/>
    <w:rsid w:val="00632D6D"/>
    <w:rsid w:val="00640812"/>
    <w:rsid w:val="00642C3E"/>
    <w:rsid w:val="00651C3A"/>
    <w:rsid w:val="00651CB2"/>
    <w:rsid w:val="006560CA"/>
    <w:rsid w:val="0066104A"/>
    <w:rsid w:val="006625F6"/>
    <w:rsid w:val="00663DAD"/>
    <w:rsid w:val="00665649"/>
    <w:rsid w:val="00666E20"/>
    <w:rsid w:val="006672AA"/>
    <w:rsid w:val="00675E20"/>
    <w:rsid w:val="00676679"/>
    <w:rsid w:val="006812E7"/>
    <w:rsid w:val="00683C89"/>
    <w:rsid w:val="00684C16"/>
    <w:rsid w:val="00691D9A"/>
    <w:rsid w:val="006A7CB9"/>
    <w:rsid w:val="006A7D76"/>
    <w:rsid w:val="006B2395"/>
    <w:rsid w:val="006B45A4"/>
    <w:rsid w:val="006B4CF9"/>
    <w:rsid w:val="006B785B"/>
    <w:rsid w:val="006B7AC8"/>
    <w:rsid w:val="006C1736"/>
    <w:rsid w:val="006C4798"/>
    <w:rsid w:val="006C774D"/>
    <w:rsid w:val="006D22F2"/>
    <w:rsid w:val="006D3A8E"/>
    <w:rsid w:val="006D550F"/>
    <w:rsid w:val="006E3F76"/>
    <w:rsid w:val="006F1F83"/>
    <w:rsid w:val="006F3AD1"/>
    <w:rsid w:val="006F3FC8"/>
    <w:rsid w:val="006F6183"/>
    <w:rsid w:val="0070011E"/>
    <w:rsid w:val="00701CAB"/>
    <w:rsid w:val="00707563"/>
    <w:rsid w:val="0072348C"/>
    <w:rsid w:val="00724A37"/>
    <w:rsid w:val="007303C3"/>
    <w:rsid w:val="00736E37"/>
    <w:rsid w:val="00741C46"/>
    <w:rsid w:val="00741E23"/>
    <w:rsid w:val="007429BE"/>
    <w:rsid w:val="00743223"/>
    <w:rsid w:val="00746E01"/>
    <w:rsid w:val="00747EEA"/>
    <w:rsid w:val="00752C8D"/>
    <w:rsid w:val="00757364"/>
    <w:rsid w:val="00757BDF"/>
    <w:rsid w:val="007609D0"/>
    <w:rsid w:val="007635FE"/>
    <w:rsid w:val="00763618"/>
    <w:rsid w:val="00763E5D"/>
    <w:rsid w:val="00767305"/>
    <w:rsid w:val="00767740"/>
    <w:rsid w:val="00777EE6"/>
    <w:rsid w:val="00782EEA"/>
    <w:rsid w:val="007A7002"/>
    <w:rsid w:val="007A7136"/>
    <w:rsid w:val="007A7F63"/>
    <w:rsid w:val="007B011C"/>
    <w:rsid w:val="007B101A"/>
    <w:rsid w:val="007B186E"/>
    <w:rsid w:val="007B2C72"/>
    <w:rsid w:val="007B6C52"/>
    <w:rsid w:val="007C1C53"/>
    <w:rsid w:val="007C74BB"/>
    <w:rsid w:val="007D456E"/>
    <w:rsid w:val="007E0863"/>
    <w:rsid w:val="007E38F5"/>
    <w:rsid w:val="007E42F4"/>
    <w:rsid w:val="007E4904"/>
    <w:rsid w:val="007E4CB5"/>
    <w:rsid w:val="007F066B"/>
    <w:rsid w:val="007F0C39"/>
    <w:rsid w:val="007F213A"/>
    <w:rsid w:val="007F38C6"/>
    <w:rsid w:val="007F75C4"/>
    <w:rsid w:val="008033C4"/>
    <w:rsid w:val="008057DE"/>
    <w:rsid w:val="00806C88"/>
    <w:rsid w:val="00810070"/>
    <w:rsid w:val="0081034E"/>
    <w:rsid w:val="00812B03"/>
    <w:rsid w:val="00815CAC"/>
    <w:rsid w:val="008168E7"/>
    <w:rsid w:val="00821004"/>
    <w:rsid w:val="008221F2"/>
    <w:rsid w:val="00825985"/>
    <w:rsid w:val="008301A7"/>
    <w:rsid w:val="008301B2"/>
    <w:rsid w:val="008344F6"/>
    <w:rsid w:val="0083510F"/>
    <w:rsid w:val="008408C5"/>
    <w:rsid w:val="008414FC"/>
    <w:rsid w:val="00847887"/>
    <w:rsid w:val="00851209"/>
    <w:rsid w:val="0085722A"/>
    <w:rsid w:val="00862B19"/>
    <w:rsid w:val="00864682"/>
    <w:rsid w:val="00864B35"/>
    <w:rsid w:val="00866D99"/>
    <w:rsid w:val="00867CF6"/>
    <w:rsid w:val="008749E0"/>
    <w:rsid w:val="00874CD0"/>
    <w:rsid w:val="00882481"/>
    <w:rsid w:val="008837AC"/>
    <w:rsid w:val="008A587D"/>
    <w:rsid w:val="008B35CD"/>
    <w:rsid w:val="008B5FCC"/>
    <w:rsid w:val="008B7544"/>
    <w:rsid w:val="008C2853"/>
    <w:rsid w:val="008C3374"/>
    <w:rsid w:val="008C39F0"/>
    <w:rsid w:val="008C5486"/>
    <w:rsid w:val="008C63DF"/>
    <w:rsid w:val="008C708B"/>
    <w:rsid w:val="008D1661"/>
    <w:rsid w:val="008D6800"/>
    <w:rsid w:val="008E7031"/>
    <w:rsid w:val="008E77DE"/>
    <w:rsid w:val="008F07A3"/>
    <w:rsid w:val="008F16B3"/>
    <w:rsid w:val="008F34DD"/>
    <w:rsid w:val="008F6FDE"/>
    <w:rsid w:val="009001B6"/>
    <w:rsid w:val="00900E1B"/>
    <w:rsid w:val="00901C3C"/>
    <w:rsid w:val="009038ED"/>
    <w:rsid w:val="009202BD"/>
    <w:rsid w:val="009233EE"/>
    <w:rsid w:val="00923CFC"/>
    <w:rsid w:val="00923FA9"/>
    <w:rsid w:val="009272AD"/>
    <w:rsid w:val="009277DC"/>
    <w:rsid w:val="00936CC6"/>
    <w:rsid w:val="009440F4"/>
    <w:rsid w:val="009460AA"/>
    <w:rsid w:val="0094641C"/>
    <w:rsid w:val="00951978"/>
    <w:rsid w:val="009579C4"/>
    <w:rsid w:val="00961115"/>
    <w:rsid w:val="00961A4A"/>
    <w:rsid w:val="009661DE"/>
    <w:rsid w:val="00983C25"/>
    <w:rsid w:val="009856B7"/>
    <w:rsid w:val="00985C86"/>
    <w:rsid w:val="009953AF"/>
    <w:rsid w:val="00996BAF"/>
    <w:rsid w:val="009972D8"/>
    <w:rsid w:val="009A4FAA"/>
    <w:rsid w:val="009A5113"/>
    <w:rsid w:val="009A539D"/>
    <w:rsid w:val="009A5FC3"/>
    <w:rsid w:val="009B5DC8"/>
    <w:rsid w:val="009B6F84"/>
    <w:rsid w:val="009B7343"/>
    <w:rsid w:val="009B74B0"/>
    <w:rsid w:val="009C51E9"/>
    <w:rsid w:val="009C691D"/>
    <w:rsid w:val="009D2B38"/>
    <w:rsid w:val="009D3906"/>
    <w:rsid w:val="009D6B46"/>
    <w:rsid w:val="009E74FC"/>
    <w:rsid w:val="009F4940"/>
    <w:rsid w:val="009F5BA1"/>
    <w:rsid w:val="00A02A88"/>
    <w:rsid w:val="00A0562E"/>
    <w:rsid w:val="00A06085"/>
    <w:rsid w:val="00A0726D"/>
    <w:rsid w:val="00A07735"/>
    <w:rsid w:val="00A16596"/>
    <w:rsid w:val="00A2303E"/>
    <w:rsid w:val="00A32FBB"/>
    <w:rsid w:val="00A428EE"/>
    <w:rsid w:val="00A4434C"/>
    <w:rsid w:val="00A4478A"/>
    <w:rsid w:val="00A44852"/>
    <w:rsid w:val="00A45B4B"/>
    <w:rsid w:val="00A4650A"/>
    <w:rsid w:val="00A50502"/>
    <w:rsid w:val="00A57D04"/>
    <w:rsid w:val="00A60A26"/>
    <w:rsid w:val="00A61598"/>
    <w:rsid w:val="00A84A99"/>
    <w:rsid w:val="00A84F46"/>
    <w:rsid w:val="00A871F4"/>
    <w:rsid w:val="00A90AA4"/>
    <w:rsid w:val="00A91DD2"/>
    <w:rsid w:val="00A923BF"/>
    <w:rsid w:val="00A92B3B"/>
    <w:rsid w:val="00AB47E1"/>
    <w:rsid w:val="00AC1B2C"/>
    <w:rsid w:val="00AC3264"/>
    <w:rsid w:val="00AC34AE"/>
    <w:rsid w:val="00AD3884"/>
    <w:rsid w:val="00AD7036"/>
    <w:rsid w:val="00AD7B56"/>
    <w:rsid w:val="00AE0737"/>
    <w:rsid w:val="00AE1BF1"/>
    <w:rsid w:val="00AF0DD2"/>
    <w:rsid w:val="00B0209D"/>
    <w:rsid w:val="00B02961"/>
    <w:rsid w:val="00B04908"/>
    <w:rsid w:val="00B04B4C"/>
    <w:rsid w:val="00B07CEA"/>
    <w:rsid w:val="00B13048"/>
    <w:rsid w:val="00B1716D"/>
    <w:rsid w:val="00B17A1D"/>
    <w:rsid w:val="00B207A0"/>
    <w:rsid w:val="00B40CAA"/>
    <w:rsid w:val="00B514DD"/>
    <w:rsid w:val="00B51F3F"/>
    <w:rsid w:val="00B52AF0"/>
    <w:rsid w:val="00B561BD"/>
    <w:rsid w:val="00B56E03"/>
    <w:rsid w:val="00B61EDF"/>
    <w:rsid w:val="00B74AC5"/>
    <w:rsid w:val="00B757A6"/>
    <w:rsid w:val="00B8080B"/>
    <w:rsid w:val="00B80FEA"/>
    <w:rsid w:val="00B82223"/>
    <w:rsid w:val="00B87BA5"/>
    <w:rsid w:val="00B87C39"/>
    <w:rsid w:val="00B9562D"/>
    <w:rsid w:val="00BA0731"/>
    <w:rsid w:val="00BA4665"/>
    <w:rsid w:val="00BA47EE"/>
    <w:rsid w:val="00BB2FB2"/>
    <w:rsid w:val="00BB3304"/>
    <w:rsid w:val="00BB3FD7"/>
    <w:rsid w:val="00BB6848"/>
    <w:rsid w:val="00BB7528"/>
    <w:rsid w:val="00BC18DE"/>
    <w:rsid w:val="00BC2FAF"/>
    <w:rsid w:val="00BC42EF"/>
    <w:rsid w:val="00BD0920"/>
    <w:rsid w:val="00BD0C45"/>
    <w:rsid w:val="00BD310B"/>
    <w:rsid w:val="00BD3446"/>
    <w:rsid w:val="00BE1F1B"/>
    <w:rsid w:val="00BE47B5"/>
    <w:rsid w:val="00BF0C8F"/>
    <w:rsid w:val="00BF0CD7"/>
    <w:rsid w:val="00C04223"/>
    <w:rsid w:val="00C25FA6"/>
    <w:rsid w:val="00C275C4"/>
    <w:rsid w:val="00C30637"/>
    <w:rsid w:val="00C36F19"/>
    <w:rsid w:val="00C42ACA"/>
    <w:rsid w:val="00C5122C"/>
    <w:rsid w:val="00C538A9"/>
    <w:rsid w:val="00C53B5A"/>
    <w:rsid w:val="00C54F5A"/>
    <w:rsid w:val="00C569B4"/>
    <w:rsid w:val="00C56A01"/>
    <w:rsid w:val="00C56A3E"/>
    <w:rsid w:val="00C65A6E"/>
    <w:rsid w:val="00C67A92"/>
    <w:rsid w:val="00C7497E"/>
    <w:rsid w:val="00C74D43"/>
    <w:rsid w:val="00C81568"/>
    <w:rsid w:val="00C84560"/>
    <w:rsid w:val="00C84F52"/>
    <w:rsid w:val="00C86679"/>
    <w:rsid w:val="00C97CDF"/>
    <w:rsid w:val="00CA2ABF"/>
    <w:rsid w:val="00CA2C1D"/>
    <w:rsid w:val="00CA489E"/>
    <w:rsid w:val="00CA52A2"/>
    <w:rsid w:val="00CB0279"/>
    <w:rsid w:val="00CB10D2"/>
    <w:rsid w:val="00CB666B"/>
    <w:rsid w:val="00CC2935"/>
    <w:rsid w:val="00CC4086"/>
    <w:rsid w:val="00CC6AEA"/>
    <w:rsid w:val="00CC7F1D"/>
    <w:rsid w:val="00CD19EE"/>
    <w:rsid w:val="00CE484B"/>
    <w:rsid w:val="00CE4900"/>
    <w:rsid w:val="00CF0DEE"/>
    <w:rsid w:val="00CF2C05"/>
    <w:rsid w:val="00CF598F"/>
    <w:rsid w:val="00CF6EDE"/>
    <w:rsid w:val="00D006AE"/>
    <w:rsid w:val="00D01CF0"/>
    <w:rsid w:val="00D01EFD"/>
    <w:rsid w:val="00D0442A"/>
    <w:rsid w:val="00D06055"/>
    <w:rsid w:val="00D066B7"/>
    <w:rsid w:val="00D12396"/>
    <w:rsid w:val="00D15824"/>
    <w:rsid w:val="00D17683"/>
    <w:rsid w:val="00D20286"/>
    <w:rsid w:val="00D36FCC"/>
    <w:rsid w:val="00D41E80"/>
    <w:rsid w:val="00D45694"/>
    <w:rsid w:val="00D52DF0"/>
    <w:rsid w:val="00D55A83"/>
    <w:rsid w:val="00D608F6"/>
    <w:rsid w:val="00D60EFF"/>
    <w:rsid w:val="00D61388"/>
    <w:rsid w:val="00D61A54"/>
    <w:rsid w:val="00D64275"/>
    <w:rsid w:val="00D64DEA"/>
    <w:rsid w:val="00D7168E"/>
    <w:rsid w:val="00D71E57"/>
    <w:rsid w:val="00D75AA2"/>
    <w:rsid w:val="00D7645E"/>
    <w:rsid w:val="00D80893"/>
    <w:rsid w:val="00D8409C"/>
    <w:rsid w:val="00D84854"/>
    <w:rsid w:val="00D848B4"/>
    <w:rsid w:val="00D92CF1"/>
    <w:rsid w:val="00D92D38"/>
    <w:rsid w:val="00D950F5"/>
    <w:rsid w:val="00DA0BCC"/>
    <w:rsid w:val="00DA4752"/>
    <w:rsid w:val="00DA61F3"/>
    <w:rsid w:val="00DA6B93"/>
    <w:rsid w:val="00DA6F94"/>
    <w:rsid w:val="00DB0F93"/>
    <w:rsid w:val="00DB1A67"/>
    <w:rsid w:val="00DB5074"/>
    <w:rsid w:val="00DB5B21"/>
    <w:rsid w:val="00DC6E12"/>
    <w:rsid w:val="00DC7981"/>
    <w:rsid w:val="00DD1C15"/>
    <w:rsid w:val="00DD655C"/>
    <w:rsid w:val="00DE1093"/>
    <w:rsid w:val="00DE4EFA"/>
    <w:rsid w:val="00DE5520"/>
    <w:rsid w:val="00DE563D"/>
    <w:rsid w:val="00DE5E2E"/>
    <w:rsid w:val="00DE772C"/>
    <w:rsid w:val="00DF1D9A"/>
    <w:rsid w:val="00DF312A"/>
    <w:rsid w:val="00E04818"/>
    <w:rsid w:val="00E06442"/>
    <w:rsid w:val="00E06BCF"/>
    <w:rsid w:val="00E07F16"/>
    <w:rsid w:val="00E1001C"/>
    <w:rsid w:val="00E23993"/>
    <w:rsid w:val="00E257D6"/>
    <w:rsid w:val="00E25B8C"/>
    <w:rsid w:val="00E348AF"/>
    <w:rsid w:val="00E3544F"/>
    <w:rsid w:val="00E42D8E"/>
    <w:rsid w:val="00E51D65"/>
    <w:rsid w:val="00E6200B"/>
    <w:rsid w:val="00E65C85"/>
    <w:rsid w:val="00E66199"/>
    <w:rsid w:val="00E711C7"/>
    <w:rsid w:val="00E7494F"/>
    <w:rsid w:val="00E755EC"/>
    <w:rsid w:val="00E7624D"/>
    <w:rsid w:val="00E97242"/>
    <w:rsid w:val="00EA38F3"/>
    <w:rsid w:val="00EA3D42"/>
    <w:rsid w:val="00EA6B1B"/>
    <w:rsid w:val="00EB5BC8"/>
    <w:rsid w:val="00EB606C"/>
    <w:rsid w:val="00EC04F1"/>
    <w:rsid w:val="00EC1B2B"/>
    <w:rsid w:val="00EC32E5"/>
    <w:rsid w:val="00ED0EC2"/>
    <w:rsid w:val="00ED3474"/>
    <w:rsid w:val="00ED7323"/>
    <w:rsid w:val="00EE28F3"/>
    <w:rsid w:val="00EE50D1"/>
    <w:rsid w:val="00EE77FA"/>
    <w:rsid w:val="00EE7A83"/>
    <w:rsid w:val="00EF1B7A"/>
    <w:rsid w:val="00EF5110"/>
    <w:rsid w:val="00F0334E"/>
    <w:rsid w:val="00F07967"/>
    <w:rsid w:val="00F10411"/>
    <w:rsid w:val="00F13216"/>
    <w:rsid w:val="00F15882"/>
    <w:rsid w:val="00F171E0"/>
    <w:rsid w:val="00F20BD3"/>
    <w:rsid w:val="00F2526A"/>
    <w:rsid w:val="00F34BB7"/>
    <w:rsid w:val="00F35081"/>
    <w:rsid w:val="00F373A5"/>
    <w:rsid w:val="00F4128F"/>
    <w:rsid w:val="00F42E08"/>
    <w:rsid w:val="00F47559"/>
    <w:rsid w:val="00F57907"/>
    <w:rsid w:val="00F57DC8"/>
    <w:rsid w:val="00F61176"/>
    <w:rsid w:val="00F62A30"/>
    <w:rsid w:val="00F64C7B"/>
    <w:rsid w:val="00F65B25"/>
    <w:rsid w:val="00F676DD"/>
    <w:rsid w:val="00F70997"/>
    <w:rsid w:val="00F715C5"/>
    <w:rsid w:val="00F71667"/>
    <w:rsid w:val="00F73895"/>
    <w:rsid w:val="00F75A26"/>
    <w:rsid w:val="00F76706"/>
    <w:rsid w:val="00F768C8"/>
    <w:rsid w:val="00F81B8D"/>
    <w:rsid w:val="00F83FAD"/>
    <w:rsid w:val="00F8653A"/>
    <w:rsid w:val="00F90F55"/>
    <w:rsid w:val="00F91F55"/>
    <w:rsid w:val="00F92349"/>
    <w:rsid w:val="00F93B21"/>
    <w:rsid w:val="00F952A0"/>
    <w:rsid w:val="00FA3C7F"/>
    <w:rsid w:val="00FB1BF3"/>
    <w:rsid w:val="00FB2A7A"/>
    <w:rsid w:val="00FB2CDC"/>
    <w:rsid w:val="00FB4402"/>
    <w:rsid w:val="00FB60FE"/>
    <w:rsid w:val="00FB74E2"/>
    <w:rsid w:val="00FC6CD6"/>
    <w:rsid w:val="00FC71DC"/>
    <w:rsid w:val="00FD2ED2"/>
    <w:rsid w:val="00FD5614"/>
    <w:rsid w:val="00FD5E78"/>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98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0"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2E05CE"/>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60"/>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0"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2E05CE"/>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60"/>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721515850">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356544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header" Target="header2.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505CB45-13E8-455A-9259-DACD0379B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986DEF81</Template>
  <TotalTime>0</TotalTime>
  <Pages>15</Pages>
  <Words>2904</Words>
  <Characters>16558</Characters>
  <Application>Microsoft Office Word</Application>
  <DocSecurity>0</DocSecurity>
  <Lines>137</Lines>
  <Paragraphs>38</Paragraphs>
  <ScaleCrop>false</ScaleCrop>
  <Company/>
  <LinksUpToDate>false</LinksUpToDate>
  <CharactersWithSpaces>19424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2016-05-20T07:10:00Z</dcterms:created>
  <dcterms:modified xsi:type="dcterms:W3CDTF">2016-05-20T07:10:00Z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8575776</vt:lpwstr>
  </property>
</Properties>
</file>