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52DD1500" wp14:editId="067B8A47">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B04B4C" w:rsidRDefault="00B04B4C" w:rsidP="00F171E0"/>
        <w:p w:rsidR="00F171E0" w:rsidRDefault="00F171E0" w:rsidP="00F171E0"/>
        <w:p w:rsidR="00327A1E" w:rsidRDefault="001754EE" w:rsidP="001754EE">
          <w:pPr>
            <w:pStyle w:val="ReportSubtitle"/>
            <w:tabs>
              <w:tab w:val="left" w:pos="1122"/>
              <w:tab w:val="center" w:pos="4238"/>
            </w:tabs>
            <w:jc w:val="left"/>
          </w:pPr>
          <w:r>
            <w:tab/>
          </w:r>
          <w:r>
            <w:tab/>
          </w:r>
          <w:r w:rsidR="00A2303E">
            <w:t>FINAL</w:t>
          </w:r>
          <w:r w:rsidR="00DA4752">
            <w:t xml:space="preserve"> DECISION</w:t>
          </w:r>
        </w:p>
        <w:p w:rsidR="00415F31" w:rsidRDefault="000932FA" w:rsidP="008F07A3">
          <w:pPr>
            <w:pStyle w:val="ReportSubtitle"/>
          </w:pPr>
          <w:r>
            <w:t>Australian Gas Networks</w:t>
          </w:r>
          <w:r w:rsidR="00CF2C05">
            <w:br/>
            <w:t>Access Arrangement</w:t>
          </w:r>
        </w:p>
        <w:p w:rsidR="000A6C7B" w:rsidRDefault="005C0A7F" w:rsidP="008F07A3">
          <w:pPr>
            <w:pStyle w:val="ReportSubtitle"/>
          </w:pPr>
          <w:r>
            <w:t>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9D2B38">
            <w:t>11</w:t>
          </w:r>
          <w:r w:rsidR="00DA4752">
            <w:t xml:space="preserve"> </w:t>
          </w:r>
          <w:r w:rsidR="00415F31">
            <w:rPr>
              <w:rFonts w:cs="Arial"/>
            </w:rPr>
            <w:t>–</w:t>
          </w:r>
          <w:r w:rsidR="00DA4752">
            <w:t xml:space="preserve"> </w:t>
          </w:r>
          <w:r w:rsidR="009D2B38">
            <w:t>Reference tariff variation mechanism</w:t>
          </w:r>
        </w:p>
        <w:p w:rsidR="000A6C7B" w:rsidRPr="00327A1E" w:rsidRDefault="00E95766" w:rsidP="00327A1E">
          <w:pPr>
            <w:pStyle w:val="ReportDate"/>
          </w:pPr>
          <w:r>
            <w:t xml:space="preserve">May </w:t>
          </w:r>
          <w:r w:rsidR="00A2303E">
            <w:t>2016</w:t>
          </w:r>
        </w:p>
      </w:sdtContent>
    </w:sdt>
    <w:p w:rsidR="00327A1E" w:rsidRPr="00290C63" w:rsidRDefault="00327A1E" w:rsidP="00290C63">
      <w:r>
        <w:br w:type="page"/>
      </w:r>
    </w:p>
    <w:p w:rsidR="000A6C7B" w:rsidRDefault="00BA10D7" w:rsidP="00961A4A">
      <w:pPr>
        <w:pStyle w:val="Copyright"/>
      </w:pPr>
      <w:r>
        <w:lastRenderedPageBreak/>
        <w:t>© Commonwealth of Australia 2016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51527800"/>
      <w:r>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A2303E">
        <w:t>final</w:t>
      </w:r>
      <w:r w:rsidR="00415F31">
        <w:t xml:space="preserve"> decision on </w:t>
      </w:r>
      <w:r w:rsidR="0033548E">
        <w:t>the</w:t>
      </w:r>
      <w:r w:rsidR="00415F31">
        <w:t xml:space="preserve"> </w:t>
      </w:r>
      <w:r w:rsidR="00CF2C05">
        <w:t>access</w:t>
      </w:r>
      <w:r w:rsidR="00415F31">
        <w:t xml:space="preserve"> </w:t>
      </w:r>
      <w:r w:rsidR="00CF2C05">
        <w:t>arrangement for</w:t>
      </w:r>
      <w:r w:rsidR="00415F31">
        <w:t xml:space="preserve"> </w:t>
      </w:r>
      <w:r w:rsidR="000932FA">
        <w:t>Australian Gas Networks</w:t>
      </w:r>
      <w:r w:rsidR="00E95766">
        <w:t>'</w:t>
      </w:r>
      <w:r w:rsidR="000932FA">
        <w:t xml:space="preserve"> </w:t>
      </w:r>
      <w:r w:rsidR="007E427D">
        <w:t xml:space="preserve">South Australian distribution network </w:t>
      </w:r>
      <w:r w:rsidR="0033548E">
        <w:t xml:space="preserve">for </w:t>
      </w:r>
      <w:r w:rsidR="00415F31">
        <w:t>201</w:t>
      </w:r>
      <w:r w:rsidR="005C0A7F">
        <w:t>6</w:t>
      </w:r>
      <w:r w:rsidR="00415F31" w:rsidRPr="00D904FA">
        <w:t>–</w:t>
      </w:r>
      <w:r w:rsidR="00103A67">
        <w:t>21</w:t>
      </w:r>
      <w:r w:rsidR="00415F31">
        <w:t xml:space="preserve">. It should be read with </w:t>
      </w:r>
      <w:r w:rsidR="005C0A7F">
        <w:t xml:space="preserve">all </w:t>
      </w:r>
      <w:r w:rsidR="00415F31">
        <w:t xml:space="preserve">other parts of the </w:t>
      </w:r>
      <w:r w:rsidR="00A2303E">
        <w:t>final</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A2303E">
        <w:t>final</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0932FA" w:rsidRDefault="000932FA" w:rsidP="0070011E">
      <w:r>
        <w:t>Attachment 14 - Other incentive schemes</w:t>
      </w:r>
    </w:p>
    <w:p w:rsidR="00DE563D" w:rsidRPr="00A72B34" w:rsidRDefault="00DE563D" w:rsidP="00DE772C">
      <w:pPr>
        <w:pStyle w:val="UnnumberedHeading"/>
        <w:numPr>
          <w:ilvl w:val="0"/>
          <w:numId w:val="23"/>
        </w:numPr>
      </w:pPr>
      <w:bookmarkStart w:id="5" w:name="_Toc403144133"/>
      <w:bookmarkStart w:id="6" w:name="_Toc451527801"/>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E269AE" w:rsidRDefault="00373CBA">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 </w:instrText>
          </w:r>
          <w:r>
            <w:rPr>
              <w:color w:val="auto"/>
              <w:sz w:val="22"/>
            </w:rPr>
            <w:fldChar w:fldCharType="separate"/>
          </w:r>
          <w:hyperlink w:anchor="_Toc451527800" w:history="1">
            <w:r w:rsidR="00E269AE" w:rsidRPr="007A634D">
              <w:rPr>
                <w:rStyle w:val="Hyperlink"/>
              </w:rPr>
              <w:t>Note</w:t>
            </w:r>
            <w:r w:rsidR="00E269AE">
              <w:rPr>
                <w:webHidden/>
              </w:rPr>
              <w:tab/>
            </w:r>
            <w:r w:rsidR="00E269AE">
              <w:rPr>
                <w:webHidden/>
              </w:rPr>
              <w:fldChar w:fldCharType="begin"/>
            </w:r>
            <w:r w:rsidR="00E269AE">
              <w:rPr>
                <w:webHidden/>
              </w:rPr>
              <w:instrText xml:space="preserve"> PAGEREF _Toc451527800 \h </w:instrText>
            </w:r>
            <w:r w:rsidR="00E269AE">
              <w:rPr>
                <w:webHidden/>
              </w:rPr>
            </w:r>
            <w:r w:rsidR="00E269AE">
              <w:rPr>
                <w:webHidden/>
              </w:rPr>
              <w:fldChar w:fldCharType="separate"/>
            </w:r>
            <w:r w:rsidR="00E269AE">
              <w:rPr>
                <w:webHidden/>
              </w:rPr>
              <w:t>11-2</w:t>
            </w:r>
            <w:r w:rsidR="00E269AE">
              <w:rPr>
                <w:webHidden/>
              </w:rPr>
              <w:fldChar w:fldCharType="end"/>
            </w:r>
          </w:hyperlink>
        </w:p>
        <w:p w:rsidR="00E269AE" w:rsidRDefault="00E269AE">
          <w:pPr>
            <w:pStyle w:val="TOC1"/>
            <w:rPr>
              <w:rFonts w:asciiTheme="minorHAnsi" w:eastAsiaTheme="minorEastAsia" w:hAnsiTheme="minorHAnsi"/>
              <w:b w:val="0"/>
              <w:color w:val="auto"/>
              <w:sz w:val="22"/>
              <w:lang w:val="en-AU" w:eastAsia="en-AU"/>
            </w:rPr>
          </w:pPr>
          <w:hyperlink w:anchor="_Toc451527801" w:history="1">
            <w:r w:rsidRPr="007A634D">
              <w:rPr>
                <w:rStyle w:val="Hyperlink"/>
              </w:rPr>
              <w:t>Contents</w:t>
            </w:r>
            <w:r>
              <w:rPr>
                <w:webHidden/>
              </w:rPr>
              <w:tab/>
            </w:r>
            <w:r>
              <w:rPr>
                <w:webHidden/>
              </w:rPr>
              <w:fldChar w:fldCharType="begin"/>
            </w:r>
            <w:r>
              <w:rPr>
                <w:webHidden/>
              </w:rPr>
              <w:instrText xml:space="preserve"> PAGEREF _Toc451527801 \h </w:instrText>
            </w:r>
            <w:r>
              <w:rPr>
                <w:webHidden/>
              </w:rPr>
            </w:r>
            <w:r>
              <w:rPr>
                <w:webHidden/>
              </w:rPr>
              <w:fldChar w:fldCharType="separate"/>
            </w:r>
            <w:r>
              <w:rPr>
                <w:webHidden/>
              </w:rPr>
              <w:t>11-3</w:t>
            </w:r>
            <w:r>
              <w:rPr>
                <w:webHidden/>
              </w:rPr>
              <w:fldChar w:fldCharType="end"/>
            </w:r>
          </w:hyperlink>
        </w:p>
        <w:p w:rsidR="00E269AE" w:rsidRDefault="00E269AE">
          <w:pPr>
            <w:pStyle w:val="TOC1"/>
            <w:rPr>
              <w:rFonts w:asciiTheme="minorHAnsi" w:eastAsiaTheme="minorEastAsia" w:hAnsiTheme="minorHAnsi"/>
              <w:b w:val="0"/>
              <w:color w:val="auto"/>
              <w:sz w:val="22"/>
              <w:lang w:val="en-AU" w:eastAsia="en-AU"/>
            </w:rPr>
          </w:pPr>
          <w:hyperlink w:anchor="_Toc451527802" w:history="1">
            <w:r w:rsidRPr="007A634D">
              <w:rPr>
                <w:rStyle w:val="Hyperlink"/>
              </w:rPr>
              <w:t>Shortened forms</w:t>
            </w:r>
            <w:r>
              <w:rPr>
                <w:webHidden/>
              </w:rPr>
              <w:tab/>
            </w:r>
            <w:r>
              <w:rPr>
                <w:webHidden/>
              </w:rPr>
              <w:fldChar w:fldCharType="begin"/>
            </w:r>
            <w:r>
              <w:rPr>
                <w:webHidden/>
              </w:rPr>
              <w:instrText xml:space="preserve"> PAGEREF _Toc451527802 \h </w:instrText>
            </w:r>
            <w:r>
              <w:rPr>
                <w:webHidden/>
              </w:rPr>
            </w:r>
            <w:r>
              <w:rPr>
                <w:webHidden/>
              </w:rPr>
              <w:fldChar w:fldCharType="separate"/>
            </w:r>
            <w:r>
              <w:rPr>
                <w:webHidden/>
              </w:rPr>
              <w:t>11-4</w:t>
            </w:r>
            <w:r>
              <w:rPr>
                <w:webHidden/>
              </w:rPr>
              <w:fldChar w:fldCharType="end"/>
            </w:r>
          </w:hyperlink>
        </w:p>
        <w:p w:rsidR="00E269AE" w:rsidRDefault="00E269AE">
          <w:pPr>
            <w:pStyle w:val="TOC1"/>
            <w:rPr>
              <w:rFonts w:asciiTheme="minorHAnsi" w:eastAsiaTheme="minorEastAsia" w:hAnsiTheme="minorHAnsi"/>
              <w:b w:val="0"/>
              <w:color w:val="auto"/>
              <w:sz w:val="22"/>
              <w:lang w:val="en-AU" w:eastAsia="en-AU"/>
            </w:rPr>
          </w:pPr>
          <w:hyperlink w:anchor="_Toc451527803" w:history="1">
            <w:r w:rsidRPr="007A634D">
              <w:rPr>
                <w:rStyle w:val="Hyperlink"/>
              </w:rPr>
              <w:t>11</w:t>
            </w:r>
            <w:r>
              <w:rPr>
                <w:rFonts w:asciiTheme="minorHAnsi" w:eastAsiaTheme="minorEastAsia" w:hAnsiTheme="minorHAnsi"/>
                <w:b w:val="0"/>
                <w:color w:val="auto"/>
                <w:sz w:val="22"/>
                <w:lang w:val="en-AU" w:eastAsia="en-AU"/>
              </w:rPr>
              <w:tab/>
            </w:r>
            <w:r w:rsidRPr="007A634D">
              <w:rPr>
                <w:rStyle w:val="Hyperlink"/>
              </w:rPr>
              <w:t>Reference tariff variation mechanism</w:t>
            </w:r>
            <w:r>
              <w:rPr>
                <w:webHidden/>
              </w:rPr>
              <w:tab/>
            </w:r>
            <w:r>
              <w:rPr>
                <w:webHidden/>
              </w:rPr>
              <w:fldChar w:fldCharType="begin"/>
            </w:r>
            <w:r>
              <w:rPr>
                <w:webHidden/>
              </w:rPr>
              <w:instrText xml:space="preserve"> PAGEREF _Toc451527803 \h </w:instrText>
            </w:r>
            <w:r>
              <w:rPr>
                <w:webHidden/>
              </w:rPr>
            </w:r>
            <w:r>
              <w:rPr>
                <w:webHidden/>
              </w:rPr>
              <w:fldChar w:fldCharType="separate"/>
            </w:r>
            <w:r>
              <w:rPr>
                <w:webHidden/>
              </w:rPr>
              <w:t>11-6</w:t>
            </w:r>
            <w:r>
              <w:rPr>
                <w:webHidden/>
              </w:rPr>
              <w:fldChar w:fldCharType="end"/>
            </w:r>
          </w:hyperlink>
        </w:p>
        <w:p w:rsidR="00E269AE" w:rsidRDefault="00E269AE">
          <w:pPr>
            <w:pStyle w:val="TOC2"/>
            <w:tabs>
              <w:tab w:val="left" w:pos="1276"/>
            </w:tabs>
            <w:rPr>
              <w:rFonts w:asciiTheme="minorHAnsi" w:eastAsiaTheme="minorEastAsia" w:hAnsiTheme="minorHAnsi"/>
              <w:b w:val="0"/>
              <w:color w:val="auto"/>
              <w:sz w:val="22"/>
              <w:lang w:eastAsia="en-AU"/>
            </w:rPr>
          </w:pPr>
          <w:hyperlink w:anchor="_Toc451527804" w:history="1">
            <w:r w:rsidRPr="007A634D">
              <w:rPr>
                <w:rStyle w:val="Hyperlink"/>
              </w:rPr>
              <w:t>11.1</w:t>
            </w:r>
            <w:r>
              <w:rPr>
                <w:rFonts w:asciiTheme="minorHAnsi" w:eastAsiaTheme="minorEastAsia" w:hAnsiTheme="minorHAnsi"/>
                <w:b w:val="0"/>
                <w:color w:val="auto"/>
                <w:sz w:val="22"/>
                <w:lang w:eastAsia="en-AU"/>
              </w:rPr>
              <w:tab/>
            </w:r>
            <w:r w:rsidRPr="007A634D">
              <w:rPr>
                <w:rStyle w:val="Hyperlink"/>
              </w:rPr>
              <w:t>Final decision</w:t>
            </w:r>
            <w:r>
              <w:rPr>
                <w:webHidden/>
              </w:rPr>
              <w:tab/>
            </w:r>
            <w:r>
              <w:rPr>
                <w:webHidden/>
              </w:rPr>
              <w:fldChar w:fldCharType="begin"/>
            </w:r>
            <w:r>
              <w:rPr>
                <w:webHidden/>
              </w:rPr>
              <w:instrText xml:space="preserve"> PAGEREF _Toc451527804 \h </w:instrText>
            </w:r>
            <w:r>
              <w:rPr>
                <w:webHidden/>
              </w:rPr>
            </w:r>
            <w:r>
              <w:rPr>
                <w:webHidden/>
              </w:rPr>
              <w:fldChar w:fldCharType="separate"/>
            </w:r>
            <w:r>
              <w:rPr>
                <w:webHidden/>
              </w:rPr>
              <w:t>11-6</w:t>
            </w:r>
            <w:r>
              <w:rPr>
                <w:webHidden/>
              </w:rPr>
              <w:fldChar w:fldCharType="end"/>
            </w:r>
          </w:hyperlink>
        </w:p>
        <w:p w:rsidR="00E269AE" w:rsidRDefault="00E269AE">
          <w:pPr>
            <w:pStyle w:val="TOC3"/>
            <w:rPr>
              <w:rFonts w:asciiTheme="minorHAnsi" w:eastAsiaTheme="minorEastAsia" w:hAnsiTheme="minorHAnsi"/>
              <w:lang w:eastAsia="en-AU"/>
            </w:rPr>
          </w:pPr>
          <w:hyperlink w:anchor="_Toc451527805" w:history="1">
            <w:r w:rsidRPr="007A634D">
              <w:rPr>
                <w:rStyle w:val="Hyperlink"/>
              </w:rPr>
              <w:t>11.1.1</w:t>
            </w:r>
            <w:r>
              <w:rPr>
                <w:rFonts w:asciiTheme="minorHAnsi" w:eastAsiaTheme="minorEastAsia" w:hAnsiTheme="minorHAnsi"/>
                <w:lang w:eastAsia="en-AU"/>
              </w:rPr>
              <w:tab/>
            </w:r>
            <w:r w:rsidRPr="007A634D">
              <w:rPr>
                <w:rStyle w:val="Hyperlink"/>
              </w:rPr>
              <w:t>Annual reference tariff variation mechanism</w:t>
            </w:r>
            <w:r>
              <w:rPr>
                <w:webHidden/>
              </w:rPr>
              <w:tab/>
            </w:r>
            <w:r>
              <w:rPr>
                <w:webHidden/>
              </w:rPr>
              <w:fldChar w:fldCharType="begin"/>
            </w:r>
            <w:r>
              <w:rPr>
                <w:webHidden/>
              </w:rPr>
              <w:instrText xml:space="preserve"> PAGEREF _Toc451527805 \h </w:instrText>
            </w:r>
            <w:r>
              <w:rPr>
                <w:webHidden/>
              </w:rPr>
            </w:r>
            <w:r>
              <w:rPr>
                <w:webHidden/>
              </w:rPr>
              <w:fldChar w:fldCharType="separate"/>
            </w:r>
            <w:r>
              <w:rPr>
                <w:webHidden/>
              </w:rPr>
              <w:t>11-6</w:t>
            </w:r>
            <w:r>
              <w:rPr>
                <w:webHidden/>
              </w:rPr>
              <w:fldChar w:fldCharType="end"/>
            </w:r>
          </w:hyperlink>
        </w:p>
        <w:p w:rsidR="00E269AE" w:rsidRDefault="00E269AE">
          <w:pPr>
            <w:pStyle w:val="TOC3"/>
            <w:rPr>
              <w:rFonts w:asciiTheme="minorHAnsi" w:eastAsiaTheme="minorEastAsia" w:hAnsiTheme="minorHAnsi"/>
              <w:lang w:eastAsia="en-AU"/>
            </w:rPr>
          </w:pPr>
          <w:hyperlink w:anchor="_Toc451527806" w:history="1">
            <w:r w:rsidRPr="007A634D">
              <w:rPr>
                <w:rStyle w:val="Hyperlink"/>
              </w:rPr>
              <w:t>11.1.2</w:t>
            </w:r>
            <w:r>
              <w:rPr>
                <w:rFonts w:asciiTheme="minorHAnsi" w:eastAsiaTheme="minorEastAsia" w:hAnsiTheme="minorHAnsi"/>
                <w:lang w:eastAsia="en-AU"/>
              </w:rPr>
              <w:tab/>
            </w:r>
            <w:r w:rsidRPr="007A634D">
              <w:rPr>
                <w:rStyle w:val="Hyperlink"/>
              </w:rPr>
              <w:t>Cost pass through events</w:t>
            </w:r>
            <w:r>
              <w:rPr>
                <w:webHidden/>
              </w:rPr>
              <w:tab/>
            </w:r>
            <w:r>
              <w:rPr>
                <w:webHidden/>
              </w:rPr>
              <w:fldChar w:fldCharType="begin"/>
            </w:r>
            <w:r>
              <w:rPr>
                <w:webHidden/>
              </w:rPr>
              <w:instrText xml:space="preserve"> PAGEREF _Toc451527806 \h </w:instrText>
            </w:r>
            <w:r>
              <w:rPr>
                <w:webHidden/>
              </w:rPr>
            </w:r>
            <w:r>
              <w:rPr>
                <w:webHidden/>
              </w:rPr>
              <w:fldChar w:fldCharType="separate"/>
            </w:r>
            <w:r>
              <w:rPr>
                <w:webHidden/>
              </w:rPr>
              <w:t>11-7</w:t>
            </w:r>
            <w:r>
              <w:rPr>
                <w:webHidden/>
              </w:rPr>
              <w:fldChar w:fldCharType="end"/>
            </w:r>
          </w:hyperlink>
        </w:p>
        <w:p w:rsidR="00E269AE" w:rsidRDefault="00E269AE">
          <w:pPr>
            <w:pStyle w:val="TOC2"/>
            <w:tabs>
              <w:tab w:val="left" w:pos="1276"/>
            </w:tabs>
            <w:rPr>
              <w:rFonts w:asciiTheme="minorHAnsi" w:eastAsiaTheme="minorEastAsia" w:hAnsiTheme="minorHAnsi"/>
              <w:b w:val="0"/>
              <w:color w:val="auto"/>
              <w:sz w:val="22"/>
              <w:lang w:eastAsia="en-AU"/>
            </w:rPr>
          </w:pPr>
          <w:hyperlink w:anchor="_Toc451527807" w:history="1">
            <w:r w:rsidRPr="007A634D">
              <w:rPr>
                <w:rStyle w:val="Hyperlink"/>
              </w:rPr>
              <w:t>11.2</w:t>
            </w:r>
            <w:r>
              <w:rPr>
                <w:rFonts w:asciiTheme="minorHAnsi" w:eastAsiaTheme="minorEastAsia" w:hAnsiTheme="minorHAnsi"/>
                <w:b w:val="0"/>
                <w:color w:val="auto"/>
                <w:sz w:val="22"/>
                <w:lang w:eastAsia="en-AU"/>
              </w:rPr>
              <w:tab/>
            </w:r>
            <w:r w:rsidRPr="007A634D">
              <w:rPr>
                <w:rStyle w:val="Hyperlink"/>
              </w:rPr>
              <w:t>AGN's revised proposal</w:t>
            </w:r>
            <w:r>
              <w:rPr>
                <w:webHidden/>
              </w:rPr>
              <w:tab/>
            </w:r>
            <w:r>
              <w:rPr>
                <w:webHidden/>
              </w:rPr>
              <w:fldChar w:fldCharType="begin"/>
            </w:r>
            <w:r>
              <w:rPr>
                <w:webHidden/>
              </w:rPr>
              <w:instrText xml:space="preserve"> PAGEREF _Toc451527807 \h </w:instrText>
            </w:r>
            <w:r>
              <w:rPr>
                <w:webHidden/>
              </w:rPr>
            </w:r>
            <w:r>
              <w:rPr>
                <w:webHidden/>
              </w:rPr>
              <w:fldChar w:fldCharType="separate"/>
            </w:r>
            <w:r>
              <w:rPr>
                <w:webHidden/>
              </w:rPr>
              <w:t>11-10</w:t>
            </w:r>
            <w:r>
              <w:rPr>
                <w:webHidden/>
              </w:rPr>
              <w:fldChar w:fldCharType="end"/>
            </w:r>
          </w:hyperlink>
        </w:p>
        <w:p w:rsidR="00E269AE" w:rsidRDefault="00E269AE">
          <w:pPr>
            <w:pStyle w:val="TOC3"/>
            <w:rPr>
              <w:rFonts w:asciiTheme="minorHAnsi" w:eastAsiaTheme="minorEastAsia" w:hAnsiTheme="minorHAnsi"/>
              <w:lang w:eastAsia="en-AU"/>
            </w:rPr>
          </w:pPr>
          <w:hyperlink w:anchor="_Toc451527808" w:history="1">
            <w:r w:rsidRPr="007A634D">
              <w:rPr>
                <w:rStyle w:val="Hyperlink"/>
              </w:rPr>
              <w:t>11.2.1</w:t>
            </w:r>
            <w:r>
              <w:rPr>
                <w:rFonts w:asciiTheme="minorHAnsi" w:eastAsiaTheme="minorEastAsia" w:hAnsiTheme="minorHAnsi"/>
                <w:lang w:eastAsia="en-AU"/>
              </w:rPr>
              <w:tab/>
            </w:r>
            <w:r w:rsidRPr="007A634D">
              <w:rPr>
                <w:rStyle w:val="Hyperlink"/>
              </w:rPr>
              <w:t>Annual reference tariff variation mechanism</w:t>
            </w:r>
            <w:r>
              <w:rPr>
                <w:webHidden/>
              </w:rPr>
              <w:tab/>
            </w:r>
            <w:r>
              <w:rPr>
                <w:webHidden/>
              </w:rPr>
              <w:fldChar w:fldCharType="begin"/>
            </w:r>
            <w:r>
              <w:rPr>
                <w:webHidden/>
              </w:rPr>
              <w:instrText xml:space="preserve"> PAGEREF _Toc451527808 \h </w:instrText>
            </w:r>
            <w:r>
              <w:rPr>
                <w:webHidden/>
              </w:rPr>
            </w:r>
            <w:r>
              <w:rPr>
                <w:webHidden/>
              </w:rPr>
              <w:fldChar w:fldCharType="separate"/>
            </w:r>
            <w:r>
              <w:rPr>
                <w:webHidden/>
              </w:rPr>
              <w:t>11-10</w:t>
            </w:r>
            <w:r>
              <w:rPr>
                <w:webHidden/>
              </w:rPr>
              <w:fldChar w:fldCharType="end"/>
            </w:r>
          </w:hyperlink>
        </w:p>
        <w:p w:rsidR="00E269AE" w:rsidRDefault="00E269AE">
          <w:pPr>
            <w:pStyle w:val="TOC3"/>
            <w:rPr>
              <w:rFonts w:asciiTheme="minorHAnsi" w:eastAsiaTheme="minorEastAsia" w:hAnsiTheme="minorHAnsi"/>
              <w:lang w:eastAsia="en-AU"/>
            </w:rPr>
          </w:pPr>
          <w:hyperlink w:anchor="_Toc451527809" w:history="1">
            <w:r w:rsidRPr="007A634D">
              <w:rPr>
                <w:rStyle w:val="Hyperlink"/>
              </w:rPr>
              <w:t>11.2.2</w:t>
            </w:r>
            <w:r>
              <w:rPr>
                <w:rFonts w:asciiTheme="minorHAnsi" w:eastAsiaTheme="minorEastAsia" w:hAnsiTheme="minorHAnsi"/>
                <w:lang w:eastAsia="en-AU"/>
              </w:rPr>
              <w:tab/>
            </w:r>
            <w:r w:rsidRPr="007A634D">
              <w:rPr>
                <w:rStyle w:val="Hyperlink"/>
              </w:rPr>
              <w:t>Cost pass through events</w:t>
            </w:r>
            <w:r>
              <w:rPr>
                <w:webHidden/>
              </w:rPr>
              <w:tab/>
            </w:r>
            <w:r>
              <w:rPr>
                <w:webHidden/>
              </w:rPr>
              <w:fldChar w:fldCharType="begin"/>
            </w:r>
            <w:r>
              <w:rPr>
                <w:webHidden/>
              </w:rPr>
              <w:instrText xml:space="preserve"> PAGEREF _Toc451527809 \h </w:instrText>
            </w:r>
            <w:r>
              <w:rPr>
                <w:webHidden/>
              </w:rPr>
            </w:r>
            <w:r>
              <w:rPr>
                <w:webHidden/>
              </w:rPr>
              <w:fldChar w:fldCharType="separate"/>
            </w:r>
            <w:r>
              <w:rPr>
                <w:webHidden/>
              </w:rPr>
              <w:t>11-10</w:t>
            </w:r>
            <w:r>
              <w:rPr>
                <w:webHidden/>
              </w:rPr>
              <w:fldChar w:fldCharType="end"/>
            </w:r>
          </w:hyperlink>
        </w:p>
        <w:p w:rsidR="00E269AE" w:rsidRDefault="00E269AE">
          <w:pPr>
            <w:pStyle w:val="TOC2"/>
            <w:tabs>
              <w:tab w:val="left" w:pos="1276"/>
            </w:tabs>
            <w:rPr>
              <w:rFonts w:asciiTheme="minorHAnsi" w:eastAsiaTheme="minorEastAsia" w:hAnsiTheme="minorHAnsi"/>
              <w:b w:val="0"/>
              <w:color w:val="auto"/>
              <w:sz w:val="22"/>
              <w:lang w:eastAsia="en-AU"/>
            </w:rPr>
          </w:pPr>
          <w:hyperlink w:anchor="_Toc451527810" w:history="1">
            <w:r w:rsidRPr="007A634D">
              <w:rPr>
                <w:rStyle w:val="Hyperlink"/>
              </w:rPr>
              <w:t>11.3</w:t>
            </w:r>
            <w:r>
              <w:rPr>
                <w:rFonts w:asciiTheme="minorHAnsi" w:eastAsiaTheme="minorEastAsia" w:hAnsiTheme="minorHAnsi"/>
                <w:b w:val="0"/>
                <w:color w:val="auto"/>
                <w:sz w:val="22"/>
                <w:lang w:eastAsia="en-AU"/>
              </w:rPr>
              <w:tab/>
            </w:r>
            <w:r w:rsidRPr="007A634D">
              <w:rPr>
                <w:rStyle w:val="Hyperlink"/>
              </w:rPr>
              <w:t>AER’s assessment approach</w:t>
            </w:r>
            <w:r>
              <w:rPr>
                <w:webHidden/>
              </w:rPr>
              <w:tab/>
            </w:r>
            <w:r>
              <w:rPr>
                <w:webHidden/>
              </w:rPr>
              <w:fldChar w:fldCharType="begin"/>
            </w:r>
            <w:r>
              <w:rPr>
                <w:webHidden/>
              </w:rPr>
              <w:instrText xml:space="preserve"> PAGEREF _Toc451527810 \h </w:instrText>
            </w:r>
            <w:r>
              <w:rPr>
                <w:webHidden/>
              </w:rPr>
            </w:r>
            <w:r>
              <w:rPr>
                <w:webHidden/>
              </w:rPr>
              <w:fldChar w:fldCharType="separate"/>
            </w:r>
            <w:r>
              <w:rPr>
                <w:webHidden/>
              </w:rPr>
              <w:t>11-11</w:t>
            </w:r>
            <w:r>
              <w:rPr>
                <w:webHidden/>
              </w:rPr>
              <w:fldChar w:fldCharType="end"/>
            </w:r>
          </w:hyperlink>
        </w:p>
        <w:p w:rsidR="00E269AE" w:rsidRDefault="00E269AE">
          <w:pPr>
            <w:pStyle w:val="TOC3"/>
            <w:rPr>
              <w:rFonts w:asciiTheme="minorHAnsi" w:eastAsiaTheme="minorEastAsia" w:hAnsiTheme="minorHAnsi"/>
              <w:lang w:eastAsia="en-AU"/>
            </w:rPr>
          </w:pPr>
          <w:hyperlink w:anchor="_Toc451527811" w:history="1">
            <w:r w:rsidRPr="007A634D">
              <w:rPr>
                <w:rStyle w:val="Hyperlink"/>
              </w:rPr>
              <w:t>11.3.1</w:t>
            </w:r>
            <w:r>
              <w:rPr>
                <w:rFonts w:asciiTheme="minorHAnsi" w:eastAsiaTheme="minorEastAsia" w:hAnsiTheme="minorHAnsi"/>
                <w:lang w:eastAsia="en-AU"/>
              </w:rPr>
              <w:tab/>
            </w:r>
            <w:r w:rsidRPr="007A634D">
              <w:rPr>
                <w:rStyle w:val="Hyperlink"/>
              </w:rPr>
              <w:t>Cost pass through events</w:t>
            </w:r>
            <w:r>
              <w:rPr>
                <w:webHidden/>
              </w:rPr>
              <w:tab/>
            </w:r>
            <w:r>
              <w:rPr>
                <w:webHidden/>
              </w:rPr>
              <w:fldChar w:fldCharType="begin"/>
            </w:r>
            <w:r>
              <w:rPr>
                <w:webHidden/>
              </w:rPr>
              <w:instrText xml:space="preserve"> PAGEREF _Toc451527811 \h </w:instrText>
            </w:r>
            <w:r>
              <w:rPr>
                <w:webHidden/>
              </w:rPr>
            </w:r>
            <w:r>
              <w:rPr>
                <w:webHidden/>
              </w:rPr>
              <w:fldChar w:fldCharType="separate"/>
            </w:r>
            <w:r>
              <w:rPr>
                <w:webHidden/>
              </w:rPr>
              <w:t>11-13</w:t>
            </w:r>
            <w:r>
              <w:rPr>
                <w:webHidden/>
              </w:rPr>
              <w:fldChar w:fldCharType="end"/>
            </w:r>
          </w:hyperlink>
        </w:p>
        <w:p w:rsidR="00E269AE" w:rsidRDefault="00E269AE">
          <w:pPr>
            <w:pStyle w:val="TOC3"/>
            <w:rPr>
              <w:rFonts w:asciiTheme="minorHAnsi" w:eastAsiaTheme="minorEastAsia" w:hAnsiTheme="minorHAnsi"/>
              <w:lang w:eastAsia="en-AU"/>
            </w:rPr>
          </w:pPr>
          <w:hyperlink w:anchor="_Toc451527812" w:history="1">
            <w:r w:rsidRPr="007A634D">
              <w:rPr>
                <w:rStyle w:val="Hyperlink"/>
              </w:rPr>
              <w:t>11.3.2</w:t>
            </w:r>
            <w:r>
              <w:rPr>
                <w:rFonts w:asciiTheme="minorHAnsi" w:eastAsiaTheme="minorEastAsia" w:hAnsiTheme="minorHAnsi"/>
                <w:lang w:eastAsia="en-AU"/>
              </w:rPr>
              <w:tab/>
            </w:r>
            <w:r w:rsidRPr="007A634D">
              <w:rPr>
                <w:rStyle w:val="Hyperlink"/>
              </w:rPr>
              <w:t>Interrelationships</w:t>
            </w:r>
            <w:r>
              <w:rPr>
                <w:webHidden/>
              </w:rPr>
              <w:tab/>
            </w:r>
            <w:r>
              <w:rPr>
                <w:webHidden/>
              </w:rPr>
              <w:fldChar w:fldCharType="begin"/>
            </w:r>
            <w:r>
              <w:rPr>
                <w:webHidden/>
              </w:rPr>
              <w:instrText xml:space="preserve"> PAGEREF _Toc451527812 \h </w:instrText>
            </w:r>
            <w:r>
              <w:rPr>
                <w:webHidden/>
              </w:rPr>
            </w:r>
            <w:r>
              <w:rPr>
                <w:webHidden/>
              </w:rPr>
              <w:fldChar w:fldCharType="separate"/>
            </w:r>
            <w:r>
              <w:rPr>
                <w:webHidden/>
              </w:rPr>
              <w:t>11-17</w:t>
            </w:r>
            <w:r>
              <w:rPr>
                <w:webHidden/>
              </w:rPr>
              <w:fldChar w:fldCharType="end"/>
            </w:r>
          </w:hyperlink>
        </w:p>
        <w:p w:rsidR="00E269AE" w:rsidRDefault="00E269AE">
          <w:pPr>
            <w:pStyle w:val="TOC2"/>
            <w:tabs>
              <w:tab w:val="left" w:pos="1276"/>
            </w:tabs>
            <w:rPr>
              <w:rFonts w:asciiTheme="minorHAnsi" w:eastAsiaTheme="minorEastAsia" w:hAnsiTheme="minorHAnsi"/>
              <w:b w:val="0"/>
              <w:color w:val="auto"/>
              <w:sz w:val="22"/>
              <w:lang w:eastAsia="en-AU"/>
            </w:rPr>
          </w:pPr>
          <w:hyperlink w:anchor="_Toc451527813" w:history="1">
            <w:r w:rsidRPr="007A634D">
              <w:rPr>
                <w:rStyle w:val="Hyperlink"/>
              </w:rPr>
              <w:t>11.4</w:t>
            </w:r>
            <w:r>
              <w:rPr>
                <w:rFonts w:asciiTheme="minorHAnsi" w:eastAsiaTheme="minorEastAsia" w:hAnsiTheme="minorHAnsi"/>
                <w:b w:val="0"/>
                <w:color w:val="auto"/>
                <w:sz w:val="22"/>
                <w:lang w:eastAsia="en-AU"/>
              </w:rPr>
              <w:tab/>
            </w:r>
            <w:r w:rsidRPr="007A634D">
              <w:rPr>
                <w:rStyle w:val="Hyperlink"/>
              </w:rPr>
              <w:t>Reasons for final decision</w:t>
            </w:r>
            <w:r>
              <w:rPr>
                <w:webHidden/>
              </w:rPr>
              <w:tab/>
            </w:r>
            <w:r>
              <w:rPr>
                <w:webHidden/>
              </w:rPr>
              <w:fldChar w:fldCharType="begin"/>
            </w:r>
            <w:r>
              <w:rPr>
                <w:webHidden/>
              </w:rPr>
              <w:instrText xml:space="preserve"> PAGEREF _Toc451527813 \h </w:instrText>
            </w:r>
            <w:r>
              <w:rPr>
                <w:webHidden/>
              </w:rPr>
            </w:r>
            <w:r>
              <w:rPr>
                <w:webHidden/>
              </w:rPr>
              <w:fldChar w:fldCharType="separate"/>
            </w:r>
            <w:r>
              <w:rPr>
                <w:webHidden/>
              </w:rPr>
              <w:t>11-19</w:t>
            </w:r>
            <w:r>
              <w:rPr>
                <w:webHidden/>
              </w:rPr>
              <w:fldChar w:fldCharType="end"/>
            </w:r>
          </w:hyperlink>
        </w:p>
        <w:p w:rsidR="00E269AE" w:rsidRDefault="00E269AE">
          <w:pPr>
            <w:pStyle w:val="TOC3"/>
            <w:rPr>
              <w:rFonts w:asciiTheme="minorHAnsi" w:eastAsiaTheme="minorEastAsia" w:hAnsiTheme="minorHAnsi"/>
              <w:lang w:eastAsia="en-AU"/>
            </w:rPr>
          </w:pPr>
          <w:hyperlink w:anchor="_Toc451527814" w:history="1">
            <w:r w:rsidRPr="007A634D">
              <w:rPr>
                <w:rStyle w:val="Hyperlink"/>
              </w:rPr>
              <w:t>11.4.1</w:t>
            </w:r>
            <w:r>
              <w:rPr>
                <w:rFonts w:asciiTheme="minorHAnsi" w:eastAsiaTheme="minorEastAsia" w:hAnsiTheme="minorHAnsi"/>
                <w:lang w:eastAsia="en-AU"/>
              </w:rPr>
              <w:tab/>
            </w:r>
            <w:r w:rsidRPr="007A634D">
              <w:rPr>
                <w:rStyle w:val="Hyperlink"/>
              </w:rPr>
              <w:t>Annual reference tariff variation mechanism</w:t>
            </w:r>
            <w:r>
              <w:rPr>
                <w:webHidden/>
              </w:rPr>
              <w:tab/>
            </w:r>
            <w:r>
              <w:rPr>
                <w:webHidden/>
              </w:rPr>
              <w:fldChar w:fldCharType="begin"/>
            </w:r>
            <w:r>
              <w:rPr>
                <w:webHidden/>
              </w:rPr>
              <w:instrText xml:space="preserve"> PAGEREF _Toc451527814 \h </w:instrText>
            </w:r>
            <w:r>
              <w:rPr>
                <w:webHidden/>
              </w:rPr>
            </w:r>
            <w:r>
              <w:rPr>
                <w:webHidden/>
              </w:rPr>
              <w:fldChar w:fldCharType="separate"/>
            </w:r>
            <w:r>
              <w:rPr>
                <w:webHidden/>
              </w:rPr>
              <w:t>11-19</w:t>
            </w:r>
            <w:r>
              <w:rPr>
                <w:webHidden/>
              </w:rPr>
              <w:fldChar w:fldCharType="end"/>
            </w:r>
          </w:hyperlink>
        </w:p>
        <w:p w:rsidR="00E269AE" w:rsidRDefault="00E269AE">
          <w:pPr>
            <w:pStyle w:val="TOC3"/>
            <w:rPr>
              <w:rFonts w:asciiTheme="minorHAnsi" w:eastAsiaTheme="minorEastAsia" w:hAnsiTheme="minorHAnsi"/>
              <w:lang w:eastAsia="en-AU"/>
            </w:rPr>
          </w:pPr>
          <w:hyperlink w:anchor="_Toc451527815" w:history="1">
            <w:r w:rsidRPr="007A634D">
              <w:rPr>
                <w:rStyle w:val="Hyperlink"/>
              </w:rPr>
              <w:t>11.4.2</w:t>
            </w:r>
            <w:r>
              <w:rPr>
                <w:rFonts w:asciiTheme="minorHAnsi" w:eastAsiaTheme="minorEastAsia" w:hAnsiTheme="minorHAnsi"/>
                <w:lang w:eastAsia="en-AU"/>
              </w:rPr>
              <w:tab/>
            </w:r>
            <w:r w:rsidRPr="007A634D">
              <w:rPr>
                <w:rStyle w:val="Hyperlink"/>
              </w:rPr>
              <w:t>Cost pass through events</w:t>
            </w:r>
            <w:r>
              <w:rPr>
                <w:webHidden/>
              </w:rPr>
              <w:tab/>
            </w:r>
            <w:r>
              <w:rPr>
                <w:webHidden/>
              </w:rPr>
              <w:fldChar w:fldCharType="begin"/>
            </w:r>
            <w:r>
              <w:rPr>
                <w:webHidden/>
              </w:rPr>
              <w:instrText xml:space="preserve"> PAGEREF _Toc451527815 \h </w:instrText>
            </w:r>
            <w:r>
              <w:rPr>
                <w:webHidden/>
              </w:rPr>
            </w:r>
            <w:r>
              <w:rPr>
                <w:webHidden/>
              </w:rPr>
              <w:fldChar w:fldCharType="separate"/>
            </w:r>
            <w:r>
              <w:rPr>
                <w:webHidden/>
              </w:rPr>
              <w:t>11-31</w:t>
            </w:r>
            <w:r>
              <w:rPr>
                <w:webHidden/>
              </w:rPr>
              <w:fldChar w:fldCharType="end"/>
            </w:r>
          </w:hyperlink>
        </w:p>
        <w:p w:rsidR="00DE563D" w:rsidRDefault="00373CBA" w:rsidP="00373CBA">
          <w:pPr>
            <w:pStyle w:val="TOC1"/>
          </w:pPr>
          <w:r>
            <w:rPr>
              <w:color w:val="auto"/>
              <w:sz w:val="22"/>
            </w:rPr>
            <w:fldChar w:fldCharType="end"/>
          </w:r>
        </w:p>
      </w:sdtContent>
    </w:sdt>
    <w:p w:rsidR="00DE563D" w:rsidRDefault="00C84560">
      <w:pPr>
        <w:spacing w:line="240" w:lineRule="auto"/>
      </w:pPr>
      <w:r>
        <w:t xml:space="preserve"> </w:t>
      </w:r>
    </w:p>
    <w:p w:rsidR="00E7494F" w:rsidRDefault="00DE563D" w:rsidP="00DE772C">
      <w:pPr>
        <w:pStyle w:val="UnnumberedHeading"/>
        <w:numPr>
          <w:ilvl w:val="0"/>
          <w:numId w:val="23"/>
        </w:numPr>
      </w:pPr>
      <w:bookmarkStart w:id="7" w:name="_Toc404700925"/>
      <w:bookmarkStart w:id="8" w:name="_Toc451527802"/>
      <w:r>
        <w:t>Shortened forms</w:t>
      </w:r>
      <w:bookmarkEnd w:id="7"/>
      <w:bookmarkEnd w:id="8"/>
    </w:p>
    <w:tbl>
      <w:tblPr>
        <w:tblStyle w:val="AERtable-numbers"/>
        <w:tblW w:w="0" w:type="auto"/>
        <w:tblLook w:val="04A0" w:firstRow="1" w:lastRow="0" w:firstColumn="1" w:lastColumn="0" w:noHBand="0" w:noVBand="1"/>
      </w:tblPr>
      <w:tblGrid>
        <w:gridCol w:w="3652"/>
        <w:gridCol w:w="5041"/>
      </w:tblGrid>
      <w:tr w:rsidR="009A676B" w:rsidTr="009A676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A676B" w:rsidRDefault="009A676B" w:rsidP="009A676B">
            <w:pPr>
              <w:numPr>
                <w:ilvl w:val="0"/>
                <w:numId w:val="28"/>
              </w:numPr>
            </w:pPr>
            <w:r>
              <w:t>Shortened form</w:t>
            </w:r>
          </w:p>
        </w:tc>
        <w:tc>
          <w:tcPr>
            <w:tcW w:w="5041" w:type="dxa"/>
            <w:tcBorders>
              <w:top w:val="nil"/>
              <w:left w:val="nil"/>
              <w:bottom w:val="nil"/>
              <w:right w:val="nil"/>
            </w:tcBorders>
            <w:hideMark/>
          </w:tcPr>
          <w:p w:rsidR="009A676B" w:rsidRDefault="009A676B" w:rsidP="009A676B">
            <w:pPr>
              <w:numPr>
                <w:ilvl w:val="0"/>
                <w:numId w:val="28"/>
              </w:numPr>
              <w:cnfStyle w:val="100000000000" w:firstRow="1" w:lastRow="0" w:firstColumn="0" w:lastColumn="0" w:oddVBand="0" w:evenVBand="0" w:oddHBand="0" w:evenHBand="0" w:firstRowFirstColumn="0" w:firstRowLastColumn="0" w:lastRowFirstColumn="0" w:lastRowLastColumn="0"/>
            </w:pPr>
            <w:r>
              <w:t>Extended form</w:t>
            </w:r>
          </w:p>
        </w:tc>
      </w:tr>
      <w:tr w:rsidR="009A676B" w:rsidTr="009A676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A676B" w:rsidRDefault="009A676B" w:rsidP="009A676B">
            <w:pPr>
              <w:numPr>
                <w:ilvl w:val="0"/>
                <w:numId w:val="28"/>
              </w:numPr>
            </w:pPr>
            <w:r>
              <w:t>AA</w:t>
            </w:r>
          </w:p>
        </w:tc>
        <w:tc>
          <w:tcPr>
            <w:tcW w:w="5041" w:type="dxa"/>
            <w:tcBorders>
              <w:top w:val="nil"/>
              <w:left w:val="nil"/>
              <w:bottom w:val="nil"/>
              <w:right w:val="nil"/>
            </w:tcBorders>
            <w:hideMark/>
          </w:tcPr>
          <w:p w:rsidR="009A676B" w:rsidRDefault="009A676B">
            <w:pPr>
              <w:cnfStyle w:val="000000000000" w:firstRow="0" w:lastRow="0" w:firstColumn="0" w:lastColumn="0" w:oddVBand="0" w:evenVBand="0" w:oddHBand="0" w:evenHBand="0" w:firstRowFirstColumn="0" w:firstRowLastColumn="0" w:lastRowFirstColumn="0" w:lastRowLastColumn="0"/>
            </w:pPr>
            <w:r>
              <w:t>Access Arrangement</w:t>
            </w:r>
          </w:p>
        </w:tc>
      </w:tr>
      <w:tr w:rsidR="009A676B" w:rsidTr="009A67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A676B" w:rsidRDefault="009A676B" w:rsidP="009A676B">
            <w:pPr>
              <w:numPr>
                <w:ilvl w:val="0"/>
                <w:numId w:val="28"/>
              </w:numPr>
            </w:pPr>
            <w:r>
              <w:t>AAI</w:t>
            </w:r>
          </w:p>
        </w:tc>
        <w:tc>
          <w:tcPr>
            <w:tcW w:w="5041" w:type="dxa"/>
            <w:tcBorders>
              <w:top w:val="nil"/>
              <w:left w:val="nil"/>
              <w:bottom w:val="nil"/>
              <w:right w:val="nil"/>
            </w:tcBorders>
            <w:hideMark/>
          </w:tcPr>
          <w:p w:rsidR="009A676B" w:rsidRDefault="009A676B">
            <w:pPr>
              <w:cnfStyle w:val="000000010000" w:firstRow="0" w:lastRow="0" w:firstColumn="0" w:lastColumn="0" w:oddVBand="0" w:evenVBand="0" w:oddHBand="0" w:evenHBand="1" w:firstRowFirstColumn="0" w:firstRowLastColumn="0" w:lastRowFirstColumn="0" w:lastRowLastColumn="0"/>
            </w:pPr>
            <w:r>
              <w:t>Access Arrangement Information</w:t>
            </w:r>
          </w:p>
        </w:tc>
      </w:tr>
      <w:tr w:rsidR="009A676B" w:rsidTr="009A676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A676B" w:rsidRDefault="009A676B" w:rsidP="009A676B">
            <w:pPr>
              <w:numPr>
                <w:ilvl w:val="0"/>
                <w:numId w:val="28"/>
              </w:numPr>
            </w:pPr>
            <w:r>
              <w:t>AER</w:t>
            </w:r>
          </w:p>
        </w:tc>
        <w:tc>
          <w:tcPr>
            <w:tcW w:w="5041" w:type="dxa"/>
            <w:tcBorders>
              <w:top w:val="nil"/>
              <w:left w:val="nil"/>
              <w:bottom w:val="nil"/>
              <w:right w:val="nil"/>
            </w:tcBorders>
            <w:hideMark/>
          </w:tcPr>
          <w:p w:rsidR="009A676B" w:rsidRDefault="009A676B" w:rsidP="009A676B">
            <w:pPr>
              <w:numPr>
                <w:ilvl w:val="0"/>
                <w:numId w:val="28"/>
              </w:numPr>
              <w:cnfStyle w:val="000000000000" w:firstRow="0" w:lastRow="0" w:firstColumn="0" w:lastColumn="0" w:oddVBand="0" w:evenVBand="0" w:oddHBand="0" w:evenHBand="0" w:firstRowFirstColumn="0" w:firstRowLastColumn="0" w:lastRowFirstColumn="0" w:lastRowLastColumn="0"/>
            </w:pPr>
            <w:r>
              <w:t>Australian Energy Regulator</w:t>
            </w:r>
          </w:p>
        </w:tc>
      </w:tr>
      <w:tr w:rsidR="009A676B" w:rsidTr="009A67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A676B" w:rsidRDefault="009A676B" w:rsidP="009A676B">
            <w:pPr>
              <w:numPr>
                <w:ilvl w:val="0"/>
                <w:numId w:val="28"/>
              </w:numPr>
            </w:pPr>
            <w:r>
              <w:t>AGN</w:t>
            </w:r>
          </w:p>
        </w:tc>
        <w:tc>
          <w:tcPr>
            <w:tcW w:w="5041" w:type="dxa"/>
            <w:tcBorders>
              <w:top w:val="nil"/>
              <w:left w:val="nil"/>
              <w:bottom w:val="nil"/>
              <w:right w:val="nil"/>
            </w:tcBorders>
            <w:hideMark/>
          </w:tcPr>
          <w:p w:rsidR="009A676B" w:rsidRDefault="009A676B">
            <w:pPr>
              <w:cnfStyle w:val="000000010000" w:firstRow="0" w:lastRow="0" w:firstColumn="0" w:lastColumn="0" w:oddVBand="0" w:evenVBand="0" w:oddHBand="0" w:evenHBand="1" w:firstRowFirstColumn="0" w:firstRowLastColumn="0" w:lastRowFirstColumn="0" w:lastRowLastColumn="0"/>
            </w:pPr>
            <w:r>
              <w:t>Australian Gas Networks</w:t>
            </w:r>
          </w:p>
        </w:tc>
      </w:tr>
      <w:tr w:rsidR="009A676B" w:rsidTr="009A676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A676B" w:rsidRDefault="009A676B" w:rsidP="009A676B">
            <w:pPr>
              <w:numPr>
                <w:ilvl w:val="0"/>
                <w:numId w:val="28"/>
              </w:numPr>
            </w:pPr>
            <w:r>
              <w:t>ATO</w:t>
            </w:r>
          </w:p>
        </w:tc>
        <w:tc>
          <w:tcPr>
            <w:tcW w:w="5041" w:type="dxa"/>
            <w:tcBorders>
              <w:top w:val="nil"/>
              <w:left w:val="nil"/>
              <w:bottom w:val="nil"/>
              <w:right w:val="nil"/>
            </w:tcBorders>
            <w:hideMark/>
          </w:tcPr>
          <w:p w:rsidR="009A676B" w:rsidRDefault="009A676B">
            <w:pPr>
              <w:cnfStyle w:val="000000000000" w:firstRow="0" w:lastRow="0" w:firstColumn="0" w:lastColumn="0" w:oddVBand="0" w:evenVBand="0" w:oddHBand="0" w:evenHBand="0" w:firstRowFirstColumn="0" w:firstRowLastColumn="0" w:lastRowFirstColumn="0" w:lastRowLastColumn="0"/>
            </w:pPr>
            <w:r>
              <w:t>Australian Tax Office</w:t>
            </w:r>
          </w:p>
        </w:tc>
      </w:tr>
      <w:tr w:rsidR="009A676B" w:rsidTr="009A67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A676B" w:rsidRDefault="009A676B" w:rsidP="009A676B">
            <w:pPr>
              <w:numPr>
                <w:ilvl w:val="0"/>
                <w:numId w:val="28"/>
              </w:numPr>
            </w:pPr>
            <w:r>
              <w:t>capex</w:t>
            </w:r>
          </w:p>
        </w:tc>
        <w:tc>
          <w:tcPr>
            <w:tcW w:w="5041" w:type="dxa"/>
            <w:tcBorders>
              <w:top w:val="nil"/>
              <w:left w:val="nil"/>
              <w:bottom w:val="nil"/>
              <w:right w:val="nil"/>
            </w:tcBorders>
            <w:hideMark/>
          </w:tcPr>
          <w:p w:rsidR="009A676B" w:rsidRDefault="009A676B" w:rsidP="009A676B">
            <w:pPr>
              <w:numPr>
                <w:ilvl w:val="0"/>
                <w:numId w:val="28"/>
              </w:numPr>
              <w:cnfStyle w:val="000000010000" w:firstRow="0" w:lastRow="0" w:firstColumn="0" w:lastColumn="0" w:oddVBand="0" w:evenVBand="0" w:oddHBand="0" w:evenHBand="1" w:firstRowFirstColumn="0" w:firstRowLastColumn="0" w:lastRowFirstColumn="0" w:lastRowLastColumn="0"/>
            </w:pPr>
            <w:r>
              <w:t>capital expenditure</w:t>
            </w:r>
          </w:p>
        </w:tc>
      </w:tr>
      <w:tr w:rsidR="009A676B" w:rsidTr="009A676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A676B" w:rsidRDefault="009A676B" w:rsidP="009A676B">
            <w:pPr>
              <w:numPr>
                <w:ilvl w:val="0"/>
                <w:numId w:val="28"/>
              </w:numPr>
            </w:pPr>
            <w:r>
              <w:t>CAPM</w:t>
            </w:r>
          </w:p>
        </w:tc>
        <w:tc>
          <w:tcPr>
            <w:tcW w:w="5041" w:type="dxa"/>
            <w:tcBorders>
              <w:top w:val="nil"/>
              <w:left w:val="nil"/>
              <w:bottom w:val="nil"/>
              <w:right w:val="nil"/>
            </w:tcBorders>
            <w:hideMark/>
          </w:tcPr>
          <w:p w:rsidR="009A676B" w:rsidRDefault="009A676B" w:rsidP="009A676B">
            <w:pPr>
              <w:numPr>
                <w:ilvl w:val="0"/>
                <w:numId w:val="28"/>
              </w:numPr>
              <w:cnfStyle w:val="000000000000" w:firstRow="0" w:lastRow="0" w:firstColumn="0" w:lastColumn="0" w:oddVBand="0" w:evenVBand="0" w:oddHBand="0" w:evenHBand="0" w:firstRowFirstColumn="0" w:firstRowLastColumn="0" w:lastRowFirstColumn="0" w:lastRowLastColumn="0"/>
            </w:pPr>
            <w:r>
              <w:t>capital asset pricing model</w:t>
            </w:r>
          </w:p>
        </w:tc>
      </w:tr>
      <w:tr w:rsidR="009A676B" w:rsidTr="009A67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A676B" w:rsidRDefault="009A676B" w:rsidP="009A676B">
            <w:pPr>
              <w:numPr>
                <w:ilvl w:val="0"/>
                <w:numId w:val="28"/>
              </w:numPr>
            </w:pPr>
            <w:r>
              <w:t>CCP</w:t>
            </w:r>
          </w:p>
        </w:tc>
        <w:tc>
          <w:tcPr>
            <w:tcW w:w="5041" w:type="dxa"/>
            <w:tcBorders>
              <w:top w:val="nil"/>
              <w:left w:val="nil"/>
              <w:bottom w:val="nil"/>
              <w:right w:val="nil"/>
            </w:tcBorders>
            <w:hideMark/>
          </w:tcPr>
          <w:p w:rsidR="009A676B" w:rsidRDefault="009A676B" w:rsidP="009A676B">
            <w:pPr>
              <w:numPr>
                <w:ilvl w:val="0"/>
                <w:numId w:val="28"/>
              </w:numPr>
              <w:cnfStyle w:val="000000010000" w:firstRow="0" w:lastRow="0" w:firstColumn="0" w:lastColumn="0" w:oddVBand="0" w:evenVBand="0" w:oddHBand="0" w:evenHBand="1" w:firstRowFirstColumn="0" w:firstRowLastColumn="0" w:lastRowFirstColumn="0" w:lastRowLastColumn="0"/>
            </w:pPr>
            <w:r>
              <w:t>Consumer Challenge Panel</w:t>
            </w:r>
          </w:p>
        </w:tc>
      </w:tr>
      <w:tr w:rsidR="009A676B" w:rsidTr="009A676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A676B" w:rsidRDefault="009A676B" w:rsidP="009A676B">
            <w:pPr>
              <w:numPr>
                <w:ilvl w:val="0"/>
                <w:numId w:val="28"/>
              </w:numPr>
            </w:pPr>
            <w:r>
              <w:t>CESS</w:t>
            </w:r>
          </w:p>
        </w:tc>
        <w:tc>
          <w:tcPr>
            <w:tcW w:w="5041" w:type="dxa"/>
            <w:tcBorders>
              <w:top w:val="nil"/>
              <w:left w:val="nil"/>
              <w:bottom w:val="nil"/>
              <w:right w:val="nil"/>
            </w:tcBorders>
            <w:hideMark/>
          </w:tcPr>
          <w:p w:rsidR="009A676B" w:rsidRDefault="009A676B" w:rsidP="009A676B">
            <w:pPr>
              <w:numPr>
                <w:ilvl w:val="0"/>
                <w:numId w:val="28"/>
              </w:numPr>
              <w:cnfStyle w:val="000000000000" w:firstRow="0" w:lastRow="0" w:firstColumn="0" w:lastColumn="0" w:oddVBand="0" w:evenVBand="0" w:oddHBand="0" w:evenHBand="0" w:firstRowFirstColumn="0" w:firstRowLastColumn="0" w:lastRowFirstColumn="0" w:lastRowLastColumn="0"/>
            </w:pPr>
            <w:r>
              <w:t>Capital Expenditure Sharing Scheme</w:t>
            </w:r>
          </w:p>
        </w:tc>
      </w:tr>
      <w:tr w:rsidR="009A676B" w:rsidTr="009A67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A676B" w:rsidRDefault="009A676B" w:rsidP="009A676B">
            <w:pPr>
              <w:numPr>
                <w:ilvl w:val="0"/>
                <w:numId w:val="28"/>
              </w:numPr>
            </w:pPr>
            <w:r>
              <w:t>CPI</w:t>
            </w:r>
          </w:p>
        </w:tc>
        <w:tc>
          <w:tcPr>
            <w:tcW w:w="5041" w:type="dxa"/>
            <w:tcBorders>
              <w:top w:val="nil"/>
              <w:left w:val="nil"/>
              <w:bottom w:val="nil"/>
              <w:right w:val="nil"/>
            </w:tcBorders>
            <w:hideMark/>
          </w:tcPr>
          <w:p w:rsidR="009A676B" w:rsidRDefault="009A676B" w:rsidP="009A676B">
            <w:pPr>
              <w:numPr>
                <w:ilvl w:val="0"/>
                <w:numId w:val="28"/>
              </w:numPr>
              <w:cnfStyle w:val="000000010000" w:firstRow="0" w:lastRow="0" w:firstColumn="0" w:lastColumn="0" w:oddVBand="0" w:evenVBand="0" w:oddHBand="0" w:evenHBand="1" w:firstRowFirstColumn="0" w:firstRowLastColumn="0" w:lastRowFirstColumn="0" w:lastRowLastColumn="0"/>
            </w:pPr>
            <w:r>
              <w:t>consumer price index</w:t>
            </w:r>
          </w:p>
        </w:tc>
      </w:tr>
      <w:tr w:rsidR="009A676B" w:rsidTr="009A676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A676B" w:rsidRDefault="009A676B" w:rsidP="009A676B">
            <w:pPr>
              <w:numPr>
                <w:ilvl w:val="0"/>
                <w:numId w:val="28"/>
              </w:numPr>
            </w:pPr>
            <w:r>
              <w:t>CSIS</w:t>
            </w:r>
          </w:p>
        </w:tc>
        <w:tc>
          <w:tcPr>
            <w:tcW w:w="5041" w:type="dxa"/>
            <w:tcBorders>
              <w:top w:val="nil"/>
              <w:left w:val="nil"/>
              <w:bottom w:val="nil"/>
              <w:right w:val="nil"/>
            </w:tcBorders>
            <w:hideMark/>
          </w:tcPr>
          <w:p w:rsidR="009A676B" w:rsidRDefault="009A676B">
            <w:pPr>
              <w:cnfStyle w:val="000000000000" w:firstRow="0" w:lastRow="0" w:firstColumn="0" w:lastColumn="0" w:oddVBand="0" w:evenVBand="0" w:oddHBand="0" w:evenHBand="0" w:firstRowFirstColumn="0" w:firstRowLastColumn="0" w:lastRowFirstColumn="0" w:lastRowLastColumn="0"/>
            </w:pPr>
            <w:r>
              <w:t>Customer Service Incentive Scheme</w:t>
            </w:r>
          </w:p>
        </w:tc>
      </w:tr>
      <w:tr w:rsidR="009A676B" w:rsidTr="009A67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A676B" w:rsidRDefault="009A676B" w:rsidP="009A676B">
            <w:pPr>
              <w:numPr>
                <w:ilvl w:val="0"/>
                <w:numId w:val="28"/>
              </w:numPr>
            </w:pPr>
            <w:r>
              <w:t>DRP</w:t>
            </w:r>
          </w:p>
        </w:tc>
        <w:tc>
          <w:tcPr>
            <w:tcW w:w="5041" w:type="dxa"/>
            <w:tcBorders>
              <w:top w:val="nil"/>
              <w:left w:val="nil"/>
              <w:bottom w:val="nil"/>
              <w:right w:val="nil"/>
            </w:tcBorders>
            <w:hideMark/>
          </w:tcPr>
          <w:p w:rsidR="009A676B" w:rsidRDefault="009A676B" w:rsidP="009A676B">
            <w:pPr>
              <w:numPr>
                <w:ilvl w:val="0"/>
                <w:numId w:val="28"/>
              </w:numPr>
              <w:cnfStyle w:val="000000010000" w:firstRow="0" w:lastRow="0" w:firstColumn="0" w:lastColumn="0" w:oddVBand="0" w:evenVBand="0" w:oddHBand="0" w:evenHBand="1" w:firstRowFirstColumn="0" w:firstRowLastColumn="0" w:lastRowFirstColumn="0" w:lastRowLastColumn="0"/>
            </w:pPr>
            <w:r>
              <w:t>debt risk premium</w:t>
            </w:r>
          </w:p>
        </w:tc>
      </w:tr>
      <w:tr w:rsidR="009A676B" w:rsidTr="009A676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A676B" w:rsidRDefault="009A676B" w:rsidP="009A676B">
            <w:pPr>
              <w:numPr>
                <w:ilvl w:val="0"/>
                <w:numId w:val="28"/>
              </w:numPr>
            </w:pPr>
            <w:r>
              <w:t>EBSS</w:t>
            </w:r>
          </w:p>
        </w:tc>
        <w:tc>
          <w:tcPr>
            <w:tcW w:w="5041" w:type="dxa"/>
            <w:tcBorders>
              <w:top w:val="nil"/>
              <w:left w:val="nil"/>
              <w:bottom w:val="nil"/>
              <w:right w:val="nil"/>
            </w:tcBorders>
            <w:hideMark/>
          </w:tcPr>
          <w:p w:rsidR="009A676B" w:rsidRDefault="009A676B">
            <w:pPr>
              <w:cnfStyle w:val="000000000000" w:firstRow="0" w:lastRow="0" w:firstColumn="0" w:lastColumn="0" w:oddVBand="0" w:evenVBand="0" w:oddHBand="0" w:evenHBand="0" w:firstRowFirstColumn="0" w:firstRowLastColumn="0" w:lastRowFirstColumn="0" w:lastRowLastColumn="0"/>
            </w:pPr>
            <w:r>
              <w:t>Efficiency Benefit Sharing Scheme</w:t>
            </w:r>
          </w:p>
        </w:tc>
      </w:tr>
      <w:tr w:rsidR="009A676B" w:rsidTr="009A67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A676B" w:rsidRDefault="009A676B" w:rsidP="009A676B">
            <w:pPr>
              <w:numPr>
                <w:ilvl w:val="0"/>
                <w:numId w:val="28"/>
              </w:numPr>
            </w:pPr>
            <w:r>
              <w:t>ECM</w:t>
            </w:r>
          </w:p>
        </w:tc>
        <w:tc>
          <w:tcPr>
            <w:tcW w:w="5041" w:type="dxa"/>
            <w:tcBorders>
              <w:top w:val="nil"/>
              <w:left w:val="nil"/>
              <w:bottom w:val="nil"/>
              <w:right w:val="nil"/>
            </w:tcBorders>
            <w:hideMark/>
          </w:tcPr>
          <w:p w:rsidR="009A676B" w:rsidRDefault="009A676B">
            <w:pPr>
              <w:cnfStyle w:val="000000010000" w:firstRow="0" w:lastRow="0" w:firstColumn="0" w:lastColumn="0" w:oddVBand="0" w:evenVBand="0" w:oddHBand="0" w:evenHBand="1" w:firstRowFirstColumn="0" w:firstRowLastColumn="0" w:lastRowFirstColumn="0" w:lastRowLastColumn="0"/>
            </w:pPr>
            <w:r>
              <w:t>Efficiency Carryover Mechanism</w:t>
            </w:r>
          </w:p>
        </w:tc>
      </w:tr>
      <w:tr w:rsidR="009A676B" w:rsidTr="009A676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A676B" w:rsidRDefault="009A676B" w:rsidP="009A676B">
            <w:pPr>
              <w:numPr>
                <w:ilvl w:val="0"/>
                <w:numId w:val="28"/>
              </w:numPr>
            </w:pPr>
            <w:r>
              <w:t>ERP</w:t>
            </w:r>
          </w:p>
        </w:tc>
        <w:tc>
          <w:tcPr>
            <w:tcW w:w="5041" w:type="dxa"/>
            <w:tcBorders>
              <w:top w:val="nil"/>
              <w:left w:val="nil"/>
              <w:bottom w:val="nil"/>
              <w:right w:val="nil"/>
            </w:tcBorders>
            <w:hideMark/>
          </w:tcPr>
          <w:p w:rsidR="009A676B" w:rsidRDefault="009A676B" w:rsidP="009A676B">
            <w:pPr>
              <w:numPr>
                <w:ilvl w:val="0"/>
                <w:numId w:val="28"/>
              </w:numPr>
              <w:cnfStyle w:val="000000000000" w:firstRow="0" w:lastRow="0" w:firstColumn="0" w:lastColumn="0" w:oddVBand="0" w:evenVBand="0" w:oddHBand="0" w:evenHBand="0" w:firstRowFirstColumn="0" w:firstRowLastColumn="0" w:lastRowFirstColumn="0" w:lastRowLastColumn="0"/>
            </w:pPr>
            <w:r>
              <w:t>equity risk premium</w:t>
            </w:r>
          </w:p>
        </w:tc>
      </w:tr>
      <w:tr w:rsidR="009A676B" w:rsidTr="009A67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A676B" w:rsidRDefault="009A676B" w:rsidP="009A676B">
            <w:pPr>
              <w:numPr>
                <w:ilvl w:val="0"/>
                <w:numId w:val="28"/>
              </w:numPr>
            </w:pPr>
            <w:r>
              <w:t>Expenditure Guideline</w:t>
            </w:r>
          </w:p>
        </w:tc>
        <w:tc>
          <w:tcPr>
            <w:tcW w:w="5041" w:type="dxa"/>
            <w:tcBorders>
              <w:top w:val="nil"/>
              <w:left w:val="nil"/>
              <w:bottom w:val="nil"/>
              <w:right w:val="nil"/>
            </w:tcBorders>
            <w:hideMark/>
          </w:tcPr>
          <w:p w:rsidR="009A676B" w:rsidRDefault="009A676B">
            <w:pPr>
              <w:cnfStyle w:val="000000010000" w:firstRow="0" w:lastRow="0" w:firstColumn="0" w:lastColumn="0" w:oddVBand="0" w:evenVBand="0" w:oddHBand="0" w:evenHBand="1" w:firstRowFirstColumn="0" w:firstRowLastColumn="0" w:lastRowFirstColumn="0" w:lastRowLastColumn="0"/>
            </w:pPr>
            <w:r>
              <w:t>Expenditure Forecast Assessment Guideline</w:t>
            </w:r>
          </w:p>
        </w:tc>
      </w:tr>
      <w:tr w:rsidR="009A676B" w:rsidTr="009A676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A676B" w:rsidRDefault="009A676B" w:rsidP="009A676B">
            <w:pPr>
              <w:numPr>
                <w:ilvl w:val="0"/>
                <w:numId w:val="28"/>
              </w:numPr>
            </w:pPr>
            <w:r>
              <w:t>gamma</w:t>
            </w:r>
          </w:p>
        </w:tc>
        <w:tc>
          <w:tcPr>
            <w:tcW w:w="5041" w:type="dxa"/>
            <w:tcBorders>
              <w:top w:val="nil"/>
              <w:left w:val="nil"/>
              <w:bottom w:val="nil"/>
              <w:right w:val="nil"/>
            </w:tcBorders>
            <w:hideMark/>
          </w:tcPr>
          <w:p w:rsidR="009A676B" w:rsidRDefault="009A676B">
            <w:pPr>
              <w:cnfStyle w:val="000000000000" w:firstRow="0" w:lastRow="0" w:firstColumn="0" w:lastColumn="0" w:oddVBand="0" w:evenVBand="0" w:oddHBand="0" w:evenHBand="0" w:firstRowFirstColumn="0" w:firstRowLastColumn="0" w:lastRowFirstColumn="0" w:lastRowLastColumn="0"/>
            </w:pPr>
            <w:r>
              <w:t>value of imputation credits</w:t>
            </w:r>
          </w:p>
        </w:tc>
      </w:tr>
      <w:tr w:rsidR="009A676B" w:rsidTr="009A67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A676B" w:rsidRDefault="009A676B" w:rsidP="009A676B">
            <w:pPr>
              <w:numPr>
                <w:ilvl w:val="0"/>
                <w:numId w:val="28"/>
              </w:numPr>
            </w:pPr>
            <w:r>
              <w:t>GSL</w:t>
            </w:r>
          </w:p>
        </w:tc>
        <w:tc>
          <w:tcPr>
            <w:tcW w:w="5041" w:type="dxa"/>
            <w:tcBorders>
              <w:top w:val="nil"/>
              <w:left w:val="nil"/>
              <w:bottom w:val="nil"/>
              <w:right w:val="nil"/>
            </w:tcBorders>
            <w:hideMark/>
          </w:tcPr>
          <w:p w:rsidR="009A676B" w:rsidRDefault="009A676B">
            <w:pPr>
              <w:cnfStyle w:val="000000010000" w:firstRow="0" w:lastRow="0" w:firstColumn="0" w:lastColumn="0" w:oddVBand="0" w:evenVBand="0" w:oddHBand="0" w:evenHBand="1" w:firstRowFirstColumn="0" w:firstRowLastColumn="0" w:lastRowFirstColumn="0" w:lastRowLastColumn="0"/>
            </w:pPr>
            <w:r>
              <w:t>Guaranteed Service Level</w:t>
            </w:r>
          </w:p>
        </w:tc>
      </w:tr>
      <w:tr w:rsidR="009A676B" w:rsidTr="009A676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A676B" w:rsidRDefault="009A676B" w:rsidP="009A676B">
            <w:pPr>
              <w:numPr>
                <w:ilvl w:val="0"/>
                <w:numId w:val="28"/>
              </w:numPr>
            </w:pPr>
            <w:r>
              <w:t>MRP</w:t>
            </w:r>
          </w:p>
        </w:tc>
        <w:tc>
          <w:tcPr>
            <w:tcW w:w="5041" w:type="dxa"/>
            <w:tcBorders>
              <w:top w:val="nil"/>
              <w:left w:val="nil"/>
              <w:bottom w:val="nil"/>
              <w:right w:val="nil"/>
            </w:tcBorders>
            <w:hideMark/>
          </w:tcPr>
          <w:p w:rsidR="009A676B" w:rsidRDefault="009A676B" w:rsidP="009A676B">
            <w:pPr>
              <w:numPr>
                <w:ilvl w:val="0"/>
                <w:numId w:val="28"/>
              </w:numPr>
              <w:cnfStyle w:val="000000000000" w:firstRow="0" w:lastRow="0" w:firstColumn="0" w:lastColumn="0" w:oddVBand="0" w:evenVBand="0" w:oddHBand="0" w:evenHBand="0" w:firstRowFirstColumn="0" w:firstRowLastColumn="0" w:lastRowFirstColumn="0" w:lastRowLastColumn="0"/>
            </w:pPr>
            <w:r>
              <w:t>market risk premium</w:t>
            </w:r>
          </w:p>
        </w:tc>
      </w:tr>
      <w:tr w:rsidR="009A676B" w:rsidTr="009A67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A676B" w:rsidRDefault="009A676B" w:rsidP="009A676B">
            <w:pPr>
              <w:numPr>
                <w:ilvl w:val="0"/>
                <w:numId w:val="28"/>
              </w:numPr>
            </w:pPr>
            <w:r>
              <w:t>NECF</w:t>
            </w:r>
          </w:p>
        </w:tc>
        <w:tc>
          <w:tcPr>
            <w:tcW w:w="5041" w:type="dxa"/>
            <w:tcBorders>
              <w:top w:val="nil"/>
              <w:left w:val="nil"/>
              <w:bottom w:val="nil"/>
              <w:right w:val="nil"/>
            </w:tcBorders>
            <w:hideMark/>
          </w:tcPr>
          <w:p w:rsidR="009A676B" w:rsidRDefault="009A676B">
            <w:pPr>
              <w:cnfStyle w:val="000000010000" w:firstRow="0" w:lastRow="0" w:firstColumn="0" w:lastColumn="0" w:oddVBand="0" w:evenVBand="0" w:oddHBand="0" w:evenHBand="1" w:firstRowFirstColumn="0" w:firstRowLastColumn="0" w:lastRowFirstColumn="0" w:lastRowLastColumn="0"/>
            </w:pPr>
            <w:r>
              <w:t>National Energy Customer Framework</w:t>
            </w:r>
          </w:p>
        </w:tc>
      </w:tr>
      <w:tr w:rsidR="009A676B" w:rsidTr="009A676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A676B" w:rsidRDefault="009A676B" w:rsidP="009A676B">
            <w:pPr>
              <w:numPr>
                <w:ilvl w:val="0"/>
                <w:numId w:val="28"/>
              </w:numPr>
            </w:pPr>
            <w:r>
              <w:t>NERL</w:t>
            </w:r>
          </w:p>
        </w:tc>
        <w:tc>
          <w:tcPr>
            <w:tcW w:w="5041" w:type="dxa"/>
            <w:tcBorders>
              <w:top w:val="nil"/>
              <w:left w:val="nil"/>
              <w:bottom w:val="nil"/>
              <w:right w:val="nil"/>
            </w:tcBorders>
            <w:hideMark/>
          </w:tcPr>
          <w:p w:rsidR="009A676B" w:rsidRDefault="009A676B">
            <w:pPr>
              <w:cnfStyle w:val="000000000000" w:firstRow="0" w:lastRow="0" w:firstColumn="0" w:lastColumn="0" w:oddVBand="0" w:evenVBand="0" w:oddHBand="0" w:evenHBand="0" w:firstRowFirstColumn="0" w:firstRowLastColumn="0" w:lastRowFirstColumn="0" w:lastRowLastColumn="0"/>
            </w:pPr>
            <w:r>
              <w:t>National Energy Retail Law</w:t>
            </w:r>
          </w:p>
        </w:tc>
      </w:tr>
      <w:tr w:rsidR="009A676B" w:rsidTr="009A67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A676B" w:rsidRDefault="009A676B" w:rsidP="009A676B">
            <w:pPr>
              <w:numPr>
                <w:ilvl w:val="0"/>
                <w:numId w:val="28"/>
              </w:numPr>
            </w:pPr>
            <w:r>
              <w:t>NERR</w:t>
            </w:r>
          </w:p>
        </w:tc>
        <w:tc>
          <w:tcPr>
            <w:tcW w:w="5041" w:type="dxa"/>
            <w:tcBorders>
              <w:top w:val="nil"/>
              <w:left w:val="nil"/>
              <w:bottom w:val="nil"/>
              <w:right w:val="nil"/>
            </w:tcBorders>
            <w:hideMark/>
          </w:tcPr>
          <w:p w:rsidR="009A676B" w:rsidRDefault="009A676B" w:rsidP="009A676B">
            <w:pPr>
              <w:numPr>
                <w:ilvl w:val="0"/>
                <w:numId w:val="28"/>
              </w:numPr>
              <w:cnfStyle w:val="000000010000" w:firstRow="0" w:lastRow="0" w:firstColumn="0" w:lastColumn="0" w:oddVBand="0" w:evenVBand="0" w:oddHBand="0" w:evenHBand="1" w:firstRowFirstColumn="0" w:firstRowLastColumn="0" w:lastRowFirstColumn="0" w:lastRowLastColumn="0"/>
            </w:pPr>
            <w:r>
              <w:t>National Energy Retail Rules</w:t>
            </w:r>
          </w:p>
        </w:tc>
      </w:tr>
      <w:tr w:rsidR="009A676B" w:rsidTr="009A676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A676B" w:rsidRDefault="009A676B" w:rsidP="009A676B">
            <w:pPr>
              <w:numPr>
                <w:ilvl w:val="0"/>
                <w:numId w:val="28"/>
              </w:numPr>
            </w:pPr>
            <w:r>
              <w:t>NGL</w:t>
            </w:r>
          </w:p>
        </w:tc>
        <w:tc>
          <w:tcPr>
            <w:tcW w:w="5041" w:type="dxa"/>
            <w:tcBorders>
              <w:top w:val="nil"/>
              <w:left w:val="nil"/>
              <w:bottom w:val="nil"/>
              <w:right w:val="nil"/>
            </w:tcBorders>
            <w:hideMark/>
          </w:tcPr>
          <w:p w:rsidR="009A676B" w:rsidRDefault="009A676B" w:rsidP="009A676B">
            <w:pPr>
              <w:numPr>
                <w:ilvl w:val="0"/>
                <w:numId w:val="28"/>
              </w:numPr>
              <w:cnfStyle w:val="000000000000" w:firstRow="0" w:lastRow="0" w:firstColumn="0" w:lastColumn="0" w:oddVBand="0" w:evenVBand="0" w:oddHBand="0" w:evenHBand="0" w:firstRowFirstColumn="0" w:firstRowLastColumn="0" w:lastRowFirstColumn="0" w:lastRowLastColumn="0"/>
            </w:pPr>
            <w:r>
              <w:t>National Gas Law</w:t>
            </w:r>
          </w:p>
        </w:tc>
      </w:tr>
      <w:tr w:rsidR="009A676B" w:rsidTr="009A67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A676B" w:rsidRDefault="009A676B" w:rsidP="009A676B">
            <w:pPr>
              <w:numPr>
                <w:ilvl w:val="0"/>
                <w:numId w:val="28"/>
              </w:numPr>
            </w:pPr>
            <w:r>
              <w:t>NGO</w:t>
            </w:r>
          </w:p>
        </w:tc>
        <w:tc>
          <w:tcPr>
            <w:tcW w:w="5041" w:type="dxa"/>
            <w:tcBorders>
              <w:top w:val="nil"/>
              <w:left w:val="nil"/>
              <w:bottom w:val="nil"/>
              <w:right w:val="nil"/>
            </w:tcBorders>
            <w:hideMark/>
          </w:tcPr>
          <w:p w:rsidR="009A676B" w:rsidRDefault="009A676B" w:rsidP="009A676B">
            <w:pPr>
              <w:numPr>
                <w:ilvl w:val="0"/>
                <w:numId w:val="28"/>
              </w:numPr>
              <w:cnfStyle w:val="000000010000" w:firstRow="0" w:lastRow="0" w:firstColumn="0" w:lastColumn="0" w:oddVBand="0" w:evenVBand="0" w:oddHBand="0" w:evenHBand="1" w:firstRowFirstColumn="0" w:firstRowLastColumn="0" w:lastRowFirstColumn="0" w:lastRowLastColumn="0"/>
            </w:pPr>
            <w:r>
              <w:t>National Gas Objective</w:t>
            </w:r>
          </w:p>
        </w:tc>
      </w:tr>
      <w:tr w:rsidR="009A676B" w:rsidTr="009A676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A676B" w:rsidRDefault="009A676B" w:rsidP="009A676B">
            <w:pPr>
              <w:numPr>
                <w:ilvl w:val="0"/>
                <w:numId w:val="28"/>
              </w:numPr>
            </w:pPr>
            <w:r>
              <w:t>NGR</w:t>
            </w:r>
          </w:p>
        </w:tc>
        <w:tc>
          <w:tcPr>
            <w:tcW w:w="5041" w:type="dxa"/>
            <w:tcBorders>
              <w:top w:val="nil"/>
              <w:left w:val="nil"/>
              <w:bottom w:val="nil"/>
              <w:right w:val="nil"/>
            </w:tcBorders>
            <w:hideMark/>
          </w:tcPr>
          <w:p w:rsidR="009A676B" w:rsidRDefault="009A676B" w:rsidP="009A676B">
            <w:pPr>
              <w:numPr>
                <w:ilvl w:val="0"/>
                <w:numId w:val="28"/>
              </w:numPr>
              <w:cnfStyle w:val="000000000000" w:firstRow="0" w:lastRow="0" w:firstColumn="0" w:lastColumn="0" w:oddVBand="0" w:evenVBand="0" w:oddHBand="0" w:evenHBand="0" w:firstRowFirstColumn="0" w:firstRowLastColumn="0" w:lastRowFirstColumn="0" w:lastRowLastColumn="0"/>
            </w:pPr>
            <w:r>
              <w:t>National Gas Rules</w:t>
            </w:r>
          </w:p>
        </w:tc>
      </w:tr>
      <w:tr w:rsidR="009A676B" w:rsidTr="009A67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A676B" w:rsidRDefault="009A676B" w:rsidP="009A676B">
            <w:pPr>
              <w:numPr>
                <w:ilvl w:val="0"/>
                <w:numId w:val="28"/>
              </w:numPr>
            </w:pPr>
            <w:r>
              <w:t>NIS</w:t>
            </w:r>
          </w:p>
        </w:tc>
        <w:tc>
          <w:tcPr>
            <w:tcW w:w="5041" w:type="dxa"/>
            <w:tcBorders>
              <w:top w:val="nil"/>
              <w:left w:val="nil"/>
              <w:bottom w:val="nil"/>
              <w:right w:val="nil"/>
            </w:tcBorders>
            <w:hideMark/>
          </w:tcPr>
          <w:p w:rsidR="009A676B" w:rsidRDefault="009A676B">
            <w:pPr>
              <w:cnfStyle w:val="000000010000" w:firstRow="0" w:lastRow="0" w:firstColumn="0" w:lastColumn="0" w:oddVBand="0" w:evenVBand="0" w:oddHBand="0" w:evenHBand="1" w:firstRowFirstColumn="0" w:firstRowLastColumn="0" w:lastRowFirstColumn="0" w:lastRowLastColumn="0"/>
            </w:pPr>
            <w:r>
              <w:t>Network Incentive Scheme</w:t>
            </w:r>
          </w:p>
        </w:tc>
      </w:tr>
      <w:tr w:rsidR="009A676B" w:rsidTr="009A676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A676B" w:rsidRDefault="009A676B" w:rsidP="009A676B">
            <w:pPr>
              <w:numPr>
                <w:ilvl w:val="0"/>
                <w:numId w:val="28"/>
              </w:numPr>
            </w:pPr>
            <w:r>
              <w:t>NPV</w:t>
            </w:r>
          </w:p>
        </w:tc>
        <w:tc>
          <w:tcPr>
            <w:tcW w:w="5041" w:type="dxa"/>
            <w:tcBorders>
              <w:top w:val="nil"/>
              <w:left w:val="nil"/>
              <w:bottom w:val="nil"/>
              <w:right w:val="nil"/>
            </w:tcBorders>
            <w:hideMark/>
          </w:tcPr>
          <w:p w:rsidR="009A676B" w:rsidRDefault="009A676B">
            <w:pPr>
              <w:cnfStyle w:val="000000000000" w:firstRow="0" w:lastRow="0" w:firstColumn="0" w:lastColumn="0" w:oddVBand="0" w:evenVBand="0" w:oddHBand="0" w:evenHBand="0" w:firstRowFirstColumn="0" w:firstRowLastColumn="0" w:lastRowFirstColumn="0" w:lastRowLastColumn="0"/>
            </w:pPr>
            <w:r>
              <w:t>net present value</w:t>
            </w:r>
          </w:p>
        </w:tc>
      </w:tr>
      <w:tr w:rsidR="009A676B" w:rsidTr="009A67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A676B" w:rsidRDefault="009A676B" w:rsidP="009A676B">
            <w:pPr>
              <w:numPr>
                <w:ilvl w:val="0"/>
                <w:numId w:val="28"/>
              </w:numPr>
            </w:pPr>
            <w:r>
              <w:t>opex</w:t>
            </w:r>
          </w:p>
        </w:tc>
        <w:tc>
          <w:tcPr>
            <w:tcW w:w="5041" w:type="dxa"/>
            <w:tcBorders>
              <w:top w:val="nil"/>
              <w:left w:val="nil"/>
              <w:bottom w:val="nil"/>
              <w:right w:val="nil"/>
            </w:tcBorders>
            <w:hideMark/>
          </w:tcPr>
          <w:p w:rsidR="009A676B" w:rsidRDefault="009A676B" w:rsidP="009A676B">
            <w:pPr>
              <w:numPr>
                <w:ilvl w:val="0"/>
                <w:numId w:val="28"/>
              </w:numPr>
              <w:cnfStyle w:val="000000010000" w:firstRow="0" w:lastRow="0" w:firstColumn="0" w:lastColumn="0" w:oddVBand="0" w:evenVBand="0" w:oddHBand="0" w:evenHBand="1" w:firstRowFirstColumn="0" w:firstRowLastColumn="0" w:lastRowFirstColumn="0" w:lastRowLastColumn="0"/>
            </w:pPr>
            <w:r>
              <w:t>operating expenditure</w:t>
            </w:r>
          </w:p>
        </w:tc>
      </w:tr>
      <w:tr w:rsidR="009A676B" w:rsidTr="009A676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A676B" w:rsidRDefault="009A676B" w:rsidP="009A676B">
            <w:pPr>
              <w:numPr>
                <w:ilvl w:val="0"/>
                <w:numId w:val="28"/>
              </w:numPr>
            </w:pPr>
            <w:r>
              <w:t>PFP</w:t>
            </w:r>
          </w:p>
        </w:tc>
        <w:tc>
          <w:tcPr>
            <w:tcW w:w="5041" w:type="dxa"/>
            <w:tcBorders>
              <w:top w:val="nil"/>
              <w:left w:val="nil"/>
              <w:bottom w:val="nil"/>
              <w:right w:val="nil"/>
            </w:tcBorders>
            <w:hideMark/>
          </w:tcPr>
          <w:p w:rsidR="009A676B" w:rsidRDefault="009A676B">
            <w:pPr>
              <w:cnfStyle w:val="000000000000" w:firstRow="0" w:lastRow="0" w:firstColumn="0" w:lastColumn="0" w:oddVBand="0" w:evenVBand="0" w:oddHBand="0" w:evenHBand="0" w:firstRowFirstColumn="0" w:firstRowLastColumn="0" w:lastRowFirstColumn="0" w:lastRowLastColumn="0"/>
            </w:pPr>
            <w:r>
              <w:t>partial factor productivity</w:t>
            </w:r>
          </w:p>
        </w:tc>
      </w:tr>
      <w:tr w:rsidR="009A676B" w:rsidTr="009A67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A676B" w:rsidRDefault="009A676B" w:rsidP="009A676B">
            <w:pPr>
              <w:numPr>
                <w:ilvl w:val="0"/>
                <w:numId w:val="28"/>
              </w:numPr>
            </w:pPr>
            <w:r>
              <w:t>PPI</w:t>
            </w:r>
          </w:p>
        </w:tc>
        <w:tc>
          <w:tcPr>
            <w:tcW w:w="5041" w:type="dxa"/>
            <w:tcBorders>
              <w:top w:val="nil"/>
              <w:left w:val="nil"/>
              <w:bottom w:val="nil"/>
              <w:right w:val="nil"/>
            </w:tcBorders>
            <w:hideMark/>
          </w:tcPr>
          <w:p w:rsidR="009A676B" w:rsidRDefault="009A676B" w:rsidP="009A676B">
            <w:pPr>
              <w:numPr>
                <w:ilvl w:val="0"/>
                <w:numId w:val="28"/>
              </w:numPr>
              <w:cnfStyle w:val="000000010000" w:firstRow="0" w:lastRow="0" w:firstColumn="0" w:lastColumn="0" w:oddVBand="0" w:evenVBand="0" w:oddHBand="0" w:evenHBand="1" w:firstRowFirstColumn="0" w:firstRowLastColumn="0" w:lastRowFirstColumn="0" w:lastRowLastColumn="0"/>
            </w:pPr>
            <w:r>
              <w:t>partial performance indicators</w:t>
            </w:r>
          </w:p>
        </w:tc>
      </w:tr>
      <w:tr w:rsidR="009A676B" w:rsidTr="009A676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A676B" w:rsidRDefault="009A676B" w:rsidP="009A676B">
            <w:pPr>
              <w:numPr>
                <w:ilvl w:val="0"/>
                <w:numId w:val="28"/>
              </w:numPr>
            </w:pPr>
            <w:r>
              <w:t>PTRM</w:t>
            </w:r>
          </w:p>
        </w:tc>
        <w:tc>
          <w:tcPr>
            <w:tcW w:w="5041" w:type="dxa"/>
            <w:tcBorders>
              <w:top w:val="nil"/>
              <w:left w:val="nil"/>
              <w:bottom w:val="nil"/>
              <w:right w:val="nil"/>
            </w:tcBorders>
            <w:hideMark/>
          </w:tcPr>
          <w:p w:rsidR="009A676B" w:rsidRDefault="009A676B" w:rsidP="009A676B">
            <w:pPr>
              <w:numPr>
                <w:ilvl w:val="0"/>
                <w:numId w:val="28"/>
              </w:numPr>
              <w:cnfStyle w:val="000000000000" w:firstRow="0" w:lastRow="0" w:firstColumn="0" w:lastColumn="0" w:oddVBand="0" w:evenVBand="0" w:oddHBand="0" w:evenHBand="0" w:firstRowFirstColumn="0" w:firstRowLastColumn="0" w:lastRowFirstColumn="0" w:lastRowLastColumn="0"/>
            </w:pPr>
            <w:r>
              <w:t>post-tax revenue model</w:t>
            </w:r>
          </w:p>
        </w:tc>
      </w:tr>
      <w:tr w:rsidR="009A676B" w:rsidTr="009A67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A676B" w:rsidRDefault="009A676B" w:rsidP="009A676B">
            <w:pPr>
              <w:numPr>
                <w:ilvl w:val="0"/>
                <w:numId w:val="28"/>
              </w:numPr>
            </w:pPr>
            <w:r>
              <w:t>RBA</w:t>
            </w:r>
          </w:p>
        </w:tc>
        <w:tc>
          <w:tcPr>
            <w:tcW w:w="5041" w:type="dxa"/>
            <w:tcBorders>
              <w:top w:val="nil"/>
              <w:left w:val="nil"/>
              <w:bottom w:val="nil"/>
              <w:right w:val="nil"/>
            </w:tcBorders>
            <w:hideMark/>
          </w:tcPr>
          <w:p w:rsidR="009A676B" w:rsidRDefault="009A676B" w:rsidP="009A676B">
            <w:pPr>
              <w:numPr>
                <w:ilvl w:val="0"/>
                <w:numId w:val="28"/>
              </w:numPr>
              <w:cnfStyle w:val="000000010000" w:firstRow="0" w:lastRow="0" w:firstColumn="0" w:lastColumn="0" w:oddVBand="0" w:evenVBand="0" w:oddHBand="0" w:evenHBand="1" w:firstRowFirstColumn="0" w:firstRowLastColumn="0" w:lastRowFirstColumn="0" w:lastRowLastColumn="0"/>
            </w:pPr>
            <w:r>
              <w:t>Reserve Bank of Australia</w:t>
            </w:r>
          </w:p>
        </w:tc>
      </w:tr>
      <w:tr w:rsidR="009A676B" w:rsidTr="009A676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A676B" w:rsidRDefault="009A676B" w:rsidP="009A676B">
            <w:pPr>
              <w:numPr>
                <w:ilvl w:val="0"/>
                <w:numId w:val="28"/>
              </w:numPr>
            </w:pPr>
            <w:r>
              <w:t>RFM</w:t>
            </w:r>
          </w:p>
        </w:tc>
        <w:tc>
          <w:tcPr>
            <w:tcW w:w="5041" w:type="dxa"/>
            <w:tcBorders>
              <w:top w:val="nil"/>
              <w:left w:val="nil"/>
              <w:bottom w:val="nil"/>
              <w:right w:val="nil"/>
            </w:tcBorders>
            <w:hideMark/>
          </w:tcPr>
          <w:p w:rsidR="009A676B" w:rsidRDefault="009A676B" w:rsidP="009A676B">
            <w:pPr>
              <w:numPr>
                <w:ilvl w:val="0"/>
                <w:numId w:val="28"/>
              </w:numPr>
              <w:cnfStyle w:val="000000000000" w:firstRow="0" w:lastRow="0" w:firstColumn="0" w:lastColumn="0" w:oddVBand="0" w:evenVBand="0" w:oddHBand="0" w:evenHBand="0" w:firstRowFirstColumn="0" w:firstRowLastColumn="0" w:lastRowFirstColumn="0" w:lastRowLastColumn="0"/>
            </w:pPr>
            <w:r>
              <w:t>roll forward model</w:t>
            </w:r>
          </w:p>
        </w:tc>
      </w:tr>
      <w:tr w:rsidR="009A676B" w:rsidTr="009A67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A676B" w:rsidRDefault="009A676B" w:rsidP="009A676B">
            <w:pPr>
              <w:numPr>
                <w:ilvl w:val="0"/>
                <w:numId w:val="28"/>
              </w:numPr>
            </w:pPr>
            <w:r>
              <w:t>RIN</w:t>
            </w:r>
          </w:p>
        </w:tc>
        <w:tc>
          <w:tcPr>
            <w:tcW w:w="5041" w:type="dxa"/>
            <w:tcBorders>
              <w:top w:val="nil"/>
              <w:left w:val="nil"/>
              <w:bottom w:val="nil"/>
              <w:right w:val="nil"/>
            </w:tcBorders>
            <w:hideMark/>
          </w:tcPr>
          <w:p w:rsidR="009A676B" w:rsidRDefault="009A676B" w:rsidP="009A676B">
            <w:pPr>
              <w:numPr>
                <w:ilvl w:val="0"/>
                <w:numId w:val="28"/>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9A676B" w:rsidTr="009A676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A676B" w:rsidRDefault="009A676B" w:rsidP="009A676B">
            <w:pPr>
              <w:numPr>
                <w:ilvl w:val="0"/>
                <w:numId w:val="28"/>
              </w:numPr>
            </w:pPr>
            <w:r>
              <w:t>RoLR</w:t>
            </w:r>
          </w:p>
        </w:tc>
        <w:tc>
          <w:tcPr>
            <w:tcW w:w="5041" w:type="dxa"/>
            <w:tcBorders>
              <w:top w:val="nil"/>
              <w:left w:val="nil"/>
              <w:bottom w:val="nil"/>
              <w:right w:val="nil"/>
            </w:tcBorders>
            <w:hideMark/>
          </w:tcPr>
          <w:p w:rsidR="009A676B" w:rsidRDefault="009A676B">
            <w:pPr>
              <w:cnfStyle w:val="000000000000" w:firstRow="0" w:lastRow="0" w:firstColumn="0" w:lastColumn="0" w:oddVBand="0" w:evenVBand="0" w:oddHBand="0" w:evenHBand="0" w:firstRowFirstColumn="0" w:firstRowLastColumn="0" w:lastRowFirstColumn="0" w:lastRowLastColumn="0"/>
            </w:pPr>
            <w:r>
              <w:t>retailer of last resort</w:t>
            </w:r>
          </w:p>
        </w:tc>
      </w:tr>
      <w:tr w:rsidR="009A676B" w:rsidTr="009A67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A676B" w:rsidRDefault="009A676B" w:rsidP="009A676B">
            <w:pPr>
              <w:numPr>
                <w:ilvl w:val="0"/>
                <w:numId w:val="28"/>
              </w:numPr>
            </w:pPr>
            <w:r>
              <w:t>RPP</w:t>
            </w:r>
          </w:p>
        </w:tc>
        <w:tc>
          <w:tcPr>
            <w:tcW w:w="5041" w:type="dxa"/>
            <w:tcBorders>
              <w:top w:val="nil"/>
              <w:left w:val="nil"/>
              <w:bottom w:val="nil"/>
              <w:right w:val="nil"/>
            </w:tcBorders>
            <w:hideMark/>
          </w:tcPr>
          <w:p w:rsidR="009A676B" w:rsidRDefault="009A676B" w:rsidP="009A676B">
            <w:pPr>
              <w:numPr>
                <w:ilvl w:val="0"/>
                <w:numId w:val="28"/>
              </w:numPr>
              <w:cnfStyle w:val="000000010000" w:firstRow="0" w:lastRow="0" w:firstColumn="0" w:lastColumn="0" w:oddVBand="0" w:evenVBand="0" w:oddHBand="0" w:evenHBand="1" w:firstRowFirstColumn="0" w:firstRowLastColumn="0" w:lastRowFirstColumn="0" w:lastRowLastColumn="0"/>
            </w:pPr>
            <w:r>
              <w:t>revenue and pricing principles</w:t>
            </w:r>
          </w:p>
        </w:tc>
      </w:tr>
      <w:tr w:rsidR="009A676B" w:rsidTr="009A676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A676B" w:rsidRDefault="009A676B" w:rsidP="009A676B">
            <w:pPr>
              <w:numPr>
                <w:ilvl w:val="0"/>
                <w:numId w:val="28"/>
              </w:numPr>
            </w:pPr>
            <w:r>
              <w:t>SLCAPM</w:t>
            </w:r>
          </w:p>
        </w:tc>
        <w:tc>
          <w:tcPr>
            <w:tcW w:w="5041" w:type="dxa"/>
            <w:tcBorders>
              <w:top w:val="nil"/>
              <w:left w:val="nil"/>
              <w:bottom w:val="nil"/>
              <w:right w:val="nil"/>
            </w:tcBorders>
            <w:hideMark/>
          </w:tcPr>
          <w:p w:rsidR="009A676B" w:rsidRDefault="009A676B" w:rsidP="009A676B">
            <w:pPr>
              <w:numPr>
                <w:ilvl w:val="0"/>
                <w:numId w:val="28"/>
              </w:numPr>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9A676B" w:rsidTr="009A67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A676B" w:rsidRDefault="009A676B" w:rsidP="009A676B">
            <w:pPr>
              <w:numPr>
                <w:ilvl w:val="0"/>
                <w:numId w:val="28"/>
              </w:numPr>
            </w:pPr>
            <w:r>
              <w:t>STPIS</w:t>
            </w:r>
          </w:p>
        </w:tc>
        <w:tc>
          <w:tcPr>
            <w:tcW w:w="5041" w:type="dxa"/>
            <w:tcBorders>
              <w:top w:val="nil"/>
              <w:left w:val="nil"/>
              <w:bottom w:val="nil"/>
              <w:right w:val="nil"/>
            </w:tcBorders>
            <w:hideMark/>
          </w:tcPr>
          <w:p w:rsidR="009A676B" w:rsidRDefault="009A676B">
            <w:pPr>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9A676B" w:rsidTr="009A676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A676B" w:rsidRDefault="009A676B" w:rsidP="009A676B">
            <w:pPr>
              <w:numPr>
                <w:ilvl w:val="0"/>
                <w:numId w:val="28"/>
              </w:numPr>
            </w:pPr>
            <w:r>
              <w:t>TAB</w:t>
            </w:r>
          </w:p>
        </w:tc>
        <w:tc>
          <w:tcPr>
            <w:tcW w:w="5041" w:type="dxa"/>
            <w:tcBorders>
              <w:top w:val="nil"/>
              <w:left w:val="nil"/>
              <w:bottom w:val="nil"/>
              <w:right w:val="nil"/>
            </w:tcBorders>
            <w:hideMark/>
          </w:tcPr>
          <w:p w:rsidR="009A676B" w:rsidRDefault="009A676B">
            <w:pPr>
              <w:cnfStyle w:val="000000000000" w:firstRow="0" w:lastRow="0" w:firstColumn="0" w:lastColumn="0" w:oddVBand="0" w:evenVBand="0" w:oddHBand="0" w:evenHBand="0" w:firstRowFirstColumn="0" w:firstRowLastColumn="0" w:lastRowFirstColumn="0" w:lastRowLastColumn="0"/>
            </w:pPr>
            <w:r>
              <w:t>tax asset base</w:t>
            </w:r>
          </w:p>
        </w:tc>
      </w:tr>
      <w:tr w:rsidR="009A676B" w:rsidTr="009A67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A676B" w:rsidRDefault="009A676B" w:rsidP="009A676B">
            <w:pPr>
              <w:numPr>
                <w:ilvl w:val="0"/>
                <w:numId w:val="28"/>
              </w:numPr>
            </w:pPr>
            <w:r>
              <w:t>UAFG</w:t>
            </w:r>
          </w:p>
        </w:tc>
        <w:tc>
          <w:tcPr>
            <w:tcW w:w="5041" w:type="dxa"/>
            <w:tcBorders>
              <w:top w:val="nil"/>
              <w:left w:val="nil"/>
              <w:bottom w:val="nil"/>
              <w:right w:val="nil"/>
            </w:tcBorders>
            <w:hideMark/>
          </w:tcPr>
          <w:p w:rsidR="009A676B" w:rsidRDefault="009A676B">
            <w:pPr>
              <w:cnfStyle w:val="000000010000" w:firstRow="0" w:lastRow="0" w:firstColumn="0" w:lastColumn="0" w:oddVBand="0" w:evenVBand="0" w:oddHBand="0" w:evenHBand="1" w:firstRowFirstColumn="0" w:firstRowLastColumn="0" w:lastRowFirstColumn="0" w:lastRowLastColumn="0"/>
            </w:pPr>
            <w:r>
              <w:t>unaccounted for gas</w:t>
            </w:r>
          </w:p>
        </w:tc>
      </w:tr>
      <w:tr w:rsidR="009A676B" w:rsidTr="009A676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A676B" w:rsidRDefault="009A676B" w:rsidP="009A676B">
            <w:pPr>
              <w:numPr>
                <w:ilvl w:val="0"/>
                <w:numId w:val="28"/>
              </w:numPr>
            </w:pPr>
            <w:r>
              <w:t>WACC</w:t>
            </w:r>
          </w:p>
        </w:tc>
        <w:tc>
          <w:tcPr>
            <w:tcW w:w="5041" w:type="dxa"/>
            <w:tcBorders>
              <w:top w:val="nil"/>
              <w:left w:val="nil"/>
              <w:bottom w:val="nil"/>
              <w:right w:val="nil"/>
            </w:tcBorders>
            <w:hideMark/>
          </w:tcPr>
          <w:p w:rsidR="009A676B" w:rsidRDefault="009A676B" w:rsidP="009A676B">
            <w:pPr>
              <w:numPr>
                <w:ilvl w:val="0"/>
                <w:numId w:val="28"/>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9A676B" w:rsidTr="009A67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single" w:sz="4" w:space="0" w:color="365F91"/>
              <w:right w:val="nil"/>
            </w:tcBorders>
            <w:hideMark/>
          </w:tcPr>
          <w:p w:rsidR="009A676B" w:rsidRDefault="009A676B" w:rsidP="009A676B">
            <w:pPr>
              <w:numPr>
                <w:ilvl w:val="0"/>
                <w:numId w:val="28"/>
              </w:numPr>
            </w:pPr>
            <w:r>
              <w:t>WPI</w:t>
            </w:r>
          </w:p>
        </w:tc>
        <w:tc>
          <w:tcPr>
            <w:tcW w:w="5041" w:type="dxa"/>
            <w:tcBorders>
              <w:top w:val="nil"/>
              <w:left w:val="nil"/>
              <w:bottom w:val="single" w:sz="4" w:space="0" w:color="365F91"/>
              <w:right w:val="nil"/>
            </w:tcBorders>
            <w:hideMark/>
          </w:tcPr>
          <w:p w:rsidR="009A676B" w:rsidRDefault="009A676B">
            <w:pPr>
              <w:cnfStyle w:val="000000010000" w:firstRow="0" w:lastRow="0" w:firstColumn="0" w:lastColumn="0" w:oddVBand="0" w:evenVBand="0" w:oddHBand="0" w:evenHBand="1" w:firstRowFirstColumn="0" w:firstRowLastColumn="0" w:lastRowFirstColumn="0" w:lastRowLastColumn="0"/>
            </w:pPr>
            <w:r>
              <w:t>Wage Price Index</w:t>
            </w:r>
          </w:p>
        </w:tc>
      </w:tr>
    </w:tbl>
    <w:p w:rsidR="009A676B" w:rsidRPr="009A676B" w:rsidRDefault="009A676B" w:rsidP="009A676B"/>
    <w:p w:rsidR="00DE563D" w:rsidRDefault="009D2B38" w:rsidP="009D2B38">
      <w:pPr>
        <w:pStyle w:val="Heading1"/>
      </w:pPr>
      <w:bookmarkStart w:id="9" w:name="_Toc451527803"/>
      <w:r>
        <w:t>Reference tariff variation mechanism</w:t>
      </w:r>
      <w:bookmarkEnd w:id="9"/>
    </w:p>
    <w:p w:rsidR="0067774D" w:rsidRDefault="0067774D" w:rsidP="0067774D">
      <w:r>
        <w:t xml:space="preserve">This attachment sets out our final decision on the reference tariff variation mechanism in AGN's revised access arrangement proposal for its South Australian Distribution Network for the 2016–21 access arrangement </w:t>
      </w:r>
      <w:proofErr w:type="gramStart"/>
      <w:r>
        <w:t>period</w:t>
      </w:r>
      <w:proofErr w:type="gramEnd"/>
      <w:r>
        <w:t>.</w:t>
      </w:r>
    </w:p>
    <w:p w:rsidR="0067774D" w:rsidRDefault="0067774D" w:rsidP="0067774D">
      <w:r>
        <w:t>The proposed reference tariff variation mechanism includes:</w:t>
      </w:r>
    </w:p>
    <w:p w:rsidR="0067774D" w:rsidRDefault="0067774D" w:rsidP="0067774D">
      <w:pPr>
        <w:pStyle w:val="AERbulletlistfirststyle"/>
      </w:pPr>
      <w:r>
        <w:t>an annual reference tariff variation mechanism, and</w:t>
      </w:r>
    </w:p>
    <w:p w:rsidR="002A4F97" w:rsidRPr="00F26D31" w:rsidRDefault="0067774D" w:rsidP="00E95766">
      <w:pPr>
        <w:pStyle w:val="AERbulletlistfirststyle"/>
      </w:pPr>
      <w:proofErr w:type="gramStart"/>
      <w:r>
        <w:t>a</w:t>
      </w:r>
      <w:proofErr w:type="gramEnd"/>
      <w:r>
        <w:t xml:space="preserve"> cost pass through mechanism, including a series of cost pass through events.</w:t>
      </w:r>
    </w:p>
    <w:p w:rsidR="00A2303E" w:rsidRDefault="00A2303E" w:rsidP="00A2303E">
      <w:pPr>
        <w:pStyle w:val="Heading2"/>
      </w:pPr>
      <w:bookmarkStart w:id="10" w:name="_Toc408404320"/>
      <w:bookmarkStart w:id="11" w:name="_Toc419366913"/>
      <w:bookmarkStart w:id="12" w:name="_Toc451527804"/>
      <w:r>
        <w:t>Final</w:t>
      </w:r>
      <w:r w:rsidRPr="0074565D">
        <w:t xml:space="preserve"> decision</w:t>
      </w:r>
      <w:bookmarkEnd w:id="10"/>
      <w:bookmarkEnd w:id="11"/>
      <w:bookmarkEnd w:id="12"/>
    </w:p>
    <w:p w:rsidR="000B467B" w:rsidRPr="000B467B" w:rsidRDefault="003E1F06" w:rsidP="000B467B">
      <w:r>
        <w:t>We accept some, but not all</w:t>
      </w:r>
      <w:r w:rsidR="00195F68">
        <w:t>,</w:t>
      </w:r>
      <w:r>
        <w:t xml:space="preserve"> elements of the reference tariff variation mechanism in AGN's revised access arrangement proposal.</w:t>
      </w:r>
    </w:p>
    <w:p w:rsidR="000B467B" w:rsidRPr="000B467B" w:rsidRDefault="000B467B" w:rsidP="000B467B">
      <w:r w:rsidRPr="000B467B">
        <w:t xml:space="preserve">We have revised the access arrangement having regard to our reasons for refusing to approve </w:t>
      </w:r>
      <w:r w:rsidR="00441E77">
        <w:t>AGN</w:t>
      </w:r>
      <w:r w:rsidRPr="000B467B">
        <w:t>'s proposal and the further matters identified in rule 64(2) of the NGR.</w:t>
      </w:r>
    </w:p>
    <w:p w:rsidR="000B467B" w:rsidRPr="000B467B" w:rsidRDefault="000B467B" w:rsidP="00D87EC9">
      <w:r w:rsidRPr="000B467B">
        <w:t xml:space="preserve">Our revisions are reflected in </w:t>
      </w:r>
      <w:r w:rsidR="00E41545">
        <w:t>clause</w:t>
      </w:r>
      <w:r w:rsidR="008E2C0C">
        <w:t>s 4.4.2,</w:t>
      </w:r>
      <w:r w:rsidR="00E41545">
        <w:t xml:space="preserve"> 4.5</w:t>
      </w:r>
      <w:r w:rsidR="008E2C0C">
        <w:t>, 4.6.1</w:t>
      </w:r>
      <w:r w:rsidR="00E41545">
        <w:t xml:space="preserve"> and</w:t>
      </w:r>
      <w:r w:rsidR="009E4713">
        <w:t xml:space="preserve"> </w:t>
      </w:r>
      <w:r w:rsidR="00DA5A41">
        <w:t>Boxes 1, 2, 4 and 5 of Annexure E</w:t>
      </w:r>
      <w:r w:rsidRPr="000B467B">
        <w:t xml:space="preserve"> of the Approved </w:t>
      </w:r>
      <w:r w:rsidR="00441E77" w:rsidRPr="00441E77">
        <w:t>Access Arrangement for AGN's South Australian Gas Distribution Network 1 July 2016-30 June 2021</w:t>
      </w:r>
      <w:r w:rsidRPr="000B467B">
        <w:t>, which gives effect to our decision.</w:t>
      </w:r>
      <w:r w:rsidR="00E95766">
        <w:rPr>
          <w:rStyle w:val="FootnoteReference"/>
        </w:rPr>
        <w:footnoteReference w:id="1"/>
      </w:r>
    </w:p>
    <w:p w:rsidR="00590B5D" w:rsidRDefault="004322E6" w:rsidP="004322E6">
      <w:pPr>
        <w:pStyle w:val="Heading3"/>
      </w:pPr>
      <w:bookmarkStart w:id="13" w:name="_Toc451527805"/>
      <w:r>
        <w:t>Annual reference tariff variation mechanism</w:t>
      </w:r>
      <w:bookmarkEnd w:id="13"/>
    </w:p>
    <w:p w:rsidR="003600E7" w:rsidRDefault="00D90253" w:rsidP="005E5BEE">
      <w:r>
        <w:t>We</w:t>
      </w:r>
      <w:r w:rsidR="00FE7BB0">
        <w:t xml:space="preserve"> </w:t>
      </w:r>
      <w:r w:rsidR="003600E7">
        <w:t>do not accept</w:t>
      </w:r>
      <w:r w:rsidR="000378F1" w:rsidDel="000378F1">
        <w:t xml:space="preserve"> </w:t>
      </w:r>
      <w:r>
        <w:t>AGN's</w:t>
      </w:r>
      <w:r w:rsidR="000378F1">
        <w:t xml:space="preserve"> revised propos</w:t>
      </w:r>
      <w:r w:rsidR="00614FE6">
        <w:t>al</w:t>
      </w:r>
      <w:r w:rsidR="00692326">
        <w:t xml:space="preserve"> </w:t>
      </w:r>
      <w:r>
        <w:t>annual reference tariff</w:t>
      </w:r>
      <w:r w:rsidR="005E5BEE">
        <w:t xml:space="preserve"> variation</w:t>
      </w:r>
      <w:r>
        <w:t xml:space="preserve"> mechanism.</w:t>
      </w:r>
      <w:r w:rsidR="007A168E">
        <w:t xml:space="preserve"> Specifically, we do not accept </w:t>
      </w:r>
      <w:r w:rsidR="00614FE6">
        <w:t>AGN's</w:t>
      </w:r>
      <w:r w:rsidR="007A168E">
        <w:t xml:space="preserve"> proposed changes to our draft decision </w:t>
      </w:r>
      <w:r w:rsidR="007A168E" w:rsidRPr="007A168E">
        <w:t>adjustment factor formula to accommodate price variations in unaccounted for gas.</w:t>
      </w:r>
      <w:r w:rsidR="007A168E">
        <w:rPr>
          <w:rStyle w:val="FootnoteReference"/>
        </w:rPr>
        <w:footnoteReference w:id="2"/>
      </w:r>
    </w:p>
    <w:p w:rsidR="009357D3" w:rsidRDefault="007A168E" w:rsidP="005E5BEE">
      <w:r>
        <w:t xml:space="preserve">We </w:t>
      </w:r>
      <w:r w:rsidR="004E7F53">
        <w:t xml:space="preserve">also </w:t>
      </w:r>
      <w:r>
        <w:t>note that our draft decision contained errors in this</w:t>
      </w:r>
      <w:r w:rsidR="00614FE6">
        <w:t xml:space="preserve"> particular</w:t>
      </w:r>
      <w:r>
        <w:t xml:space="preserve"> formula. </w:t>
      </w:r>
      <w:r w:rsidR="005E5BEE">
        <w:t>Our final decision is to apply</w:t>
      </w:r>
      <w:r w:rsidR="003600E7">
        <w:t xml:space="preserve"> an amended version of</w:t>
      </w:r>
      <w:r w:rsidR="005E5BEE">
        <w:t xml:space="preserve"> </w:t>
      </w:r>
      <w:r>
        <w:t xml:space="preserve">our draft decision </w:t>
      </w:r>
      <w:r w:rsidR="005E5BEE">
        <w:t xml:space="preserve">annual reference tariff variation mechanism </w:t>
      </w:r>
      <w:r>
        <w:t xml:space="preserve">which </w:t>
      </w:r>
      <w:r w:rsidR="00E44982">
        <w:t>corrects</w:t>
      </w:r>
      <w:r>
        <w:t xml:space="preserve"> these errors</w:t>
      </w:r>
      <w:r w:rsidR="005E5BEE">
        <w:t>.</w:t>
      </w:r>
      <w:r w:rsidR="005E5BEE">
        <w:rPr>
          <w:rStyle w:val="FootnoteReference"/>
        </w:rPr>
        <w:footnoteReference w:id="3"/>
      </w:r>
    </w:p>
    <w:p w:rsidR="009357D3" w:rsidRDefault="009357D3" w:rsidP="009357D3">
      <w:r>
        <w:t>Our final decision is that amendments to the following elements of the reference tariff variation mechanism are preferable to AGN's proposal and comply with the National Gas Law (NGL) and National Gas Rules (NGR):</w:t>
      </w:r>
    </w:p>
    <w:p w:rsidR="00AA3056" w:rsidRDefault="00AA3056" w:rsidP="00AA3056">
      <w:pPr>
        <w:pStyle w:val="AERbulletlistfirststyle"/>
      </w:pPr>
      <w:r>
        <w:t xml:space="preserve">Amend clause 4.4.2 in the AGN access arrangement to be consistent with </w:t>
      </w:r>
      <w:r>
        <w:fldChar w:fldCharType="begin"/>
      </w:r>
      <w:r>
        <w:instrText xml:space="preserve"> REF  _Ref443924387 \* Lower \h </w:instrText>
      </w:r>
      <w:r>
        <w:fldChar w:fldCharType="separate"/>
      </w:r>
      <w:r w:rsidR="00AD3CCA">
        <w:t xml:space="preserve">figure </w:t>
      </w:r>
      <w:r w:rsidR="00AD3CCA">
        <w:rPr>
          <w:noProof/>
        </w:rPr>
        <w:t>11</w:t>
      </w:r>
      <w:r w:rsidR="00AD3CCA">
        <w:t>.</w:t>
      </w:r>
      <w:r w:rsidR="00AD3CCA">
        <w:rPr>
          <w:noProof/>
        </w:rPr>
        <w:t>7</w:t>
      </w:r>
      <w:r>
        <w:fldChar w:fldCharType="end"/>
      </w:r>
      <w:r>
        <w:t xml:space="preserve"> in Attachment 11 of our Final Decision</w:t>
      </w:r>
      <w:r w:rsidR="00195F68">
        <w:t>.</w:t>
      </w:r>
    </w:p>
    <w:p w:rsidR="00F033CE" w:rsidRDefault="005D0BF1" w:rsidP="009357D3">
      <w:pPr>
        <w:pStyle w:val="AERbulletlistfirststyle"/>
      </w:pPr>
      <w:r>
        <w:t>Amend clause 4.6.1 in the AGN access arrangement to reflect our final decision that the tariff variation notification will be submitted 50 business days before the date of implementation.</w:t>
      </w:r>
    </w:p>
    <w:p w:rsidR="006B4ECF" w:rsidRDefault="009357D3" w:rsidP="009357D3">
      <w:pPr>
        <w:pStyle w:val="AERbulletlistfirststyle"/>
      </w:pPr>
      <w:r>
        <w:t xml:space="preserve">Amend Box 4 in Annexure E in the AGN access arrangement to be consistent with </w:t>
      </w:r>
      <w:r>
        <w:fldChar w:fldCharType="begin"/>
      </w:r>
      <w:r>
        <w:instrText xml:space="preserve"> REF  _Ref443922199 \* Lower \h </w:instrText>
      </w:r>
      <w:r>
        <w:fldChar w:fldCharType="separate"/>
      </w:r>
      <w:r w:rsidR="006235F9">
        <w:t xml:space="preserve">figure </w:t>
      </w:r>
      <w:r w:rsidR="006235F9">
        <w:rPr>
          <w:noProof/>
        </w:rPr>
        <w:t>11</w:t>
      </w:r>
      <w:r w:rsidR="006235F9">
        <w:t>.</w:t>
      </w:r>
      <w:r w:rsidR="006235F9">
        <w:rPr>
          <w:noProof/>
        </w:rPr>
        <w:t>5</w:t>
      </w:r>
      <w:r>
        <w:fldChar w:fldCharType="end"/>
      </w:r>
      <w:r>
        <w:t xml:space="preserve"> in Attachment 11 of our Final Decision</w:t>
      </w:r>
      <w:r w:rsidR="00195F68">
        <w:t>.</w:t>
      </w:r>
    </w:p>
    <w:p w:rsidR="009357D3" w:rsidRDefault="006B4ECF" w:rsidP="009357D3">
      <w:pPr>
        <w:pStyle w:val="AERbulletlistfirststyle"/>
      </w:pPr>
      <w:r>
        <w:t xml:space="preserve">Amend Box 5 in Annexure E in the AGN access arrangement to be consistent with </w:t>
      </w:r>
      <w:r>
        <w:fldChar w:fldCharType="begin"/>
      </w:r>
      <w:r>
        <w:instrText xml:space="preserve"> REF  _Ref443924516 \* Lower \h </w:instrText>
      </w:r>
      <w:r>
        <w:fldChar w:fldCharType="separate"/>
      </w:r>
      <w:r w:rsidR="006235F9">
        <w:t xml:space="preserve">figure </w:t>
      </w:r>
      <w:r w:rsidR="006235F9">
        <w:rPr>
          <w:noProof/>
        </w:rPr>
        <w:t>11</w:t>
      </w:r>
      <w:r w:rsidR="006235F9">
        <w:t>.</w:t>
      </w:r>
      <w:r w:rsidR="006235F9">
        <w:rPr>
          <w:noProof/>
        </w:rPr>
        <w:t>6</w:t>
      </w:r>
      <w:r>
        <w:fldChar w:fldCharType="end"/>
      </w:r>
      <w:r>
        <w:t xml:space="preserve"> in Attachment 11 of our Final Decision</w:t>
      </w:r>
      <w:r w:rsidR="005A56C0">
        <w:t>.</w:t>
      </w:r>
    </w:p>
    <w:p w:rsidR="005E5BEE" w:rsidRDefault="005E5BEE" w:rsidP="005E5BEE">
      <w:r>
        <w:t xml:space="preserve">Our reasons for this decision are set out in section </w:t>
      </w:r>
      <w:r>
        <w:fldChar w:fldCharType="begin"/>
      </w:r>
      <w:r>
        <w:instrText xml:space="preserve"> REF _Ref437270227 \r \h </w:instrText>
      </w:r>
      <w:r>
        <w:fldChar w:fldCharType="separate"/>
      </w:r>
      <w:r w:rsidR="006235F9">
        <w:t>11.4.1</w:t>
      </w:r>
      <w:r>
        <w:fldChar w:fldCharType="end"/>
      </w:r>
      <w:r>
        <w:t>.</w:t>
      </w:r>
    </w:p>
    <w:p w:rsidR="006B4ECF" w:rsidRDefault="006B4ECF" w:rsidP="005E5BEE">
      <w:r>
        <w:t>Our final decision has also reinstated indices in Boxes 1, 2, 4 and 5 in Annexure E which were inadvertently omitted from AGN's revised access arrangement.</w:t>
      </w:r>
    </w:p>
    <w:p w:rsidR="004322E6" w:rsidRDefault="004322E6" w:rsidP="004322E6">
      <w:pPr>
        <w:pStyle w:val="Heading3"/>
      </w:pPr>
      <w:bookmarkStart w:id="14" w:name="_Toc451527806"/>
      <w:r>
        <w:t>Cost pass through events</w:t>
      </w:r>
      <w:bookmarkEnd w:id="14"/>
    </w:p>
    <w:p w:rsidR="00D90253" w:rsidRDefault="00D90253" w:rsidP="004322E6">
      <w:r>
        <w:t>We accept</w:t>
      </w:r>
      <w:r w:rsidR="00681503">
        <w:t xml:space="preserve"> all but one of</w:t>
      </w:r>
      <w:r>
        <w:t xml:space="preserve"> AGN's proposed cost pass through events.</w:t>
      </w:r>
    </w:p>
    <w:p w:rsidR="004322E6" w:rsidRDefault="004322E6" w:rsidP="004322E6">
      <w:r>
        <w:t xml:space="preserve">Our final decision is that the following cost pass through events will be included in AGN’s reference tariff variation mechanism for the 2016–21 access arrangement </w:t>
      </w:r>
      <w:proofErr w:type="gramStart"/>
      <w:r>
        <w:t>period</w:t>
      </w:r>
      <w:proofErr w:type="gramEnd"/>
      <w:r>
        <w:t>:</w:t>
      </w:r>
    </w:p>
    <w:p w:rsidR="00E95766" w:rsidRDefault="00872C03" w:rsidP="00E269AE">
      <w:pPr>
        <w:pStyle w:val="Caption"/>
      </w:pPr>
      <w:proofErr w:type="gramStart"/>
      <w:r>
        <w:t xml:space="preserve">Table </w:t>
      </w:r>
      <w:proofErr w:type="gramEnd"/>
      <w:r>
        <w:fldChar w:fldCharType="begin"/>
      </w:r>
      <w:r>
        <w:instrText xml:space="preserve"> STYLEREF 1 \s </w:instrText>
      </w:r>
      <w:r>
        <w:fldChar w:fldCharType="separate"/>
      </w:r>
      <w:r>
        <w:rPr>
          <w:noProof/>
        </w:rPr>
        <w:t>11</w:t>
      </w:r>
      <w:r>
        <w:fldChar w:fldCharType="end"/>
      </w:r>
      <w:proofErr w:type="gramStart"/>
      <w:r>
        <w:t>.</w:t>
      </w:r>
      <w:proofErr w:type="gramEnd"/>
      <w:r>
        <w:fldChar w:fldCharType="begin"/>
      </w:r>
      <w:r>
        <w:instrText xml:space="preserve"> SEQ Table \* ARABIC \s 1 </w:instrText>
      </w:r>
      <w:r>
        <w:fldChar w:fldCharType="separate"/>
      </w:r>
      <w:r>
        <w:rPr>
          <w:noProof/>
        </w:rPr>
        <w:t>1</w:t>
      </w:r>
      <w:r>
        <w:fldChar w:fldCharType="end"/>
      </w:r>
      <w:r>
        <w:tab/>
      </w:r>
      <w:r w:rsidRPr="00872C03">
        <w:t>Approved pass through events</w:t>
      </w:r>
    </w:p>
    <w:tbl>
      <w:tblPr>
        <w:tblStyle w:val="AERtable-text0"/>
        <w:tblW w:w="0" w:type="auto"/>
        <w:tblLook w:val="04A0" w:firstRow="1" w:lastRow="0" w:firstColumn="1" w:lastColumn="0" w:noHBand="0" w:noVBand="1"/>
      </w:tblPr>
      <w:tblGrid>
        <w:gridCol w:w="2518"/>
        <w:gridCol w:w="6175"/>
      </w:tblGrid>
      <w:tr w:rsidR="004322E6" w:rsidTr="007F53F3">
        <w:trPr>
          <w:cnfStyle w:val="100000000000" w:firstRow="1" w:lastRow="0" w:firstColumn="0" w:lastColumn="0" w:oddVBand="0" w:evenVBand="0" w:oddHBand="0" w:evenHBand="0" w:firstRowFirstColumn="0" w:firstRowLastColumn="0" w:lastRowFirstColumn="0" w:lastRowLastColumn="0"/>
          <w:tblHeader/>
        </w:trPr>
        <w:tc>
          <w:tcPr>
            <w:tcW w:w="2518" w:type="dxa"/>
          </w:tcPr>
          <w:p w:rsidR="004322E6" w:rsidRDefault="004322E6" w:rsidP="004322E6">
            <w:r>
              <w:t>Cost pass through event</w:t>
            </w:r>
          </w:p>
        </w:tc>
        <w:tc>
          <w:tcPr>
            <w:tcW w:w="6175" w:type="dxa"/>
          </w:tcPr>
          <w:p w:rsidR="004322E6" w:rsidRDefault="004322E6" w:rsidP="004322E6">
            <w:r>
              <w:t>Definition</w:t>
            </w:r>
          </w:p>
        </w:tc>
      </w:tr>
      <w:tr w:rsidR="004322E6" w:rsidTr="004322E6">
        <w:tc>
          <w:tcPr>
            <w:tcW w:w="2518" w:type="dxa"/>
          </w:tcPr>
          <w:p w:rsidR="004322E6" w:rsidRDefault="00681503" w:rsidP="004322E6">
            <w:r>
              <w:t>Regulatory change event</w:t>
            </w:r>
          </w:p>
        </w:tc>
        <w:tc>
          <w:tcPr>
            <w:tcW w:w="6175" w:type="dxa"/>
          </w:tcPr>
          <w:p w:rsidR="00681503" w:rsidRPr="00681503" w:rsidRDefault="00681503" w:rsidP="00681503">
            <w:r w:rsidRPr="00681503">
              <w:t xml:space="preserve">‘Regulatory Change Event’ means: </w:t>
            </w:r>
          </w:p>
          <w:p w:rsidR="00681503" w:rsidRPr="00681503" w:rsidRDefault="00681503" w:rsidP="00681503">
            <w:r w:rsidRPr="00681503">
              <w:t xml:space="preserve">A change in a regulatory obligation or requirement that: </w:t>
            </w:r>
          </w:p>
          <w:p w:rsidR="00681503" w:rsidRPr="00681503" w:rsidRDefault="00681503" w:rsidP="00681503">
            <w:r w:rsidRPr="00681503">
              <w:t xml:space="preserve">(a) falls within no other category of pass through event; and </w:t>
            </w:r>
          </w:p>
          <w:p w:rsidR="00681503" w:rsidRPr="00681503" w:rsidRDefault="00681503" w:rsidP="00681503">
            <w:r w:rsidRPr="00681503">
              <w:t xml:space="preserve">(b) occurs during the course of an access arrangement period; and </w:t>
            </w:r>
          </w:p>
          <w:p w:rsidR="00681503" w:rsidRPr="00681503" w:rsidRDefault="00681503" w:rsidP="00681503">
            <w:r w:rsidRPr="00681503">
              <w:t xml:space="preserve">(c) substantially affects the manner in which AGN provides Reference Services; and </w:t>
            </w:r>
          </w:p>
          <w:p w:rsidR="004322E6" w:rsidRDefault="00681503" w:rsidP="007E4C67">
            <w:r w:rsidRPr="00681503">
              <w:t xml:space="preserve">(d) </w:t>
            </w:r>
            <w:proofErr w:type="gramStart"/>
            <w:r w:rsidRPr="00681503">
              <w:t>materially</w:t>
            </w:r>
            <w:proofErr w:type="gramEnd"/>
            <w:r w:rsidRPr="00681503">
              <w:t xml:space="preserve"> increases or materially decreases the costs of providing those services. </w:t>
            </w:r>
          </w:p>
        </w:tc>
      </w:tr>
      <w:tr w:rsidR="004322E6" w:rsidTr="004322E6">
        <w:trPr>
          <w:cnfStyle w:val="000000010000" w:firstRow="0" w:lastRow="0" w:firstColumn="0" w:lastColumn="0" w:oddVBand="0" w:evenVBand="0" w:oddHBand="0" w:evenHBand="1" w:firstRowFirstColumn="0" w:firstRowLastColumn="0" w:lastRowFirstColumn="0" w:lastRowLastColumn="0"/>
        </w:trPr>
        <w:tc>
          <w:tcPr>
            <w:tcW w:w="2518" w:type="dxa"/>
          </w:tcPr>
          <w:p w:rsidR="004322E6" w:rsidRDefault="00681503" w:rsidP="004322E6">
            <w:r>
              <w:t>Service standard event</w:t>
            </w:r>
          </w:p>
        </w:tc>
        <w:tc>
          <w:tcPr>
            <w:tcW w:w="6175" w:type="dxa"/>
          </w:tcPr>
          <w:p w:rsidR="00681503" w:rsidRPr="00681503" w:rsidRDefault="00681503" w:rsidP="00681503">
            <w:r w:rsidRPr="00681503">
              <w:t xml:space="preserve">‘Service Standard Event’ means: </w:t>
            </w:r>
          </w:p>
          <w:p w:rsidR="00681503" w:rsidRPr="00681503" w:rsidRDefault="00681503" w:rsidP="00681503">
            <w:r w:rsidRPr="00681503">
              <w:t xml:space="preserve">A legislative or administrative act or decision that: </w:t>
            </w:r>
          </w:p>
          <w:p w:rsidR="00681503" w:rsidRPr="00681503" w:rsidRDefault="00681503" w:rsidP="00681503">
            <w:r w:rsidRPr="00681503">
              <w:t xml:space="preserve">(a) has the effect of: </w:t>
            </w:r>
          </w:p>
          <w:p w:rsidR="00681503" w:rsidRPr="00681503" w:rsidRDefault="00681503" w:rsidP="007E4C67">
            <w:pPr>
              <w:ind w:left="340"/>
            </w:pPr>
            <w:r w:rsidRPr="00681503">
              <w:t>(i) substantially varying, during the course of an access arrangement period, the manner in which AGN is required to provide the Reference Service</w:t>
            </w:r>
            <w:r w:rsidR="00413C7E">
              <w:t>s</w:t>
            </w:r>
            <w:r w:rsidRPr="00681503">
              <w:t xml:space="preserve">; or </w:t>
            </w:r>
          </w:p>
          <w:p w:rsidR="00681503" w:rsidRPr="00681503" w:rsidRDefault="00681503" w:rsidP="007E4C67">
            <w:pPr>
              <w:ind w:left="340"/>
            </w:pPr>
            <w:r w:rsidRPr="00681503">
              <w:t>(ii) imposing, removing or varying, during the course of an access arrangement period, minimum service standards applicable to the Reference Service</w:t>
            </w:r>
            <w:r w:rsidR="00413C7E">
              <w:t>s</w:t>
            </w:r>
            <w:r w:rsidRPr="00681503">
              <w:t xml:space="preserve">; or </w:t>
            </w:r>
          </w:p>
          <w:p w:rsidR="00681503" w:rsidRPr="00681503" w:rsidRDefault="00681503" w:rsidP="007E4C67">
            <w:pPr>
              <w:ind w:left="340"/>
            </w:pPr>
            <w:r w:rsidRPr="00681503">
              <w:t>(iii) altering, during the course of an access arrangement period, the nature or scope of the Reference Service</w:t>
            </w:r>
            <w:r w:rsidR="00413C7E">
              <w:t>s</w:t>
            </w:r>
            <w:r w:rsidRPr="00681503">
              <w:t xml:space="preserve">, provided by AGN; and </w:t>
            </w:r>
          </w:p>
          <w:p w:rsidR="004322E6" w:rsidRDefault="00681503" w:rsidP="00681503">
            <w:r w:rsidRPr="00681503">
              <w:rPr>
                <w:lang w:eastAsia="en-US"/>
              </w:rPr>
              <w:t xml:space="preserve">(b) </w:t>
            </w:r>
            <w:proofErr w:type="gramStart"/>
            <w:r w:rsidRPr="00681503">
              <w:rPr>
                <w:lang w:eastAsia="en-US"/>
              </w:rPr>
              <w:t>materially</w:t>
            </w:r>
            <w:proofErr w:type="gramEnd"/>
            <w:r w:rsidRPr="00681503">
              <w:rPr>
                <w:lang w:eastAsia="en-US"/>
              </w:rPr>
              <w:t xml:space="preserve"> increases or materially decreases the costs to AGN of providing the Reference Service</w:t>
            </w:r>
            <w:r w:rsidR="00413C7E">
              <w:t>s</w:t>
            </w:r>
            <w:r w:rsidRPr="00681503">
              <w:rPr>
                <w:lang w:eastAsia="en-US"/>
              </w:rPr>
              <w:t>.</w:t>
            </w:r>
          </w:p>
        </w:tc>
      </w:tr>
      <w:tr w:rsidR="00681503" w:rsidTr="004322E6">
        <w:tc>
          <w:tcPr>
            <w:tcW w:w="2518" w:type="dxa"/>
          </w:tcPr>
          <w:p w:rsidR="00681503" w:rsidRDefault="00681503" w:rsidP="004322E6">
            <w:r>
              <w:t>Tax change event</w:t>
            </w:r>
          </w:p>
        </w:tc>
        <w:tc>
          <w:tcPr>
            <w:tcW w:w="6175" w:type="dxa"/>
          </w:tcPr>
          <w:p w:rsidR="00681503" w:rsidRPr="00681503" w:rsidRDefault="00681503" w:rsidP="00681503">
            <w:r w:rsidRPr="00681503">
              <w:t xml:space="preserve">‘Tax Change Event’ means: </w:t>
            </w:r>
          </w:p>
          <w:p w:rsidR="00681503" w:rsidRPr="00681503" w:rsidRDefault="00681503" w:rsidP="00681503">
            <w:r w:rsidRPr="00681503">
              <w:t xml:space="preserve">A tax change event occurs if any of the following occurs during the course of an access arrangement period for AGN: </w:t>
            </w:r>
          </w:p>
          <w:p w:rsidR="00681503" w:rsidRPr="00681503" w:rsidRDefault="00681503" w:rsidP="00681503">
            <w:r w:rsidRPr="00681503">
              <w:t xml:space="preserve">(a) a change in a Relevant Tax, in the application or official interpretation of a Relevant Tax, in the rate of a Relevant Tax, or in the way a Relevant Tax is calculated; </w:t>
            </w:r>
          </w:p>
          <w:p w:rsidR="00681503" w:rsidRPr="00681503" w:rsidRDefault="00681503" w:rsidP="00681503">
            <w:r w:rsidRPr="00681503">
              <w:t xml:space="preserve">(b) the removal of a Relevant Tax; </w:t>
            </w:r>
          </w:p>
          <w:p w:rsidR="00681503" w:rsidRPr="00681503" w:rsidRDefault="00681503" w:rsidP="00681503">
            <w:r w:rsidRPr="00681503">
              <w:t xml:space="preserve">(c) the imposition of a Relevant Tax; and </w:t>
            </w:r>
          </w:p>
          <w:p w:rsidR="00681503" w:rsidRDefault="00681503" w:rsidP="00631A3F">
            <w:proofErr w:type="gramStart"/>
            <w:r w:rsidRPr="00681503">
              <w:rPr>
                <w:lang w:eastAsia="en-US"/>
              </w:rPr>
              <w:t>in</w:t>
            </w:r>
            <w:proofErr w:type="gramEnd"/>
            <w:r w:rsidRPr="00681503">
              <w:rPr>
                <w:lang w:eastAsia="en-US"/>
              </w:rPr>
              <w:t xml:space="preserve"> consequence, the costs to AGN of providing prescribed </w:t>
            </w:r>
            <w:r w:rsidR="00631A3F">
              <w:t>R</w:t>
            </w:r>
            <w:r w:rsidR="00631A3F" w:rsidRPr="00681503">
              <w:rPr>
                <w:lang w:eastAsia="en-US"/>
              </w:rPr>
              <w:t xml:space="preserve">eference </w:t>
            </w:r>
            <w:r w:rsidR="00631A3F">
              <w:t>S</w:t>
            </w:r>
            <w:r w:rsidRPr="00681503">
              <w:rPr>
                <w:lang w:eastAsia="en-US"/>
              </w:rPr>
              <w:t>ervices are materially increased or decreased.</w:t>
            </w:r>
          </w:p>
        </w:tc>
      </w:tr>
      <w:tr w:rsidR="00681503" w:rsidTr="004322E6">
        <w:trPr>
          <w:cnfStyle w:val="000000010000" w:firstRow="0" w:lastRow="0" w:firstColumn="0" w:lastColumn="0" w:oddVBand="0" w:evenVBand="0" w:oddHBand="0" w:evenHBand="1" w:firstRowFirstColumn="0" w:firstRowLastColumn="0" w:lastRowFirstColumn="0" w:lastRowLastColumn="0"/>
        </w:trPr>
        <w:tc>
          <w:tcPr>
            <w:tcW w:w="2518" w:type="dxa"/>
          </w:tcPr>
          <w:p w:rsidR="00681503" w:rsidRDefault="00681503" w:rsidP="004322E6">
            <w:r>
              <w:t>Terrorism event</w:t>
            </w:r>
          </w:p>
        </w:tc>
        <w:tc>
          <w:tcPr>
            <w:tcW w:w="6175" w:type="dxa"/>
          </w:tcPr>
          <w:p w:rsidR="0062358F" w:rsidRDefault="0062358F" w:rsidP="00681503">
            <w:r>
              <w:t>Terrorism event means an act</w:t>
            </w:r>
            <w:r w:rsidR="00681503" w:rsidRPr="00681503">
              <w:t xml:space="preserve"> (including, but not limited to, the use of force or violence or the threat of force or violence) of any person or group of persons (whether acting alone or on behalf of or in connection with any organisation or government), which</w:t>
            </w:r>
            <w:r>
              <w:t>:</w:t>
            </w:r>
          </w:p>
          <w:p w:rsidR="0062358F" w:rsidRDefault="0062358F" w:rsidP="00681503">
            <w:r>
              <w:t xml:space="preserve">(a) </w:t>
            </w:r>
            <w:r w:rsidR="00681503" w:rsidRPr="00681503">
              <w:t xml:space="preserve"> from its nature or context is done for, or in connection with, political, religious, ideological, ethnic or similar purposes or reasons (including the intention to influence or intimidate any government and/or put the public, or any section of the public, in fear) and </w:t>
            </w:r>
          </w:p>
          <w:p w:rsidR="00681503" w:rsidRPr="00681503" w:rsidRDefault="0062358F" w:rsidP="00681503">
            <w:r>
              <w:t xml:space="preserve">(b) </w:t>
            </w:r>
            <w:proofErr w:type="gramStart"/>
            <w:r w:rsidR="00681503" w:rsidRPr="00681503">
              <w:t>increases</w:t>
            </w:r>
            <w:proofErr w:type="gramEnd"/>
            <w:r w:rsidR="00681503" w:rsidRPr="00681503">
              <w:t xml:space="preserve"> the costs to AGN of providing the Reference Service. </w:t>
            </w:r>
          </w:p>
          <w:p w:rsidR="00681503" w:rsidRPr="00681503" w:rsidRDefault="00681503" w:rsidP="00681503">
            <w:r w:rsidRPr="00681503">
              <w:t xml:space="preserve">Note for the avoidance of doubt, in making a determination on a Terrorism Event, the AER will have regard to, amongst other things: </w:t>
            </w:r>
          </w:p>
          <w:p w:rsidR="00681503" w:rsidRPr="00681503" w:rsidRDefault="00681503" w:rsidP="00681503">
            <w:r w:rsidRPr="00681503">
              <w:t>(</w:t>
            </w:r>
            <w:r w:rsidR="0062358F">
              <w:t>i</w:t>
            </w:r>
            <w:r w:rsidRPr="00681503">
              <w:t xml:space="preserve">) whether AGN has insurance against the event; </w:t>
            </w:r>
          </w:p>
          <w:p w:rsidR="00681503" w:rsidRPr="00681503" w:rsidRDefault="0062358F" w:rsidP="00681503">
            <w:r>
              <w:t>(ii</w:t>
            </w:r>
            <w:r w:rsidR="00681503" w:rsidRPr="00681503">
              <w:t xml:space="preserve">) the level of insurance that an efficient and prudent service provider would obtain in respect of the event; and </w:t>
            </w:r>
          </w:p>
          <w:p w:rsidR="00681503" w:rsidRPr="00681503" w:rsidRDefault="0062358F" w:rsidP="007063B3">
            <w:r>
              <w:rPr>
                <w:lang w:eastAsia="en-US"/>
              </w:rPr>
              <w:t>(</w:t>
            </w:r>
            <w:r>
              <w:t>iii</w:t>
            </w:r>
            <w:r w:rsidR="00681503" w:rsidRPr="00681503">
              <w:rPr>
                <w:lang w:eastAsia="en-US"/>
              </w:rPr>
              <w:t xml:space="preserve">) </w:t>
            </w:r>
            <w:proofErr w:type="gramStart"/>
            <w:r w:rsidR="00681503" w:rsidRPr="00681503">
              <w:rPr>
                <w:lang w:eastAsia="en-US"/>
              </w:rPr>
              <w:t>whether</w:t>
            </w:r>
            <w:proofErr w:type="gramEnd"/>
            <w:r w:rsidR="00681503" w:rsidRPr="00681503">
              <w:rPr>
                <w:lang w:eastAsia="en-US"/>
              </w:rPr>
              <w:t xml:space="preserve"> a declaration has been made by a relevant government authority that </w:t>
            </w:r>
            <w:r w:rsidR="007063B3">
              <w:t xml:space="preserve">an act of terrorism </w:t>
            </w:r>
            <w:r w:rsidR="00681503" w:rsidRPr="00681503">
              <w:rPr>
                <w:lang w:eastAsia="en-US"/>
              </w:rPr>
              <w:t>has occurred.</w:t>
            </w:r>
          </w:p>
        </w:tc>
      </w:tr>
      <w:tr w:rsidR="00681503" w:rsidTr="004322E6">
        <w:tc>
          <w:tcPr>
            <w:tcW w:w="2518" w:type="dxa"/>
          </w:tcPr>
          <w:p w:rsidR="00681503" w:rsidRDefault="00681503" w:rsidP="004322E6">
            <w:r>
              <w:t>Network user failure event</w:t>
            </w:r>
          </w:p>
        </w:tc>
        <w:tc>
          <w:tcPr>
            <w:tcW w:w="6175" w:type="dxa"/>
          </w:tcPr>
          <w:p w:rsidR="00681503" w:rsidRPr="00681503" w:rsidRDefault="00681503" w:rsidP="00681503">
            <w:r w:rsidRPr="00681503">
              <w:t xml:space="preserve">‘Network User Failure Event’ means: </w:t>
            </w:r>
          </w:p>
          <w:p w:rsidR="00681503" w:rsidRPr="00681503" w:rsidRDefault="00681503" w:rsidP="00681503">
            <w:r w:rsidRPr="00681503">
              <w:t xml:space="preserve">The occurrence of an event where: </w:t>
            </w:r>
          </w:p>
          <w:p w:rsidR="00681503" w:rsidRPr="00681503" w:rsidRDefault="00681503" w:rsidP="00681503">
            <w:r w:rsidRPr="00681503">
              <w:t>(a) a Retailer of Last Resort (RoLR) Event as defined in section</w:t>
            </w:r>
            <w:r w:rsidR="002A1D2A">
              <w:t xml:space="preserve"> </w:t>
            </w:r>
            <w:r w:rsidRPr="00681503">
              <w:t xml:space="preserve">122 of the National Energy Retail Law has occurred; and </w:t>
            </w:r>
          </w:p>
          <w:p w:rsidR="00681503" w:rsidRPr="00681503" w:rsidRDefault="00681503" w:rsidP="00681503">
            <w:r w:rsidRPr="00681503">
              <w:t xml:space="preserve">(b) AGN incurs costs in responding to the RoLR event in accordance with its obligations under the NERL, NERR, NGL or NGR (including Guidelines and procedures that are binding under those instruments), and </w:t>
            </w:r>
          </w:p>
          <w:p w:rsidR="00681503" w:rsidRDefault="00681503" w:rsidP="00681503">
            <w:r w:rsidRPr="00681503">
              <w:rPr>
                <w:lang w:eastAsia="en-US"/>
              </w:rPr>
              <w:t xml:space="preserve">(c) </w:t>
            </w:r>
            <w:proofErr w:type="gramStart"/>
            <w:r w:rsidRPr="00681503">
              <w:rPr>
                <w:lang w:eastAsia="en-US"/>
              </w:rPr>
              <w:t>the</w:t>
            </w:r>
            <w:proofErr w:type="gramEnd"/>
            <w:r w:rsidRPr="00681503">
              <w:rPr>
                <w:lang w:eastAsia="en-US"/>
              </w:rPr>
              <w:t xml:space="preserve"> costs are not recoverable by AGN under other provisions of the NERL, NERR, NGL or NGR as in force at the time of the event, including but not limited to rule 531 of the NGR and other pass through events in this Access Arrangement.</w:t>
            </w:r>
          </w:p>
          <w:p w:rsidR="0067774D" w:rsidRPr="00681503" w:rsidRDefault="0067774D" w:rsidP="00681503">
            <w:r>
              <w:t>Note for the avoidance of doubt, in making a determination on a Network User Failure Event, the AER will have regard to, amongst other things, the extent to which AGN has taken steps to minimise the costs associated with its responsibilities in a RoLR Event, both prior to, and after, the RoLR Event was triggered.</w:t>
            </w:r>
          </w:p>
        </w:tc>
      </w:tr>
      <w:tr w:rsidR="00681503" w:rsidTr="004322E6">
        <w:trPr>
          <w:cnfStyle w:val="000000010000" w:firstRow="0" w:lastRow="0" w:firstColumn="0" w:lastColumn="0" w:oddVBand="0" w:evenVBand="0" w:oddHBand="0" w:evenHBand="1" w:firstRowFirstColumn="0" w:firstRowLastColumn="0" w:lastRowFirstColumn="0" w:lastRowLastColumn="0"/>
        </w:trPr>
        <w:tc>
          <w:tcPr>
            <w:tcW w:w="2518" w:type="dxa"/>
          </w:tcPr>
          <w:p w:rsidR="00681503" w:rsidRDefault="00681503" w:rsidP="004322E6">
            <w:r>
              <w:t>Insurer credit risk event</w:t>
            </w:r>
          </w:p>
        </w:tc>
        <w:tc>
          <w:tcPr>
            <w:tcW w:w="6175" w:type="dxa"/>
          </w:tcPr>
          <w:p w:rsidR="00B91B85" w:rsidRPr="00B91B85" w:rsidRDefault="00B91B85" w:rsidP="00B91B85">
            <w:r w:rsidRPr="00B91B85">
              <w:t xml:space="preserve">‘Insurer Credit Risk Event’ means: </w:t>
            </w:r>
          </w:p>
          <w:p w:rsidR="00B91B85" w:rsidRPr="00B91B85" w:rsidRDefault="00B91B85" w:rsidP="00B91B85">
            <w:r w:rsidRPr="00B91B85">
              <w:t xml:space="preserve">An event where: </w:t>
            </w:r>
          </w:p>
          <w:p w:rsidR="00B91B85" w:rsidRPr="00B91B85" w:rsidRDefault="00B91B85" w:rsidP="00B91B85">
            <w:r w:rsidRPr="00B91B85">
              <w:t xml:space="preserve">(a) </w:t>
            </w:r>
            <w:r w:rsidR="00275E92">
              <w:t>an</w:t>
            </w:r>
            <w:r w:rsidRPr="00B91B85">
              <w:t xml:space="preserve"> insurer of AGN becomes insolvent; and </w:t>
            </w:r>
          </w:p>
          <w:p w:rsidR="00B91B85" w:rsidRPr="00B91B85" w:rsidRDefault="00B91B85" w:rsidP="00B91B85">
            <w:r w:rsidRPr="00B91B85">
              <w:t xml:space="preserve">(b) as a result, in respect of an existing, or potential, claim for a risk that was insured by the insolvent insurer, AGN: </w:t>
            </w:r>
          </w:p>
          <w:p w:rsidR="00B91B85" w:rsidRPr="00B91B85" w:rsidRDefault="00B91B85" w:rsidP="007E4C67">
            <w:pPr>
              <w:ind w:left="340"/>
            </w:pPr>
            <w:r w:rsidRPr="00B91B85">
              <w:t xml:space="preserve">(i) is subject to a higher or lower claim limit or a higher or lower deductible than would have otherwise applied under the insolvent insurer’s policy; or </w:t>
            </w:r>
          </w:p>
          <w:p w:rsidR="00B91B85" w:rsidRPr="00B91B85" w:rsidRDefault="00B91B85" w:rsidP="007E4C67">
            <w:pPr>
              <w:ind w:left="340"/>
            </w:pPr>
            <w:r w:rsidRPr="00B91B85">
              <w:t xml:space="preserve">(ii) </w:t>
            </w:r>
            <w:proofErr w:type="gramStart"/>
            <w:r w:rsidRPr="00B91B85">
              <w:t>incurs</w:t>
            </w:r>
            <w:proofErr w:type="gramEnd"/>
            <w:r w:rsidRPr="00B91B85">
              <w:t xml:space="preserve"> additional costs associated with self-funding an insurance claim, which would otherwise have been covered by the insolvent insurer. </w:t>
            </w:r>
          </w:p>
          <w:p w:rsidR="00B91B85" w:rsidRPr="00B91B85" w:rsidRDefault="00B91B85" w:rsidP="00B91B85">
            <w:r w:rsidRPr="00B91B85">
              <w:t xml:space="preserve">Note for the avoidance of doubt, in making a determination on an Insurer Credit Risk Event, the AER will have regard to, amongst other things: </w:t>
            </w:r>
          </w:p>
          <w:p w:rsidR="00B91B85" w:rsidRPr="00B91B85" w:rsidRDefault="00B91B85" w:rsidP="00B91B85">
            <w:r w:rsidRPr="00B91B85">
              <w:t xml:space="preserve">(a) AGN’s attempts to mitigate and prevent the event from occurring by reviewing and considering the insurer’s track record, size, credit rating and reputation; and </w:t>
            </w:r>
          </w:p>
          <w:p w:rsidR="00681503" w:rsidRPr="00681503" w:rsidRDefault="00B91B85" w:rsidP="00B91B85">
            <w:r w:rsidRPr="00B91B85">
              <w:rPr>
                <w:lang w:eastAsia="en-US"/>
              </w:rPr>
              <w:t xml:space="preserve">(b) </w:t>
            </w:r>
            <w:proofErr w:type="gramStart"/>
            <w:r w:rsidRPr="00B91B85">
              <w:rPr>
                <w:lang w:eastAsia="en-US"/>
              </w:rPr>
              <w:t>in</w:t>
            </w:r>
            <w:proofErr w:type="gramEnd"/>
            <w:r w:rsidRPr="00B91B85">
              <w:rPr>
                <w:lang w:eastAsia="en-US"/>
              </w:rPr>
              <w:t xml:space="preserve"> the event that a claim would have been made after the insurance provider became insolvent, whether AGN had reasonable opportunity to insure the risk with a different insurer.</w:t>
            </w:r>
          </w:p>
        </w:tc>
      </w:tr>
      <w:tr w:rsidR="005A7DF6" w:rsidTr="004322E6">
        <w:tc>
          <w:tcPr>
            <w:tcW w:w="2518" w:type="dxa"/>
          </w:tcPr>
          <w:p w:rsidR="005A7DF6" w:rsidRDefault="005A7DF6" w:rsidP="004322E6">
            <w:r>
              <w:t>Insurance cap event</w:t>
            </w:r>
          </w:p>
        </w:tc>
        <w:tc>
          <w:tcPr>
            <w:tcW w:w="6175" w:type="dxa"/>
          </w:tcPr>
          <w:p w:rsidR="000E28D7" w:rsidRPr="000E28D7" w:rsidRDefault="005A7DF6" w:rsidP="000E28D7">
            <w:r w:rsidRPr="005A7DF6">
              <w:t>‘</w:t>
            </w:r>
            <w:r w:rsidR="000E28D7" w:rsidRPr="000E28D7">
              <w:t>Insurance Cap Event means an event where:</w:t>
            </w:r>
          </w:p>
          <w:p w:rsidR="000E28D7" w:rsidRPr="000E28D7" w:rsidRDefault="000E28D7" w:rsidP="000E28D7">
            <w:r w:rsidRPr="000E28D7">
              <w:t xml:space="preserve">(a) </w:t>
            </w:r>
            <w:r w:rsidR="006B695D">
              <w:t>AGN</w:t>
            </w:r>
            <w:r w:rsidRPr="000E28D7">
              <w:t xml:space="preserve"> makes a claim or claims and receives the benefit of a payment or payments under a relevant insurance policy; </w:t>
            </w:r>
          </w:p>
          <w:p w:rsidR="000E28D7" w:rsidRPr="000E28D7" w:rsidRDefault="000E28D7" w:rsidP="000E28D7">
            <w:r w:rsidRPr="000E28D7">
              <w:t xml:space="preserve">(b) </w:t>
            </w:r>
            <w:r w:rsidR="006B695D">
              <w:t>AGN</w:t>
            </w:r>
            <w:r w:rsidRPr="000E28D7">
              <w:t xml:space="preserve"> incurs costs beyond the policy limit; and</w:t>
            </w:r>
          </w:p>
          <w:p w:rsidR="000E28D7" w:rsidRPr="000E28D7" w:rsidRDefault="000E28D7" w:rsidP="000E28D7">
            <w:r w:rsidRPr="000E28D7">
              <w:t xml:space="preserve">(c) </w:t>
            </w:r>
            <w:proofErr w:type="gramStart"/>
            <w:r w:rsidRPr="000E28D7">
              <w:t>the</w:t>
            </w:r>
            <w:proofErr w:type="gramEnd"/>
            <w:r w:rsidRPr="000E28D7">
              <w:t xml:space="preserve"> costs beyond the policy limit increase the costs to </w:t>
            </w:r>
            <w:r w:rsidR="006B695D">
              <w:t>AGN</w:t>
            </w:r>
            <w:r w:rsidRPr="000E28D7">
              <w:t xml:space="preserve"> of proving the </w:t>
            </w:r>
            <w:r w:rsidR="00631A3F">
              <w:t>Reference Services</w:t>
            </w:r>
            <w:r w:rsidRPr="000E28D7">
              <w:t xml:space="preserve">. </w:t>
            </w:r>
          </w:p>
          <w:p w:rsidR="000E28D7" w:rsidRPr="000E28D7" w:rsidDel="000C7758" w:rsidRDefault="000E28D7" w:rsidP="000E28D7">
            <w:r w:rsidRPr="000E28D7">
              <w:t xml:space="preserve">For this Insurance Cap Event: </w:t>
            </w:r>
          </w:p>
          <w:p w:rsidR="000E28D7" w:rsidRPr="000E28D7" w:rsidRDefault="007063B3" w:rsidP="000E28D7">
            <w:r>
              <w:t>(d</w:t>
            </w:r>
            <w:r w:rsidR="000E28D7" w:rsidRPr="000E28D7">
              <w:t>) a relevant insurance policy is an insurance policy held during the Access Arrangement Period or a previous period in which access to the pipeline services was regulated; and</w:t>
            </w:r>
          </w:p>
          <w:p w:rsidR="000E28D7" w:rsidRPr="000E28D7" w:rsidRDefault="007063B3" w:rsidP="000E28D7">
            <w:r>
              <w:t>(e</w:t>
            </w:r>
            <w:r w:rsidR="000E28D7" w:rsidRPr="000E28D7">
              <w:t xml:space="preserve">) </w:t>
            </w:r>
            <w:r w:rsidR="006B695D">
              <w:t>AGN</w:t>
            </w:r>
            <w:r w:rsidR="000E28D7" w:rsidRPr="000E28D7">
              <w:t xml:space="preserve"> will be deemed to have made a claim on a relevant insurance policy if the claim is made by a related party of </w:t>
            </w:r>
            <w:r w:rsidR="006B695D">
              <w:t>AGN</w:t>
            </w:r>
            <w:r w:rsidR="000E28D7" w:rsidRPr="000E28D7">
              <w:t xml:space="preserve"> in relation to any aspect of the Network or </w:t>
            </w:r>
            <w:r w:rsidR="009D136D">
              <w:t>AGN's</w:t>
            </w:r>
            <w:r w:rsidR="000E28D7" w:rsidRPr="000E28D7">
              <w:t xml:space="preserve"> business</w:t>
            </w:r>
            <w:r w:rsidR="007B321F">
              <w:t>.</w:t>
            </w:r>
          </w:p>
          <w:p w:rsidR="000E28D7" w:rsidRPr="000E28D7" w:rsidRDefault="000E28D7" w:rsidP="000E28D7">
            <w:r w:rsidRPr="000E28D7">
              <w:t>Note in making a determination on an Insurance Cap Event, the AER will have regard to, amongst other things:</w:t>
            </w:r>
          </w:p>
          <w:p w:rsidR="000E28D7" w:rsidRPr="000E28D7" w:rsidRDefault="000E28D7" w:rsidP="000E28D7">
            <w:r w:rsidRPr="000E28D7">
              <w:t>(i) the insurance policy for the event</w:t>
            </w:r>
          </w:p>
          <w:p w:rsidR="000E28D7" w:rsidRPr="000E28D7" w:rsidRDefault="000E28D7" w:rsidP="000E28D7">
            <w:r w:rsidRPr="000E28D7">
              <w:t xml:space="preserve">(ii) </w:t>
            </w:r>
            <w:r w:rsidRPr="000E28D7" w:rsidDel="000C7758">
              <w:t>the level of insurance</w:t>
            </w:r>
            <w:r w:rsidR="006B695D">
              <w:t xml:space="preserve"> that an efficient and prudent s</w:t>
            </w:r>
            <w:r w:rsidRPr="000E28D7" w:rsidDel="000C7758">
              <w:t xml:space="preserve">ervice </w:t>
            </w:r>
            <w:r w:rsidR="006B695D">
              <w:t>p</w:t>
            </w:r>
            <w:r w:rsidRPr="000E28D7" w:rsidDel="000C7758">
              <w:t>rovider would obtain in respect of the event</w:t>
            </w:r>
            <w:r w:rsidRPr="000E28D7">
              <w:t>, and</w:t>
            </w:r>
          </w:p>
          <w:p w:rsidR="005A7DF6" w:rsidRPr="00B91B85" w:rsidRDefault="007063B3" w:rsidP="00D4502D">
            <w:r>
              <w:t xml:space="preserve">(iii) </w:t>
            </w:r>
            <w:proofErr w:type="gramStart"/>
            <w:r>
              <w:t>any</w:t>
            </w:r>
            <w:proofErr w:type="gramEnd"/>
            <w:r>
              <w:t xml:space="preserve"> assessment by the AER of AGN's insurance in approving th</w:t>
            </w:r>
            <w:r w:rsidR="00D4502D">
              <w:t xml:space="preserve">e access arrangement for the South Australian gas distribution network for the </w:t>
            </w:r>
            <w:r>
              <w:t>relevant period</w:t>
            </w:r>
            <w:r w:rsidR="000E28D7" w:rsidRPr="000E28D7">
              <w:t>.</w:t>
            </w:r>
          </w:p>
        </w:tc>
      </w:tr>
      <w:tr w:rsidR="005A7DF6" w:rsidTr="004322E6">
        <w:trPr>
          <w:cnfStyle w:val="000000010000" w:firstRow="0" w:lastRow="0" w:firstColumn="0" w:lastColumn="0" w:oddVBand="0" w:evenVBand="0" w:oddHBand="0" w:evenHBand="1" w:firstRowFirstColumn="0" w:firstRowLastColumn="0" w:lastRowFirstColumn="0" w:lastRowLastColumn="0"/>
        </w:trPr>
        <w:tc>
          <w:tcPr>
            <w:tcW w:w="2518" w:type="dxa"/>
          </w:tcPr>
          <w:p w:rsidR="005A7DF6" w:rsidRDefault="005A7DF6" w:rsidP="004322E6">
            <w:r>
              <w:t>Natural disaster event</w:t>
            </w:r>
          </w:p>
        </w:tc>
        <w:tc>
          <w:tcPr>
            <w:tcW w:w="6175" w:type="dxa"/>
          </w:tcPr>
          <w:p w:rsidR="005A7DF6" w:rsidRPr="005A7DF6" w:rsidRDefault="00D4502D" w:rsidP="005A7DF6">
            <w:r>
              <w:t xml:space="preserve">‘Natural Disaster Event’ means any natural disaster including but not limited to fire, </w:t>
            </w:r>
            <w:r w:rsidR="005A7DF6" w:rsidRPr="005A7DF6">
              <w:t>flood</w:t>
            </w:r>
            <w:r>
              <w:t xml:space="preserve"> or</w:t>
            </w:r>
            <w:r w:rsidR="005A7DF6" w:rsidRPr="005A7DF6">
              <w:t xml:space="preserve"> earthquake that occurs during the Access Arrangement Period </w:t>
            </w:r>
            <w:r w:rsidR="0067774D">
              <w:t>that</w:t>
            </w:r>
            <w:r w:rsidR="0067774D" w:rsidRPr="005A7DF6">
              <w:t xml:space="preserve"> </w:t>
            </w:r>
            <w:r w:rsidR="005A7DF6" w:rsidRPr="005A7DF6">
              <w:t xml:space="preserve">increases the cost to </w:t>
            </w:r>
            <w:r>
              <w:t>AGN</w:t>
            </w:r>
            <w:r w:rsidR="005A7DF6" w:rsidRPr="005A7DF6">
              <w:t xml:space="preserve"> in providing the </w:t>
            </w:r>
            <w:r w:rsidR="00631A3F">
              <w:t>Reference Services</w:t>
            </w:r>
            <w:r w:rsidR="005A7DF6" w:rsidRPr="005A7DF6">
              <w:t xml:space="preserve">, provided the fire, flood or other event was not a consequence of the acts or omissions of AGN. </w:t>
            </w:r>
          </w:p>
          <w:p w:rsidR="005A7DF6" w:rsidRPr="005A7DF6" w:rsidRDefault="005A7DF6" w:rsidP="005A7DF6">
            <w:r w:rsidRPr="005A7DF6">
              <w:t xml:space="preserve">Note for the avoidance of doubt, in making a determination on a Natural Disaster Event, the AER will have regard to, amongst other things: </w:t>
            </w:r>
          </w:p>
          <w:p w:rsidR="005A7DF6" w:rsidRPr="005A7DF6" w:rsidRDefault="005A7DF6" w:rsidP="005A7DF6">
            <w:r w:rsidRPr="005A7DF6">
              <w:t>(</w:t>
            </w:r>
            <w:r w:rsidR="00D4502D">
              <w:t>i</w:t>
            </w:r>
            <w:r w:rsidRPr="005A7DF6">
              <w:t xml:space="preserve">) whether AGN has insurance against the event; </w:t>
            </w:r>
            <w:r w:rsidR="00D4502D">
              <w:t>and</w:t>
            </w:r>
          </w:p>
          <w:p w:rsidR="005A7DF6" w:rsidRPr="005A7DF6" w:rsidRDefault="00D4502D" w:rsidP="00D4502D">
            <w:r>
              <w:t>(ii</w:t>
            </w:r>
            <w:r w:rsidR="005A7DF6" w:rsidRPr="005A7DF6">
              <w:t xml:space="preserve">) </w:t>
            </w:r>
            <w:proofErr w:type="gramStart"/>
            <w:r w:rsidR="005A7DF6" w:rsidRPr="005A7DF6">
              <w:t>the</w:t>
            </w:r>
            <w:proofErr w:type="gramEnd"/>
            <w:r w:rsidR="005A7DF6" w:rsidRPr="005A7DF6">
              <w:t xml:space="preserve"> level of insurance that an efficient and prudent service provider would obta</w:t>
            </w:r>
            <w:r>
              <w:t>in in respect of the event</w:t>
            </w:r>
            <w:r w:rsidR="005A7DF6" w:rsidRPr="005A7DF6">
              <w:t xml:space="preserve">. </w:t>
            </w:r>
          </w:p>
        </w:tc>
      </w:tr>
    </w:tbl>
    <w:p w:rsidR="006B695D" w:rsidRDefault="006B695D" w:rsidP="005A7DF6">
      <w:r>
        <w:t>We have accepted the definitions for these events as put forward in AGN's revised proposal, save for minor changes to the terrorism, insurance cap and natural disaster event definitions which emerged through concurrent regulatory processes and which AGN indicated it support</w:t>
      </w:r>
      <w:r w:rsidR="00ED6E9D">
        <w:t>s</w:t>
      </w:r>
      <w:r>
        <w:t>.</w:t>
      </w:r>
      <w:r>
        <w:rPr>
          <w:rStyle w:val="FootnoteReference"/>
        </w:rPr>
        <w:footnoteReference w:id="4"/>
      </w:r>
    </w:p>
    <w:p w:rsidR="004322E6" w:rsidRDefault="004322E6" w:rsidP="005A7DF6">
      <w:r>
        <w:t xml:space="preserve">We do not </w:t>
      </w:r>
      <w:r w:rsidR="00AA537A">
        <w:t xml:space="preserve">accept </w:t>
      </w:r>
      <w:r>
        <w:t>AGN</w:t>
      </w:r>
      <w:r w:rsidR="00681503">
        <w:t>'s proposed significant extension event.</w:t>
      </w:r>
    </w:p>
    <w:p w:rsidR="004322E6" w:rsidRPr="004322E6" w:rsidRDefault="00A2087A" w:rsidP="004322E6">
      <w:r>
        <w:t xml:space="preserve">Our reasons for this final decision are set out in section </w:t>
      </w:r>
      <w:r>
        <w:fldChar w:fldCharType="begin"/>
      </w:r>
      <w:r>
        <w:instrText xml:space="preserve"> REF _Ref437270297 \r \h </w:instrText>
      </w:r>
      <w:r>
        <w:fldChar w:fldCharType="separate"/>
      </w:r>
      <w:r w:rsidR="00AD3CCA">
        <w:t>11.4.2</w:t>
      </w:r>
      <w:r>
        <w:fldChar w:fldCharType="end"/>
      </w:r>
      <w:r>
        <w:t>.</w:t>
      </w:r>
    </w:p>
    <w:p w:rsidR="00A2303E" w:rsidRDefault="000932FA" w:rsidP="00E269AE">
      <w:pPr>
        <w:pStyle w:val="Heading2"/>
        <w:keepNext/>
        <w:ind w:left="578" w:hanging="578"/>
      </w:pPr>
      <w:bookmarkStart w:id="15" w:name="_Toc419366914"/>
      <w:bookmarkStart w:id="16" w:name="_Toc451527807"/>
      <w:r>
        <w:t>AGN's</w:t>
      </w:r>
      <w:r w:rsidR="00A2303E">
        <w:t xml:space="preserve"> </w:t>
      </w:r>
      <w:r w:rsidR="00BA10D7">
        <w:t xml:space="preserve">revised </w:t>
      </w:r>
      <w:r w:rsidR="00A2303E">
        <w:t>proposal</w:t>
      </w:r>
      <w:bookmarkEnd w:id="15"/>
      <w:bookmarkEnd w:id="16"/>
    </w:p>
    <w:p w:rsidR="007F53F3" w:rsidRPr="007F53F3" w:rsidRDefault="007F53F3" w:rsidP="007F53F3">
      <w:r>
        <w:t>Our draft decision indicated the nature of the amendments required to make AGN's proposal acceptable to us.</w:t>
      </w:r>
      <w:r>
        <w:rPr>
          <w:rStyle w:val="FootnoteReference"/>
        </w:rPr>
        <w:footnoteReference w:id="5"/>
      </w:r>
      <w:r>
        <w:t xml:space="preserve"> </w:t>
      </w:r>
      <w:r w:rsidR="00AD788E">
        <w:t xml:space="preserve">Under the NGR, </w:t>
      </w:r>
      <w:r w:rsidR="000036C0">
        <w:t>the</w:t>
      </w:r>
      <w:r w:rsidR="00AD788E">
        <w:t xml:space="preserve"> amendments </w:t>
      </w:r>
      <w:r w:rsidR="000036C0">
        <w:t xml:space="preserve">made by the service provider </w:t>
      </w:r>
      <w:r w:rsidR="00AD788E">
        <w:t>must be limited to those necessary to address matters raised in our draft decision unless we approve further amendments.</w:t>
      </w:r>
      <w:r w:rsidR="00AD788E">
        <w:rPr>
          <w:rStyle w:val="FootnoteReference"/>
        </w:rPr>
        <w:footnoteReference w:id="6"/>
      </w:r>
      <w:r w:rsidR="00AD788E">
        <w:t xml:space="preserve"> </w:t>
      </w:r>
      <w:r w:rsidR="00510BA1">
        <w:t>AGN submitted its revised proposal</w:t>
      </w:r>
      <w:r w:rsidR="001558AB">
        <w:t xml:space="preserve"> on 6 January 2016</w:t>
      </w:r>
      <w:r>
        <w:t>.</w:t>
      </w:r>
      <w:r w:rsidR="00A341C6">
        <w:rPr>
          <w:rStyle w:val="FootnoteReference"/>
        </w:rPr>
        <w:footnoteReference w:id="7"/>
      </w:r>
      <w:r>
        <w:t xml:space="preserve"> </w:t>
      </w:r>
    </w:p>
    <w:p w:rsidR="00067527" w:rsidRDefault="00D537A6" w:rsidP="00D537A6">
      <w:pPr>
        <w:pStyle w:val="Heading3"/>
      </w:pPr>
      <w:bookmarkStart w:id="17" w:name="_Toc451527808"/>
      <w:r>
        <w:t>Annual reference tariff variation mechanism</w:t>
      </w:r>
      <w:bookmarkEnd w:id="17"/>
    </w:p>
    <w:p w:rsidR="0098551A" w:rsidRDefault="0098551A" w:rsidP="0098551A">
      <w:r>
        <w:t>Our draft decision required AGN to revise its proposed access arrangement to:</w:t>
      </w:r>
    </w:p>
    <w:p w:rsidR="00D537A6" w:rsidRDefault="00386E48" w:rsidP="00386E48">
      <w:pPr>
        <w:pStyle w:val="AERbulletlistfirststyle"/>
      </w:pPr>
      <w:r>
        <w:t xml:space="preserve">Amend </w:t>
      </w:r>
      <w:r w:rsidR="004D3206">
        <w:t>the</w:t>
      </w:r>
      <w:r>
        <w:t xml:space="preserve"> annual haulage reference tariff variation formula (including </w:t>
      </w:r>
      <w:r w:rsidR="00AA537A">
        <w:t>adding</w:t>
      </w:r>
      <w:r>
        <w:t xml:space="preserve"> an adjustment factor to accommodate unaccounted for gas price variations and a pass through factor formula), rebalancing control formula and ancillary reference tariff variation formula</w:t>
      </w:r>
      <w:r w:rsidR="004D3206">
        <w:t xml:space="preserve"> in clause 4.4 and Annexure E of the access arrangement</w:t>
      </w:r>
      <w:r>
        <w:t>.</w:t>
      </w:r>
      <w:r>
        <w:rPr>
          <w:rStyle w:val="FootnoteReference"/>
        </w:rPr>
        <w:footnoteReference w:id="8"/>
      </w:r>
    </w:p>
    <w:p w:rsidR="00386E48" w:rsidRDefault="00386E48" w:rsidP="00386E48">
      <w:pPr>
        <w:pStyle w:val="AERbulletlistfirststyle"/>
      </w:pPr>
      <w:r>
        <w:t>Amend clause 4.6.1 of its proposed access arrangement to reflect our draft decision that the tariff variation notification will be submitted 50 business days before the date of implementation.</w:t>
      </w:r>
      <w:r>
        <w:rPr>
          <w:rStyle w:val="FootnoteReference"/>
        </w:rPr>
        <w:footnoteReference w:id="9"/>
      </w:r>
    </w:p>
    <w:p w:rsidR="00F7388A" w:rsidRDefault="004D3206" w:rsidP="003B2F97">
      <w:r>
        <w:t>In its revised proposal, AGN</w:t>
      </w:r>
      <w:r w:rsidR="003B2F97">
        <w:t xml:space="preserve"> accepted our draft decision and amended its access arrangement accordingly.</w:t>
      </w:r>
      <w:r w:rsidR="003B2F97">
        <w:rPr>
          <w:rStyle w:val="FootnoteReference"/>
        </w:rPr>
        <w:footnoteReference w:id="10"/>
      </w:r>
      <w:r w:rsidR="003B2F97" w:rsidRPr="003B2F97">
        <w:t xml:space="preserve"> </w:t>
      </w:r>
      <w:r w:rsidR="003B2F97">
        <w:t>However, AGN</w:t>
      </w:r>
      <w:r w:rsidR="00E30279">
        <w:t xml:space="preserve"> also</w:t>
      </w:r>
      <w:r w:rsidR="003B2F97">
        <w:t xml:space="preserve"> proposed </w:t>
      </w:r>
      <w:r w:rsidR="00F7388A">
        <w:t>a</w:t>
      </w:r>
      <w:r w:rsidR="003B2F97">
        <w:t xml:space="preserve"> </w:t>
      </w:r>
      <w:r w:rsidR="005F5D33">
        <w:t>change</w:t>
      </w:r>
      <w:r w:rsidR="003B2F97">
        <w:t xml:space="preserve"> to the</w:t>
      </w:r>
      <w:r w:rsidR="00F7388A">
        <w:t xml:space="preserve"> </w:t>
      </w:r>
      <w:r w:rsidR="007A168E">
        <w:t xml:space="preserve">adjustment factor formula to accommodate price variations in unaccounted for gas. </w:t>
      </w:r>
      <w:r w:rsidR="003B2F97">
        <w:t xml:space="preserve">AGN </w:t>
      </w:r>
      <w:r w:rsidR="00F7388A">
        <w:t>proposed:</w:t>
      </w:r>
    </w:p>
    <w:p w:rsidR="00F7388A" w:rsidRDefault="00E30279" w:rsidP="00F7388A">
      <w:pPr>
        <w:pStyle w:val="AERbulletlistfirststyle"/>
      </w:pPr>
      <w:r>
        <w:t>a</w:t>
      </w:r>
      <w:r w:rsidR="00122972">
        <w:t xml:space="preserve"> change</w:t>
      </w:r>
      <w:r>
        <w:t xml:space="preserve"> in</w:t>
      </w:r>
      <w:r w:rsidR="00122972">
        <w:t xml:space="preserve"> the timing of the</w:t>
      </w:r>
      <w:r w:rsidR="00D96662">
        <w:t xml:space="preserve"> true</w:t>
      </w:r>
      <w:r w:rsidR="00D96662">
        <w:noBreakHyphen/>
        <w:t>up</w:t>
      </w:r>
      <w:r w:rsidR="00122972">
        <w:t xml:space="preserve"> of </w:t>
      </w:r>
      <w:r w:rsidR="00D96662">
        <w:t>forecast and actual price fo</w:t>
      </w:r>
      <w:r w:rsidR="00122972">
        <w:t>r unaccounted for gas to</w:t>
      </w:r>
      <w:r w:rsidR="005F5D33">
        <w:t xml:space="preserve"> year t–1 rather than year </w:t>
      </w:r>
      <w:r w:rsidR="00D96662">
        <w:t>t–2 as per our draft decision</w:t>
      </w:r>
    </w:p>
    <w:p w:rsidR="00122972" w:rsidRDefault="00E30279" w:rsidP="00F7388A">
      <w:pPr>
        <w:pStyle w:val="AERbulletlistfirststyle"/>
      </w:pPr>
      <w:proofErr w:type="gramStart"/>
      <w:r>
        <w:t>the</w:t>
      </w:r>
      <w:proofErr w:type="gramEnd"/>
      <w:r>
        <w:t xml:space="preserve"> removal of</w:t>
      </w:r>
      <w:r w:rsidR="00122972">
        <w:t xml:space="preserve"> the forecast quantities from the calculation</w:t>
      </w:r>
      <w:r w:rsidR="00D96662">
        <w:t>.</w:t>
      </w:r>
      <w:r w:rsidR="00901CC3">
        <w:rPr>
          <w:rStyle w:val="FootnoteReference"/>
        </w:rPr>
        <w:footnoteReference w:id="11"/>
      </w:r>
      <w:r w:rsidR="00D96662">
        <w:t xml:space="preserve"> </w:t>
      </w:r>
    </w:p>
    <w:p w:rsidR="00D96662" w:rsidRDefault="00D96662" w:rsidP="00122972">
      <w:r>
        <w:t xml:space="preserve">AGN noted that the actual </w:t>
      </w:r>
      <w:r w:rsidRPr="00D96662">
        <w:t>unaccounted for gas price</w:t>
      </w:r>
      <w:r>
        <w:t xml:space="preserve"> will be known for year t–1 and therefore </w:t>
      </w:r>
      <w:r w:rsidR="00901CC3">
        <w:t>there was no need to delay this true</w:t>
      </w:r>
      <w:r w:rsidR="00901CC3">
        <w:noBreakHyphen/>
        <w:t>up for an additional year.</w:t>
      </w:r>
      <w:r w:rsidR="00122972">
        <w:t xml:space="preserve"> Also, that the</w:t>
      </w:r>
      <w:r w:rsidR="00C912B6">
        <w:t xml:space="preserve"> price true</w:t>
      </w:r>
      <w:r w:rsidR="00C912B6">
        <w:noBreakHyphen/>
        <w:t>up was not dependent on</w:t>
      </w:r>
      <w:r w:rsidR="00122972">
        <w:t xml:space="preserve"> forecast quantities </w:t>
      </w:r>
      <w:r w:rsidR="00C912B6">
        <w:t>which</w:t>
      </w:r>
      <w:r w:rsidR="00122972">
        <w:t xml:space="preserve"> should be removed.</w:t>
      </w:r>
    </w:p>
    <w:p w:rsidR="00067527" w:rsidRDefault="008C5B14" w:rsidP="00067527">
      <w:pPr>
        <w:pStyle w:val="Heading3"/>
      </w:pPr>
      <w:r>
        <w:t xml:space="preserve"> </w:t>
      </w:r>
      <w:bookmarkStart w:id="18" w:name="_Toc451527809"/>
      <w:r w:rsidR="00067527">
        <w:t>Cost pass through events</w:t>
      </w:r>
      <w:bookmarkEnd w:id="18"/>
    </w:p>
    <w:p w:rsidR="00067527" w:rsidRDefault="00067527" w:rsidP="00067527">
      <w:r>
        <w:t>Our draft decision required AGN to revise its proposed access arrangement, to:</w:t>
      </w:r>
    </w:p>
    <w:p w:rsidR="00067527" w:rsidRDefault="00067527" w:rsidP="00067527">
      <w:pPr>
        <w:pStyle w:val="AERbulletlistfirststyle"/>
      </w:pPr>
      <w:r>
        <w:t xml:space="preserve">Replace the definitions of the following cost pass through events </w:t>
      </w:r>
      <w:r w:rsidR="004D3206">
        <w:t xml:space="preserve">in clause 4.5 of its access arrangement </w:t>
      </w:r>
      <w:r>
        <w:t>with those set out in our draft decision: regulatory change event, service standard event, tax change event, terrorism event, insurer credit risk event, insurance cap event.</w:t>
      </w:r>
      <w:r>
        <w:rPr>
          <w:rStyle w:val="FootnoteReference"/>
        </w:rPr>
        <w:footnoteReference w:id="12"/>
      </w:r>
    </w:p>
    <w:p w:rsidR="00376160" w:rsidRDefault="00376160" w:rsidP="00067527">
      <w:pPr>
        <w:pStyle w:val="AERbulletlistfirststyle"/>
      </w:pPr>
      <w:r>
        <w:t>Either remove the proposed network user failure event and significant safety event, or replace them with amended definitions.</w:t>
      </w:r>
      <w:r>
        <w:rPr>
          <w:rStyle w:val="FootnoteReference"/>
        </w:rPr>
        <w:footnoteReference w:id="13"/>
      </w:r>
    </w:p>
    <w:p w:rsidR="00067527" w:rsidRDefault="00067527" w:rsidP="00067527">
      <w:pPr>
        <w:pStyle w:val="AERbulletlistfirststyle"/>
      </w:pPr>
      <w:r>
        <w:t>Remove the following cost pass through events</w:t>
      </w:r>
      <w:r w:rsidR="004D3206">
        <w:t xml:space="preserve"> from its access arrangement</w:t>
      </w:r>
      <w:r>
        <w:t>: security of supply event, significant extension event.</w:t>
      </w:r>
      <w:r>
        <w:rPr>
          <w:rStyle w:val="FootnoteReference"/>
        </w:rPr>
        <w:footnoteReference w:id="14"/>
      </w:r>
    </w:p>
    <w:p w:rsidR="00067527" w:rsidRDefault="00067527" w:rsidP="00067527">
      <w:pPr>
        <w:pStyle w:val="AERbulletlistfirststyle"/>
      </w:pPr>
      <w:r>
        <w:t>Amend clause 4.5 of its proposed access arrangement to add the efficiency of AGN's decisions and actions in relation to an event to the list of matters we must take into account in deciding whether to approve an application for a cost pass through event variation.</w:t>
      </w:r>
      <w:r>
        <w:rPr>
          <w:rStyle w:val="FootnoteReference"/>
        </w:rPr>
        <w:footnoteReference w:id="15"/>
      </w:r>
    </w:p>
    <w:p w:rsidR="00067527" w:rsidRDefault="00067527" w:rsidP="00067527">
      <w:r>
        <w:t>In its revised proposal, AGN</w:t>
      </w:r>
      <w:r w:rsidR="008C5B14">
        <w:t>:</w:t>
      </w:r>
    </w:p>
    <w:p w:rsidR="008C5B14" w:rsidRDefault="008D58E4" w:rsidP="000D23F5">
      <w:pPr>
        <w:pStyle w:val="AERbulletlistfirststyle"/>
      </w:pPr>
      <w:r>
        <w:t>a</w:t>
      </w:r>
      <w:r w:rsidR="008C5B14">
        <w:t>mended the definitions of the regulatory change event, service standard event, tax change event according to our draft decision</w:t>
      </w:r>
    </w:p>
    <w:p w:rsidR="008C5B14" w:rsidRDefault="008D58E4" w:rsidP="000D23F5">
      <w:pPr>
        <w:pStyle w:val="AERbulletlistfirststyle"/>
      </w:pPr>
      <w:r>
        <w:t>r</w:t>
      </w:r>
      <w:r w:rsidR="008C5B14">
        <w:t>eplaced the definition</w:t>
      </w:r>
      <w:r w:rsidR="00376160">
        <w:t>s</w:t>
      </w:r>
      <w:r w:rsidR="008C5B14">
        <w:t xml:space="preserve"> of the network user failure event </w:t>
      </w:r>
      <w:r w:rsidR="00376160">
        <w:t xml:space="preserve">and significant safety event </w:t>
      </w:r>
      <w:r w:rsidR="008C5B14">
        <w:t>with new definition</w:t>
      </w:r>
      <w:r w:rsidR="00376160">
        <w:t>s</w:t>
      </w:r>
      <w:r w:rsidR="000D23F5">
        <w:t xml:space="preserve"> consistent with the guidance provided in our draft decision</w:t>
      </w:r>
      <w:r w:rsidR="008C5B14">
        <w:t xml:space="preserve"> </w:t>
      </w:r>
    </w:p>
    <w:p w:rsidR="008C5B14" w:rsidRDefault="008D58E4" w:rsidP="000D23F5">
      <w:pPr>
        <w:pStyle w:val="AERbulletlistfirststyle"/>
      </w:pPr>
      <w:r>
        <w:t>m</w:t>
      </w:r>
      <w:r w:rsidR="008C5B14">
        <w:t xml:space="preserve">odified the definitions of the terrorism event, insurer credit risk event, insurance cap event according to </w:t>
      </w:r>
      <w:r w:rsidR="00621D81">
        <w:t>our draft decision, with minor variations</w:t>
      </w:r>
    </w:p>
    <w:p w:rsidR="00621D81" w:rsidRPr="00067527" w:rsidRDefault="008D58E4" w:rsidP="000D23F5">
      <w:pPr>
        <w:pStyle w:val="AERbulletlistfirststyle"/>
      </w:pPr>
      <w:r>
        <w:t xml:space="preserve">submitted that </w:t>
      </w:r>
      <w:r w:rsidR="000D23F5">
        <w:t>a revised version of its</w:t>
      </w:r>
      <w:r w:rsidR="00621D81">
        <w:t xml:space="preserve"> significant extension </w:t>
      </w:r>
      <w:r w:rsidR="00621D81" w:rsidRPr="00621D81">
        <w:t xml:space="preserve">event should be maintained in the event </w:t>
      </w:r>
      <w:r w:rsidR="000D23F5">
        <w:t>AGN's</w:t>
      </w:r>
      <w:r>
        <w:t xml:space="preserve"> proposed forecast capex for the </w:t>
      </w:r>
      <w:r w:rsidR="00621D81" w:rsidRPr="00621D81">
        <w:t>Mount Barker</w:t>
      </w:r>
      <w:r>
        <w:t xml:space="preserve"> extension was not included in our approved total forecast capex</w:t>
      </w:r>
      <w:r w:rsidR="00621D81" w:rsidRPr="00621D81">
        <w:t xml:space="preserve">. </w:t>
      </w:r>
    </w:p>
    <w:p w:rsidR="00A2303E" w:rsidRDefault="00A2303E" w:rsidP="00A2303E">
      <w:pPr>
        <w:pStyle w:val="Heading2"/>
      </w:pPr>
      <w:bookmarkStart w:id="19" w:name="_Toc408404322"/>
      <w:bookmarkStart w:id="20" w:name="_Toc419366915"/>
      <w:bookmarkStart w:id="21" w:name="_Toc451527810"/>
      <w:r w:rsidRPr="0074565D">
        <w:t>AER’s assessment approach</w:t>
      </w:r>
      <w:bookmarkEnd w:id="19"/>
      <w:bookmarkEnd w:id="20"/>
      <w:bookmarkEnd w:id="21"/>
    </w:p>
    <w:p w:rsidR="001349A3" w:rsidRDefault="001349A3" w:rsidP="00C427B2">
      <w:r>
        <w:t>The reference tariff variation mechanism must be designed to equalise (in terms of present values):</w:t>
      </w:r>
      <w:r>
        <w:rPr>
          <w:rStyle w:val="FootnoteReference"/>
        </w:rPr>
        <w:footnoteReference w:id="16"/>
      </w:r>
    </w:p>
    <w:p w:rsidR="001349A3" w:rsidRDefault="001349A3" w:rsidP="00EF1F67">
      <w:pPr>
        <w:pStyle w:val="AERbulletlistfirststyle"/>
      </w:pPr>
      <w:r>
        <w:t>forecast revenue from reference services over the access arrangement period, and</w:t>
      </w:r>
    </w:p>
    <w:p w:rsidR="001349A3" w:rsidRDefault="001349A3" w:rsidP="00EF1F67">
      <w:pPr>
        <w:pStyle w:val="AERbulletlistfirststyle"/>
      </w:pPr>
      <w:proofErr w:type="gramStart"/>
      <w:r>
        <w:t>the</w:t>
      </w:r>
      <w:proofErr w:type="gramEnd"/>
      <w:r>
        <w:t xml:space="preserve"> portion of total revenue allocated to reference services for the access arrangement period.</w:t>
      </w:r>
    </w:p>
    <w:p w:rsidR="001349A3" w:rsidRDefault="001349A3" w:rsidP="00C427B2">
      <w:r>
        <w:t xml:space="preserve">It </w:t>
      </w:r>
      <w:r w:rsidR="00F250C3">
        <w:t>may</w:t>
      </w:r>
      <w:r>
        <w:t xml:space="preserve"> provide for variation of a reference tariff:</w:t>
      </w:r>
      <w:r>
        <w:rPr>
          <w:rStyle w:val="FootnoteReference"/>
        </w:rPr>
        <w:footnoteReference w:id="17"/>
      </w:r>
    </w:p>
    <w:p w:rsidR="001349A3" w:rsidRDefault="001349A3" w:rsidP="00EF1F67">
      <w:pPr>
        <w:pStyle w:val="AERbulletlistfirststyle"/>
      </w:pPr>
      <w:r>
        <w:t xml:space="preserve">in accordance with a schedule of fixed tariffs, </w:t>
      </w:r>
    </w:p>
    <w:p w:rsidR="001349A3" w:rsidRDefault="001349A3" w:rsidP="00EF1F67">
      <w:pPr>
        <w:pStyle w:val="AERbulletlistfirststyle"/>
      </w:pPr>
      <w:r>
        <w:t>in accordance with a formula set out in the access arrangement,</w:t>
      </w:r>
    </w:p>
    <w:p w:rsidR="001349A3" w:rsidRDefault="001349A3" w:rsidP="00EF1F67">
      <w:pPr>
        <w:pStyle w:val="AERbulletlistfirststyle"/>
      </w:pPr>
      <w:r>
        <w:t>as a result of a cost pass through for a defined event, or</w:t>
      </w:r>
    </w:p>
    <w:p w:rsidR="001349A3" w:rsidRDefault="001349A3" w:rsidP="00EF1F67">
      <w:pPr>
        <w:pStyle w:val="AERbulletlistfirststyle"/>
      </w:pPr>
      <w:proofErr w:type="gramStart"/>
      <w:r>
        <w:t>by</w:t>
      </w:r>
      <w:proofErr w:type="gramEnd"/>
      <w:r>
        <w:t xml:space="preserve"> the combined operation of two or more of these.</w:t>
      </w:r>
    </w:p>
    <w:p w:rsidR="001349A3" w:rsidRDefault="001349A3" w:rsidP="00C427B2">
      <w:r>
        <w:t>A formula for variation of a reference tariff may (for example) provide for variable caps on the revenue to be derived from a particular combination of reference services, a tariff basket price control, a revenue yield control or a combination of</w:t>
      </w:r>
      <w:r w:rsidR="00F250C3">
        <w:t xml:space="preserve"> all or any of</w:t>
      </w:r>
      <w:r>
        <w:t xml:space="preserve"> these.</w:t>
      </w:r>
      <w:r>
        <w:rPr>
          <w:rStyle w:val="FootnoteReference"/>
        </w:rPr>
        <w:footnoteReference w:id="18"/>
      </w:r>
    </w:p>
    <w:p w:rsidR="00C427B2" w:rsidRPr="00C427B2" w:rsidRDefault="00C427B2" w:rsidP="00C427B2">
      <w:r w:rsidRPr="00C427B2">
        <w:t xml:space="preserve">In deciding whether a particular reference tariff variation mechanism is appropriate to a particular access arrangement, </w:t>
      </w:r>
      <w:r>
        <w:t>the NGR require us to</w:t>
      </w:r>
      <w:r w:rsidRPr="00C427B2">
        <w:t xml:space="preserve"> have </w:t>
      </w:r>
      <w:proofErr w:type="gramStart"/>
      <w:r w:rsidRPr="00C427B2">
        <w:t>regard</w:t>
      </w:r>
      <w:proofErr w:type="gramEnd"/>
      <w:r w:rsidRPr="00C427B2">
        <w:t xml:space="preserve"> to:</w:t>
      </w:r>
      <w:r>
        <w:rPr>
          <w:rStyle w:val="FootnoteReference"/>
        </w:rPr>
        <w:footnoteReference w:id="19"/>
      </w:r>
      <w:r w:rsidRPr="00C427B2">
        <w:t xml:space="preserve"> </w:t>
      </w:r>
    </w:p>
    <w:p w:rsidR="00C427B2" w:rsidRPr="00C427B2" w:rsidRDefault="00C427B2" w:rsidP="00C427B2">
      <w:pPr>
        <w:pStyle w:val="AERnumberedlistsecondstyle"/>
      </w:pPr>
      <w:r w:rsidRPr="00C427B2">
        <w:t xml:space="preserve">the need for efficient tariff structures; and </w:t>
      </w:r>
    </w:p>
    <w:p w:rsidR="00C427B2" w:rsidRPr="00C427B2" w:rsidRDefault="00C427B2" w:rsidP="00C427B2">
      <w:pPr>
        <w:pStyle w:val="AERnumberedlistsecondstyle"/>
      </w:pPr>
      <w:r w:rsidRPr="00C427B2">
        <w:t xml:space="preserve">the possible effects of the reference tariff variation mechanism on administrative costs of the AER, the service provider, and users or potential users; and </w:t>
      </w:r>
    </w:p>
    <w:p w:rsidR="00C427B2" w:rsidRPr="00C427B2" w:rsidRDefault="00C427B2" w:rsidP="00C427B2">
      <w:pPr>
        <w:pStyle w:val="AERnumberedlistsecondstyle"/>
      </w:pPr>
      <w:r w:rsidRPr="00C427B2">
        <w:t xml:space="preserve">the regulatory arrangements (if any) applicable to the relevant reference services before the commencement of the proposed reference tariff variation mechanism; and </w:t>
      </w:r>
    </w:p>
    <w:p w:rsidR="00C427B2" w:rsidRPr="00C427B2" w:rsidRDefault="00C427B2" w:rsidP="00C427B2">
      <w:pPr>
        <w:pStyle w:val="AERnumberedlistsecondstyle"/>
      </w:pPr>
      <w:r w:rsidRPr="00C427B2">
        <w:t xml:space="preserve">the desirability of consistency between regulatory arrangements for similar services (both within and beyond the relevant jurisdiction); and </w:t>
      </w:r>
    </w:p>
    <w:p w:rsidR="00C427B2" w:rsidRPr="00C427B2" w:rsidRDefault="00C427B2" w:rsidP="00C427B2">
      <w:pPr>
        <w:pStyle w:val="AERnumberedlistsecondstyle"/>
      </w:pPr>
      <w:proofErr w:type="gramStart"/>
      <w:r w:rsidRPr="00C427B2">
        <w:t>any</w:t>
      </w:r>
      <w:proofErr w:type="gramEnd"/>
      <w:r w:rsidRPr="00C427B2">
        <w:t xml:space="preserve"> other relevant factor. </w:t>
      </w:r>
    </w:p>
    <w:p w:rsidR="00C427B2" w:rsidRDefault="00C427B2" w:rsidP="00C427B2">
      <w:r w:rsidRPr="00C427B2">
        <w:t xml:space="preserve">A reference tariff variation mechanism must give </w:t>
      </w:r>
      <w:r>
        <w:t>us</w:t>
      </w:r>
      <w:r w:rsidRPr="00C427B2">
        <w:t xml:space="preserve"> adequate oversight or powers of approval over variation of the reference tariff.</w:t>
      </w:r>
      <w:r>
        <w:rPr>
          <w:rStyle w:val="FootnoteReference"/>
        </w:rPr>
        <w:footnoteReference w:id="20"/>
      </w:r>
      <w:r w:rsidRPr="00C427B2">
        <w:t xml:space="preserve"> </w:t>
      </w:r>
    </w:p>
    <w:p w:rsidR="00672881" w:rsidRDefault="00510BA1" w:rsidP="00A334F9">
      <w:r>
        <w:t>In deciding whether a particular reference tariff variation mechanism is appropriate to a particular access arrangement, other factors we have regard to include:</w:t>
      </w:r>
      <w:r w:rsidR="00672881">
        <w:rPr>
          <w:rStyle w:val="FootnoteReference"/>
        </w:rPr>
        <w:footnoteReference w:id="21"/>
      </w:r>
    </w:p>
    <w:p w:rsidR="00672881" w:rsidRDefault="00672881" w:rsidP="00EF1F67">
      <w:pPr>
        <w:pStyle w:val="AERbulletlistfirststyle"/>
      </w:pPr>
      <w:r>
        <w:t>the nature and scope of the reference services to which the r</w:t>
      </w:r>
      <w:r w:rsidR="00A334F9">
        <w:t>eference tariffs are applicable</w:t>
      </w:r>
      <w:r>
        <w:t xml:space="preserve"> </w:t>
      </w:r>
    </w:p>
    <w:p w:rsidR="00672881" w:rsidRDefault="00672881" w:rsidP="00EF1F67">
      <w:pPr>
        <w:pStyle w:val="AERbulletlistfirststyle"/>
      </w:pPr>
      <w:r>
        <w:t>how the proposed mechanism compares to that which applied under the current access arrangement, and to those that apply to other network service providers</w:t>
      </w:r>
      <w:r w:rsidR="00A334F9">
        <w:t xml:space="preserve"> under our recent decisions</w:t>
      </w:r>
    </w:p>
    <w:p w:rsidR="00672881" w:rsidRDefault="00A334F9" w:rsidP="00EF1F67">
      <w:pPr>
        <w:pStyle w:val="AERbulletlistfirststyle"/>
      </w:pPr>
      <w:r>
        <w:t>t</w:t>
      </w:r>
      <w:r w:rsidR="00672881">
        <w:t xml:space="preserve">he potential impact </w:t>
      </w:r>
      <w:r>
        <w:t xml:space="preserve">of the proposed mechanism </w:t>
      </w:r>
      <w:r w:rsidR="00672881">
        <w:t xml:space="preserve">on the service provider's incentives </w:t>
      </w:r>
      <w:r>
        <w:t xml:space="preserve">under the access arrangement </w:t>
      </w:r>
      <w:r w:rsidR="00672881">
        <w:t>to operate its network</w:t>
      </w:r>
      <w:r>
        <w:t>—and manage its risks—</w:t>
      </w:r>
      <w:r w:rsidR="00672881">
        <w:t xml:space="preserve">in a manner consistent with the </w:t>
      </w:r>
      <w:r w:rsidR="00D85D25">
        <w:t>National Gas Objective (</w:t>
      </w:r>
      <w:r w:rsidR="00672881">
        <w:t>NGO</w:t>
      </w:r>
      <w:r w:rsidR="00D85D25">
        <w:t>)</w:t>
      </w:r>
      <w:r w:rsidR="00672881">
        <w:t xml:space="preserve"> and </w:t>
      </w:r>
      <w:r w:rsidR="00D85D25">
        <w:t>Revenue and Pricing Principles (</w:t>
      </w:r>
      <w:r w:rsidR="00672881">
        <w:t>RPPs</w:t>
      </w:r>
      <w:r w:rsidR="00D85D25">
        <w:t>)</w:t>
      </w:r>
    </w:p>
    <w:p w:rsidR="00A334F9" w:rsidRDefault="00A334F9" w:rsidP="00EF1F67">
      <w:pPr>
        <w:pStyle w:val="AERbulletlistfirststyle"/>
      </w:pPr>
      <w:proofErr w:type="gramStart"/>
      <w:r>
        <w:t>in</w:t>
      </w:r>
      <w:proofErr w:type="gramEnd"/>
      <w:r>
        <w:t xml:space="preserve"> the case of cost pass through events, the considerations discussed in section </w:t>
      </w:r>
      <w:r>
        <w:fldChar w:fldCharType="begin"/>
      </w:r>
      <w:r>
        <w:instrText xml:space="preserve"> REF _Ref437255955 \r \h </w:instrText>
      </w:r>
      <w:r>
        <w:fldChar w:fldCharType="separate"/>
      </w:r>
      <w:r w:rsidR="00AD3CCA">
        <w:t>11.3.1</w:t>
      </w:r>
      <w:r>
        <w:fldChar w:fldCharType="end"/>
      </w:r>
      <w:r>
        <w:t xml:space="preserve"> below.</w:t>
      </w:r>
    </w:p>
    <w:p w:rsidR="00A334F9" w:rsidRPr="00C427B2" w:rsidRDefault="00A334F9" w:rsidP="00EF1F67">
      <w:r>
        <w:t>The reference tariff variation mechanism is an area of our decision over which we have full discretion. This means that we may withhold our approval of a proposed reference tariff variation mechanism if</w:t>
      </w:r>
      <w:r w:rsidR="00770F8D">
        <w:t>—</w:t>
      </w:r>
      <w:r>
        <w:t>in our opinion</w:t>
      </w:r>
      <w:r w:rsidR="00770F8D">
        <w:t>—</w:t>
      </w:r>
      <w:r>
        <w:t>a preferable alternative exists that complies with the applicable requirements of the NGL and is consistent with any applicable criteria prescribed by the NGL.</w:t>
      </w:r>
      <w:r>
        <w:rPr>
          <w:rStyle w:val="FootnoteReference"/>
        </w:rPr>
        <w:footnoteReference w:id="22"/>
      </w:r>
    </w:p>
    <w:p w:rsidR="00550B01" w:rsidRDefault="00550B01" w:rsidP="00550B01">
      <w:pPr>
        <w:pStyle w:val="Heading3"/>
      </w:pPr>
      <w:bookmarkStart w:id="22" w:name="_Ref437255955"/>
      <w:bookmarkStart w:id="23" w:name="_Toc451527811"/>
      <w:r>
        <w:t>Cost pass through events</w:t>
      </w:r>
      <w:bookmarkEnd w:id="22"/>
      <w:bookmarkEnd w:id="23"/>
    </w:p>
    <w:p w:rsidR="002A4F97" w:rsidRDefault="002A4F97" w:rsidP="002A4F97">
      <w:pPr>
        <w:numPr>
          <w:ilvl w:val="0"/>
          <w:numId w:val="24"/>
        </w:numPr>
      </w:pPr>
      <w:r>
        <w:t>Our forecast revenue requirement includes forecasts of the capital and operating expenditure (capex and opex) a service provider will require over the access arrangement period to operate and maintain its network and meet its regulatory obligations (see attachments 6 and 7 to this decision). During the access arrangement period, a service provider can apply to us to pass material changes in its costs arising from pre-defined exogenous events through to customers, in the form of higher or lower reference tariffs.</w:t>
      </w:r>
      <w:r w:rsidRPr="006502ED">
        <w:t xml:space="preserve"> </w:t>
      </w:r>
      <w:r>
        <w:t xml:space="preserve">These events are called cost pass through events. </w:t>
      </w:r>
    </w:p>
    <w:p w:rsidR="002A4F97" w:rsidRPr="002A4F97" w:rsidRDefault="002A4F97" w:rsidP="00770F8D">
      <w:r>
        <w:t xml:space="preserve">Our decision on </w:t>
      </w:r>
      <w:r w:rsidR="00A77FD7">
        <w:t xml:space="preserve">the reference tariff variation mechanism for </w:t>
      </w:r>
      <w:r>
        <w:t xml:space="preserve">an access arrangement includes decisions on </w:t>
      </w:r>
      <w:r w:rsidRPr="006502ED">
        <w:t xml:space="preserve">the </w:t>
      </w:r>
      <w:r w:rsidR="00A77FD7">
        <w:t xml:space="preserve">cost </w:t>
      </w:r>
      <w:r w:rsidRPr="006502ED">
        <w:t xml:space="preserve">pass through events </w:t>
      </w:r>
      <w:r>
        <w:t xml:space="preserve">that will </w:t>
      </w:r>
      <w:r w:rsidR="00A77FD7">
        <w:t xml:space="preserve">apply </w:t>
      </w:r>
      <w:r>
        <w:t>during the access arrangement</w:t>
      </w:r>
      <w:r w:rsidRPr="006502ED">
        <w:t xml:space="preserve"> period</w:t>
      </w:r>
      <w:r>
        <w:t>, how an application to pass through costs will be assessed and how approved amounts will be passed through under the reference tariff variation mechanism</w:t>
      </w:r>
      <w:r w:rsidRPr="006502ED">
        <w:t>.</w:t>
      </w:r>
    </w:p>
    <w:p w:rsidR="00567B4A" w:rsidRDefault="00567B4A" w:rsidP="00770F8D">
      <w:pPr>
        <w:pStyle w:val="HeadingBoldBlue"/>
      </w:pPr>
      <w:r>
        <w:t>Assessment of proposed events</w:t>
      </w:r>
    </w:p>
    <w:p w:rsidR="00567B4A" w:rsidRDefault="00567B4A" w:rsidP="00567B4A">
      <w:r>
        <w:t xml:space="preserve">Our decision </w:t>
      </w:r>
      <w:r w:rsidR="00770F8D">
        <w:t xml:space="preserve">on the reference tariff variation mechanism </w:t>
      </w:r>
      <w:r>
        <w:t>include</w:t>
      </w:r>
      <w:r w:rsidR="007770A4">
        <w:t>s</w:t>
      </w:r>
      <w:r>
        <w:t xml:space="preserve"> a decision on the pass through events that are to apply for the </w:t>
      </w:r>
      <w:r w:rsidR="007770A4">
        <w:t>access arrangement</w:t>
      </w:r>
      <w:r>
        <w:t xml:space="preserve"> period.</w:t>
      </w:r>
      <w:r>
        <w:rPr>
          <w:rStyle w:val="FootnoteReference"/>
        </w:rPr>
        <w:footnoteReference w:id="23"/>
      </w:r>
      <w:r>
        <w:t xml:space="preserve"> </w:t>
      </w:r>
    </w:p>
    <w:p w:rsidR="00567B4A" w:rsidRPr="002B285B" w:rsidRDefault="00567B4A" w:rsidP="00567B4A">
      <w:r>
        <w:t xml:space="preserve">Our assessment approach is </w:t>
      </w:r>
      <w:r w:rsidRPr="002B285B">
        <w:t>guided by the N</w:t>
      </w:r>
      <w:r w:rsidR="007770A4">
        <w:t>G</w:t>
      </w:r>
      <w:r w:rsidRPr="002B285B">
        <w:t xml:space="preserve">O and the </w:t>
      </w:r>
      <w:r w:rsidR="00D85D25">
        <w:t>RPPs</w:t>
      </w:r>
      <w:r w:rsidRPr="002B285B">
        <w:t xml:space="preserve">. </w:t>
      </w:r>
      <w:r>
        <w:t>These provide</w:t>
      </w:r>
      <w:r w:rsidR="00E92646">
        <w:t xml:space="preserve"> that</w:t>
      </w:r>
      <w:r w:rsidRPr="002B285B">
        <w:t xml:space="preserve"> the </w:t>
      </w:r>
      <w:r>
        <w:t>service provider</w:t>
      </w:r>
      <w:r w:rsidRPr="002B285B">
        <w:t xml:space="preserve"> </w:t>
      </w:r>
      <w:r w:rsidR="00E92646">
        <w:t xml:space="preserve">should be provided </w:t>
      </w:r>
      <w:r w:rsidRPr="002B285B">
        <w:t xml:space="preserve">with a reasonable opportunity to recover at least the efficient costs </w:t>
      </w:r>
      <w:r>
        <w:t xml:space="preserve">incurred in providing services and complying with </w:t>
      </w:r>
      <w:r w:rsidR="00E92646">
        <w:t xml:space="preserve">a regulatory </w:t>
      </w:r>
      <w:r>
        <w:t>obligation</w:t>
      </w:r>
      <w:r w:rsidR="00E92646">
        <w:t xml:space="preserve"> or requirement</w:t>
      </w:r>
      <w:r>
        <w:t>.</w:t>
      </w:r>
      <w:r w:rsidRPr="002B285B">
        <w:rPr>
          <w:rStyle w:val="AERsuperscript"/>
        </w:rPr>
        <w:footnoteReference w:id="24"/>
      </w:r>
      <w:r w:rsidRPr="002B285B">
        <w:t xml:space="preserve"> </w:t>
      </w:r>
      <w:r>
        <w:t xml:space="preserve">They </w:t>
      </w:r>
      <w:r w:rsidRPr="002B285B">
        <w:t xml:space="preserve">also </w:t>
      </w:r>
      <w:r>
        <w:t>provide</w:t>
      </w:r>
      <w:r w:rsidRPr="002B285B">
        <w:t xml:space="preserve"> incentives to promote economic efficiency.</w:t>
      </w:r>
      <w:r w:rsidRPr="002B285B">
        <w:rPr>
          <w:rStyle w:val="AERsuperscript"/>
        </w:rPr>
        <w:footnoteReference w:id="25"/>
      </w:r>
      <w:r w:rsidRPr="002B285B">
        <w:rPr>
          <w:rStyle w:val="AERsuperscript"/>
        </w:rPr>
        <w:t xml:space="preserve"> </w:t>
      </w:r>
      <w:r>
        <w:t xml:space="preserve">Together, they </w:t>
      </w:r>
      <w:r w:rsidRPr="002B285B">
        <w:t>promote a balance between the economic costs and risk</w:t>
      </w:r>
      <w:r>
        <w:t>s of the potential for under and over investment by a service provider, to</w:t>
      </w:r>
      <w:r w:rsidRPr="002B285B">
        <w:t xml:space="preserve"> promot</w:t>
      </w:r>
      <w:r>
        <w:t>e</w:t>
      </w:r>
      <w:r w:rsidRPr="002B285B">
        <w:t xml:space="preserve"> efficient investment.</w:t>
      </w:r>
      <w:r w:rsidRPr="002B285B">
        <w:rPr>
          <w:rStyle w:val="AERsuperscript"/>
        </w:rPr>
        <w:footnoteReference w:id="26"/>
      </w:r>
      <w:r w:rsidRPr="002B285B">
        <w:t xml:space="preserve"> </w:t>
      </w:r>
      <w:r>
        <w:t xml:space="preserve">In the context of pass through events, we have particular regard to the impact on price, quality, </w:t>
      </w:r>
      <w:r w:rsidR="00A578C3">
        <w:t xml:space="preserve">safety, </w:t>
      </w:r>
      <w:r>
        <w:t xml:space="preserve">reliability and security of supply that may arise as a result of any change in the efficient operation of, and ability and incentive </w:t>
      </w:r>
      <w:r w:rsidR="00A578C3">
        <w:t>o</w:t>
      </w:r>
      <w:r>
        <w:t>f, a service provider to invest in its network.</w:t>
      </w:r>
      <w:r>
        <w:rPr>
          <w:rStyle w:val="FootnoteReference"/>
        </w:rPr>
        <w:footnoteReference w:id="27"/>
      </w:r>
    </w:p>
    <w:p w:rsidR="00567B4A" w:rsidRPr="002B285B" w:rsidRDefault="00567B4A" w:rsidP="00567B4A">
      <w:r>
        <w:t xml:space="preserve">In determining whether we accept a </w:t>
      </w:r>
      <w:r w:rsidR="002B0D51">
        <w:t xml:space="preserve">proposed </w:t>
      </w:r>
      <w:r>
        <w:t>pass through event</w:t>
      </w:r>
      <w:r w:rsidR="009847F3">
        <w:t xml:space="preserve"> as part of the reference tariff variation mechanism</w:t>
      </w:r>
      <w:r>
        <w:t xml:space="preserve">, we </w:t>
      </w:r>
      <w:r w:rsidR="009847F3">
        <w:t xml:space="preserve">also </w:t>
      </w:r>
      <w:r>
        <w:t xml:space="preserve">take into account the </w:t>
      </w:r>
      <w:r w:rsidR="002B0D51">
        <w:t>following considerations</w:t>
      </w:r>
      <w:r w:rsidR="00A44E67">
        <w:t>:</w:t>
      </w:r>
      <w:r w:rsidR="009847F3">
        <w:rPr>
          <w:rStyle w:val="FootnoteReference"/>
        </w:rPr>
        <w:footnoteReference w:id="28"/>
      </w:r>
      <w:r w:rsidR="002B0D51">
        <w:t xml:space="preserve"> </w:t>
      </w:r>
    </w:p>
    <w:p w:rsidR="00567B4A" w:rsidRPr="00930CEF" w:rsidRDefault="00567B4A" w:rsidP="00567B4A">
      <w:pPr>
        <w:pStyle w:val="AERquote"/>
      </w:pPr>
      <w:r w:rsidRPr="00930CEF">
        <w:t xml:space="preserve">(a) </w:t>
      </w:r>
      <w:proofErr w:type="gramStart"/>
      <w:r w:rsidRPr="00930CEF">
        <w:t>whether</w:t>
      </w:r>
      <w:proofErr w:type="gramEnd"/>
      <w:r w:rsidRPr="00930CEF">
        <w:t xml:space="preserve"> the event proposed is an event covered by </w:t>
      </w:r>
      <w:r w:rsidR="00A44E67">
        <w:t>another pass through event under the access arrangement or the NGR</w:t>
      </w:r>
      <w:r w:rsidR="00A44E67">
        <w:rPr>
          <w:rStyle w:val="FootnoteReference"/>
        </w:rPr>
        <w:footnoteReference w:id="29"/>
      </w:r>
      <w:r w:rsidRPr="00930CEF">
        <w:t>;</w:t>
      </w:r>
    </w:p>
    <w:p w:rsidR="00567B4A" w:rsidRPr="00930CEF" w:rsidRDefault="00567B4A" w:rsidP="00567B4A">
      <w:pPr>
        <w:pStyle w:val="AERquote"/>
      </w:pPr>
      <w:r w:rsidRPr="00930CEF">
        <w:t xml:space="preserve">(b) </w:t>
      </w:r>
      <w:proofErr w:type="gramStart"/>
      <w:r w:rsidRPr="00930CEF">
        <w:t>whether</w:t>
      </w:r>
      <w:proofErr w:type="gramEnd"/>
      <w:r w:rsidRPr="00930CEF">
        <w:t xml:space="preserve"> the nature or type of event can be clearly identified at the time </w:t>
      </w:r>
      <w:r w:rsidR="00510BA1">
        <w:t>the access arrangement</w:t>
      </w:r>
      <w:r w:rsidRPr="00930CEF">
        <w:t xml:space="preserve"> is </w:t>
      </w:r>
      <w:r w:rsidR="00510BA1">
        <w:t>approved</w:t>
      </w:r>
      <w:r w:rsidRPr="00930CEF">
        <w:t xml:space="preserve"> for the service provider;</w:t>
      </w:r>
    </w:p>
    <w:p w:rsidR="00567B4A" w:rsidRPr="00930CEF" w:rsidRDefault="00567B4A" w:rsidP="00567B4A">
      <w:pPr>
        <w:pStyle w:val="AERquote"/>
      </w:pPr>
      <w:r w:rsidRPr="00930CEF">
        <w:t xml:space="preserve">(c) </w:t>
      </w:r>
      <w:proofErr w:type="gramStart"/>
      <w:r w:rsidRPr="00930CEF">
        <w:t>whether</w:t>
      </w:r>
      <w:proofErr w:type="gramEnd"/>
      <w:r w:rsidRPr="00930CEF">
        <w:t xml:space="preserve"> a prudent service provider could reasonably prevent an event of that nature or type from occurring or substantially mitigate the cost impact of such an event;</w:t>
      </w:r>
    </w:p>
    <w:p w:rsidR="00567B4A" w:rsidRDefault="00567B4A" w:rsidP="00567B4A">
      <w:pPr>
        <w:pStyle w:val="AERquote"/>
      </w:pPr>
      <w:r w:rsidRPr="00930CEF">
        <w:t xml:space="preserve">(d) </w:t>
      </w:r>
      <w:proofErr w:type="gramStart"/>
      <w:r w:rsidRPr="00930CEF">
        <w:t>whether</w:t>
      </w:r>
      <w:proofErr w:type="gramEnd"/>
      <w:r w:rsidRPr="00930CEF">
        <w:t xml:space="preserve"> the relevant service provider could insure against the event, having regard to:</w:t>
      </w:r>
    </w:p>
    <w:p w:rsidR="00567B4A" w:rsidRPr="00930CEF" w:rsidRDefault="00567B4A" w:rsidP="00567B4A">
      <w:pPr>
        <w:pStyle w:val="AERquoteindent2"/>
      </w:pPr>
      <w:r w:rsidRPr="00930CEF">
        <w:t xml:space="preserve">(1) </w:t>
      </w:r>
      <w:proofErr w:type="gramStart"/>
      <w:r w:rsidRPr="00930CEF">
        <w:t>the</w:t>
      </w:r>
      <w:proofErr w:type="gramEnd"/>
      <w:r w:rsidRPr="00930CEF">
        <w:t xml:space="preserve"> availability (including the extent of availability in terms of liability limits) of insurance against the event on reasonable commercial terms; or</w:t>
      </w:r>
    </w:p>
    <w:p w:rsidR="00567B4A" w:rsidRPr="00930CEF" w:rsidRDefault="00567B4A" w:rsidP="00567B4A">
      <w:pPr>
        <w:pStyle w:val="AERquoteindent2"/>
      </w:pPr>
      <w:r w:rsidRPr="00930CEF">
        <w:t xml:space="preserve">(2) </w:t>
      </w:r>
      <w:proofErr w:type="gramStart"/>
      <w:r w:rsidRPr="00930CEF">
        <w:t>whether</w:t>
      </w:r>
      <w:proofErr w:type="gramEnd"/>
      <w:r w:rsidRPr="00930CEF">
        <w:t xml:space="preserve"> the event can be self-insured on the basis that:</w:t>
      </w:r>
    </w:p>
    <w:p w:rsidR="00567B4A" w:rsidRPr="00034A56" w:rsidRDefault="00567B4A" w:rsidP="00567B4A">
      <w:pPr>
        <w:pStyle w:val="AERquoteindent3"/>
      </w:pPr>
      <w:r w:rsidRPr="00930CEF">
        <w:t>(i)</w:t>
      </w:r>
      <w:r>
        <w:tab/>
      </w:r>
      <w:proofErr w:type="gramStart"/>
      <w:r w:rsidRPr="00930CEF">
        <w:t>it</w:t>
      </w:r>
      <w:proofErr w:type="gramEnd"/>
      <w:r w:rsidRPr="00930CEF">
        <w:t xml:space="preserve"> is </w:t>
      </w:r>
      <w:r w:rsidRPr="00034A56">
        <w:t>possible to calculate the self-insurance premium; and</w:t>
      </w:r>
    </w:p>
    <w:p w:rsidR="00567B4A" w:rsidRPr="00930CEF" w:rsidRDefault="00567B4A" w:rsidP="00192744">
      <w:pPr>
        <w:pStyle w:val="AERquoteindent3"/>
      </w:pPr>
      <w:r w:rsidRPr="00034A56">
        <w:t>(ii)</w:t>
      </w:r>
      <w:r>
        <w:tab/>
      </w:r>
      <w:proofErr w:type="gramStart"/>
      <w:r w:rsidRPr="00034A56">
        <w:t>the</w:t>
      </w:r>
      <w:proofErr w:type="gramEnd"/>
      <w:r w:rsidRPr="00034A56">
        <w:t xml:space="preserve"> potential cost to the relevant service provider would not have a significant impact</w:t>
      </w:r>
      <w:r w:rsidRPr="00930CEF">
        <w:t xml:space="preserve"> on the service provider’s ability to </w:t>
      </w:r>
      <w:r w:rsidRPr="00590B5D">
        <w:t xml:space="preserve">provide </w:t>
      </w:r>
      <w:r w:rsidRPr="00590B5D">
        <w:rPr>
          <w:rStyle w:val="AERtextitalic"/>
          <w:i w:val="0"/>
        </w:rPr>
        <w:t>network services</w:t>
      </w:r>
      <w:r>
        <w:t>.</w:t>
      </w:r>
    </w:p>
    <w:p w:rsidR="00567B4A" w:rsidRDefault="00A44E67" w:rsidP="00567B4A">
      <w:r>
        <w:t xml:space="preserve">These considerations serve the same purpose under the </w:t>
      </w:r>
      <w:r w:rsidR="00590B5D">
        <w:t>National Electricity Rules (</w:t>
      </w:r>
      <w:r>
        <w:t>NER</w:t>
      </w:r>
      <w:r w:rsidR="00590B5D">
        <w:t>)</w:t>
      </w:r>
      <w:r>
        <w:t>, and are referred to in the NER as the nominated pass through event considerations.</w:t>
      </w:r>
      <w:r>
        <w:rPr>
          <w:rStyle w:val="FootnoteReference"/>
        </w:rPr>
        <w:footnoteReference w:id="30"/>
      </w:r>
      <w:r>
        <w:t xml:space="preserve"> </w:t>
      </w:r>
      <w:r w:rsidR="00326894">
        <w:t>We consider these considerations are relevant to help determine whether a proposed cost pass through event under an access arrangement is consistent with the NGO.</w:t>
      </w:r>
      <w:r w:rsidR="00326894">
        <w:rPr>
          <w:rStyle w:val="FootnoteReference"/>
        </w:rPr>
        <w:footnoteReference w:id="31"/>
      </w:r>
      <w:r w:rsidR="00326894">
        <w:t xml:space="preserve">  </w:t>
      </w:r>
      <w:r>
        <w:t xml:space="preserve">In adding </w:t>
      </w:r>
      <w:r w:rsidR="00567B4A">
        <w:t>the nominated pass through event considerations</w:t>
      </w:r>
      <w:r w:rsidR="00590B5D">
        <w:t xml:space="preserve"> to the NER, the </w:t>
      </w:r>
      <w:r w:rsidR="00D85D25">
        <w:t>Australian Energy Market Commission (</w:t>
      </w:r>
      <w:r w:rsidR="00590B5D">
        <w:t>AEMC</w:t>
      </w:r>
      <w:r w:rsidR="00D85D25">
        <w:t>)</w:t>
      </w:r>
      <w:r w:rsidR="00590B5D">
        <w:t xml:space="preserve"> described their purpose</w:t>
      </w:r>
      <w:r w:rsidR="00567B4A">
        <w:t xml:space="preserve"> </w:t>
      </w:r>
      <w:r>
        <w:t>as</w:t>
      </w:r>
      <w:r w:rsidR="00567B4A">
        <w:t>:</w:t>
      </w:r>
    </w:p>
    <w:p w:rsidR="00567B4A" w:rsidRPr="00567B4A" w:rsidRDefault="00567B4A" w:rsidP="00567B4A">
      <w:pPr>
        <w:pStyle w:val="AERbulletlistfirststyle"/>
      </w:pPr>
      <w:proofErr w:type="gramStart"/>
      <w:r>
        <w:t>t</w:t>
      </w:r>
      <w:r w:rsidRPr="00567B4A">
        <w:t>o</w:t>
      </w:r>
      <w:proofErr w:type="gramEnd"/>
      <w:r w:rsidRPr="00567B4A">
        <w:t xml:space="preserve"> incorporate and reflect the essential components of a cost pass through regime. It was intended that in order for appropriate incentives to be maintained, any nominated pass through event should only be accepted when event avoidance, mitigation, commercial insurance and self-insurance are unavailable. That is, a cost pass through event is the least efficient option for managing the risk of unforeseen events.</w:t>
      </w:r>
      <w:r w:rsidRPr="00567B4A">
        <w:rPr>
          <w:rStyle w:val="FootnoteReference"/>
        </w:rPr>
        <w:footnoteReference w:id="32"/>
      </w:r>
    </w:p>
    <w:p w:rsidR="00567B4A" w:rsidRPr="00567B4A" w:rsidRDefault="00567B4A" w:rsidP="00567B4A">
      <w:pPr>
        <w:pStyle w:val="AERbulletlistfirststyle"/>
      </w:pPr>
      <w:r>
        <w:t xml:space="preserve">that a pass through event should only be accepted when it is the least inefficient </w:t>
      </w:r>
      <w:r w:rsidRPr="00567B4A">
        <w:t>option and event avoidance, mitigation, commercial insurance and self-insurance are found to be inappropriate. That is, it is included after ascertaining the most efficient allocation of risks between a service provider and end customers.</w:t>
      </w:r>
      <w:r w:rsidRPr="00567B4A">
        <w:rPr>
          <w:rStyle w:val="FootnoteReference"/>
        </w:rPr>
        <w:footnoteReference w:id="33"/>
      </w:r>
    </w:p>
    <w:p w:rsidR="00567B4A" w:rsidRDefault="00567B4A" w:rsidP="00567B4A">
      <w:r>
        <w:t xml:space="preserve">In turn, this </w:t>
      </w:r>
      <w:r w:rsidR="00AC046D">
        <w:t>limits</w:t>
      </w:r>
      <w:r>
        <w:t xml:space="preserve"> the erosion of incentives on service providers to use market based mechanisms to mitigate the cost impacts that would arise.</w:t>
      </w:r>
      <w:r>
        <w:rPr>
          <w:rStyle w:val="FootnoteReference"/>
        </w:rPr>
        <w:footnoteReference w:id="34"/>
      </w:r>
      <w:r>
        <w:t xml:space="preserve"> This promotes the efficient investment in, and efficient operation and use of, network services for the long term interests of consumers with respect to price.</w:t>
      </w:r>
      <w:r>
        <w:rPr>
          <w:rStyle w:val="FootnoteReference"/>
        </w:rPr>
        <w:footnoteReference w:id="35"/>
      </w:r>
      <w:r>
        <w:t xml:space="preserve"> </w:t>
      </w:r>
    </w:p>
    <w:p w:rsidR="00567B4A" w:rsidRPr="004646BB" w:rsidRDefault="00567B4A" w:rsidP="00567B4A">
      <w:r w:rsidRPr="004646BB">
        <w:t>As a matter of good regulatory practice, one additional matter</w:t>
      </w:r>
      <w:r w:rsidRPr="004646BB">
        <w:rPr>
          <w:rStyle w:val="FootnoteReference"/>
        </w:rPr>
        <w:footnoteReference w:id="36"/>
      </w:r>
      <w:r w:rsidRPr="004646BB">
        <w:t xml:space="preserve"> we take into account is consistency in our approach to assessing pass through events across our electricity determinations and gas access arrangements.</w:t>
      </w:r>
      <w:r w:rsidRPr="004646BB">
        <w:rPr>
          <w:rStyle w:val="FootnoteReference"/>
        </w:rPr>
        <w:footnoteReference w:id="37"/>
      </w:r>
      <w:r w:rsidRPr="004646BB">
        <w:t xml:space="preserve"> </w:t>
      </w:r>
    </w:p>
    <w:p w:rsidR="00567B4A" w:rsidRPr="004646BB" w:rsidRDefault="00567B4A" w:rsidP="00567B4A">
      <w:r w:rsidRPr="004646BB">
        <w:t>Another additional matter we take into account</w:t>
      </w:r>
      <w:r w:rsidRPr="004646BB">
        <w:rPr>
          <w:rStyle w:val="FootnoteReference"/>
        </w:rPr>
        <w:footnoteReference w:id="38"/>
      </w:r>
      <w:r w:rsidRPr="004646BB">
        <w:t xml:space="preserve"> is how an application to pass through costs after an event occurs will be assessed, and the workability of the nominated pass through event in the context of the </w:t>
      </w:r>
      <w:r w:rsidR="009847F3">
        <w:t>reference tariff variation</w:t>
      </w:r>
      <w:r w:rsidRPr="004646BB">
        <w:t xml:space="preserve"> mechanism. This is discussed below.</w:t>
      </w:r>
    </w:p>
    <w:p w:rsidR="00567B4A" w:rsidRDefault="00567B4A" w:rsidP="00590B5D">
      <w:pPr>
        <w:pStyle w:val="HeadingBoldBlue"/>
      </w:pPr>
      <w:r>
        <w:t>Assessment of pass through applications</w:t>
      </w:r>
    </w:p>
    <w:p w:rsidR="00770F8D" w:rsidRDefault="00770F8D" w:rsidP="00567B4A">
      <w:r>
        <w:t>Our decision on the reference tariff variation mechanism also includes a decision on the provisions of the access arrangement that set out how an application to pass through costs after a pass through event occurs will be made.</w:t>
      </w:r>
    </w:p>
    <w:p w:rsidR="00567B4A" w:rsidRDefault="00770F8D" w:rsidP="00567B4A">
      <w:r>
        <w:t>Typically, a</w:t>
      </w:r>
      <w:r w:rsidR="00567B4A">
        <w:t xml:space="preserve"> pass through event is triggered when a defined event occurs, and entails the service provider incurring materially higher (or lower) costs than it would have occurred but for that event. When the change in costs is positive (that is, costs increase), the service provider </w:t>
      </w:r>
      <w:r w:rsidR="00567B4A" w:rsidRPr="004646BB">
        <w:t>may</w:t>
      </w:r>
      <w:r w:rsidR="00567B4A">
        <w:t xml:space="preserve"> seek our approval to pass through an increase in the costs that it has incurred and is likely to incur over the </w:t>
      </w:r>
      <w:r w:rsidR="00326894">
        <w:t>access arrangement</w:t>
      </w:r>
      <w:r w:rsidR="00567B4A">
        <w:t xml:space="preserve"> period to its users. When the change in costs is negative (and costs decrease), the service provider </w:t>
      </w:r>
      <w:r w:rsidR="00567B4A" w:rsidRPr="004646BB">
        <w:t>must</w:t>
      </w:r>
      <w:r w:rsidR="00567B4A">
        <w:t xml:space="preserve"> provide us with a statement of the amount to be passed through</w:t>
      </w:r>
      <w:r w:rsidR="00F63F0F">
        <w:t xml:space="preserve"> back to customers, which leads to lower charges</w:t>
      </w:r>
      <w:r w:rsidR="00567B4A">
        <w:t xml:space="preserve">. </w:t>
      </w:r>
    </w:p>
    <w:p w:rsidR="00567B4A" w:rsidRDefault="00567B4A" w:rsidP="00567B4A">
      <w:r>
        <w:t xml:space="preserve">The pass through mechanism </w:t>
      </w:r>
      <w:r w:rsidR="00770F8D">
        <w:t xml:space="preserve">should </w:t>
      </w:r>
      <w:r>
        <w:t>not allow a service provider to pass through any change in its actual costs resulting from an event. As the AEMC has noted</w:t>
      </w:r>
      <w:r w:rsidR="00770F8D">
        <w:t xml:space="preserve"> in the context of the NER pass through provisions</w:t>
      </w:r>
      <w:r>
        <w:t>:</w:t>
      </w:r>
      <w:r>
        <w:rPr>
          <w:rStyle w:val="FootnoteReference"/>
        </w:rPr>
        <w:footnoteReference w:id="39"/>
      </w:r>
    </w:p>
    <w:p w:rsidR="00567B4A" w:rsidRDefault="00567B4A" w:rsidP="00567B4A">
      <w:pPr>
        <w:pStyle w:val="AERquote"/>
      </w:pPr>
      <w:r>
        <w:t>The natural incentive properties of cost pass throughs are very weak. There is no direct financial benefit to the [service provider] from out performing in relation to those events that are covered by cost pass throughs, unlike the incentive arrangements for operating expenditure captured in the building blocks.</w:t>
      </w:r>
    </w:p>
    <w:p w:rsidR="00567B4A" w:rsidRDefault="00567B4A" w:rsidP="00567B4A">
      <w:pPr>
        <w:pStyle w:val="AERquote"/>
      </w:pPr>
      <w:r>
        <w:t>…the NER allow the AER to take into account the efficiency of the provider’s decisions and actions in relation to the risk, as an attempt to impose some incentives to not overspend in relation to cost pass throughs. However, the incentives to find cost efficiencies on matters that can be claimed as cost pass through events are very poor.</w:t>
      </w:r>
    </w:p>
    <w:p w:rsidR="00770F8D" w:rsidRDefault="00770F8D" w:rsidP="00567B4A">
      <w:r>
        <w:t>We manage these incentives in our decisions in a number of ways.</w:t>
      </w:r>
    </w:p>
    <w:p w:rsidR="00567B4A" w:rsidRDefault="00770F8D" w:rsidP="00567B4A">
      <w:r>
        <w:t>First, a</w:t>
      </w:r>
      <w:r w:rsidR="00567B4A">
        <w:t xml:space="preserve"> materiality threshold is </w:t>
      </w:r>
      <w:r>
        <w:t xml:space="preserve">typically </w:t>
      </w:r>
      <w:r w:rsidR="00567B4A">
        <w:t xml:space="preserve">applied so that an application to pass through costs (whether positive or negative) can only be made where the total change in costs resulting from the event is </w:t>
      </w:r>
      <w:r>
        <w:t xml:space="preserve">material. We consider the threshold prescribed in the NER is a suitable benchmark for a materiality threshold </w:t>
      </w:r>
      <w:r w:rsidR="00326894">
        <w:t xml:space="preserve">for cost pass through events </w:t>
      </w:r>
      <w:r>
        <w:t xml:space="preserve">under the NGR. This threshold requires the change in costs to be </w:t>
      </w:r>
      <w:r w:rsidR="00567B4A">
        <w:t xml:space="preserve">more than one per cent of the </w:t>
      </w:r>
      <w:r>
        <w:t>forecast revenue requirement</w:t>
      </w:r>
      <w:r w:rsidR="00567B4A">
        <w:t xml:space="preserve"> for the service provider for the relevant regulatory year.</w:t>
      </w:r>
      <w:r w:rsidR="00567B4A">
        <w:rPr>
          <w:rStyle w:val="FootnoteReference"/>
        </w:rPr>
        <w:footnoteReference w:id="40"/>
      </w:r>
    </w:p>
    <w:p w:rsidR="00567B4A" w:rsidRDefault="00770F8D" w:rsidP="00567B4A">
      <w:r>
        <w:t xml:space="preserve">Second, where a pass through event has </w:t>
      </w:r>
      <w:proofErr w:type="gramStart"/>
      <w:r>
        <w:t>occurred</w:t>
      </w:r>
      <w:proofErr w:type="gramEnd"/>
      <w:r>
        <w:t xml:space="preserve"> the access arrangement should set out factors relevant to our </w:t>
      </w:r>
      <w:r w:rsidR="00567B4A">
        <w:t>determination on the amount to be passed through</w:t>
      </w:r>
      <w:r>
        <w:t>. A</w:t>
      </w:r>
      <w:r w:rsidR="00326894">
        <w:t>g</w:t>
      </w:r>
      <w:r>
        <w:t>ain</w:t>
      </w:r>
      <w:r w:rsidR="00567B4A">
        <w:t>,</w:t>
      </w:r>
      <w:r>
        <w:t xml:space="preserve"> we consider the relevant factors in the NER are a</w:t>
      </w:r>
      <w:r w:rsidR="00DF6399">
        <w:t>lso</w:t>
      </w:r>
      <w:r>
        <w:t xml:space="preserve"> useful </w:t>
      </w:r>
      <w:r w:rsidR="00326894">
        <w:t>for the pass through mechanism under the NGR</w:t>
      </w:r>
      <w:r>
        <w:t>. These include</w:t>
      </w:r>
      <w:r w:rsidR="00567B4A">
        <w:t>:</w:t>
      </w:r>
      <w:r w:rsidR="00567B4A">
        <w:rPr>
          <w:rStyle w:val="FootnoteReference"/>
        </w:rPr>
        <w:footnoteReference w:id="41"/>
      </w:r>
    </w:p>
    <w:p w:rsidR="00567B4A" w:rsidRPr="004646BB" w:rsidRDefault="00567B4A" w:rsidP="00AA537A">
      <w:pPr>
        <w:pStyle w:val="AERbulletlistfirststyle"/>
      </w:pPr>
      <w:r>
        <w:t>t</w:t>
      </w:r>
      <w:r w:rsidRPr="004646BB">
        <w:t>he information provided to us by the service provider</w:t>
      </w:r>
    </w:p>
    <w:p w:rsidR="00567B4A" w:rsidRPr="004646BB" w:rsidRDefault="00567B4A" w:rsidP="00AA537A">
      <w:pPr>
        <w:pStyle w:val="AERbulletlistfirststyle"/>
      </w:pPr>
      <w:r w:rsidRPr="00590B5D">
        <w:t xml:space="preserve">the increase in the costs of providing </w:t>
      </w:r>
      <w:r w:rsidR="00590B5D" w:rsidRPr="00590B5D">
        <w:t xml:space="preserve">reference </w:t>
      </w:r>
      <w:r w:rsidRPr="00AA537A">
        <w:t>services</w:t>
      </w:r>
      <w:r w:rsidRPr="00590B5D">
        <w:t xml:space="preserve"> that the service provider</w:t>
      </w:r>
      <w:r w:rsidRPr="004646BB">
        <w:t xml:space="preserve"> has incurred and is likely to incur (or the costs in the provision of </w:t>
      </w:r>
      <w:r w:rsidR="00AC046D">
        <w:t>reference</w:t>
      </w:r>
      <w:r w:rsidRPr="004646BB">
        <w:t xml:space="preserve"> services the service provider has saved and is likely to save) until:</w:t>
      </w:r>
    </w:p>
    <w:p w:rsidR="00567B4A" w:rsidRPr="00567B4A" w:rsidRDefault="00567B4A" w:rsidP="00AA537A">
      <w:pPr>
        <w:pStyle w:val="AERbulletlistsecondstyle"/>
      </w:pPr>
      <w:r>
        <w:t xml:space="preserve">the end of the </w:t>
      </w:r>
      <w:r w:rsidR="009847F3">
        <w:t>access arrangement</w:t>
      </w:r>
      <w:r>
        <w:t xml:space="preserve"> period in which the </w:t>
      </w:r>
      <w:r w:rsidRPr="00567B4A">
        <w:t>event occurred; or</w:t>
      </w:r>
    </w:p>
    <w:p w:rsidR="00567B4A" w:rsidRPr="00567B4A" w:rsidRDefault="00567B4A" w:rsidP="00AA537A">
      <w:pPr>
        <w:pStyle w:val="AERbulletlistsecondstyle"/>
      </w:pPr>
      <w:r>
        <w:t xml:space="preserve">if the </w:t>
      </w:r>
      <w:r w:rsidR="009847F3">
        <w:t>access arrangement</w:t>
      </w:r>
      <w:r w:rsidRPr="00567B4A">
        <w:t xml:space="preserve"> for the </w:t>
      </w:r>
      <w:r w:rsidR="009847F3">
        <w:t>access arrangement</w:t>
      </w:r>
      <w:r w:rsidRPr="00567B4A">
        <w:t xml:space="preserve"> period following that in which the event occurred does not make any allowance for the recovery of that increase in costs (or the pass through of those cost savings) – the end of the </w:t>
      </w:r>
      <w:r w:rsidR="009847F3">
        <w:t>access arrangement</w:t>
      </w:r>
      <w:r w:rsidRPr="00567B4A">
        <w:t xml:space="preserve"> period following that in which the event occurred;</w:t>
      </w:r>
    </w:p>
    <w:p w:rsidR="00567B4A" w:rsidRPr="004646BB" w:rsidRDefault="00567B4A" w:rsidP="00AA537A">
      <w:pPr>
        <w:pStyle w:val="AERbulletlistfirststyle"/>
      </w:pPr>
      <w:r>
        <w:t>for an increase in costs</w:t>
      </w:r>
      <w:r w:rsidRPr="004646BB">
        <w:t>, the efficiency of the service provider's decisions and actions in relation to the risk of the event, including whether the service provider has failed to take any action that could reasonably be taken to reduce the magnitude of the pass through amount in respect of that event and whether the service provider has taken or omitted to take any action where such action or omission has increased the magnitude of the amount in respect of that event;</w:t>
      </w:r>
    </w:p>
    <w:p w:rsidR="00567B4A" w:rsidRPr="004646BB" w:rsidRDefault="00567B4A" w:rsidP="00AA537A">
      <w:pPr>
        <w:pStyle w:val="AERbulletlistfirststyle"/>
      </w:pPr>
      <w:r>
        <w:t xml:space="preserve">the time cost of money based on the allowed rate of return for the </w:t>
      </w:r>
      <w:r w:rsidRPr="004646BB">
        <w:t>service provider for the regulatory control period in which the pass through event occurred;</w:t>
      </w:r>
    </w:p>
    <w:p w:rsidR="00567B4A" w:rsidRPr="004646BB" w:rsidRDefault="00567B4A" w:rsidP="00AA537A">
      <w:pPr>
        <w:pStyle w:val="AERbulletlistfirststyle"/>
      </w:pPr>
      <w:r>
        <w:t xml:space="preserve">the need to ensure that the </w:t>
      </w:r>
      <w:r w:rsidRPr="004646BB">
        <w:t>service provider only recovers any actual or likely increment in costs to the extent that such increment is solely as a consequence of a pass through event;</w:t>
      </w:r>
    </w:p>
    <w:p w:rsidR="00567B4A" w:rsidRPr="004646BB" w:rsidRDefault="00567B4A" w:rsidP="00AA537A">
      <w:pPr>
        <w:pStyle w:val="AERbulletlistfirststyle"/>
      </w:pPr>
      <w:r>
        <w:t xml:space="preserve">whether the costs of the pass through event have already been factored into the calculation of the </w:t>
      </w:r>
      <w:r w:rsidRPr="004646BB">
        <w:t xml:space="preserve">service </w:t>
      </w:r>
      <w:r w:rsidR="009847F3">
        <w:t>forecast revenue requirement</w:t>
      </w:r>
      <w:r w:rsidRPr="004646BB">
        <w:t xml:space="preserve"> for the </w:t>
      </w:r>
      <w:r w:rsidR="009847F3">
        <w:t>access arrangement</w:t>
      </w:r>
      <w:r w:rsidRPr="004646BB">
        <w:t xml:space="preserve"> period in which the pass through event occurred or will be factored into the calculation of the provider's </w:t>
      </w:r>
      <w:r w:rsidR="009847F3">
        <w:t>forecast revenue requirement</w:t>
      </w:r>
      <w:r w:rsidRPr="004646BB">
        <w:t xml:space="preserve"> for a subsequent </w:t>
      </w:r>
      <w:r w:rsidR="009847F3">
        <w:t>access arrangement</w:t>
      </w:r>
      <w:r w:rsidRPr="004646BB">
        <w:t xml:space="preserve"> period;</w:t>
      </w:r>
    </w:p>
    <w:p w:rsidR="00567B4A" w:rsidRPr="004646BB" w:rsidRDefault="00567B4A" w:rsidP="00AA537A">
      <w:pPr>
        <w:pStyle w:val="AERbulletlistfirststyle"/>
      </w:pPr>
      <w:r>
        <w:t xml:space="preserve">the extent to which the costs that the </w:t>
      </w:r>
      <w:r w:rsidRPr="004646BB">
        <w:t>service provider has incurred and is likely to incur are the subject of a previous determination we have made on a cost pass through application; and</w:t>
      </w:r>
    </w:p>
    <w:p w:rsidR="00567B4A" w:rsidRPr="004646BB" w:rsidRDefault="00567B4A" w:rsidP="00AA537A">
      <w:pPr>
        <w:pStyle w:val="AERbulletlistfirststyle"/>
      </w:pPr>
      <w:proofErr w:type="gramStart"/>
      <w:r>
        <w:t>any</w:t>
      </w:r>
      <w:proofErr w:type="gramEnd"/>
      <w:r>
        <w:t xml:space="preserve"> other factors </w:t>
      </w:r>
      <w:r w:rsidRPr="004646BB">
        <w:t>we consider relevant.</w:t>
      </w:r>
    </w:p>
    <w:p w:rsidR="00567B4A" w:rsidRPr="004646BB" w:rsidRDefault="00567B4A" w:rsidP="00567B4A">
      <w:r w:rsidRPr="004646BB">
        <w:t xml:space="preserve">What other factors may be relevant to a particular pass through event must—to some extent—be determined on a case by case basis. However, for some events there may be additional factors that can be identified in advance. </w:t>
      </w:r>
      <w:r w:rsidR="00881AA0">
        <w:t>W</w:t>
      </w:r>
      <w:r w:rsidRPr="004646BB">
        <w:t xml:space="preserve">e include these factors in the approved definitions of those events as part of </w:t>
      </w:r>
      <w:r w:rsidR="00326894">
        <w:t>the access arrangement</w:t>
      </w:r>
      <w:r w:rsidRPr="004646BB">
        <w:t>. This is good regulatory practice for two reasons:</w:t>
      </w:r>
    </w:p>
    <w:p w:rsidR="00567B4A" w:rsidRPr="004646BB" w:rsidRDefault="00567B4A" w:rsidP="00567B4A">
      <w:pPr>
        <w:pStyle w:val="ListParagraph"/>
      </w:pPr>
      <w:r w:rsidRPr="004646BB">
        <w:t>It provides transparency and predictability to service providers and users, and allows service providers to address these factors directly in cost pass through applications.</w:t>
      </w:r>
    </w:p>
    <w:p w:rsidR="00567B4A" w:rsidRPr="004646BB" w:rsidRDefault="00567B4A" w:rsidP="00567B4A">
      <w:pPr>
        <w:pStyle w:val="ListParagraph"/>
      </w:pPr>
      <w:r w:rsidRPr="004646BB">
        <w:t xml:space="preserve">It allows us, service providers and users to consider and engage on how a pass through event will operate during the regulatory control </w:t>
      </w:r>
      <w:proofErr w:type="gramStart"/>
      <w:r w:rsidRPr="004646BB">
        <w:t>period,</w:t>
      </w:r>
      <w:proofErr w:type="gramEnd"/>
      <w:r w:rsidRPr="004646BB">
        <w:t xml:space="preserve"> and therefore to better take into account the considerations </w:t>
      </w:r>
      <w:r w:rsidR="00326894">
        <w:t xml:space="preserve">discussed above </w:t>
      </w:r>
      <w:r w:rsidRPr="004646BB">
        <w:t>when defining an approved event.</w:t>
      </w:r>
      <w:r>
        <w:t xml:space="preserve"> </w:t>
      </w:r>
    </w:p>
    <w:p w:rsidR="00A2303E" w:rsidRDefault="00A2303E" w:rsidP="00A2303E">
      <w:pPr>
        <w:pStyle w:val="Heading3"/>
      </w:pPr>
      <w:bookmarkStart w:id="24" w:name="_Toc419366916"/>
      <w:bookmarkStart w:id="25" w:name="_Toc451527812"/>
      <w:r>
        <w:t>Interrelationships</w:t>
      </w:r>
      <w:bookmarkEnd w:id="24"/>
      <w:bookmarkEnd w:id="25"/>
    </w:p>
    <w:p w:rsidR="00595C31" w:rsidRDefault="00595C31" w:rsidP="007E71D3">
      <w:pPr>
        <w:numPr>
          <w:ilvl w:val="0"/>
          <w:numId w:val="24"/>
        </w:numPr>
      </w:pPr>
      <w:r w:rsidRPr="004D0BCD">
        <w:t xml:space="preserve">Tariffs are derived from the total revenue requirement </w:t>
      </w:r>
      <w:r w:rsidRPr="000935F8">
        <w:rPr>
          <w:rStyle w:val="Emphasis"/>
        </w:rPr>
        <w:t>after</w:t>
      </w:r>
      <w:r w:rsidRPr="004D0BCD">
        <w:t xml:space="preserve"> consideration of demand for each tariff category. </w:t>
      </w:r>
      <w:r>
        <w:t>AGN</w:t>
      </w:r>
      <w:r w:rsidRPr="004D0BCD">
        <w:t xml:space="preserve"> operates under a weighted average </w:t>
      </w:r>
      <w:r>
        <w:t>tariff</w:t>
      </w:r>
      <w:r w:rsidRPr="004D0BCD">
        <w:t xml:space="preserve"> cap. This means the tariffs we determine (including the means of varying the tariffs from year to year) are the binding constraint across the </w:t>
      </w:r>
      <w:r>
        <w:t xml:space="preserve">2016–21 </w:t>
      </w:r>
      <w:r w:rsidRPr="004D0BCD">
        <w:t xml:space="preserve">access arrangement </w:t>
      </w:r>
      <w:proofErr w:type="gramStart"/>
      <w:r w:rsidRPr="004D0BCD">
        <w:t>period</w:t>
      </w:r>
      <w:proofErr w:type="gramEnd"/>
      <w:r>
        <w:t>, rather than the total revenue requirement set in our decision</w:t>
      </w:r>
      <w:r w:rsidRPr="004D0BCD">
        <w:t>.</w:t>
      </w:r>
      <w:r w:rsidRPr="004D0BCD">
        <w:rPr>
          <w:rStyle w:val="FootnoteReference"/>
        </w:rPr>
        <w:footnoteReference w:id="42"/>
      </w:r>
      <w:r w:rsidR="000B7165">
        <w:t xml:space="preserve"> </w:t>
      </w:r>
      <w:r>
        <w:t>Except as provided by a reference tariff variation mechanism, a reference tariff is not to vary during the course of an access arrangement period.</w:t>
      </w:r>
      <w:r>
        <w:rPr>
          <w:rStyle w:val="FootnoteReference"/>
        </w:rPr>
        <w:footnoteReference w:id="43"/>
      </w:r>
    </w:p>
    <w:p w:rsidR="00E75D78" w:rsidRDefault="00E75D78" w:rsidP="000B7165">
      <w:r>
        <w:t>In a</w:t>
      </w:r>
      <w:r w:rsidR="00595C31">
        <w:t xml:space="preserve">ssessing and approving a reference tariff variation mechanism, we consider </w:t>
      </w:r>
      <w:r>
        <w:t>the potential impact of the proposed mechanism on the service provider's incentives under the access arrangement to operate its network—and manage its risks—in a manner consistent with the NG</w:t>
      </w:r>
      <w:r w:rsidR="00595C31">
        <w:t>O</w:t>
      </w:r>
      <w:r>
        <w:t xml:space="preserve"> and RPPs</w:t>
      </w:r>
      <w:r w:rsidR="00595C31">
        <w:t>.</w:t>
      </w:r>
      <w:r w:rsidR="00595C31">
        <w:rPr>
          <w:rStyle w:val="FootnoteReference"/>
        </w:rPr>
        <w:footnoteReference w:id="44"/>
      </w:r>
    </w:p>
    <w:p w:rsidR="008D3283" w:rsidRDefault="00595C31" w:rsidP="008D3283">
      <w:r>
        <w:t>For example, our final d</w:t>
      </w:r>
      <w:r w:rsidR="00674428">
        <w:t xml:space="preserve">ecision requires/approves an adjustment factor to accommodate changes in the price AGN must pay to meet </w:t>
      </w:r>
      <w:proofErr w:type="gramStart"/>
      <w:r w:rsidR="00674428">
        <w:t>its</w:t>
      </w:r>
      <w:proofErr w:type="gramEnd"/>
      <w:r w:rsidR="00674428">
        <w:t xml:space="preserve"> unaccounted for gas (UAFG) obligations. This addresses the inherent uncertainty in the forecast of UAFG costs that has informed our decision on total forecast opex. </w:t>
      </w:r>
      <w:r w:rsidR="00BC6585">
        <w:t xml:space="preserve">The </w:t>
      </w:r>
      <w:r w:rsidR="008D3283">
        <w:t>inclusion</w:t>
      </w:r>
      <w:r w:rsidR="00BC6585">
        <w:t xml:space="preserve"> of the UAFG adjustment factor</w:t>
      </w:r>
      <w:r w:rsidR="008D3283">
        <w:t xml:space="preserve"> in the access arrangement requires a category–specific forecast of UAFG costs for this purpose, which sits outside our foundation 'base–step–trend' approach to forecast opex.</w:t>
      </w:r>
      <w:r w:rsidR="00DF75A5">
        <w:rPr>
          <w:rStyle w:val="FootnoteReference"/>
        </w:rPr>
        <w:footnoteReference w:id="45"/>
      </w:r>
      <w:r w:rsidR="008D3283">
        <w:t xml:space="preserve"> It also requires exclusion of these costs from the opex efficiency carryover mechanism.</w:t>
      </w:r>
      <w:r w:rsidR="00DF75A5">
        <w:rPr>
          <w:rStyle w:val="FootnoteReference"/>
        </w:rPr>
        <w:footnoteReference w:id="46"/>
      </w:r>
    </w:p>
    <w:p w:rsidR="001A01F2" w:rsidRDefault="001A01F2" w:rsidP="000B7165">
      <w:r>
        <w:t>The adjustment factor is specific to the price of UAFG, and not its total cost to AGN (price multiplied by volume). This maintains the incentive on AGN to reduce the volume of UAFG in its network. Our total forecast capex makes provision for maintenance and replacement expenditure for this purpose.</w:t>
      </w:r>
      <w:r w:rsidR="00DF75A5">
        <w:rPr>
          <w:rStyle w:val="FootnoteReference"/>
        </w:rPr>
        <w:footnoteReference w:id="47"/>
      </w:r>
    </w:p>
    <w:p w:rsidR="00F26D31" w:rsidRDefault="00BC6585" w:rsidP="00F26D31">
      <w:r>
        <w:t xml:space="preserve">The </w:t>
      </w:r>
      <w:r w:rsidR="00F26D31">
        <w:t xml:space="preserve">pass through </w:t>
      </w:r>
      <w:r w:rsidR="00AC046D">
        <w:t xml:space="preserve">component of the reference tariff variation </w:t>
      </w:r>
      <w:r w:rsidR="00F26D31">
        <w:t xml:space="preserve">mechanism is </w:t>
      </w:r>
      <w:r w:rsidR="008D3283">
        <w:t>also</w:t>
      </w:r>
      <w:r w:rsidR="00F26D31">
        <w:t xml:space="preserve"> interrelated </w:t>
      </w:r>
      <w:r w:rsidR="00F26D31" w:rsidRPr="00930CEF">
        <w:t xml:space="preserve">with other parts of this </w:t>
      </w:r>
      <w:r w:rsidR="00F26D31">
        <w:t>decision</w:t>
      </w:r>
      <w:r w:rsidR="00F26D31" w:rsidRPr="00930CEF">
        <w:t xml:space="preserve">, in particular with </w:t>
      </w:r>
      <w:r w:rsidR="00F26D31">
        <w:t>the forecast</w:t>
      </w:r>
      <w:r w:rsidR="00F26D31" w:rsidRPr="00930CEF">
        <w:t xml:space="preserve"> opex</w:t>
      </w:r>
      <w:r w:rsidR="00DF75A5">
        <w:rPr>
          <w:rStyle w:val="FootnoteReference"/>
        </w:rPr>
        <w:footnoteReference w:id="48"/>
      </w:r>
      <w:r w:rsidR="00F26D31" w:rsidRPr="00930CEF">
        <w:t xml:space="preserve"> and capex</w:t>
      </w:r>
      <w:r w:rsidR="00DF75A5">
        <w:rPr>
          <w:rStyle w:val="FootnoteReference"/>
        </w:rPr>
        <w:footnoteReference w:id="49"/>
      </w:r>
      <w:r w:rsidR="00F26D31">
        <w:t xml:space="preserve"> and </w:t>
      </w:r>
      <w:r w:rsidR="00F26D31" w:rsidRPr="00930CEF">
        <w:t>rate of return</w:t>
      </w:r>
      <w:r w:rsidR="00DF75A5">
        <w:rPr>
          <w:rStyle w:val="FootnoteReference"/>
        </w:rPr>
        <w:footnoteReference w:id="50"/>
      </w:r>
      <w:r w:rsidR="00F26D31">
        <w:t xml:space="preserve"> included in our forecast revenue requirement</w:t>
      </w:r>
      <w:r w:rsidR="00F26D31" w:rsidRPr="00930CEF">
        <w:t xml:space="preserve">. These interrelationships require </w:t>
      </w:r>
      <w:r w:rsidR="00F26D31">
        <w:t>us</w:t>
      </w:r>
      <w:r w:rsidR="00F26D31" w:rsidRPr="00930CEF">
        <w:t xml:space="preserve"> to balance the incentives in the various parts of </w:t>
      </w:r>
      <w:r w:rsidR="00F26D31">
        <w:t>our</w:t>
      </w:r>
      <w:r w:rsidR="00F26D31" w:rsidRPr="00930CEF">
        <w:t xml:space="preserve"> decision.</w:t>
      </w:r>
    </w:p>
    <w:p w:rsidR="00F26D31" w:rsidRPr="004646BB" w:rsidRDefault="00AC046D" w:rsidP="00F26D31">
      <w:r>
        <w:t>Pass through events are</w:t>
      </w:r>
      <w:r w:rsidR="008D3283">
        <w:t xml:space="preserve"> one way, but not the only way, in which service providers can manage their risks under an access arrangement. </w:t>
      </w:r>
      <w:r w:rsidR="00F26D31" w:rsidRPr="004646BB">
        <w:t>For systemic risks, service providers are compensated through the allowed rate of return. Service providers also face business</w:t>
      </w:r>
      <w:r w:rsidR="0014179F">
        <w:t>–</w:t>
      </w:r>
      <w:r w:rsidR="00F26D31" w:rsidRPr="004646BB">
        <w:t xml:space="preserve">specific, or residual, risks. Service </w:t>
      </w:r>
      <w:r w:rsidR="00F26D31">
        <w:t>p</w:t>
      </w:r>
      <w:r w:rsidR="00F26D31" w:rsidRPr="004646BB">
        <w:t xml:space="preserve">roviders are compensated for the prudent and efficient management of these risks through the forecast opex and capex we include in our </w:t>
      </w:r>
      <w:r w:rsidR="00F26D31">
        <w:t>forecast revenue requirement</w:t>
      </w:r>
      <w:r w:rsidR="00F26D31" w:rsidRPr="004646BB">
        <w:t xml:space="preserve"> for strategies such as:</w:t>
      </w:r>
    </w:p>
    <w:p w:rsidR="00F26D31" w:rsidRPr="00F26D31" w:rsidRDefault="00F26D31" w:rsidP="00F26D31">
      <w:pPr>
        <w:pStyle w:val="AERbulletlistfirststyle"/>
      </w:pPr>
      <w:r w:rsidRPr="004646BB">
        <w:t>prevention (avoiding the risk)</w:t>
      </w:r>
    </w:p>
    <w:p w:rsidR="00F26D31" w:rsidRPr="00F26D31" w:rsidRDefault="00F26D31" w:rsidP="00F26D31">
      <w:pPr>
        <w:pStyle w:val="AERbulletlistfirststyle"/>
      </w:pPr>
      <w:r w:rsidRPr="004646BB">
        <w:t>mitigation (reducing the probability and impact of the risk)</w:t>
      </w:r>
    </w:p>
    <w:p w:rsidR="00F26D31" w:rsidRPr="00F26D31" w:rsidRDefault="00F26D31" w:rsidP="00F26D31">
      <w:pPr>
        <w:pStyle w:val="AERbulletlistfirststyle"/>
      </w:pPr>
      <w:r w:rsidRPr="004646BB">
        <w:t>insurance (transferring the risk to another party)</w:t>
      </w:r>
    </w:p>
    <w:p w:rsidR="00F26D31" w:rsidRPr="00F26D31" w:rsidRDefault="00F26D31" w:rsidP="00F26D31">
      <w:pPr>
        <w:pStyle w:val="AERbulletlistfirststyle"/>
      </w:pPr>
      <w:proofErr w:type="gramStart"/>
      <w:r w:rsidRPr="004646BB">
        <w:t>self-insurance</w:t>
      </w:r>
      <w:proofErr w:type="gramEnd"/>
      <w:r w:rsidRPr="004646BB">
        <w:t xml:space="preserve"> (putting aside funds to manage the likely costs associated with a risk event).</w:t>
      </w:r>
    </w:p>
    <w:p w:rsidR="00F26D31" w:rsidRDefault="00F26D31" w:rsidP="00F26D31">
      <w:r w:rsidRPr="00930CEF">
        <w:t xml:space="preserve">An efficient business will manage its risk by employing the most cost effective combination of these strategies. </w:t>
      </w:r>
      <w:r>
        <w:t xml:space="preserve">In order to maintain appropriate incentives under </w:t>
      </w:r>
      <w:r w:rsidR="00AC046D">
        <w:t>an access arrangement</w:t>
      </w:r>
      <w:r>
        <w:t xml:space="preserve">, we only accept </w:t>
      </w:r>
      <w:r w:rsidR="00894CEB">
        <w:t xml:space="preserve">a service provider's nominated </w:t>
      </w:r>
      <w:r>
        <w:t>pass through events where we are satisfied that event avoidance, mitigation, commercial insurance and self-insurance under approved forecasts of prudent and efficient opex and capex are either unavailable or inappropriate.</w:t>
      </w:r>
      <w:r>
        <w:rPr>
          <w:rStyle w:val="FootnoteReference"/>
        </w:rPr>
        <w:footnoteReference w:id="51"/>
      </w:r>
      <w:r>
        <w:t xml:space="preserve"> </w:t>
      </w:r>
    </w:p>
    <w:p w:rsidR="00F26D31" w:rsidRDefault="00894CEB" w:rsidP="00F26D31">
      <w:r w:rsidRPr="00894CEB">
        <w:t>For smaller projects a service provider should generally utilise its existing expenditure allowance or reprioritise its work program rather than seeking approval of a pass through</w:t>
      </w:r>
      <w:r>
        <w:t xml:space="preserve">. </w:t>
      </w:r>
      <w:r w:rsidR="00F26D31">
        <w:t xml:space="preserve">This is reflected in the materiality threshold that applies to applications for cost pass through under the </w:t>
      </w:r>
      <w:r w:rsidR="005C03F9">
        <w:t xml:space="preserve">approved </w:t>
      </w:r>
      <w:r w:rsidR="00F26D31">
        <w:t>access arrangement.</w:t>
      </w:r>
      <w:r w:rsidR="00F26D31">
        <w:rPr>
          <w:rStyle w:val="FootnoteReference"/>
        </w:rPr>
        <w:footnoteReference w:id="52"/>
      </w:r>
      <w:r w:rsidR="00F26D31">
        <w:t xml:space="preserve"> </w:t>
      </w:r>
    </w:p>
    <w:p w:rsidR="00894CEB" w:rsidRDefault="00F26D31" w:rsidP="00550B01">
      <w:r>
        <w:t xml:space="preserve">Cost pass through amounts approved in </w:t>
      </w:r>
      <w:r w:rsidR="0097395E">
        <w:t>an access arrangement period</w:t>
      </w:r>
      <w:r>
        <w:t xml:space="preserve"> are </w:t>
      </w:r>
      <w:r w:rsidR="001A01F2">
        <w:t>added to</w:t>
      </w:r>
      <w:r>
        <w:t xml:space="preserve"> forecast opex for the purpose of calculating efficiency carryover amounts under the efficiency carryover mechanism</w:t>
      </w:r>
      <w:r w:rsidR="005C03F9">
        <w:t xml:space="preserve"> in the approved access arrangement</w:t>
      </w:r>
      <w:r>
        <w:t>.</w:t>
      </w:r>
      <w:r>
        <w:rPr>
          <w:rStyle w:val="FootnoteReference"/>
        </w:rPr>
        <w:footnoteReference w:id="53"/>
      </w:r>
      <w:r>
        <w:t xml:space="preserve"> </w:t>
      </w:r>
    </w:p>
    <w:p w:rsidR="00A2303E" w:rsidRDefault="00A2303E" w:rsidP="00A2303E">
      <w:pPr>
        <w:pStyle w:val="Heading2"/>
      </w:pPr>
      <w:bookmarkStart w:id="26" w:name="_Toc447730024"/>
      <w:bookmarkStart w:id="27" w:name="_Toc448310340"/>
      <w:bookmarkStart w:id="28" w:name="_Toc447730025"/>
      <w:bookmarkStart w:id="29" w:name="_Toc448310341"/>
      <w:bookmarkStart w:id="30" w:name="_Toc408404324"/>
      <w:bookmarkStart w:id="31" w:name="_Toc419366917"/>
      <w:bookmarkStart w:id="32" w:name="_Toc451527813"/>
      <w:bookmarkEnd w:id="26"/>
      <w:bookmarkEnd w:id="27"/>
      <w:bookmarkEnd w:id="28"/>
      <w:bookmarkEnd w:id="29"/>
      <w:r w:rsidRPr="0074565D">
        <w:t xml:space="preserve">Reasons for </w:t>
      </w:r>
      <w:r>
        <w:t>final</w:t>
      </w:r>
      <w:r w:rsidRPr="0074565D">
        <w:t xml:space="preserve"> decision</w:t>
      </w:r>
      <w:bookmarkEnd w:id="30"/>
      <w:bookmarkEnd w:id="31"/>
      <w:bookmarkEnd w:id="32"/>
      <w:r w:rsidRPr="0074565D">
        <w:t xml:space="preserve"> </w:t>
      </w:r>
    </w:p>
    <w:p w:rsidR="00550B01" w:rsidRDefault="00550B01" w:rsidP="00550B01">
      <w:pPr>
        <w:pStyle w:val="Heading3"/>
      </w:pPr>
      <w:bookmarkStart w:id="33" w:name="_Ref437270227"/>
      <w:bookmarkStart w:id="34" w:name="_Toc451527814"/>
      <w:r>
        <w:t>Annual reference tariff variation mechanism</w:t>
      </w:r>
      <w:bookmarkEnd w:id="33"/>
      <w:bookmarkEnd w:id="34"/>
    </w:p>
    <w:p w:rsidR="00A2087A" w:rsidRDefault="00A2087A" w:rsidP="00A2087A">
      <w:r>
        <w:t>In this section we set out the reasons for our final decision on AGN's annual reference tariff variation mechanism.</w:t>
      </w:r>
    </w:p>
    <w:p w:rsidR="00A2087A" w:rsidRDefault="00A2087A" w:rsidP="00A2087A">
      <w:pPr>
        <w:pStyle w:val="HeadingBoldBlue"/>
      </w:pPr>
      <w:r>
        <w:t>Revenue equalisation</w:t>
      </w:r>
    </w:p>
    <w:p w:rsidR="009A2913" w:rsidRDefault="009A2913" w:rsidP="009A2913">
      <w:r w:rsidRPr="009A2913">
        <w:t>The annual reference tariff variation mechanism must be designed to equalise (in present value terms) the building block costs associated with reference services and the portion of total revenue allocated to reference services.</w:t>
      </w:r>
    </w:p>
    <w:p w:rsidR="001E6D5F" w:rsidRDefault="00C64DA7" w:rsidP="003919F8">
      <w:r>
        <w:t>W</w:t>
      </w:r>
      <w:r w:rsidRPr="009A2913">
        <w:t xml:space="preserve">e consider </w:t>
      </w:r>
      <w:r>
        <w:t xml:space="preserve">our </w:t>
      </w:r>
      <w:r w:rsidR="00614FE6">
        <w:t>final</w:t>
      </w:r>
      <w:r>
        <w:t xml:space="preserve"> decision</w:t>
      </w:r>
      <w:r w:rsidRPr="009A2913">
        <w:t xml:space="preserve"> annual reference tariff variation formula complies with r</w:t>
      </w:r>
      <w:r>
        <w:t>ule</w:t>
      </w:r>
      <w:r w:rsidRPr="009A2913">
        <w:t xml:space="preserve"> </w:t>
      </w:r>
      <w:proofErr w:type="gramStart"/>
      <w:r w:rsidRPr="009A2913">
        <w:t>92(2)</w:t>
      </w:r>
      <w:r>
        <w:t xml:space="preserve"> regarding revenue equalisation</w:t>
      </w:r>
      <w:proofErr w:type="gramEnd"/>
      <w:r>
        <w:t xml:space="preserve">. </w:t>
      </w:r>
      <w:r w:rsidR="003919F8">
        <w:t xml:space="preserve">As noted, </w:t>
      </w:r>
      <w:r w:rsidR="0077716F">
        <w:t>we</w:t>
      </w:r>
      <w:r w:rsidR="003919F8">
        <w:t xml:space="preserve"> do not accept AGN's revised proposal </w:t>
      </w:r>
      <w:r w:rsidR="003919F8" w:rsidRPr="003919F8">
        <w:t>annual reference tariff variation formula</w:t>
      </w:r>
      <w:r w:rsidR="003919F8">
        <w:t xml:space="preserve"> due to the proposed changes to the </w:t>
      </w:r>
      <w:r w:rsidR="003919F8" w:rsidRPr="003919F8">
        <w:t>adjustment factor to accommodate unaccounted for gas price variations</w:t>
      </w:r>
      <w:r w:rsidR="003919F8">
        <w:t>.</w:t>
      </w:r>
      <w:r w:rsidR="001E6D5F">
        <w:t xml:space="preserve"> Our final decision </w:t>
      </w:r>
      <w:r w:rsidR="001E6D5F" w:rsidRPr="001E6D5F">
        <w:t>annual reference tariff variation formula</w:t>
      </w:r>
      <w:r w:rsidR="001E6D5F">
        <w:t xml:space="preserve"> </w:t>
      </w:r>
      <w:r w:rsidR="00614FE6">
        <w:t>i</w:t>
      </w:r>
      <w:r w:rsidR="001E6D5F">
        <w:t>s set out below.</w:t>
      </w:r>
    </w:p>
    <w:p w:rsidR="001E6D5F" w:rsidRPr="001E6D5F" w:rsidRDefault="001E6D5F" w:rsidP="001E6D5F">
      <w:r>
        <w:t xml:space="preserve">Further, the </w:t>
      </w:r>
      <w:r w:rsidR="00C64DA7">
        <w:t>quantum of AGN's revised proposal reference tariffs has</w:t>
      </w:r>
      <w:r w:rsidRPr="0003665D">
        <w:t xml:space="preserve"> be</w:t>
      </w:r>
      <w:r>
        <w:t>en</w:t>
      </w:r>
      <w:r w:rsidR="00C64DA7">
        <w:t xml:space="preserve"> revised to reflect our</w:t>
      </w:r>
      <w:r w:rsidRPr="0003665D">
        <w:t xml:space="preserve"> </w:t>
      </w:r>
      <w:r>
        <w:t>final</w:t>
      </w:r>
      <w:r w:rsidRPr="0003665D">
        <w:t xml:space="preserve"> decision total revenue</w:t>
      </w:r>
      <w:r>
        <w:t xml:space="preserve"> requirement</w:t>
      </w:r>
      <w:r w:rsidRPr="0003665D">
        <w:t xml:space="preserve"> and forecast demand. The total revenue</w:t>
      </w:r>
      <w:r>
        <w:t xml:space="preserve"> requirement</w:t>
      </w:r>
      <w:r w:rsidRPr="0003665D">
        <w:t xml:space="preserve"> and forecast demand are outlined in their r</w:t>
      </w:r>
      <w:r>
        <w:t>espective sections of this final</w:t>
      </w:r>
      <w:r w:rsidRPr="0003665D">
        <w:t xml:space="preserve"> decision.</w:t>
      </w:r>
    </w:p>
    <w:p w:rsidR="00A2087A" w:rsidRDefault="00A2087A" w:rsidP="00A2087A">
      <w:pPr>
        <w:pStyle w:val="HeadingBoldBlue"/>
      </w:pPr>
      <w:r>
        <w:t>Reference tariff variation mechanism process</w:t>
      </w:r>
    </w:p>
    <w:p w:rsidR="00225350" w:rsidRDefault="00032E05" w:rsidP="00A2087A">
      <w:r>
        <w:t>AGN</w:t>
      </w:r>
      <w:r w:rsidR="006D0661">
        <w:t xml:space="preserve"> has</w:t>
      </w:r>
      <w:r>
        <w:t xml:space="preserve"> accepted our draft decision reference tariff variation mechanism process.</w:t>
      </w:r>
      <w:r>
        <w:rPr>
          <w:rStyle w:val="FootnoteReference"/>
        </w:rPr>
        <w:footnoteReference w:id="54"/>
      </w:r>
      <w:r w:rsidR="009873A4">
        <w:t xml:space="preserve"> </w:t>
      </w:r>
    </w:p>
    <w:p w:rsidR="001E0F48" w:rsidRDefault="00032E05" w:rsidP="00A2087A">
      <w:r>
        <w:t>Our draft decision</w:t>
      </w:r>
      <w:r w:rsidR="006D0661">
        <w:t xml:space="preserve"> </w:t>
      </w:r>
      <w:r w:rsidR="000D1EEE">
        <w:t>accepted AGN's</w:t>
      </w:r>
      <w:r w:rsidR="00A31744">
        <w:t xml:space="preserve"> proposal</w:t>
      </w:r>
      <w:r w:rsidR="000D1EEE">
        <w:t xml:space="preserve"> </w:t>
      </w:r>
      <w:r w:rsidR="006D0661">
        <w:t xml:space="preserve">to apply the </w:t>
      </w:r>
      <w:r w:rsidR="00EF2985" w:rsidRPr="00EF2985">
        <w:t>weighted average price cap</w:t>
      </w:r>
      <w:r w:rsidR="006D0661">
        <w:t xml:space="preserve"> to the overall revenue from </w:t>
      </w:r>
      <w:r w:rsidR="00EF2985" w:rsidRPr="00EF2985">
        <w:t>haulage reference services</w:t>
      </w:r>
      <w:r w:rsidR="006D0661">
        <w:t>, rather than applying to each tariff class individually as is the current practice.</w:t>
      </w:r>
      <w:r w:rsidR="00752D79">
        <w:t xml:space="preserve"> </w:t>
      </w:r>
    </w:p>
    <w:p w:rsidR="001E0F48" w:rsidRDefault="00020E13" w:rsidP="00A2087A">
      <w:r>
        <w:t xml:space="preserve">In response to our draft decision, </w:t>
      </w:r>
      <w:r w:rsidR="005E5168">
        <w:t>t</w:t>
      </w:r>
      <w:r w:rsidR="001E0F48" w:rsidRPr="001E0F48">
        <w:t>he Energy Consumers Coalition of South Australia</w:t>
      </w:r>
      <w:r w:rsidR="001E0F48">
        <w:t xml:space="preserve"> </w:t>
      </w:r>
      <w:r>
        <w:t xml:space="preserve">reasserted its </w:t>
      </w:r>
      <w:r w:rsidR="00F61482">
        <w:t>view</w:t>
      </w:r>
      <w:r w:rsidR="005E5168">
        <w:t xml:space="preserve"> that a revenue cap tariff variation </w:t>
      </w:r>
      <w:r>
        <w:t xml:space="preserve">mechanism </w:t>
      </w:r>
      <w:r w:rsidR="005E5168">
        <w:t xml:space="preserve">be </w:t>
      </w:r>
      <w:r w:rsidR="00F61482">
        <w:t>favoured</w:t>
      </w:r>
      <w:r w:rsidR="005E5168">
        <w:t xml:space="preserve"> over a weighted average price cap</w:t>
      </w:r>
      <w:r w:rsidR="00B95A88">
        <w:t xml:space="preserve"> </w:t>
      </w:r>
      <w:r w:rsidR="005E5168">
        <w:t>even though it</w:t>
      </w:r>
      <w:r>
        <w:t xml:space="preserve"> would</w:t>
      </w:r>
      <w:r w:rsidR="005E5168">
        <w:t xml:space="preserve"> transfer consumption risk to consumers.</w:t>
      </w:r>
      <w:r w:rsidR="005E5168">
        <w:rPr>
          <w:rStyle w:val="FootnoteReference"/>
        </w:rPr>
        <w:footnoteReference w:id="55"/>
      </w:r>
      <w:r w:rsidR="00B95A88">
        <w:t xml:space="preserve"> As discussed in our draft decision, </w:t>
      </w:r>
      <w:r w:rsidR="00B95A88" w:rsidRPr="00B95A88">
        <w:t>we consider consumption risk should be managed by AGN under a weighted average price cap and not customers under a revenue cap</w:t>
      </w:r>
      <w:r w:rsidR="00B95A88">
        <w:t>.</w:t>
      </w:r>
      <w:r w:rsidR="00B95A88">
        <w:rPr>
          <w:rStyle w:val="FootnoteReference"/>
        </w:rPr>
        <w:footnoteReference w:id="56"/>
      </w:r>
    </w:p>
    <w:p w:rsidR="00B95A88" w:rsidRDefault="00020E13" w:rsidP="00A2087A">
      <w:r w:rsidRPr="00020E13">
        <w:t xml:space="preserve">The Consumers Coalition </w:t>
      </w:r>
      <w:r>
        <w:t>also reasserted its concerns</w:t>
      </w:r>
      <w:r w:rsidRPr="00020E13">
        <w:t xml:space="preserve"> that AGN has the potential to increase its allowed revenue through 'bias' tariff development under the weighted average price cap compared to a revenue cap.</w:t>
      </w:r>
      <w:r>
        <w:rPr>
          <w:rStyle w:val="FootnoteReference"/>
        </w:rPr>
        <w:footnoteReference w:id="57"/>
      </w:r>
      <w:r w:rsidRPr="00020E13">
        <w:t xml:space="preserve"> However, </w:t>
      </w:r>
      <w:r>
        <w:t xml:space="preserve">as discussed in our draft decision, </w:t>
      </w:r>
      <w:r w:rsidRPr="00020E13">
        <w:t>we consider the potential for this 'bias' is significantly reduced through our thorough analysis of AGN's proposed opex, capex, rate of return and tariff structure.</w:t>
      </w:r>
      <w:r>
        <w:rPr>
          <w:rStyle w:val="FootnoteReference"/>
        </w:rPr>
        <w:footnoteReference w:id="58"/>
      </w:r>
    </w:p>
    <w:p w:rsidR="00020E13" w:rsidRDefault="00F61482" w:rsidP="00A2087A">
      <w:r>
        <w:t xml:space="preserve">Therefore our final decision maintains our draft decision considerations and the application of </w:t>
      </w:r>
      <w:r w:rsidRPr="00F61482">
        <w:t>weighted average price cap</w:t>
      </w:r>
      <w:r>
        <w:t xml:space="preserve"> tariff variation mechanism. As noted in our draft decision, a</w:t>
      </w:r>
      <w:r w:rsidRPr="00F61482">
        <w:t>ll gas distributors in the national gas market are on weighted average price caps. We wish to ensure consistency in regulatory approach</w:t>
      </w:r>
      <w:r>
        <w:t>.</w:t>
      </w:r>
    </w:p>
    <w:p w:rsidR="006D0661" w:rsidRDefault="00F61482" w:rsidP="00A2087A">
      <w:r>
        <w:t xml:space="preserve">While our draft decision accepted AGN's proposed application of the weighted average price cap, </w:t>
      </w:r>
      <w:r w:rsidR="00F033CE">
        <w:t>it</w:t>
      </w:r>
      <w:r w:rsidR="00752D79">
        <w:t xml:space="preserve"> did not accept AGN's proposal to reduce the time of submitting its annual tariff variation proposal from at </w:t>
      </w:r>
      <w:r w:rsidR="00752D79" w:rsidRPr="00883AFA">
        <w:t>least</w:t>
      </w:r>
      <w:r w:rsidR="00752D79">
        <w:t xml:space="preserve"> 50 business days</w:t>
      </w:r>
      <w:r w:rsidR="00752D79" w:rsidRPr="00032E05">
        <w:t xml:space="preserve"> </w:t>
      </w:r>
      <w:r w:rsidR="00D94D6E">
        <w:t>to 40 business days</w:t>
      </w:r>
      <w:r w:rsidR="00D94D6E" w:rsidRPr="00883AFA">
        <w:t xml:space="preserve"> </w:t>
      </w:r>
      <w:r w:rsidR="00752D79" w:rsidRPr="00883AFA">
        <w:t xml:space="preserve">before </w:t>
      </w:r>
      <w:r w:rsidR="00752D79">
        <w:t>the</w:t>
      </w:r>
      <w:r w:rsidR="00D94D6E">
        <w:t xml:space="preserve"> tariffs</w:t>
      </w:r>
      <w:r w:rsidR="00CE3EE9">
        <w:t>'</w:t>
      </w:r>
      <w:r w:rsidR="00752D79">
        <w:t xml:space="preserve"> commencement.</w:t>
      </w:r>
      <w:r w:rsidR="00752D79">
        <w:rPr>
          <w:rStyle w:val="FootnoteReference"/>
        </w:rPr>
        <w:footnoteReference w:id="59"/>
      </w:r>
    </w:p>
    <w:p w:rsidR="009873A4" w:rsidRDefault="008E4F60" w:rsidP="00A2087A">
      <w:r>
        <w:t>AGN</w:t>
      </w:r>
      <w:r w:rsidR="00FC54A9">
        <w:t xml:space="preserve"> initial</w:t>
      </w:r>
      <w:r w:rsidR="00D94245">
        <w:t>ly proposed</w:t>
      </w:r>
      <w:r>
        <w:t xml:space="preserve"> the reduced</w:t>
      </w:r>
      <w:r w:rsidR="00220704">
        <w:t xml:space="preserve"> time</w:t>
      </w:r>
      <w:r>
        <w:t>line</w:t>
      </w:r>
      <w:r w:rsidR="00225350">
        <w:t xml:space="preserve"> </w:t>
      </w:r>
      <w:r w:rsidR="00FC54A9">
        <w:t>since the March</w:t>
      </w:r>
      <w:r w:rsidR="00FC54A9" w:rsidRPr="00752D79">
        <w:t xml:space="preserve"> </w:t>
      </w:r>
      <w:r w:rsidR="00FC54A9">
        <w:t>quarter</w:t>
      </w:r>
      <w:r w:rsidR="00FC54A9" w:rsidRPr="00752D79">
        <w:t xml:space="preserve"> </w:t>
      </w:r>
      <w:r w:rsidR="00FC54A9">
        <w:t>consumer price index (CPI)—to apply in the reference tariff variation mechanism—</w:t>
      </w:r>
      <w:r w:rsidR="00D94245">
        <w:t>is not released by</w:t>
      </w:r>
      <w:r w:rsidR="00FC54A9">
        <w:t xml:space="preserve"> </w:t>
      </w:r>
      <w:r w:rsidR="00752D79">
        <w:t xml:space="preserve">the Australian Bureau of Statistics </w:t>
      </w:r>
      <w:r>
        <w:t>50 business days prior to</w:t>
      </w:r>
      <w:r w:rsidR="00752D79" w:rsidRPr="00752D79">
        <w:t xml:space="preserve"> the tariffs commencement</w:t>
      </w:r>
      <w:r w:rsidR="00752D79">
        <w:t xml:space="preserve">. However, our draft decision changed the timing of the CPI from the March quarter to the </w:t>
      </w:r>
      <w:r w:rsidR="00225350">
        <w:t>previous</w:t>
      </w:r>
      <w:r w:rsidR="00752D79">
        <w:t xml:space="preserve"> December</w:t>
      </w:r>
      <w:r w:rsidR="00D94D6E">
        <w:t xml:space="preserve"> quarter</w:t>
      </w:r>
      <w:r w:rsidR="00752D79">
        <w:t>.</w:t>
      </w:r>
      <w:r w:rsidR="00752D79">
        <w:rPr>
          <w:rStyle w:val="FootnoteReference"/>
        </w:rPr>
        <w:footnoteReference w:id="60"/>
      </w:r>
      <w:r w:rsidR="00752D79" w:rsidRPr="00752D79">
        <w:t xml:space="preserve"> </w:t>
      </w:r>
      <w:r w:rsidR="00225350">
        <w:t>This earlier</w:t>
      </w:r>
      <w:r w:rsidR="00752D79">
        <w:t xml:space="preserve"> timing of the CPI negated AGN's need to change the timing of submitting is annual tariff variation proposal. </w:t>
      </w:r>
      <w:r w:rsidR="00D94D6E">
        <w:t xml:space="preserve">Our </w:t>
      </w:r>
      <w:r w:rsidR="00012D7B">
        <w:t>final</w:t>
      </w:r>
      <w:r w:rsidR="00D94D6E">
        <w:t xml:space="preserve"> decision CPI</w:t>
      </w:r>
      <w:r w:rsidR="00752D79" w:rsidRPr="00752D79">
        <w:t xml:space="preserve"> approach is consistent with </w:t>
      </w:r>
      <w:r w:rsidR="00C31DFD">
        <w:t>that applied by the</w:t>
      </w:r>
      <w:r w:rsidR="00752D79" w:rsidRPr="00752D79">
        <w:t xml:space="preserve"> other gas distribution networks.</w:t>
      </w:r>
    </w:p>
    <w:p w:rsidR="009357D3" w:rsidRDefault="009357D3" w:rsidP="009357D3">
      <w:r>
        <w:t>While AGN's revised proposal stated it accepted the draft decision timing for</w:t>
      </w:r>
      <w:r w:rsidRPr="009357D3">
        <w:t xml:space="preserve"> AGN to submit its annual tariff variation proposal at least 50 business days before the tariffs commencement</w:t>
      </w:r>
      <w:r>
        <w:rPr>
          <w:rStyle w:val="FootnoteReference"/>
        </w:rPr>
        <w:footnoteReference w:id="61"/>
      </w:r>
      <w:r>
        <w:t>, it erroneously maintained its initial proposal of at least 40 business days.</w:t>
      </w:r>
      <w:r>
        <w:rPr>
          <w:rStyle w:val="FootnoteReference"/>
        </w:rPr>
        <w:footnoteReference w:id="62"/>
      </w:r>
      <w:r>
        <w:t xml:space="preserve"> We raised this issue with AGN who noted this was an error.</w:t>
      </w:r>
      <w:r>
        <w:rPr>
          <w:rStyle w:val="FootnoteReference"/>
        </w:rPr>
        <w:footnoteReference w:id="63"/>
      </w:r>
      <w:r>
        <w:t xml:space="preserve"> We have corrected this error in our final decision access arrangement for AGN.</w:t>
      </w:r>
    </w:p>
    <w:p w:rsidR="00A2087A" w:rsidRDefault="00A2087A" w:rsidP="00A2087A">
      <w:pPr>
        <w:pStyle w:val="HeadingBoldBlue"/>
      </w:pPr>
      <w:r>
        <w:t>Annual haulage reference tariff var</w:t>
      </w:r>
      <w:r w:rsidR="0002396C">
        <w:t>iation formula</w:t>
      </w:r>
    </w:p>
    <w:p w:rsidR="00BD0218" w:rsidRDefault="00BD0218" w:rsidP="00BD0218">
      <w:r>
        <w:t xml:space="preserve">Our draft decision made two changes to AGN's proposed </w:t>
      </w:r>
      <w:r w:rsidRPr="00B04737">
        <w:t>annual haulage weighted average price cap formula</w:t>
      </w:r>
      <w:r>
        <w:t xml:space="preserve"> to include adjustment factors for:</w:t>
      </w:r>
    </w:p>
    <w:p w:rsidR="00BD0218" w:rsidRDefault="00BD0218" w:rsidP="00BD0218">
      <w:pPr>
        <w:pStyle w:val="AERbulletlistfirststyle"/>
      </w:pPr>
      <w:r>
        <w:t>an approved cost pass through event</w:t>
      </w:r>
    </w:p>
    <w:p w:rsidR="00BD0218" w:rsidRDefault="00BD0218" w:rsidP="00BD0218">
      <w:pPr>
        <w:pStyle w:val="AERbulletlistfirststyle"/>
      </w:pPr>
      <w:proofErr w:type="gramStart"/>
      <w:r>
        <w:t>unaccounted</w:t>
      </w:r>
      <w:proofErr w:type="gramEnd"/>
      <w:r>
        <w:t xml:space="preserve"> for gas price variations.</w:t>
      </w:r>
      <w:r>
        <w:rPr>
          <w:rStyle w:val="FootnoteReference"/>
        </w:rPr>
        <w:footnoteReference w:id="64"/>
      </w:r>
    </w:p>
    <w:p w:rsidR="00BD0218" w:rsidRDefault="001E6D5F" w:rsidP="001E6D5F">
      <w:r>
        <w:t xml:space="preserve">AGN largely accepted our </w:t>
      </w:r>
      <w:r w:rsidR="00FD58E8">
        <w:t xml:space="preserve">draft </w:t>
      </w:r>
      <w:r>
        <w:t>decision but proposed changes to the</w:t>
      </w:r>
      <w:r w:rsidR="00BD0218">
        <w:t xml:space="preserve"> method to calculate the</w:t>
      </w:r>
      <w:r>
        <w:t xml:space="preserve"> adjustment factor</w:t>
      </w:r>
      <w:r w:rsidR="008310A0">
        <w:t xml:space="preserve"> for</w:t>
      </w:r>
      <w:r>
        <w:t xml:space="preserve"> unaccounted for gas price variations.</w:t>
      </w:r>
      <w:r>
        <w:rPr>
          <w:rStyle w:val="FootnoteReference"/>
        </w:rPr>
        <w:footnoteReference w:id="65"/>
      </w:r>
      <w:r>
        <w:t xml:space="preserve"> </w:t>
      </w:r>
      <w:r w:rsidR="00BD0218">
        <w:t>It proposed:</w:t>
      </w:r>
    </w:p>
    <w:p w:rsidR="00BD0218" w:rsidRDefault="00BD0218" w:rsidP="00BD0218">
      <w:pPr>
        <w:pStyle w:val="AERbulletlistfirststyle"/>
      </w:pPr>
      <w:r>
        <w:t>a change in the timing of the true</w:t>
      </w:r>
      <w:r>
        <w:noBreakHyphen/>
        <w:t>up of forecast and actual price for unaccounted for gas to year t–1 rather than year t–2 as per our draft decision</w:t>
      </w:r>
    </w:p>
    <w:p w:rsidR="00BD0218" w:rsidRDefault="00BD0218" w:rsidP="00BD0218">
      <w:pPr>
        <w:pStyle w:val="AERbulletlistfirststyle"/>
      </w:pPr>
      <w:proofErr w:type="gramStart"/>
      <w:r>
        <w:t>the</w:t>
      </w:r>
      <w:proofErr w:type="gramEnd"/>
      <w:r>
        <w:t xml:space="preserve"> removal of the forecast quantities from the calculation.</w:t>
      </w:r>
      <w:r>
        <w:rPr>
          <w:rStyle w:val="FootnoteReference"/>
        </w:rPr>
        <w:footnoteReference w:id="66"/>
      </w:r>
      <w:r>
        <w:t xml:space="preserve"> </w:t>
      </w:r>
    </w:p>
    <w:p w:rsidR="00BD0218" w:rsidRDefault="00BD0218" w:rsidP="001E6D5F">
      <w:r w:rsidRPr="00BD0218">
        <w:t>AGN noted that the actual unaccounted for gas price will be known for year t–1 and therefore there</w:t>
      </w:r>
      <w:r w:rsidR="003669B6">
        <w:t xml:space="preserve"> was no need to delay this true</w:t>
      </w:r>
      <w:r w:rsidR="003669B6">
        <w:noBreakHyphen/>
      </w:r>
      <w:r w:rsidRPr="00BD0218">
        <w:t>up for an additional year. Also, that the price true</w:t>
      </w:r>
      <w:r w:rsidR="003669B6">
        <w:noBreakHyphen/>
      </w:r>
      <w:r w:rsidRPr="00BD0218">
        <w:t>up was not dependent on forecast quantities which should be removed.</w:t>
      </w:r>
    </w:p>
    <w:p w:rsidR="00F05131" w:rsidRDefault="00542545" w:rsidP="001E6D5F">
      <w:r>
        <w:t>We</w:t>
      </w:r>
      <w:r w:rsidR="001E6D5F">
        <w:t xml:space="preserve"> do not </w:t>
      </w:r>
      <w:r w:rsidR="00D32BAE">
        <w:t>accept AGN's proposed changes.</w:t>
      </w:r>
      <w:r w:rsidR="003669B6">
        <w:t xml:space="preserve"> Our final decision </w:t>
      </w:r>
      <w:r>
        <w:t>applies</w:t>
      </w:r>
      <w:r w:rsidR="003669B6">
        <w:t xml:space="preserve"> our draft decision</w:t>
      </w:r>
      <w:r>
        <w:t xml:space="preserve"> </w:t>
      </w:r>
      <w:r w:rsidR="003669B6">
        <w:t>timing of the true</w:t>
      </w:r>
      <w:r w:rsidR="003669B6">
        <w:noBreakHyphen/>
        <w:t xml:space="preserve">up of forecast and actual price </w:t>
      </w:r>
      <w:r>
        <w:t xml:space="preserve">of year t–2 </w:t>
      </w:r>
      <w:r w:rsidR="003669B6">
        <w:t>for consistency and transparency.</w:t>
      </w:r>
      <w:r w:rsidR="00D94245">
        <w:rPr>
          <w:rStyle w:val="FootnoteReference"/>
        </w:rPr>
        <w:footnoteReference w:id="67"/>
      </w:r>
    </w:p>
    <w:p w:rsidR="0095070E" w:rsidRDefault="00251AF2" w:rsidP="001E6D5F">
      <w:r>
        <w:t>We note that automatic adjustment factors in other gas distribution networks' reference tariff variation mechanisms all apply a method using year t–2 as the basis.</w:t>
      </w:r>
      <w:r w:rsidR="00542545">
        <w:t xml:space="preserve"> </w:t>
      </w:r>
      <w:r w:rsidR="0095070E">
        <w:t xml:space="preserve">We consider consistent approaches across gas distribution networks and jurisdictions is desirable as it </w:t>
      </w:r>
      <w:r w:rsidR="0095070E" w:rsidRPr="0095070E">
        <w:t>enables</w:t>
      </w:r>
      <w:r w:rsidR="0095070E">
        <w:t xml:space="preserve"> </w:t>
      </w:r>
      <w:r w:rsidR="00542545" w:rsidRPr="0095070E">
        <w:t>regulators, retailers, policy makers and end users</w:t>
      </w:r>
      <w:r w:rsidR="00542545">
        <w:t xml:space="preserve"> </w:t>
      </w:r>
      <w:r w:rsidR="0095070E">
        <w:t xml:space="preserve">greater transparency </w:t>
      </w:r>
      <w:r w:rsidR="00542545">
        <w:t>in</w:t>
      </w:r>
      <w:r w:rsidR="0095070E">
        <w:t xml:space="preserve"> the </w:t>
      </w:r>
      <w:r w:rsidR="0095070E" w:rsidRPr="0095070E">
        <w:t xml:space="preserve">pricing effects of </w:t>
      </w:r>
      <w:r w:rsidR="0095070E">
        <w:t>these adjustment factors.</w:t>
      </w:r>
      <w:r w:rsidR="000F2738">
        <w:rPr>
          <w:rStyle w:val="FootnoteReference"/>
        </w:rPr>
        <w:footnoteReference w:id="68"/>
      </w:r>
    </w:p>
    <w:p w:rsidR="00453455" w:rsidRDefault="002C7DB8" w:rsidP="00B12C89">
      <w:r>
        <w:t xml:space="preserve">Our final decision also </w:t>
      </w:r>
      <w:r w:rsidR="008310A0">
        <w:t>maintains</w:t>
      </w:r>
      <w:r w:rsidR="00225350">
        <w:t xml:space="preserve"> the use of</w:t>
      </w:r>
      <w:r>
        <w:t xml:space="preserve"> forecast quantities in the method to calculate the </w:t>
      </w:r>
      <w:r w:rsidRPr="002C7DB8">
        <w:t>adjustment factor to accommodate unaccounted for gas price variations</w:t>
      </w:r>
      <w:r w:rsidR="005C7E24">
        <w:t xml:space="preserve"> for transparency. </w:t>
      </w:r>
      <w:r w:rsidR="00F05131">
        <w:t>O</w:t>
      </w:r>
      <w:r w:rsidR="005F6E53">
        <w:t>ur final decision</w:t>
      </w:r>
      <w:r w:rsidR="00F05131">
        <w:t xml:space="preserve"> revenue requirement for forecast unaccounted for gas is based on the </w:t>
      </w:r>
      <w:r w:rsidR="005F6E53">
        <w:t>forecast price and quantities</w:t>
      </w:r>
      <w:r w:rsidR="006D4497">
        <w:t xml:space="preserve">. </w:t>
      </w:r>
      <w:r w:rsidR="00366088">
        <w:t>B</w:t>
      </w:r>
      <w:r w:rsidR="006D4497">
        <w:t xml:space="preserve">y maintaining the forecast quantities in the </w:t>
      </w:r>
      <w:r w:rsidR="008310A0">
        <w:t>method to calculate the true</w:t>
      </w:r>
      <w:r w:rsidR="008310A0">
        <w:noBreakHyphen/>
        <w:t>up allows transparency in the</w:t>
      </w:r>
      <w:r w:rsidR="00366088">
        <w:t xml:space="preserve"> annual</w:t>
      </w:r>
      <w:r w:rsidR="008310A0">
        <w:t xml:space="preserve"> movement of both price and revenues. We consider transparency is desirable.</w:t>
      </w:r>
    </w:p>
    <w:p w:rsidR="007813EF" w:rsidRDefault="00366088" w:rsidP="007813EF">
      <w:r>
        <w:t xml:space="preserve">Our final decision has updated the </w:t>
      </w:r>
      <w:r w:rsidRPr="002E2CC0">
        <w:t>unaccounted for gas</w:t>
      </w:r>
      <w:r>
        <w:t xml:space="preserve"> forecast quantities from our draft decision </w:t>
      </w:r>
      <w:r w:rsidR="007813EF">
        <w:t>(</w:t>
      </w:r>
      <w:r>
        <w:fldChar w:fldCharType="begin"/>
      </w:r>
      <w:r>
        <w:instrText xml:space="preserve"> REF  _Ref443922909 \* Lower \h </w:instrText>
      </w:r>
      <w:r>
        <w:fldChar w:fldCharType="separate"/>
      </w:r>
      <w:r w:rsidR="00AD3CCA">
        <w:t xml:space="preserve">table </w:t>
      </w:r>
      <w:r w:rsidR="00AD3CCA">
        <w:rPr>
          <w:noProof/>
        </w:rPr>
        <w:t>11</w:t>
      </w:r>
      <w:r w:rsidR="00AD3CCA">
        <w:t>.</w:t>
      </w:r>
      <w:r w:rsidR="00AD3CCA">
        <w:rPr>
          <w:noProof/>
        </w:rPr>
        <w:t>1</w:t>
      </w:r>
      <w:r>
        <w:fldChar w:fldCharType="end"/>
      </w:r>
      <w:r w:rsidR="007813EF">
        <w:t>)</w:t>
      </w:r>
      <w:r>
        <w:t xml:space="preserve">. This update reflects our final decision on AGN's unaccounted for gas forecast (see attachment 7—operating expenditure) and </w:t>
      </w:r>
      <w:r w:rsidRPr="00F628F4">
        <w:t>mains replacement program</w:t>
      </w:r>
      <w:r>
        <w:t xml:space="preserve"> (see attachment 6—capital expenditure</w:t>
      </w:r>
      <w:r w:rsidR="00125139">
        <w:t>)</w:t>
      </w:r>
      <w:r>
        <w:t xml:space="preserve">. </w:t>
      </w:r>
      <w:r w:rsidR="00115655">
        <w:t>T</w:t>
      </w:r>
      <w:r w:rsidR="0082573F">
        <w:t>he South Australian Council of Social Service</w:t>
      </w:r>
      <w:r w:rsidR="007813EF">
        <w:t xml:space="preserve"> s</w:t>
      </w:r>
      <w:r w:rsidR="00125139">
        <w:t>upports</w:t>
      </w:r>
      <w:r w:rsidR="007813EF">
        <w:t xml:space="preserve"> this update for our final decision.</w:t>
      </w:r>
      <w:r w:rsidR="007813EF">
        <w:rPr>
          <w:rStyle w:val="FootnoteReference"/>
        </w:rPr>
        <w:footnoteReference w:id="69"/>
      </w:r>
    </w:p>
    <w:p w:rsidR="00614FE6" w:rsidRDefault="00614FE6" w:rsidP="007813EF">
      <w:pPr>
        <w:pStyle w:val="HeadingBoldItalic"/>
      </w:pPr>
      <w:r>
        <w:t>Draft decision errors in the a</w:t>
      </w:r>
      <w:r w:rsidRPr="00614FE6">
        <w:t>djustment factor to accommodate unaccounted for gas price variations</w:t>
      </w:r>
    </w:p>
    <w:p w:rsidR="00936352" w:rsidRDefault="00614FE6" w:rsidP="00614FE6">
      <w:r>
        <w:t>Our final decision has</w:t>
      </w:r>
      <w:r w:rsidR="00071BCC">
        <w:t xml:space="preserve"> also</w:t>
      </w:r>
      <w:r>
        <w:t xml:space="preserve"> correc</w:t>
      </w:r>
      <w:r w:rsidR="00936352">
        <w:t>ted for errors in our draft decision a</w:t>
      </w:r>
      <w:r w:rsidR="00936352" w:rsidRPr="00936352">
        <w:t>djustment factor formula to accommodate price variations in unaccounted for gas</w:t>
      </w:r>
      <w:r w:rsidR="00936352">
        <w:t>.</w:t>
      </w:r>
    </w:p>
    <w:p w:rsidR="00444CB4" w:rsidRDefault="00936352" w:rsidP="00D91E60">
      <w:r>
        <w:t>First,</w:t>
      </w:r>
      <w:r w:rsidR="00071BCC">
        <w:t xml:space="preserve"> we note</w:t>
      </w:r>
      <w:r>
        <w:t xml:space="preserve"> </w:t>
      </w:r>
      <w:r w:rsidR="00125139">
        <w:t>our draft decision contained</w:t>
      </w:r>
      <w:r w:rsidR="00444CB4">
        <w:t xml:space="preserve"> an error </w:t>
      </w:r>
      <w:r>
        <w:t>in</w:t>
      </w:r>
      <w:r w:rsidR="00071BCC">
        <w:t xml:space="preserve"> the</w:t>
      </w:r>
      <w:r>
        <w:t xml:space="preserve"> method to calculate the difference between the actual and forecast unaccounted for gas pric</w:t>
      </w:r>
      <w:r w:rsidR="00444CB4">
        <w:t>e</w:t>
      </w:r>
      <w:r w:rsidR="007653F7">
        <w:t>s</w:t>
      </w:r>
      <w:r w:rsidR="00444CB4">
        <w:t xml:space="preserve">. </w:t>
      </w:r>
      <w:r w:rsidR="00D91E60">
        <w:t>In calculating this difference, o</w:t>
      </w:r>
      <w:r w:rsidR="00444CB4">
        <w:t xml:space="preserve">ur draft decision incorrectly </w:t>
      </w:r>
      <w:r w:rsidR="007653F7">
        <w:t>divided</w:t>
      </w:r>
      <w:r w:rsidR="00125139">
        <w:t xml:space="preserve"> the</w:t>
      </w:r>
      <w:r w:rsidR="00444CB4">
        <w:t xml:space="preserve"> actual price and forecast quantities by</w:t>
      </w:r>
      <w:r w:rsidR="00125139">
        <w:t xml:space="preserve"> the</w:t>
      </w:r>
      <w:r w:rsidR="00444CB4">
        <w:t xml:space="preserve"> forecast price and forecast quantities (</w:t>
      </w:r>
      <w:r w:rsidR="008C40B1">
        <w:fldChar w:fldCharType="begin"/>
      </w:r>
      <w:r w:rsidR="008C40B1">
        <w:instrText xml:space="preserve"> REF  _Ref444699188 \* Lower \h </w:instrText>
      </w:r>
      <w:r w:rsidR="008C40B1">
        <w:fldChar w:fldCharType="separate"/>
      </w:r>
      <w:r w:rsidR="00872C03">
        <w:t xml:space="preserve">figure </w:t>
      </w:r>
      <w:r w:rsidR="00872C03">
        <w:rPr>
          <w:noProof/>
        </w:rPr>
        <w:t>11</w:t>
      </w:r>
      <w:r w:rsidR="00872C03">
        <w:t>.</w:t>
      </w:r>
      <w:r w:rsidR="00872C03">
        <w:rPr>
          <w:noProof/>
        </w:rPr>
        <w:t>1</w:t>
      </w:r>
      <w:r w:rsidR="008C40B1">
        <w:fldChar w:fldCharType="end"/>
      </w:r>
      <w:r w:rsidR="008C40B1">
        <w:t>)</w:t>
      </w:r>
      <w:r w:rsidR="00D91E60">
        <w:t>. The correct application should</w:t>
      </w:r>
      <w:r w:rsidR="00125139">
        <w:t xml:space="preserve"> have been </w:t>
      </w:r>
      <w:r w:rsidR="007653F7">
        <w:t xml:space="preserve">a subtraction of the two values </w:t>
      </w:r>
      <w:r w:rsidR="008C40B1">
        <w:t>(</w:t>
      </w:r>
      <w:r w:rsidR="008C40B1">
        <w:fldChar w:fldCharType="begin"/>
      </w:r>
      <w:r w:rsidR="008C40B1">
        <w:instrText xml:space="preserve"> REF  _Ref444699195 \* Lower \h </w:instrText>
      </w:r>
      <w:r w:rsidR="008C40B1">
        <w:fldChar w:fldCharType="separate"/>
      </w:r>
      <w:r w:rsidR="00872C03">
        <w:t xml:space="preserve">figure </w:t>
      </w:r>
      <w:r w:rsidR="00872C03">
        <w:rPr>
          <w:noProof/>
        </w:rPr>
        <w:t>11</w:t>
      </w:r>
      <w:r w:rsidR="00872C03">
        <w:t>.</w:t>
      </w:r>
      <w:r w:rsidR="00872C03">
        <w:rPr>
          <w:noProof/>
        </w:rPr>
        <w:t>2</w:t>
      </w:r>
      <w:r w:rsidR="008C40B1">
        <w:fldChar w:fldCharType="end"/>
      </w:r>
      <w:r w:rsidR="008C40B1">
        <w:t>)</w:t>
      </w:r>
      <w:r w:rsidR="00444CB4">
        <w:t>.</w:t>
      </w:r>
      <w:r w:rsidR="00444CB4">
        <w:rPr>
          <w:rStyle w:val="FootnoteReference"/>
        </w:rPr>
        <w:footnoteReference w:id="70"/>
      </w:r>
      <w:r w:rsidR="007653F7">
        <w:t xml:space="preserve"> </w:t>
      </w:r>
      <w:r w:rsidR="00125139">
        <w:t>This</w:t>
      </w:r>
      <w:r w:rsidR="00071BCC">
        <w:t xml:space="preserve"> error</w:t>
      </w:r>
      <w:r w:rsidR="00125139">
        <w:t xml:space="preserve"> has been corrected in our final decision.</w:t>
      </w:r>
    </w:p>
    <w:p w:rsidR="00444CB4" w:rsidRDefault="00444CB4" w:rsidP="00444CB4">
      <w:pPr>
        <w:pStyle w:val="Caption"/>
      </w:pPr>
      <w:bookmarkStart w:id="35" w:name="_Ref444699188"/>
      <w:proofErr w:type="gramStart"/>
      <w:r>
        <w:t xml:space="preserve">Figure </w:t>
      </w:r>
      <w:proofErr w:type="gramEnd"/>
      <w:r w:rsidR="009A676B">
        <w:fldChar w:fldCharType="begin"/>
      </w:r>
      <w:r w:rsidR="009A676B">
        <w:instrText xml:space="preserve"> STYLEREF 1 \s </w:instrText>
      </w:r>
      <w:r w:rsidR="009A676B">
        <w:fldChar w:fldCharType="separate"/>
      </w:r>
      <w:r w:rsidR="00AD3CCA">
        <w:rPr>
          <w:noProof/>
        </w:rPr>
        <w:t>11</w:t>
      </w:r>
      <w:r w:rsidR="009A676B">
        <w:rPr>
          <w:noProof/>
        </w:rPr>
        <w:fldChar w:fldCharType="end"/>
      </w:r>
      <w:proofErr w:type="gramStart"/>
      <w:r w:rsidR="008C40B1">
        <w:t>.</w:t>
      </w:r>
      <w:proofErr w:type="gramEnd"/>
      <w:r w:rsidR="00271C4A">
        <w:fldChar w:fldCharType="begin"/>
      </w:r>
      <w:r w:rsidR="00271C4A">
        <w:instrText xml:space="preserve"> SEQ Figure \* ARABIC \s 1 </w:instrText>
      </w:r>
      <w:r w:rsidR="00271C4A">
        <w:fldChar w:fldCharType="separate"/>
      </w:r>
      <w:r w:rsidR="00AD3CCA">
        <w:rPr>
          <w:noProof/>
        </w:rPr>
        <w:t>1</w:t>
      </w:r>
      <w:r w:rsidR="00271C4A">
        <w:rPr>
          <w:noProof/>
        </w:rPr>
        <w:fldChar w:fldCharType="end"/>
      </w:r>
      <w:bookmarkEnd w:id="35"/>
      <w:r w:rsidR="00872C03">
        <w:tab/>
      </w:r>
      <w:r>
        <w:t>Draft decision method to calculate the difference between actual and forecast unaccounted for gas prices</w:t>
      </w:r>
    </w:p>
    <w:p w:rsidR="00444CB4" w:rsidRDefault="00444CB4" w:rsidP="00444CB4">
      <w:pPr>
        <w:rPr>
          <w:rStyle w:val="AERbody"/>
        </w:rPr>
      </w:pPr>
      <w:r w:rsidRPr="002C75A0">
        <w:rPr>
          <w:rStyle w:val="AERbody"/>
        </w:rPr>
        <w:object w:dxaOrig="19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85pt;height:36.25pt" o:ole="">
            <v:imagedata r:id="rId12" o:title=""/>
          </v:shape>
          <o:OLEObject Type="Embed" ProgID="Equation.3" ShapeID="_x0000_i1025" DrawAspect="Content" ObjectID="_1525269995" r:id="rId13"/>
        </w:object>
      </w:r>
    </w:p>
    <w:p w:rsidR="00444CB4" w:rsidRDefault="008C40B1" w:rsidP="008C40B1">
      <w:pPr>
        <w:pStyle w:val="Caption"/>
      </w:pPr>
      <w:bookmarkStart w:id="36" w:name="_Ref444699195"/>
      <w:proofErr w:type="gramStart"/>
      <w:r>
        <w:t xml:space="preserve">Figure </w:t>
      </w:r>
      <w:proofErr w:type="gramEnd"/>
      <w:r w:rsidR="009A676B">
        <w:fldChar w:fldCharType="begin"/>
      </w:r>
      <w:r w:rsidR="009A676B">
        <w:instrText xml:space="preserve"> STYLEREF 1 \s </w:instrText>
      </w:r>
      <w:r w:rsidR="009A676B">
        <w:fldChar w:fldCharType="separate"/>
      </w:r>
      <w:r w:rsidR="00AD3CCA">
        <w:rPr>
          <w:noProof/>
        </w:rPr>
        <w:t>11</w:t>
      </w:r>
      <w:r w:rsidR="009A676B">
        <w:rPr>
          <w:noProof/>
        </w:rPr>
        <w:fldChar w:fldCharType="end"/>
      </w:r>
      <w:proofErr w:type="gramStart"/>
      <w:r>
        <w:t>.</w:t>
      </w:r>
      <w:proofErr w:type="gramEnd"/>
      <w:r w:rsidR="00271C4A">
        <w:fldChar w:fldCharType="begin"/>
      </w:r>
      <w:r w:rsidR="00271C4A">
        <w:instrText xml:space="preserve"> SEQ Figure \* ARABIC \s 1 </w:instrText>
      </w:r>
      <w:r w:rsidR="00271C4A">
        <w:fldChar w:fldCharType="separate"/>
      </w:r>
      <w:r w:rsidR="00AD3CCA">
        <w:rPr>
          <w:noProof/>
        </w:rPr>
        <w:t>2</w:t>
      </w:r>
      <w:r w:rsidR="00271C4A">
        <w:rPr>
          <w:noProof/>
        </w:rPr>
        <w:fldChar w:fldCharType="end"/>
      </w:r>
      <w:bookmarkEnd w:id="36"/>
      <w:r w:rsidR="00872C03">
        <w:tab/>
      </w:r>
      <w:r>
        <w:t xml:space="preserve">Final decision </w:t>
      </w:r>
      <w:r w:rsidRPr="008C40B1">
        <w:t>method to calculate the difference between actual and forecast unaccounted for gas prices</w:t>
      </w:r>
    </w:p>
    <w:p w:rsidR="008C40B1" w:rsidRPr="008C40B1" w:rsidRDefault="008C40B1" w:rsidP="008C40B1">
      <w:r w:rsidRPr="008C40B1">
        <w:rPr>
          <w:rStyle w:val="AERbody"/>
        </w:rPr>
        <w:object w:dxaOrig="3879" w:dyaOrig="360">
          <v:shape id="_x0000_i1026" type="#_x0000_t75" style="width:240.15pt;height:19.65pt" o:ole="">
            <v:imagedata r:id="rId14" o:title=""/>
          </v:shape>
          <o:OLEObject Type="Embed" ProgID="Equation.3" ShapeID="_x0000_i1026" DrawAspect="Content" ObjectID="_1525269996" r:id="rId15"/>
        </w:object>
      </w:r>
    </w:p>
    <w:p w:rsidR="00D91E60" w:rsidRDefault="00024B7C" w:rsidP="00D91E60">
      <w:r>
        <w:t>We note t</w:t>
      </w:r>
      <w:r w:rsidR="00071BCC">
        <w:t>he intent of this</w:t>
      </w:r>
      <w:r w:rsidR="00D91E60" w:rsidRPr="00D91E60">
        <w:t xml:space="preserve"> adjustment factor is</w:t>
      </w:r>
      <w:r w:rsidR="00D91E60">
        <w:t xml:space="preserve"> to adjust AGN's revenues </w:t>
      </w:r>
      <w:r>
        <w:t>for</w:t>
      </w:r>
      <w:r w:rsidR="00D91E60">
        <w:t xml:space="preserve"> the difference between</w:t>
      </w:r>
      <w:r w:rsidR="00132F83">
        <w:t xml:space="preserve"> the</w:t>
      </w:r>
      <w:r w:rsidR="00D91E60">
        <w:t xml:space="preserve"> actual </w:t>
      </w:r>
      <w:r w:rsidR="00D91E60" w:rsidRPr="00D91E60">
        <w:t>unaccounted for gas prices</w:t>
      </w:r>
      <w:r w:rsidR="00D91E60">
        <w:t xml:space="preserve"> and the forecast prices used to develop our final decision revenue requirement. </w:t>
      </w:r>
      <w:r w:rsidR="00402D60">
        <w:t>I</w:t>
      </w:r>
      <w:r>
        <w:t>n application</w:t>
      </w:r>
      <w:r w:rsidR="00402D60">
        <w:t>,</w:t>
      </w:r>
      <w:r>
        <w:t xml:space="preserve"> it is expected that </w:t>
      </w:r>
      <w:r w:rsidR="00D91E60">
        <w:t>a lower actual price than</w:t>
      </w:r>
      <w:r w:rsidR="009D7495">
        <w:t xml:space="preserve"> the</w:t>
      </w:r>
      <w:r>
        <w:t xml:space="preserve"> forecast price w</w:t>
      </w:r>
      <w:r w:rsidR="00D91E60">
        <w:t>ould see a reduction to</w:t>
      </w:r>
      <w:r w:rsidR="009D7495">
        <w:t xml:space="preserve"> AGN's</w:t>
      </w:r>
      <w:r w:rsidR="00D91E60">
        <w:t xml:space="preserve"> revenues</w:t>
      </w:r>
      <w:r w:rsidR="00132F83">
        <w:t xml:space="preserve">. </w:t>
      </w:r>
      <w:r w:rsidR="00071BCC">
        <w:t>Similarly, a</w:t>
      </w:r>
      <w:r>
        <w:t xml:space="preserve">n increase in revenues would </w:t>
      </w:r>
      <w:r w:rsidR="00D91E60">
        <w:t>occur when the actual price is higher</w:t>
      </w:r>
      <w:r>
        <w:t xml:space="preserve"> than the forecast price</w:t>
      </w:r>
      <w:r w:rsidR="00D91E60">
        <w:t>. However, our draft decision method</w:t>
      </w:r>
      <w:r w:rsidR="00071BCC">
        <w:t>—which applied</w:t>
      </w:r>
      <w:r>
        <w:t xml:space="preserve"> a division</w:t>
      </w:r>
      <w:r w:rsidR="00071BCC">
        <w:t xml:space="preserve"> of values instead of a subtraction of values</w:t>
      </w:r>
      <w:r>
        <w:t>—</w:t>
      </w:r>
      <w:r w:rsidR="00D91E60">
        <w:t xml:space="preserve">would see AGN's revenues increase </w:t>
      </w:r>
      <w:r w:rsidR="009D7495">
        <w:t>in both instances.</w:t>
      </w:r>
      <w:r>
        <w:t xml:space="preserve"> </w:t>
      </w:r>
      <w:r w:rsidR="00071BCC">
        <w:t>Therefore, o</w:t>
      </w:r>
      <w:r>
        <w:t>ur final decision</w:t>
      </w:r>
      <w:r w:rsidR="00071BCC">
        <w:t xml:space="preserve"> has</w:t>
      </w:r>
      <w:r>
        <w:t xml:space="preserve"> cor</w:t>
      </w:r>
      <w:r w:rsidR="00071BCC">
        <w:t>rected</w:t>
      </w:r>
      <w:r>
        <w:t xml:space="preserve"> for this error</w:t>
      </w:r>
      <w:r w:rsidR="00071BCC">
        <w:t xml:space="preserve"> in our draft decision</w:t>
      </w:r>
      <w:r>
        <w:t xml:space="preserve">. </w:t>
      </w:r>
    </w:p>
    <w:p w:rsidR="00F35C33" w:rsidRDefault="00402D60" w:rsidP="00D91E60">
      <w:r>
        <w:t>Second</w:t>
      </w:r>
      <w:r w:rsidR="009D7495">
        <w:t>,</w:t>
      </w:r>
      <w:r w:rsidR="00F35C33">
        <w:t xml:space="preserve"> we note</w:t>
      </w:r>
      <w:r w:rsidR="009D7495">
        <w:t xml:space="preserve"> our draft decision applied incorrect assumptions </w:t>
      </w:r>
      <w:r w:rsidR="00667D4C">
        <w:t>in</w:t>
      </w:r>
      <w:r w:rsidR="009D7495">
        <w:t xml:space="preserve"> the </w:t>
      </w:r>
      <w:r w:rsidR="009D7495" w:rsidRPr="009D7495">
        <w:t>net present value calculations</w:t>
      </w:r>
      <w:r>
        <w:t xml:space="preserve"> for this adjustment. </w:t>
      </w:r>
      <w:r w:rsidR="00AB5293">
        <w:t>As the true</w:t>
      </w:r>
      <w:r w:rsidR="00AB5293">
        <w:noBreakHyphen/>
        <w:t xml:space="preserve">up of </w:t>
      </w:r>
      <w:r w:rsidR="00AB5293" w:rsidRPr="00AB5293">
        <w:t xml:space="preserve">forecast and actual price for unaccounted for gas </w:t>
      </w:r>
      <w:r w:rsidR="00AB5293">
        <w:t xml:space="preserve">is calculated in </w:t>
      </w:r>
      <w:r w:rsidR="00AB5293" w:rsidRPr="00AB5293">
        <w:t>year t–2</w:t>
      </w:r>
      <w:r w:rsidR="00AB5293">
        <w:rPr>
          <w:rStyle w:val="FootnoteReference"/>
        </w:rPr>
        <w:footnoteReference w:id="71"/>
      </w:r>
      <w:r w:rsidR="00AB5293">
        <w:t xml:space="preserve">, </w:t>
      </w:r>
      <w:r w:rsidR="00442E22">
        <w:t>two years of escalation needs to be applied to bring it to net present terms</w:t>
      </w:r>
      <w:r w:rsidR="006228FB">
        <w:t xml:space="preserve"> for year t</w:t>
      </w:r>
      <w:r w:rsidR="00442E22">
        <w:t xml:space="preserve"> to adjust AGN's</w:t>
      </w:r>
      <w:r w:rsidR="006228FB">
        <w:t xml:space="preserve"> forthcoming</w:t>
      </w:r>
      <w:r w:rsidR="00442E22">
        <w:t xml:space="preserve"> revenues. </w:t>
      </w:r>
      <w:r w:rsidR="00F35C33">
        <w:t>E</w:t>
      </w:r>
      <w:r w:rsidR="00864E71">
        <w:t xml:space="preserve">ach year of escalation should apply the relevant real vanilla weighted average cost of capital. </w:t>
      </w:r>
      <w:r w:rsidR="00F35C33" w:rsidRPr="00F35C33">
        <w:t>That is, the relevant weighted average cost of capital to escalate from year t–2 to year t–1 (realWACC</w:t>
      </w:r>
      <w:r w:rsidR="00F35C33" w:rsidRPr="00F35C33">
        <w:rPr>
          <w:rStyle w:val="AERsubscript"/>
        </w:rPr>
        <w:t>t–1</w:t>
      </w:r>
      <w:r w:rsidR="00F35C33" w:rsidRPr="00F35C33">
        <w:t>) and another to escalate from year t–1 to year t (realWACC</w:t>
      </w:r>
      <w:r w:rsidR="00F35C33" w:rsidRPr="00F35C33">
        <w:rPr>
          <w:rStyle w:val="AERsubscript"/>
        </w:rPr>
        <w:t>t</w:t>
      </w:r>
      <w:r w:rsidR="00F35C33" w:rsidRPr="00F35C33">
        <w:t>). However, our draft decision incorrectly applied the real weighted average cost of capital for year t (realWACC</w:t>
      </w:r>
      <w:r w:rsidR="00F35C33" w:rsidRPr="00F35C33">
        <w:rPr>
          <w:rStyle w:val="AERsubscript"/>
        </w:rPr>
        <w:t>t</w:t>
      </w:r>
      <w:r w:rsidR="00F35C33" w:rsidRPr="00F35C33">
        <w:t>) twice for these two years of escalation.</w:t>
      </w:r>
      <w:r w:rsidR="00F35C33">
        <w:rPr>
          <w:rStyle w:val="FootnoteReference"/>
        </w:rPr>
        <w:footnoteReference w:id="72"/>
      </w:r>
      <w:r w:rsidR="00F35C33" w:rsidRPr="00F35C33">
        <w:t xml:space="preserve"> Our final decision corrects for this error.</w:t>
      </w:r>
    </w:p>
    <w:p w:rsidR="00562F2C" w:rsidRDefault="00132F83" w:rsidP="00E4066C">
      <w:r>
        <w:t>Our final decision a</w:t>
      </w:r>
      <w:r w:rsidRPr="00132F83">
        <w:t>djustment factor</w:t>
      </w:r>
      <w:r>
        <w:t xml:space="preserve"> formula</w:t>
      </w:r>
      <w:r w:rsidRPr="00132F83">
        <w:t xml:space="preserve"> to accommodate unaccounted for gas price variations</w:t>
      </w:r>
      <w:r>
        <w:t xml:space="preserve"> is set out in </w:t>
      </w:r>
      <w:r>
        <w:fldChar w:fldCharType="begin"/>
      </w:r>
      <w:r>
        <w:instrText xml:space="preserve"> REF  _Ref443922199 \* Lower \h </w:instrText>
      </w:r>
      <w:r>
        <w:fldChar w:fldCharType="separate"/>
      </w:r>
      <w:r w:rsidR="00872C03">
        <w:t xml:space="preserve">figure </w:t>
      </w:r>
      <w:r w:rsidR="00872C03">
        <w:rPr>
          <w:noProof/>
        </w:rPr>
        <w:t>11</w:t>
      </w:r>
      <w:r w:rsidR="00872C03">
        <w:t>.</w:t>
      </w:r>
      <w:r w:rsidR="00872C03">
        <w:rPr>
          <w:noProof/>
        </w:rPr>
        <w:t>5</w:t>
      </w:r>
      <w:r>
        <w:fldChar w:fldCharType="end"/>
      </w:r>
      <w:r>
        <w:t xml:space="preserve">. </w:t>
      </w:r>
      <w:r w:rsidR="00400523">
        <w:t xml:space="preserve">Our final decision annual haulage reference tariff variation formula and rebalancing control formula are set out in </w:t>
      </w:r>
      <w:r w:rsidR="00400523">
        <w:fldChar w:fldCharType="begin"/>
      </w:r>
      <w:r w:rsidR="00400523">
        <w:instrText xml:space="preserve"> REF  _Ref444097991 \* Lower \h </w:instrText>
      </w:r>
      <w:r w:rsidR="00400523">
        <w:fldChar w:fldCharType="separate"/>
      </w:r>
      <w:r w:rsidR="00872C03">
        <w:t xml:space="preserve">figure </w:t>
      </w:r>
      <w:r w:rsidR="00872C03">
        <w:rPr>
          <w:noProof/>
        </w:rPr>
        <w:t>11</w:t>
      </w:r>
      <w:r w:rsidR="00872C03">
        <w:t>.</w:t>
      </w:r>
      <w:r w:rsidR="00872C03">
        <w:rPr>
          <w:noProof/>
        </w:rPr>
        <w:t>3</w:t>
      </w:r>
      <w:r w:rsidR="00400523">
        <w:fldChar w:fldCharType="end"/>
      </w:r>
      <w:r w:rsidR="00400523">
        <w:t xml:space="preserve"> and </w:t>
      </w:r>
      <w:r w:rsidR="00400523">
        <w:fldChar w:fldCharType="begin"/>
      </w:r>
      <w:r w:rsidR="00400523">
        <w:instrText xml:space="preserve"> REF  _Ref443921986 \* Lower \h </w:instrText>
      </w:r>
      <w:r w:rsidR="00400523">
        <w:fldChar w:fldCharType="separate"/>
      </w:r>
      <w:r w:rsidR="00872C03">
        <w:t xml:space="preserve">figure </w:t>
      </w:r>
      <w:r w:rsidR="00872C03">
        <w:rPr>
          <w:noProof/>
        </w:rPr>
        <w:t>11</w:t>
      </w:r>
      <w:r w:rsidR="00872C03">
        <w:t>.</w:t>
      </w:r>
      <w:r w:rsidR="00872C03">
        <w:rPr>
          <w:noProof/>
        </w:rPr>
        <w:t>4</w:t>
      </w:r>
      <w:r w:rsidR="00400523">
        <w:fldChar w:fldCharType="end"/>
      </w:r>
      <w:r w:rsidR="00400523">
        <w:t xml:space="preserve"> respectively.</w:t>
      </w:r>
    </w:p>
    <w:p w:rsidR="00E4066C" w:rsidRDefault="00E4066C" w:rsidP="00E4066C">
      <w:pPr>
        <w:pStyle w:val="Caption"/>
      </w:pPr>
      <w:bookmarkStart w:id="37" w:name="_Ref444097991"/>
      <w:proofErr w:type="gramStart"/>
      <w:r>
        <w:t xml:space="preserve">Figure </w:t>
      </w:r>
      <w:proofErr w:type="gramEnd"/>
      <w:r w:rsidR="009A676B">
        <w:fldChar w:fldCharType="begin"/>
      </w:r>
      <w:r w:rsidR="009A676B">
        <w:instrText xml:space="preserve"> STYLEREF 1 \s </w:instrText>
      </w:r>
      <w:r w:rsidR="009A676B">
        <w:fldChar w:fldCharType="separate"/>
      </w:r>
      <w:r w:rsidR="00AD3CCA">
        <w:rPr>
          <w:noProof/>
        </w:rPr>
        <w:t>11</w:t>
      </w:r>
      <w:r w:rsidR="009A676B">
        <w:rPr>
          <w:noProof/>
        </w:rPr>
        <w:fldChar w:fldCharType="end"/>
      </w:r>
      <w:proofErr w:type="gramStart"/>
      <w:r w:rsidR="008C40B1">
        <w:t>.</w:t>
      </w:r>
      <w:proofErr w:type="gramEnd"/>
      <w:r w:rsidR="00271C4A">
        <w:fldChar w:fldCharType="begin"/>
      </w:r>
      <w:r w:rsidR="00271C4A">
        <w:instrText xml:space="preserve"> SEQ Figure \* ARABIC \s 1 </w:instrText>
      </w:r>
      <w:r w:rsidR="00271C4A">
        <w:fldChar w:fldCharType="separate"/>
      </w:r>
      <w:r w:rsidR="00AD3CCA">
        <w:rPr>
          <w:noProof/>
        </w:rPr>
        <w:t>3</w:t>
      </w:r>
      <w:r w:rsidR="00271C4A">
        <w:rPr>
          <w:noProof/>
        </w:rPr>
        <w:fldChar w:fldCharType="end"/>
      </w:r>
      <w:bookmarkEnd w:id="37"/>
      <w:r w:rsidR="00872C03">
        <w:tab/>
      </w:r>
      <w:r>
        <w:t>Annual haulage refe</w:t>
      </w:r>
      <w:r w:rsidR="0002396C">
        <w:t>rence tariff variation formula</w:t>
      </w:r>
    </w:p>
    <w:p w:rsidR="0002396C" w:rsidRPr="0002396C" w:rsidRDefault="0002396C" w:rsidP="0002396C">
      <w:r w:rsidRPr="0002396C">
        <w:rPr>
          <w:position w:val="-64"/>
        </w:rPr>
        <w:object w:dxaOrig="4920" w:dyaOrig="1400">
          <v:shape id="_x0000_i1027" type="#_x0000_t75" style="width:246.2pt;height:70pt" o:ole="">
            <v:imagedata r:id="rId16" o:title=""/>
          </v:shape>
          <o:OLEObject Type="Embed" ProgID="Equation.3" ShapeID="_x0000_i1027" DrawAspect="Content" ObjectID="_1525269997" r:id="rId17"/>
        </w:object>
      </w:r>
      <w:r>
        <w:tab/>
      </w:r>
      <w:r>
        <w:tab/>
      </w:r>
      <w:r w:rsidRPr="0002396C">
        <w:rPr>
          <w:rStyle w:val="AERtextitalic"/>
        </w:rPr>
        <w:t xml:space="preserve">i </w:t>
      </w:r>
      <w:r>
        <w:t>= 1,…</w:t>
      </w:r>
      <w:proofErr w:type="gramStart"/>
      <w:r>
        <w:t>,n</w:t>
      </w:r>
      <w:proofErr w:type="gramEnd"/>
    </w:p>
    <w:p w:rsidR="00E4066C" w:rsidRDefault="0002396C" w:rsidP="00E4066C">
      <w:proofErr w:type="gramStart"/>
      <w:r>
        <w:t>where</w:t>
      </w:r>
      <w:proofErr w:type="gramEnd"/>
      <w:r>
        <w:t>:</w:t>
      </w:r>
    </w:p>
    <w:p w:rsidR="0002396C" w:rsidRPr="00D16963" w:rsidRDefault="0002396C" w:rsidP="0002396C">
      <w:r w:rsidRPr="0002396C">
        <w:rPr>
          <w:position w:val="-12"/>
        </w:rPr>
        <w:object w:dxaOrig="560" w:dyaOrig="380">
          <v:shape id="_x0000_i1028" type="#_x0000_t75" style="width:27.7pt;height:18.65pt" o:ole="">
            <v:imagedata r:id="rId18" o:title=""/>
          </v:shape>
          <o:OLEObject Type="Embed" ProgID="Equation.3" ShapeID="_x0000_i1028" DrawAspect="Content" ObjectID="_1525269998" r:id="rId19"/>
        </w:object>
      </w:r>
      <w:r>
        <w:tab/>
      </w:r>
      <w:proofErr w:type="gramStart"/>
      <w:r w:rsidRPr="00D16963">
        <w:t>is</w:t>
      </w:r>
      <w:proofErr w:type="gramEnd"/>
      <w:r w:rsidRPr="00D16963">
        <w:t xml:space="preserve"> the annual percentage change in the </w:t>
      </w:r>
      <w:r w:rsidR="00115655" w:rsidRPr="00115655">
        <w:t xml:space="preserve">Australian Bureau of Statistics </w:t>
      </w:r>
      <w:r w:rsidR="00115655">
        <w:t>(</w:t>
      </w:r>
      <w:r w:rsidRPr="00D16963">
        <w:t>ABS</w:t>
      </w:r>
      <w:r w:rsidR="00115655">
        <w:t>)</w:t>
      </w:r>
      <w:r w:rsidRPr="00D16963">
        <w:t xml:space="preserve"> CPI All Groups, Weighted A</w:t>
      </w:r>
      <w:r>
        <w:t xml:space="preserve">verage of Eight Capital Cities </w:t>
      </w:r>
      <w:r w:rsidRPr="00D16963">
        <w:t>from the December quarter in year t</w:t>
      </w:r>
      <w:r w:rsidR="001C099D">
        <w:t>–</w:t>
      </w:r>
      <w:r w:rsidRPr="00D16963">
        <w:t>2 to the December quarter in year t</w:t>
      </w:r>
      <w:r w:rsidR="001C099D">
        <w:t>–</w:t>
      </w:r>
      <w:r w:rsidRPr="00D16963">
        <w:t>1, calculated using the following method:</w:t>
      </w:r>
    </w:p>
    <w:p w:rsidR="0002396C" w:rsidRPr="00D16963" w:rsidRDefault="0002396C" w:rsidP="0002396C">
      <w:pPr>
        <w:pStyle w:val="ListContinue"/>
      </w:pPr>
      <w:r w:rsidRPr="00D16963">
        <w:t>The ABS CPI All Groups, Weighted Average of Eight Capital Cities for the December quarter in financial year t</w:t>
      </w:r>
      <w:r w:rsidR="001C099D">
        <w:t>–</w:t>
      </w:r>
      <w:r w:rsidRPr="00D16963">
        <w:t>1</w:t>
      </w:r>
    </w:p>
    <w:p w:rsidR="0002396C" w:rsidRPr="00D16963" w:rsidRDefault="0002396C" w:rsidP="0002396C">
      <w:pPr>
        <w:pStyle w:val="ListContinue"/>
      </w:pPr>
      <w:r w:rsidRPr="00D16963">
        <w:t>divided by</w:t>
      </w:r>
    </w:p>
    <w:p w:rsidR="0002396C" w:rsidRPr="00D16963" w:rsidRDefault="0002396C" w:rsidP="0002396C">
      <w:pPr>
        <w:pStyle w:val="ListContinue"/>
      </w:pPr>
      <w:r w:rsidRPr="00D16963">
        <w:t>The ABS CPI All Groups, Weighted Average of Eight Capital Cities for the December quarter in financial year t</w:t>
      </w:r>
      <w:r w:rsidR="001C099D">
        <w:t>–</w:t>
      </w:r>
      <w:r w:rsidRPr="00D16963">
        <w:t>2</w:t>
      </w:r>
    </w:p>
    <w:p w:rsidR="0002396C" w:rsidRPr="00D16963" w:rsidRDefault="0002396C" w:rsidP="0002396C">
      <w:pPr>
        <w:pStyle w:val="ListContinue"/>
      </w:pPr>
      <w:proofErr w:type="gramStart"/>
      <w:r w:rsidRPr="00D16963">
        <w:t>minus</w:t>
      </w:r>
      <w:proofErr w:type="gramEnd"/>
      <w:r w:rsidRPr="00D16963">
        <w:t xml:space="preserve"> one. </w:t>
      </w:r>
    </w:p>
    <w:p w:rsidR="0002396C" w:rsidRDefault="0002396C" w:rsidP="0002396C">
      <w:r w:rsidRPr="00D16963">
        <w:t>If the ABS does not, or ceases to, publish the index, then CPI will mean an index which the AER considers is the best available alternative index.</w:t>
      </w:r>
    </w:p>
    <w:p w:rsidR="0002396C" w:rsidRDefault="0002396C" w:rsidP="0002396C">
      <w:r w:rsidRPr="0002396C">
        <w:rPr>
          <w:position w:val="-6"/>
        </w:rPr>
        <w:object w:dxaOrig="139" w:dyaOrig="240">
          <v:shape id="_x0000_i1029" type="#_x0000_t75" style="width:5.55pt;height:11.6pt" o:ole="">
            <v:imagedata r:id="rId20" o:title=""/>
          </v:shape>
          <o:OLEObject Type="Embed" ProgID="Equation.3" ShapeID="_x0000_i1029" DrawAspect="Content" ObjectID="_1525269999" r:id="rId21"/>
        </w:object>
      </w:r>
      <w:r>
        <w:tab/>
      </w:r>
      <w:r>
        <w:tab/>
      </w:r>
      <w:proofErr w:type="gramStart"/>
      <w:r>
        <w:t>is</w:t>
      </w:r>
      <w:proofErr w:type="gramEnd"/>
      <w:r>
        <w:t xml:space="preserve"> the financial year for which tariffs are being set.</w:t>
      </w:r>
    </w:p>
    <w:p w:rsidR="0002396C" w:rsidRDefault="0002396C" w:rsidP="0002396C">
      <w:r w:rsidRPr="0002396C">
        <w:rPr>
          <w:position w:val="-12"/>
        </w:rPr>
        <w:object w:dxaOrig="360" w:dyaOrig="380">
          <v:shape id="_x0000_i1030" type="#_x0000_t75" style="width:19.65pt;height:18.65pt" o:ole="">
            <v:imagedata r:id="rId22" o:title=""/>
          </v:shape>
          <o:OLEObject Type="Embed" ProgID="Equation.3" ShapeID="_x0000_i1030" DrawAspect="Content" ObjectID="_1525270000" r:id="rId23"/>
        </w:object>
      </w:r>
      <w:r>
        <w:tab/>
      </w:r>
      <w:proofErr w:type="gramStart"/>
      <w:r w:rsidRPr="00D16963">
        <w:t>is</w:t>
      </w:r>
      <w:proofErr w:type="gramEnd"/>
      <w:r w:rsidRPr="00D16963">
        <w:t xml:space="preserve"> the X factor for each financial year of the 2016–21 access arrangement period as determined in the</w:t>
      </w:r>
      <w:r w:rsidR="00115655">
        <w:t xml:space="preserve"> post-tax revenue model</w:t>
      </w:r>
      <w:r w:rsidRPr="00D16963">
        <w:t xml:space="preserve"> </w:t>
      </w:r>
      <w:r w:rsidR="00115655">
        <w:t>(</w:t>
      </w:r>
      <w:r w:rsidRPr="00D16963">
        <w:t>PTRM</w:t>
      </w:r>
      <w:r w:rsidR="00115655">
        <w:t>)</w:t>
      </w:r>
      <w:r w:rsidRPr="00D16963">
        <w:t xml:space="preserve"> as approved in the AER's final decision, and annually revised for the return on debt update calculated for the relevant financial year during the access arrangement period in accordance with that approved in the AER's final decision</w:t>
      </w:r>
      <w:r w:rsidR="00FD58E8">
        <w:t>.</w:t>
      </w:r>
    </w:p>
    <w:p w:rsidR="0002396C" w:rsidRDefault="0002396C" w:rsidP="0002396C">
      <w:r w:rsidRPr="0002396C">
        <w:rPr>
          <w:position w:val="-12"/>
        </w:rPr>
        <w:object w:dxaOrig="340" w:dyaOrig="380">
          <v:shape id="_x0000_i1031" type="#_x0000_t75" style="width:18.15pt;height:18.65pt" o:ole="">
            <v:imagedata r:id="rId24" o:title=""/>
          </v:shape>
          <o:OLEObject Type="Embed" ProgID="Equation.3" ShapeID="_x0000_i1031" DrawAspect="Content" ObjectID="_1525270001" r:id="rId25"/>
        </w:object>
      </w:r>
      <w:r>
        <w:tab/>
      </w:r>
      <w:proofErr w:type="gramStart"/>
      <w:r>
        <w:t>is</w:t>
      </w:r>
      <w:proofErr w:type="gramEnd"/>
      <w:r>
        <w:t xml:space="preserve"> the adjustment factor to accommodate unaccounted for gas </w:t>
      </w:r>
      <w:r w:rsidRPr="00A77B50">
        <w:t xml:space="preserve">price variations </w:t>
      </w:r>
      <w:r>
        <w:t>as outlined below</w:t>
      </w:r>
    </w:p>
    <w:p w:rsidR="0002396C" w:rsidRDefault="0002396C" w:rsidP="0002396C">
      <w:r w:rsidRPr="0002396C">
        <w:rPr>
          <w:position w:val="-12"/>
        </w:rPr>
        <w:object w:dxaOrig="480" w:dyaOrig="380">
          <v:shape id="_x0000_i1032" type="#_x0000_t75" style="width:25.7pt;height:18.65pt" o:ole="">
            <v:imagedata r:id="rId26" o:title=""/>
          </v:shape>
          <o:OLEObject Type="Embed" ProgID="Equation.3" ShapeID="_x0000_i1032" DrawAspect="Content" ObjectID="_1525270002" r:id="rId27"/>
        </w:object>
      </w:r>
      <w:r>
        <w:tab/>
      </w:r>
      <w:proofErr w:type="gramStart"/>
      <w:r w:rsidRPr="00A77B50">
        <w:t>is</w:t>
      </w:r>
      <w:proofErr w:type="gramEnd"/>
      <w:r w:rsidRPr="00A77B50">
        <w:t xml:space="preserve"> the cost pass through factor as outlined </w:t>
      </w:r>
      <w:r>
        <w:t>below</w:t>
      </w:r>
    </w:p>
    <w:p w:rsidR="0002396C" w:rsidRDefault="0002396C" w:rsidP="0002396C">
      <w:r w:rsidRPr="0002396C">
        <w:rPr>
          <w:position w:val="-6"/>
        </w:rPr>
        <w:object w:dxaOrig="200" w:dyaOrig="220">
          <v:shape id="_x0000_i1033" type="#_x0000_t75" style="width:9.55pt;height:10.05pt" o:ole="">
            <v:imagedata r:id="rId28" o:title=""/>
          </v:shape>
          <o:OLEObject Type="Embed" ProgID="Equation.3" ShapeID="_x0000_i1033" DrawAspect="Content" ObjectID="_1525270003" r:id="rId29"/>
        </w:object>
      </w:r>
      <w:r>
        <w:tab/>
      </w:r>
      <w:r>
        <w:tab/>
      </w:r>
      <w:proofErr w:type="gramStart"/>
      <w:r>
        <w:t>is</w:t>
      </w:r>
      <w:proofErr w:type="gramEnd"/>
      <w:r>
        <w:t xml:space="preserve"> the number of different reference tariffs</w:t>
      </w:r>
    </w:p>
    <w:p w:rsidR="0002396C" w:rsidRDefault="0002396C" w:rsidP="0002396C">
      <w:r w:rsidRPr="0002396C">
        <w:rPr>
          <w:position w:val="-6"/>
        </w:rPr>
        <w:object w:dxaOrig="260" w:dyaOrig="220">
          <v:shape id="_x0000_i1034" type="#_x0000_t75" style="width:11.6pt;height:10.05pt" o:ole="">
            <v:imagedata r:id="rId30" o:title=""/>
          </v:shape>
          <o:OLEObject Type="Embed" ProgID="Equation.3" ShapeID="_x0000_i1034" DrawAspect="Content" ObjectID="_1525270004" r:id="rId31"/>
        </w:object>
      </w:r>
      <w:r>
        <w:tab/>
      </w:r>
      <w:r>
        <w:tab/>
      </w:r>
      <w:proofErr w:type="gramStart"/>
      <w:r>
        <w:t>is</w:t>
      </w:r>
      <w:proofErr w:type="gramEnd"/>
      <w:r>
        <w:t xml:space="preserve"> the different components, elements or variables ("components") comprised within a reference tariff</w:t>
      </w:r>
    </w:p>
    <w:p w:rsidR="0002396C" w:rsidRDefault="0002396C" w:rsidP="0002396C">
      <w:r w:rsidRPr="0002396C">
        <w:rPr>
          <w:position w:val="-12"/>
        </w:rPr>
        <w:object w:dxaOrig="320" w:dyaOrig="380">
          <v:shape id="_x0000_i1035" type="#_x0000_t75" style="width:18.15pt;height:18.65pt" o:ole="">
            <v:imagedata r:id="rId32" o:title=""/>
          </v:shape>
          <o:OLEObject Type="Embed" ProgID="Equation.3" ShapeID="_x0000_i1035" DrawAspect="Content" ObjectID="_1525270005" r:id="rId33"/>
        </w:object>
      </w:r>
      <w:r>
        <w:tab/>
      </w:r>
      <w:proofErr w:type="gramStart"/>
      <w:r>
        <w:t>is</w:t>
      </w:r>
      <w:proofErr w:type="gramEnd"/>
      <w:r>
        <w:t xml:space="preserve"> the proposed component </w:t>
      </w:r>
      <w:r w:rsidRPr="0002396C">
        <w:rPr>
          <w:position w:val="-10"/>
        </w:rPr>
        <w:object w:dxaOrig="200" w:dyaOrig="300">
          <v:shape id="_x0000_i1036" type="#_x0000_t75" style="width:9.55pt;height:12.6pt" o:ole="">
            <v:imagedata r:id="rId34" o:title=""/>
          </v:shape>
          <o:OLEObject Type="Embed" ProgID="Equation.3" ShapeID="_x0000_i1036" DrawAspect="Content" ObjectID="_1525270006" r:id="rId35"/>
        </w:object>
      </w:r>
      <w:r>
        <w:t xml:space="preserve"> of reference tariff </w:t>
      </w:r>
      <w:r w:rsidRPr="0002396C">
        <w:rPr>
          <w:position w:val="-6"/>
        </w:rPr>
        <w:object w:dxaOrig="139" w:dyaOrig="260">
          <v:shape id="_x0000_i1037" type="#_x0000_t75" style="width:5.55pt;height:12.1pt" o:ole="">
            <v:imagedata r:id="rId36" o:title=""/>
          </v:shape>
          <o:OLEObject Type="Embed" ProgID="Equation.3" ShapeID="_x0000_i1037" DrawAspect="Content" ObjectID="_1525270007" r:id="rId37"/>
        </w:object>
      </w:r>
      <w:r>
        <w:t xml:space="preserve"> in year t</w:t>
      </w:r>
    </w:p>
    <w:p w:rsidR="0002396C" w:rsidRDefault="0002396C" w:rsidP="0002396C">
      <w:r w:rsidRPr="0002396C">
        <w:rPr>
          <w:position w:val="-12"/>
        </w:rPr>
        <w:object w:dxaOrig="420" w:dyaOrig="380">
          <v:shape id="_x0000_i1038" type="#_x0000_t75" style="width:22.15pt;height:18.65pt" o:ole="">
            <v:imagedata r:id="rId38" o:title=""/>
          </v:shape>
          <o:OLEObject Type="Embed" ProgID="Equation.3" ShapeID="_x0000_i1038" DrawAspect="Content" ObjectID="_1525270008" r:id="rId39"/>
        </w:object>
      </w:r>
      <w:r>
        <w:tab/>
      </w:r>
      <w:proofErr w:type="gramStart"/>
      <w:r>
        <w:t>is</w:t>
      </w:r>
      <w:proofErr w:type="gramEnd"/>
      <w:r>
        <w:t xml:space="preserve"> the prevailing component </w:t>
      </w:r>
      <w:r w:rsidRPr="0002396C">
        <w:rPr>
          <w:position w:val="-10"/>
        </w:rPr>
        <w:object w:dxaOrig="200" w:dyaOrig="300">
          <v:shape id="_x0000_i1039" type="#_x0000_t75" style="width:9.55pt;height:12.6pt" o:ole="">
            <v:imagedata r:id="rId40" o:title=""/>
          </v:shape>
          <o:OLEObject Type="Embed" ProgID="Equation.3" ShapeID="_x0000_i1039" DrawAspect="Content" ObjectID="_1525270009" r:id="rId41"/>
        </w:object>
      </w:r>
      <w:r>
        <w:t xml:space="preserve"> of reference tariff </w:t>
      </w:r>
      <w:r w:rsidRPr="0002396C">
        <w:rPr>
          <w:position w:val="-6"/>
        </w:rPr>
        <w:object w:dxaOrig="139" w:dyaOrig="260">
          <v:shape id="_x0000_i1040" type="#_x0000_t75" style="width:5.55pt;height:12.1pt" o:ole="">
            <v:imagedata r:id="rId42" o:title=""/>
          </v:shape>
          <o:OLEObject Type="Embed" ProgID="Equation.3" ShapeID="_x0000_i1040" DrawAspect="Content" ObjectID="_1525270010" r:id="rId43"/>
        </w:object>
      </w:r>
      <w:r>
        <w:t xml:space="preserve"> in year t</w:t>
      </w:r>
      <w:r w:rsidR="001C099D">
        <w:t>–</w:t>
      </w:r>
      <w:r>
        <w:t>1</w:t>
      </w:r>
    </w:p>
    <w:p w:rsidR="0002396C" w:rsidRDefault="0002396C" w:rsidP="0002396C">
      <w:r w:rsidRPr="0002396C">
        <w:rPr>
          <w:position w:val="-12"/>
        </w:rPr>
        <w:object w:dxaOrig="400" w:dyaOrig="380">
          <v:shape id="_x0000_i1041" type="#_x0000_t75" style="width:22.15pt;height:18.65pt" o:ole="">
            <v:imagedata r:id="rId44" o:title=""/>
          </v:shape>
          <o:OLEObject Type="Embed" ProgID="Equation.3" ShapeID="_x0000_i1041" DrawAspect="Content" ObjectID="_1525270011" r:id="rId45"/>
        </w:object>
      </w:r>
      <w:r>
        <w:tab/>
      </w:r>
      <w:proofErr w:type="gramStart"/>
      <w:r>
        <w:t>is</w:t>
      </w:r>
      <w:proofErr w:type="gramEnd"/>
      <w:r>
        <w:t xml:space="preserve"> the audited quantity of component </w:t>
      </w:r>
      <w:r w:rsidR="005F5D33" w:rsidRPr="005F5D33">
        <w:rPr>
          <w:position w:val="-10"/>
        </w:rPr>
        <w:object w:dxaOrig="200" w:dyaOrig="300">
          <v:shape id="_x0000_i1042" type="#_x0000_t75" style="width:9.55pt;height:12.6pt" o:ole="">
            <v:imagedata r:id="rId46" o:title=""/>
          </v:shape>
          <o:OLEObject Type="Embed" ProgID="Equation.3" ShapeID="_x0000_i1042" DrawAspect="Content" ObjectID="_1525270012" r:id="rId47"/>
        </w:object>
      </w:r>
      <w:r>
        <w:t xml:space="preserve"> of reference tariff </w:t>
      </w:r>
      <w:r w:rsidR="005F5D33" w:rsidRPr="005F5D33">
        <w:rPr>
          <w:position w:val="-6"/>
        </w:rPr>
        <w:object w:dxaOrig="139" w:dyaOrig="260">
          <v:shape id="_x0000_i1043" type="#_x0000_t75" style="width:5.55pt;height:12.1pt" o:ole="">
            <v:imagedata r:id="rId48" o:title=""/>
          </v:shape>
          <o:OLEObject Type="Embed" ProgID="Equation.3" ShapeID="_x0000_i1043" DrawAspect="Content" ObjectID="_1525270013" r:id="rId49"/>
        </w:object>
      </w:r>
      <w:r>
        <w:t xml:space="preserve"> that was sold in year t</w:t>
      </w:r>
      <w:r w:rsidR="001C099D">
        <w:t>–</w:t>
      </w:r>
      <w:r>
        <w:t>2 (expressed in the units in which that component is expressed (e.g. GJ)).</w:t>
      </w:r>
    </w:p>
    <w:p w:rsidR="0002396C" w:rsidRDefault="0002396C" w:rsidP="00E4066C">
      <w:r w:rsidRPr="0002396C">
        <w:t xml:space="preserve">AGN's annual haulage reference tariff variation formula is subject to the rebalancing formula set out in </w:t>
      </w:r>
      <w:r>
        <w:fldChar w:fldCharType="begin"/>
      </w:r>
      <w:r>
        <w:instrText xml:space="preserve"> REF  _Ref443921986 \* Lower \h </w:instrText>
      </w:r>
      <w:r>
        <w:fldChar w:fldCharType="separate"/>
      </w:r>
      <w:r w:rsidR="00AD3CCA">
        <w:t xml:space="preserve">figure </w:t>
      </w:r>
      <w:r w:rsidR="00AD3CCA">
        <w:rPr>
          <w:noProof/>
        </w:rPr>
        <w:t>11</w:t>
      </w:r>
      <w:r w:rsidR="00AD3CCA">
        <w:t>.</w:t>
      </w:r>
      <w:r w:rsidR="00AD3CCA">
        <w:rPr>
          <w:noProof/>
        </w:rPr>
        <w:t>4</w:t>
      </w:r>
      <w:r>
        <w:fldChar w:fldCharType="end"/>
      </w:r>
      <w:r w:rsidRPr="0002396C">
        <w:t>.</w:t>
      </w:r>
    </w:p>
    <w:p w:rsidR="0002396C" w:rsidRDefault="0002396C" w:rsidP="0002396C">
      <w:pPr>
        <w:pStyle w:val="Caption"/>
      </w:pPr>
      <w:bookmarkStart w:id="38" w:name="_Ref443921986"/>
      <w:proofErr w:type="gramStart"/>
      <w:r>
        <w:t xml:space="preserve">Figure </w:t>
      </w:r>
      <w:proofErr w:type="gramEnd"/>
      <w:r w:rsidR="009A676B">
        <w:fldChar w:fldCharType="begin"/>
      </w:r>
      <w:r w:rsidR="009A676B">
        <w:instrText xml:space="preserve"> STYLEREF 1 \s </w:instrText>
      </w:r>
      <w:r w:rsidR="009A676B">
        <w:fldChar w:fldCharType="separate"/>
      </w:r>
      <w:r w:rsidR="00AD3CCA">
        <w:rPr>
          <w:noProof/>
        </w:rPr>
        <w:t>11</w:t>
      </w:r>
      <w:r w:rsidR="009A676B">
        <w:rPr>
          <w:noProof/>
        </w:rPr>
        <w:fldChar w:fldCharType="end"/>
      </w:r>
      <w:proofErr w:type="gramStart"/>
      <w:r w:rsidR="008C40B1">
        <w:t>.</w:t>
      </w:r>
      <w:proofErr w:type="gramEnd"/>
      <w:r w:rsidR="00271C4A">
        <w:fldChar w:fldCharType="begin"/>
      </w:r>
      <w:r w:rsidR="00271C4A">
        <w:instrText xml:space="preserve"> SEQ Figure \* ARABIC \s 1 </w:instrText>
      </w:r>
      <w:r w:rsidR="00271C4A">
        <w:fldChar w:fldCharType="separate"/>
      </w:r>
      <w:r w:rsidR="00AD3CCA">
        <w:rPr>
          <w:noProof/>
        </w:rPr>
        <w:t>4</w:t>
      </w:r>
      <w:r w:rsidR="00271C4A">
        <w:rPr>
          <w:noProof/>
        </w:rPr>
        <w:fldChar w:fldCharType="end"/>
      </w:r>
      <w:bookmarkEnd w:id="38"/>
      <w:r w:rsidR="00872C03">
        <w:tab/>
      </w:r>
      <w:r>
        <w:t>Rebalancing control formula</w:t>
      </w:r>
    </w:p>
    <w:p w:rsidR="0002396C" w:rsidRDefault="0002396C" w:rsidP="0002396C">
      <w:r w:rsidRPr="0002396C">
        <w:rPr>
          <w:position w:val="-64"/>
        </w:rPr>
        <w:object w:dxaOrig="5800" w:dyaOrig="1400">
          <v:shape id="_x0000_i1044" type="#_x0000_t75" style="width:288.5pt;height:70pt" o:ole="">
            <v:imagedata r:id="rId50" o:title=""/>
          </v:shape>
          <o:OLEObject Type="Embed" ProgID="Equation.3" ShapeID="_x0000_i1044" DrawAspect="Content" ObjectID="_1525270014" r:id="rId51"/>
        </w:object>
      </w:r>
      <w:r>
        <w:tab/>
      </w:r>
      <w:r w:rsidRPr="0002396C">
        <w:rPr>
          <w:rStyle w:val="AERtextitalic"/>
        </w:rPr>
        <w:t>i</w:t>
      </w:r>
      <w:r>
        <w:t xml:space="preserve"> = 1,…</w:t>
      </w:r>
      <w:proofErr w:type="gramStart"/>
      <w:r>
        <w:t>,n</w:t>
      </w:r>
      <w:proofErr w:type="gramEnd"/>
    </w:p>
    <w:p w:rsidR="0002396C" w:rsidRDefault="0002396C" w:rsidP="0002396C">
      <w:proofErr w:type="gramStart"/>
      <w:r>
        <w:t>where</w:t>
      </w:r>
      <w:proofErr w:type="gramEnd"/>
      <w:r>
        <w:t>:</w:t>
      </w:r>
    </w:p>
    <w:p w:rsidR="0002396C" w:rsidRPr="00D16963" w:rsidRDefault="0002396C" w:rsidP="0002396C">
      <w:r w:rsidRPr="0002396C">
        <w:rPr>
          <w:position w:val="-12"/>
        </w:rPr>
        <w:object w:dxaOrig="560" w:dyaOrig="380">
          <v:shape id="_x0000_i1045" type="#_x0000_t75" style="width:27.7pt;height:18.65pt" o:ole="">
            <v:imagedata r:id="rId52" o:title=""/>
          </v:shape>
          <o:OLEObject Type="Embed" ProgID="Equation.3" ShapeID="_x0000_i1045" DrawAspect="Content" ObjectID="_1525270015" r:id="rId53"/>
        </w:object>
      </w:r>
      <w:r>
        <w:tab/>
      </w:r>
      <w:proofErr w:type="gramStart"/>
      <w:r w:rsidRPr="00D16963">
        <w:t>is</w:t>
      </w:r>
      <w:proofErr w:type="gramEnd"/>
      <w:r w:rsidRPr="00D16963">
        <w:t xml:space="preserve"> the annual percentage change in the ABS CPI All Groups, Weighted A</w:t>
      </w:r>
      <w:r>
        <w:t xml:space="preserve">verage of Eight Capital Cities </w:t>
      </w:r>
      <w:r w:rsidRPr="00D16963">
        <w:t>from the December quarter in year t</w:t>
      </w:r>
      <w:r w:rsidR="001C099D">
        <w:t>–</w:t>
      </w:r>
      <w:r w:rsidRPr="00D16963">
        <w:t>2 to the December quarter in year t</w:t>
      </w:r>
      <w:r w:rsidR="001C099D">
        <w:t>–</w:t>
      </w:r>
      <w:r w:rsidRPr="00D16963">
        <w:t>1, calculated using the following method:</w:t>
      </w:r>
    </w:p>
    <w:p w:rsidR="0002396C" w:rsidRPr="00D16963" w:rsidRDefault="0002396C" w:rsidP="0002396C">
      <w:pPr>
        <w:pStyle w:val="ListContinue"/>
      </w:pPr>
      <w:r w:rsidRPr="00D16963">
        <w:t>The ABS CPI All Groups, Weighted Average of Eight Capital Cities for the December quarter in financial year t</w:t>
      </w:r>
      <w:r w:rsidR="001C099D">
        <w:t>–</w:t>
      </w:r>
      <w:r w:rsidRPr="00D16963">
        <w:t>1</w:t>
      </w:r>
    </w:p>
    <w:p w:rsidR="0002396C" w:rsidRPr="00D16963" w:rsidRDefault="0002396C" w:rsidP="0002396C">
      <w:pPr>
        <w:pStyle w:val="ListContinue"/>
      </w:pPr>
      <w:r w:rsidRPr="00D16963">
        <w:t>divided by</w:t>
      </w:r>
    </w:p>
    <w:p w:rsidR="0002396C" w:rsidRPr="00D16963" w:rsidRDefault="0002396C" w:rsidP="0002396C">
      <w:pPr>
        <w:pStyle w:val="ListContinue"/>
      </w:pPr>
      <w:r w:rsidRPr="00D16963">
        <w:t>The ABS CPI All Groups, Weighted Average of Eight Capital Cities for the December quarter in financial year t</w:t>
      </w:r>
      <w:r w:rsidR="001C099D">
        <w:t>–</w:t>
      </w:r>
      <w:r w:rsidRPr="00D16963">
        <w:t>2</w:t>
      </w:r>
    </w:p>
    <w:p w:rsidR="0002396C" w:rsidRPr="00D16963" w:rsidRDefault="0002396C" w:rsidP="0002396C">
      <w:pPr>
        <w:pStyle w:val="ListContinue"/>
      </w:pPr>
      <w:proofErr w:type="gramStart"/>
      <w:r w:rsidRPr="00D16963">
        <w:t>minus</w:t>
      </w:r>
      <w:proofErr w:type="gramEnd"/>
      <w:r w:rsidRPr="00D16963">
        <w:t xml:space="preserve"> one. </w:t>
      </w:r>
    </w:p>
    <w:p w:rsidR="0002396C" w:rsidRDefault="0002396C" w:rsidP="0002396C">
      <w:r w:rsidRPr="00D16963">
        <w:t>If the ABS does not, or ceases to, publish the index, then CPI will mean an index which the AER considers is the best available alternative index.</w:t>
      </w:r>
    </w:p>
    <w:p w:rsidR="0002396C" w:rsidRDefault="0002396C" w:rsidP="0002396C">
      <w:r w:rsidRPr="0002396C">
        <w:rPr>
          <w:position w:val="-6"/>
        </w:rPr>
        <w:object w:dxaOrig="139" w:dyaOrig="240">
          <v:shape id="_x0000_i1046" type="#_x0000_t75" style="width:5.55pt;height:11.6pt" o:ole="">
            <v:imagedata r:id="rId54" o:title=""/>
          </v:shape>
          <o:OLEObject Type="Embed" ProgID="Equation.3" ShapeID="_x0000_i1046" DrawAspect="Content" ObjectID="_1525270016" r:id="rId55"/>
        </w:object>
      </w:r>
      <w:r>
        <w:tab/>
      </w:r>
      <w:r>
        <w:tab/>
      </w:r>
      <w:proofErr w:type="gramStart"/>
      <w:r>
        <w:t>is</w:t>
      </w:r>
      <w:proofErr w:type="gramEnd"/>
      <w:r>
        <w:t xml:space="preserve"> the financial year for which tariffs are being set.</w:t>
      </w:r>
    </w:p>
    <w:p w:rsidR="0002396C" w:rsidRDefault="0002396C" w:rsidP="0002396C">
      <w:r w:rsidRPr="0002396C">
        <w:rPr>
          <w:position w:val="-12"/>
        </w:rPr>
        <w:object w:dxaOrig="360" w:dyaOrig="380">
          <v:shape id="_x0000_i1047" type="#_x0000_t75" style="width:19.65pt;height:18.65pt" o:ole="">
            <v:imagedata r:id="rId56" o:title=""/>
          </v:shape>
          <o:OLEObject Type="Embed" ProgID="Equation.3" ShapeID="_x0000_i1047" DrawAspect="Content" ObjectID="_1525270017" r:id="rId57"/>
        </w:object>
      </w:r>
      <w:r>
        <w:tab/>
      </w:r>
      <w:proofErr w:type="gramStart"/>
      <w:r w:rsidRPr="00F702F8">
        <w:t>is</w:t>
      </w:r>
      <w:proofErr w:type="gramEnd"/>
      <w:r w:rsidRPr="00F702F8">
        <w:t xml:space="preserve"> the X factor for each financial year of the 2016–21 access arrangement period as determined in the PTRM as approved in the AER's final decision, and annually revised for the return on debt update calculated for the relevant financial year during the access arrangement period in accordance with that approved in the AER's final decision</w:t>
      </w:r>
    </w:p>
    <w:p w:rsidR="0002396C" w:rsidRDefault="0002396C" w:rsidP="0002396C">
      <w:r w:rsidRPr="0002396C">
        <w:rPr>
          <w:position w:val="-12"/>
        </w:rPr>
        <w:object w:dxaOrig="340" w:dyaOrig="380">
          <v:shape id="_x0000_i1048" type="#_x0000_t75" style="width:18.15pt;height:18.65pt" o:ole="">
            <v:imagedata r:id="rId58" o:title=""/>
          </v:shape>
          <o:OLEObject Type="Embed" ProgID="Equation.3" ShapeID="_x0000_i1048" DrawAspect="Content" ObjectID="_1525270018" r:id="rId59"/>
        </w:object>
      </w:r>
      <w:r>
        <w:tab/>
      </w:r>
      <w:proofErr w:type="gramStart"/>
      <w:r>
        <w:t>is</w:t>
      </w:r>
      <w:proofErr w:type="gramEnd"/>
      <w:r>
        <w:t xml:space="preserve"> the adjustment factor to accommodate unaccounted for gas </w:t>
      </w:r>
      <w:r w:rsidRPr="00A77B50">
        <w:t xml:space="preserve">price variations </w:t>
      </w:r>
      <w:r>
        <w:t>as outlined below</w:t>
      </w:r>
    </w:p>
    <w:p w:rsidR="0002396C" w:rsidRDefault="0002396C" w:rsidP="0002396C">
      <w:r w:rsidRPr="0002396C">
        <w:rPr>
          <w:position w:val="-12"/>
        </w:rPr>
        <w:object w:dxaOrig="480" w:dyaOrig="380">
          <v:shape id="_x0000_i1049" type="#_x0000_t75" style="width:25.7pt;height:18.65pt" o:ole="">
            <v:imagedata r:id="rId60" o:title=""/>
          </v:shape>
          <o:OLEObject Type="Embed" ProgID="Equation.3" ShapeID="_x0000_i1049" DrawAspect="Content" ObjectID="_1525270019" r:id="rId61"/>
        </w:object>
      </w:r>
      <w:r>
        <w:tab/>
      </w:r>
      <w:proofErr w:type="gramStart"/>
      <w:r w:rsidRPr="00A77B50">
        <w:t>is</w:t>
      </w:r>
      <w:proofErr w:type="gramEnd"/>
      <w:r w:rsidRPr="00A77B50">
        <w:t xml:space="preserve"> the cost pass through factor as outlined </w:t>
      </w:r>
      <w:r>
        <w:t>below</w:t>
      </w:r>
    </w:p>
    <w:p w:rsidR="0002396C" w:rsidRDefault="0002396C" w:rsidP="0002396C">
      <w:r w:rsidRPr="0002396C">
        <w:rPr>
          <w:position w:val="-6"/>
        </w:rPr>
        <w:object w:dxaOrig="200" w:dyaOrig="220">
          <v:shape id="_x0000_i1050" type="#_x0000_t75" style="width:9.55pt;height:10.05pt" o:ole="">
            <v:imagedata r:id="rId62" o:title=""/>
          </v:shape>
          <o:OLEObject Type="Embed" ProgID="Equation.3" ShapeID="_x0000_i1050" DrawAspect="Content" ObjectID="_1525270020" r:id="rId63"/>
        </w:object>
      </w:r>
      <w:r>
        <w:tab/>
      </w:r>
      <w:r>
        <w:tab/>
      </w:r>
      <w:proofErr w:type="gramStart"/>
      <w:r>
        <w:t>is</w:t>
      </w:r>
      <w:proofErr w:type="gramEnd"/>
      <w:r>
        <w:t xml:space="preserve"> the number of different reference tariffs</w:t>
      </w:r>
      <w:r w:rsidR="00341252">
        <w:t xml:space="preserve"> in each tariff class</w:t>
      </w:r>
    </w:p>
    <w:p w:rsidR="0002396C" w:rsidRDefault="0002396C" w:rsidP="0002396C">
      <w:r w:rsidRPr="0002396C">
        <w:rPr>
          <w:position w:val="-6"/>
        </w:rPr>
        <w:object w:dxaOrig="260" w:dyaOrig="220">
          <v:shape id="_x0000_i1051" type="#_x0000_t75" style="width:11.6pt;height:10.05pt" o:ole="">
            <v:imagedata r:id="rId64" o:title=""/>
          </v:shape>
          <o:OLEObject Type="Embed" ProgID="Equation.3" ShapeID="_x0000_i1051" DrawAspect="Content" ObjectID="_1525270021" r:id="rId65"/>
        </w:object>
      </w:r>
      <w:r>
        <w:tab/>
      </w:r>
      <w:r>
        <w:tab/>
      </w:r>
      <w:proofErr w:type="gramStart"/>
      <w:r>
        <w:t>is</w:t>
      </w:r>
      <w:proofErr w:type="gramEnd"/>
      <w:r>
        <w:t xml:space="preserve"> the different components, elements or variables ("components") comprised within a reference tariff</w:t>
      </w:r>
    </w:p>
    <w:p w:rsidR="0002396C" w:rsidRDefault="0002396C" w:rsidP="0002396C">
      <w:r w:rsidRPr="0002396C">
        <w:rPr>
          <w:position w:val="-12"/>
        </w:rPr>
        <w:object w:dxaOrig="320" w:dyaOrig="380">
          <v:shape id="_x0000_i1052" type="#_x0000_t75" style="width:18.15pt;height:18.65pt" o:ole="">
            <v:imagedata r:id="rId66" o:title=""/>
          </v:shape>
          <o:OLEObject Type="Embed" ProgID="Equation.3" ShapeID="_x0000_i1052" DrawAspect="Content" ObjectID="_1525270022" r:id="rId67"/>
        </w:object>
      </w:r>
      <w:r>
        <w:tab/>
      </w:r>
      <w:proofErr w:type="gramStart"/>
      <w:r>
        <w:t>is</w:t>
      </w:r>
      <w:proofErr w:type="gramEnd"/>
      <w:r>
        <w:t xml:space="preserve"> the proposed component </w:t>
      </w:r>
      <w:r w:rsidRPr="0002396C">
        <w:rPr>
          <w:position w:val="-10"/>
        </w:rPr>
        <w:object w:dxaOrig="200" w:dyaOrig="300">
          <v:shape id="_x0000_i1053" type="#_x0000_t75" style="width:9.55pt;height:12.6pt" o:ole="">
            <v:imagedata r:id="rId68" o:title=""/>
          </v:shape>
          <o:OLEObject Type="Embed" ProgID="Equation.3" ShapeID="_x0000_i1053" DrawAspect="Content" ObjectID="_1525270023" r:id="rId69"/>
        </w:object>
      </w:r>
      <w:r>
        <w:t xml:space="preserve"> of reference tariff </w:t>
      </w:r>
      <w:r w:rsidRPr="0002396C">
        <w:rPr>
          <w:position w:val="-6"/>
        </w:rPr>
        <w:object w:dxaOrig="139" w:dyaOrig="260">
          <v:shape id="_x0000_i1054" type="#_x0000_t75" style="width:5.55pt;height:12.1pt" o:ole="">
            <v:imagedata r:id="rId70" o:title=""/>
          </v:shape>
          <o:OLEObject Type="Embed" ProgID="Equation.3" ShapeID="_x0000_i1054" DrawAspect="Content" ObjectID="_1525270024" r:id="rId71"/>
        </w:object>
      </w:r>
      <w:r>
        <w:t xml:space="preserve"> in year t</w:t>
      </w:r>
    </w:p>
    <w:p w:rsidR="0002396C" w:rsidRDefault="0002396C" w:rsidP="0002396C">
      <w:r w:rsidRPr="0002396C">
        <w:rPr>
          <w:position w:val="-12"/>
        </w:rPr>
        <w:object w:dxaOrig="420" w:dyaOrig="380">
          <v:shape id="_x0000_i1055" type="#_x0000_t75" style="width:22.15pt;height:18.65pt" o:ole="">
            <v:imagedata r:id="rId72" o:title=""/>
          </v:shape>
          <o:OLEObject Type="Embed" ProgID="Equation.3" ShapeID="_x0000_i1055" DrawAspect="Content" ObjectID="_1525270025" r:id="rId73"/>
        </w:object>
      </w:r>
      <w:r>
        <w:tab/>
      </w:r>
      <w:proofErr w:type="gramStart"/>
      <w:r>
        <w:t>is</w:t>
      </w:r>
      <w:proofErr w:type="gramEnd"/>
      <w:r>
        <w:t xml:space="preserve"> the prevailing component </w:t>
      </w:r>
      <w:r w:rsidRPr="0002396C">
        <w:rPr>
          <w:position w:val="-10"/>
        </w:rPr>
        <w:object w:dxaOrig="200" w:dyaOrig="300">
          <v:shape id="_x0000_i1056" type="#_x0000_t75" style="width:9.55pt;height:12.6pt" o:ole="">
            <v:imagedata r:id="rId74" o:title=""/>
          </v:shape>
          <o:OLEObject Type="Embed" ProgID="Equation.3" ShapeID="_x0000_i1056" DrawAspect="Content" ObjectID="_1525270026" r:id="rId75"/>
        </w:object>
      </w:r>
      <w:r>
        <w:t xml:space="preserve"> of reference tariff </w:t>
      </w:r>
      <w:r w:rsidRPr="0002396C">
        <w:rPr>
          <w:position w:val="-6"/>
        </w:rPr>
        <w:object w:dxaOrig="139" w:dyaOrig="260">
          <v:shape id="_x0000_i1057" type="#_x0000_t75" style="width:5.55pt;height:12.1pt" o:ole="">
            <v:imagedata r:id="rId76" o:title=""/>
          </v:shape>
          <o:OLEObject Type="Embed" ProgID="Equation.3" ShapeID="_x0000_i1057" DrawAspect="Content" ObjectID="_1525270027" r:id="rId77"/>
        </w:object>
      </w:r>
      <w:r>
        <w:t xml:space="preserve"> in year t</w:t>
      </w:r>
      <w:r w:rsidR="00012D7B">
        <w:t>–</w:t>
      </w:r>
      <w:r>
        <w:t>1</w:t>
      </w:r>
    </w:p>
    <w:p w:rsidR="0002396C" w:rsidRDefault="0002396C" w:rsidP="0002396C">
      <w:r w:rsidRPr="0002396C">
        <w:rPr>
          <w:position w:val="-12"/>
        </w:rPr>
        <w:object w:dxaOrig="400" w:dyaOrig="380">
          <v:shape id="_x0000_i1058" type="#_x0000_t75" style="width:22.15pt;height:18.65pt" o:ole="">
            <v:imagedata r:id="rId78" o:title=""/>
          </v:shape>
          <o:OLEObject Type="Embed" ProgID="Equation.3" ShapeID="_x0000_i1058" DrawAspect="Content" ObjectID="_1525270028" r:id="rId79"/>
        </w:object>
      </w:r>
      <w:r>
        <w:tab/>
      </w:r>
      <w:proofErr w:type="gramStart"/>
      <w:r>
        <w:t>is</w:t>
      </w:r>
      <w:proofErr w:type="gramEnd"/>
      <w:r>
        <w:t xml:space="preserve"> the audited quantity of component </w:t>
      </w:r>
      <w:r w:rsidRPr="0002396C">
        <w:rPr>
          <w:position w:val="-10"/>
        </w:rPr>
        <w:object w:dxaOrig="200" w:dyaOrig="300">
          <v:shape id="_x0000_i1059" type="#_x0000_t75" style="width:9.55pt;height:12.6pt" o:ole="">
            <v:imagedata r:id="rId80" o:title=""/>
          </v:shape>
          <o:OLEObject Type="Embed" ProgID="Equation.3" ShapeID="_x0000_i1059" DrawAspect="Content" ObjectID="_1525270029" r:id="rId81"/>
        </w:object>
      </w:r>
      <w:r>
        <w:t xml:space="preserve"> of reference tariff </w:t>
      </w:r>
      <w:r w:rsidRPr="0002396C">
        <w:rPr>
          <w:position w:val="-6"/>
        </w:rPr>
        <w:object w:dxaOrig="139" w:dyaOrig="260">
          <v:shape id="_x0000_i1060" type="#_x0000_t75" style="width:5.55pt;height:12.1pt" o:ole="">
            <v:imagedata r:id="rId82" o:title=""/>
          </v:shape>
          <o:OLEObject Type="Embed" ProgID="Equation.3" ShapeID="_x0000_i1060" DrawAspect="Content" ObjectID="_1525270030" r:id="rId83"/>
        </w:object>
      </w:r>
      <w:r>
        <w:t xml:space="preserve"> that was sold in year t</w:t>
      </w:r>
      <w:r w:rsidR="001C099D">
        <w:t>–</w:t>
      </w:r>
      <w:r>
        <w:t>2 (expressed in the units in which that component is expressed (e.g. GJ)).</w:t>
      </w:r>
    </w:p>
    <w:p w:rsidR="00A2087A" w:rsidRDefault="00A2087A" w:rsidP="00A2087A">
      <w:pPr>
        <w:pStyle w:val="HeadingBoldBlue"/>
      </w:pPr>
      <w:r>
        <w:t>Adjustment factor to accommodate unaccounted for gas price variations</w:t>
      </w:r>
    </w:p>
    <w:p w:rsidR="00DF0116" w:rsidRDefault="0002396C" w:rsidP="00DF0116">
      <w:r>
        <w:t>I</w:t>
      </w:r>
      <w:r w:rsidRPr="0002396C">
        <w:t>ncluded in the haulage reference tariff variation mechanism formula</w:t>
      </w:r>
      <w:r>
        <w:t xml:space="preserve"> is</w:t>
      </w:r>
      <w:r w:rsidRPr="0002396C">
        <w:t xml:space="preserve"> an adjustment factor to accommodate price variations in unaccounted for </w:t>
      </w:r>
      <w:proofErr w:type="gramStart"/>
      <w:r w:rsidRPr="0002396C">
        <w:t>gas.</w:t>
      </w:r>
      <w:proofErr w:type="gramEnd"/>
      <w:r w:rsidRPr="0002396C">
        <w:t xml:space="preserve"> The formula for this adjustment factor is set out in </w:t>
      </w:r>
      <w:r>
        <w:fldChar w:fldCharType="begin"/>
      </w:r>
      <w:r>
        <w:instrText xml:space="preserve"> REF  _Ref443922199 \* Lower \h </w:instrText>
      </w:r>
      <w:r>
        <w:fldChar w:fldCharType="separate"/>
      </w:r>
      <w:r w:rsidR="00872C03">
        <w:t xml:space="preserve">figure </w:t>
      </w:r>
      <w:r w:rsidR="00872C03">
        <w:rPr>
          <w:noProof/>
        </w:rPr>
        <w:t>11</w:t>
      </w:r>
      <w:r w:rsidR="00872C03">
        <w:t>.</w:t>
      </w:r>
      <w:r w:rsidR="00872C03">
        <w:rPr>
          <w:noProof/>
        </w:rPr>
        <w:t>5</w:t>
      </w:r>
      <w:r>
        <w:fldChar w:fldCharType="end"/>
      </w:r>
      <w:r w:rsidRPr="0002396C">
        <w:t>.</w:t>
      </w:r>
      <w:r w:rsidR="005F5D33">
        <w:t xml:space="preserve"> As noted, we have</w:t>
      </w:r>
      <w:r w:rsidR="00453455">
        <w:t xml:space="preserve"> not</w:t>
      </w:r>
      <w:r w:rsidR="005F5D33">
        <w:t xml:space="preserve"> accepted AGN's revised proposal </w:t>
      </w:r>
      <w:r w:rsidR="00DF0116">
        <w:t>to true</w:t>
      </w:r>
      <w:r w:rsidR="00DF0116">
        <w:noBreakHyphen/>
        <w:t>up the forecast and actual price</w:t>
      </w:r>
      <w:r w:rsidR="00453455">
        <w:t xml:space="preserve"> for unaccounted for gas in</w:t>
      </w:r>
      <w:r w:rsidR="00DF0116">
        <w:t xml:space="preserve"> year t–1 rather than the year t–2.</w:t>
      </w:r>
      <w:r w:rsidR="00DF0116">
        <w:rPr>
          <w:rStyle w:val="FootnoteReference"/>
        </w:rPr>
        <w:footnoteReference w:id="73"/>
      </w:r>
      <w:r w:rsidR="00862B9D">
        <w:t xml:space="preserve"> Our final decision formula has also corrected for errors in our draft decision.</w:t>
      </w:r>
    </w:p>
    <w:p w:rsidR="0002396C" w:rsidRDefault="0002396C" w:rsidP="0002396C">
      <w:pPr>
        <w:pStyle w:val="Caption"/>
      </w:pPr>
      <w:bookmarkStart w:id="39" w:name="_Ref443922199"/>
      <w:proofErr w:type="gramStart"/>
      <w:r>
        <w:t xml:space="preserve">Figure </w:t>
      </w:r>
      <w:proofErr w:type="gramEnd"/>
      <w:r w:rsidR="009A676B">
        <w:fldChar w:fldCharType="begin"/>
      </w:r>
      <w:r w:rsidR="009A676B">
        <w:instrText xml:space="preserve"> STYLEREF 1 \s </w:instrText>
      </w:r>
      <w:r w:rsidR="009A676B">
        <w:fldChar w:fldCharType="separate"/>
      </w:r>
      <w:r w:rsidR="00AD3CCA">
        <w:rPr>
          <w:noProof/>
        </w:rPr>
        <w:t>11</w:t>
      </w:r>
      <w:r w:rsidR="009A676B">
        <w:rPr>
          <w:noProof/>
        </w:rPr>
        <w:fldChar w:fldCharType="end"/>
      </w:r>
      <w:proofErr w:type="gramStart"/>
      <w:r w:rsidR="008C40B1">
        <w:t>.</w:t>
      </w:r>
      <w:proofErr w:type="gramEnd"/>
      <w:r w:rsidR="00271C4A">
        <w:fldChar w:fldCharType="begin"/>
      </w:r>
      <w:r w:rsidR="00271C4A">
        <w:instrText xml:space="preserve"> SEQ Figure \* ARABIC \s 1 </w:instrText>
      </w:r>
      <w:r w:rsidR="00271C4A">
        <w:fldChar w:fldCharType="separate"/>
      </w:r>
      <w:r w:rsidR="00AD3CCA">
        <w:rPr>
          <w:noProof/>
        </w:rPr>
        <w:t>5</w:t>
      </w:r>
      <w:r w:rsidR="00271C4A">
        <w:rPr>
          <w:noProof/>
        </w:rPr>
        <w:fldChar w:fldCharType="end"/>
      </w:r>
      <w:bookmarkEnd w:id="39"/>
      <w:r w:rsidR="00872C03">
        <w:tab/>
      </w:r>
      <w:r>
        <w:t>Adjustment factor</w:t>
      </w:r>
      <w:r w:rsidR="00DF0116">
        <w:t xml:space="preserve"> formula</w:t>
      </w:r>
      <w:r>
        <w:t xml:space="preserve"> to accommodate price variations in unaccounted for gas</w:t>
      </w:r>
    </w:p>
    <w:p w:rsidR="007F7E7A" w:rsidRPr="007F7E7A" w:rsidRDefault="007F7E7A" w:rsidP="007F7E7A">
      <w:r w:rsidRPr="007F7E7A">
        <w:rPr>
          <w:position w:val="-30"/>
        </w:rPr>
        <w:object w:dxaOrig="1880" w:dyaOrig="700">
          <v:shape id="_x0000_i1061" type="#_x0000_t75" style="width:94.15pt;height:35.75pt" o:ole="">
            <v:imagedata r:id="rId84" o:title=""/>
          </v:shape>
          <o:OLEObject Type="Embed" ProgID="Equation.3" ShapeID="_x0000_i1061" DrawAspect="Content" ObjectID="_1525270031" r:id="rId85"/>
        </w:object>
      </w:r>
    </w:p>
    <w:p w:rsidR="007F7E7A" w:rsidRPr="007F7E7A" w:rsidRDefault="007F7E7A" w:rsidP="007F7E7A">
      <w:proofErr w:type="gramStart"/>
      <w:r w:rsidRPr="007F7E7A">
        <w:t>where</w:t>
      </w:r>
      <w:proofErr w:type="gramEnd"/>
      <w:r w:rsidRPr="007F7E7A">
        <w:t>:</w:t>
      </w:r>
    </w:p>
    <w:p w:rsidR="007F7E7A" w:rsidRPr="007F7E7A" w:rsidRDefault="00623BC2" w:rsidP="007F7E7A">
      <w:r w:rsidRPr="00791A63">
        <w:rPr>
          <w:position w:val="-12"/>
        </w:rPr>
        <w:object w:dxaOrig="480" w:dyaOrig="360">
          <v:shape id="_x0000_i1062" type="#_x0000_t75" style="width:25.7pt;height:19.65pt" o:ole="">
            <v:imagedata r:id="rId86" o:title=""/>
          </v:shape>
          <o:OLEObject Type="Embed" ProgID="Equation.3" ShapeID="_x0000_i1062" DrawAspect="Content" ObjectID="_1525270032" r:id="rId87"/>
        </w:object>
      </w:r>
      <w:r w:rsidR="007F7E7A" w:rsidRPr="007F7E7A">
        <w:tab/>
      </w:r>
      <w:proofErr w:type="gramStart"/>
      <w:r w:rsidR="007F7E7A" w:rsidRPr="007F7E7A">
        <w:t>is</w:t>
      </w:r>
      <w:proofErr w:type="gramEnd"/>
      <w:r w:rsidR="007F7E7A" w:rsidRPr="007F7E7A">
        <w:t>:</w:t>
      </w:r>
      <w:bookmarkStart w:id="40" w:name="_GoBack"/>
    </w:p>
    <w:p w:rsidR="007F7E7A" w:rsidRPr="007F7E7A" w:rsidRDefault="007F7E7A" w:rsidP="007F7E7A">
      <w:pPr>
        <w:pStyle w:val="ListBullet2"/>
      </w:pPr>
      <w:r w:rsidRPr="007F7E7A">
        <w:t>zero when financial year t</w:t>
      </w:r>
      <w:r w:rsidR="001C099D">
        <w:t>–</w:t>
      </w:r>
      <w:r w:rsidRPr="007F7E7A">
        <w:t>1 refers to financial year 2016–17</w:t>
      </w:r>
    </w:p>
    <w:p w:rsidR="007F7E7A" w:rsidRDefault="007F7E7A" w:rsidP="007F7E7A">
      <w:pPr>
        <w:pStyle w:val="ListBullet2"/>
      </w:pPr>
      <w:r w:rsidRPr="007F7E7A">
        <w:t xml:space="preserve">the value of </w:t>
      </w:r>
      <w:r w:rsidRPr="007F7E7A">
        <w:rPr>
          <w:position w:val="-12"/>
        </w:rPr>
        <w:object w:dxaOrig="360" w:dyaOrig="360">
          <v:shape id="_x0000_i1063" type="#_x0000_t75" style="width:19.65pt;height:19.65pt" o:ole="">
            <v:imagedata r:id="rId88" o:title=""/>
          </v:shape>
          <o:OLEObject Type="Embed" ProgID="Equation.3" ShapeID="_x0000_i1063" DrawAspect="Content" ObjectID="_1525270033" r:id="rId89"/>
        </w:object>
      </w:r>
      <w:r w:rsidRPr="007F7E7A">
        <w:t xml:space="preserve"> determined in the financial year t</w:t>
      </w:r>
      <w:r w:rsidR="001C099D">
        <w:t>–</w:t>
      </w:r>
      <w:r w:rsidRPr="007F7E7A">
        <w:t>1 for all other financial years in the access arrangement period</w:t>
      </w:r>
    </w:p>
    <w:p w:rsidR="00DC6914" w:rsidRPr="00DC6914" w:rsidRDefault="00DC6914" w:rsidP="00DC6914">
      <w:proofErr w:type="gramStart"/>
      <w:r>
        <w:t>and</w:t>
      </w:r>
      <w:proofErr w:type="gramEnd"/>
    </w:p>
    <w:p w:rsidR="007F7E7A" w:rsidRPr="007F7E7A" w:rsidRDefault="00A86D29" w:rsidP="007F7E7A">
      <w:r w:rsidRPr="007E6E8C">
        <w:rPr>
          <w:position w:val="-64"/>
        </w:rPr>
        <w:object w:dxaOrig="6200" w:dyaOrig="1040">
          <v:shape id="_x0000_i1064" type="#_x0000_t75" style="width:310.15pt;height:52.35pt" o:ole="">
            <v:imagedata r:id="rId90" o:title=""/>
          </v:shape>
          <o:OLEObject Type="Embed" ProgID="Equation.3" ShapeID="_x0000_i1064" DrawAspect="Content" ObjectID="_1525270034" r:id="rId91"/>
        </w:object>
      </w:r>
    </w:p>
    <w:p w:rsidR="007F7E7A" w:rsidRPr="007F7E7A" w:rsidRDefault="007F7E7A" w:rsidP="007F7E7A">
      <w:proofErr w:type="gramStart"/>
      <w:r w:rsidRPr="007F7E7A">
        <w:t>where</w:t>
      </w:r>
      <w:proofErr w:type="gramEnd"/>
      <w:r w:rsidRPr="007F7E7A">
        <w:t>:</w:t>
      </w:r>
    </w:p>
    <w:p w:rsidR="00DC6914" w:rsidRPr="007F7E7A" w:rsidRDefault="00DC6914" w:rsidP="00DC6914">
      <w:r w:rsidRPr="00DC6914">
        <w:object w:dxaOrig="139" w:dyaOrig="240">
          <v:shape id="_x0000_i1065" type="#_x0000_t75" style="width:5.55pt;height:11.6pt" o:ole="">
            <v:imagedata r:id="rId92" o:title=""/>
          </v:shape>
          <o:OLEObject Type="Embed" ProgID="Equation.3" ShapeID="_x0000_i1065" DrawAspect="Content" ObjectID="_1525270035" r:id="rId93"/>
        </w:object>
      </w:r>
      <w:r w:rsidRPr="007F7E7A">
        <w:tab/>
      </w:r>
      <w:r w:rsidRPr="007F7E7A">
        <w:tab/>
      </w:r>
      <w:proofErr w:type="gramStart"/>
      <w:r w:rsidRPr="007F7E7A">
        <w:t>is</w:t>
      </w:r>
      <w:proofErr w:type="gramEnd"/>
      <w:r w:rsidRPr="007F7E7A">
        <w:t xml:space="preserve"> the financial year for which tariffs are being set.</w:t>
      </w:r>
    </w:p>
    <w:p w:rsidR="007F7E7A" w:rsidRPr="007F7E7A" w:rsidRDefault="007F7E7A" w:rsidP="007F7E7A">
      <w:r w:rsidRPr="007F7E7A">
        <w:rPr>
          <w:position w:val="-12"/>
        </w:rPr>
        <w:object w:dxaOrig="580" w:dyaOrig="360">
          <v:shape id="_x0000_i1066" type="#_x0000_t75" style="width:29.7pt;height:19.65pt" o:ole="">
            <v:imagedata r:id="rId94" o:title=""/>
          </v:shape>
          <o:OLEObject Type="Embed" ProgID="Equation.3" ShapeID="_x0000_i1066" DrawAspect="Content" ObjectID="_1525270036" r:id="rId95"/>
        </w:object>
      </w:r>
      <w:r w:rsidRPr="007F7E7A">
        <w:t xml:space="preserve"> </w:t>
      </w:r>
      <w:r w:rsidRPr="007F7E7A">
        <w:tab/>
      </w:r>
      <w:proofErr w:type="gramStart"/>
      <w:r w:rsidRPr="007F7E7A">
        <w:t>is</w:t>
      </w:r>
      <w:proofErr w:type="gramEnd"/>
      <w:r w:rsidRPr="007F7E7A">
        <w:t xml:space="preserve"> the difference between the actual unaccounted for gas price and the forecast unaccounted for gas price calculated as:</w:t>
      </w:r>
    </w:p>
    <w:p w:rsidR="00CA0D11" w:rsidRDefault="00CA0D11" w:rsidP="007F7E7A">
      <w:r w:rsidRPr="008C40B1">
        <w:rPr>
          <w:rStyle w:val="AERbody"/>
        </w:rPr>
        <w:object w:dxaOrig="3879" w:dyaOrig="360">
          <v:shape id="_x0000_i1067" type="#_x0000_t75" style="width:240.15pt;height:19.65pt" o:ole="">
            <v:imagedata r:id="rId14" o:title=""/>
          </v:shape>
          <o:OLEObject Type="Embed" ProgID="Equation.3" ShapeID="_x0000_i1067" DrawAspect="Content" ObjectID="_1525270037" r:id="rId96"/>
        </w:object>
      </w:r>
    </w:p>
    <w:p w:rsidR="007F7E7A" w:rsidRPr="007F7E7A" w:rsidRDefault="007F7E7A" w:rsidP="007F7E7A">
      <w:proofErr w:type="gramStart"/>
      <w:r w:rsidRPr="007F7E7A">
        <w:t>where</w:t>
      </w:r>
      <w:proofErr w:type="gramEnd"/>
      <w:r w:rsidRPr="007F7E7A">
        <w:t>:</w:t>
      </w:r>
    </w:p>
    <w:p w:rsidR="007F7E7A" w:rsidRPr="007F7E7A" w:rsidRDefault="007F7E7A" w:rsidP="007F7E7A">
      <w:r w:rsidRPr="007F7E7A">
        <w:rPr>
          <w:position w:val="-12"/>
        </w:rPr>
        <w:object w:dxaOrig="540" w:dyaOrig="360">
          <v:shape id="_x0000_i1068" type="#_x0000_t75" style="width:27.7pt;height:19.65pt" o:ole="">
            <v:imagedata r:id="rId97" o:title=""/>
          </v:shape>
          <o:OLEObject Type="Embed" ProgID="Equation.3" ShapeID="_x0000_i1068" DrawAspect="Content" ObjectID="_1525270038" r:id="rId98"/>
        </w:object>
      </w:r>
      <w:r w:rsidRPr="007F7E7A">
        <w:tab/>
      </w:r>
      <w:proofErr w:type="gramStart"/>
      <w:r w:rsidRPr="007F7E7A">
        <w:t>is</w:t>
      </w:r>
      <w:proofErr w:type="gramEnd"/>
      <w:r w:rsidRPr="007F7E7A">
        <w:t xml:space="preserve"> the actual price for unaccounted for gas as calculated as the sum of retail gas prices for wholesale, maximum daily quantity (MDQ) and trans</w:t>
      </w:r>
      <w:r w:rsidR="001C099D">
        <w:t>mission gas in financial year t–</w:t>
      </w:r>
      <w:r w:rsidRPr="007F7E7A">
        <w:t>2</w:t>
      </w:r>
      <w:r w:rsidRPr="007F7E7A">
        <w:rPr>
          <w:rStyle w:val="FootnoteReference"/>
        </w:rPr>
        <w:footnoteReference w:id="74"/>
      </w:r>
    </w:p>
    <w:p w:rsidR="007F7E7A" w:rsidRPr="007F7E7A" w:rsidRDefault="007F7E7A" w:rsidP="007F7E7A">
      <w:r w:rsidRPr="007F7E7A">
        <w:rPr>
          <w:position w:val="-12"/>
        </w:rPr>
        <w:object w:dxaOrig="560" w:dyaOrig="360">
          <v:shape id="_x0000_i1069" type="#_x0000_t75" style="width:29.7pt;height:19.65pt" o:ole="">
            <v:imagedata r:id="rId99" o:title=""/>
          </v:shape>
          <o:OLEObject Type="Embed" ProgID="Equation.3" ShapeID="_x0000_i1069" DrawAspect="Content" ObjectID="_1525270039" r:id="rId100"/>
        </w:object>
      </w:r>
      <w:r w:rsidRPr="007F7E7A">
        <w:tab/>
      </w:r>
      <w:proofErr w:type="gramStart"/>
      <w:r w:rsidRPr="007F7E7A">
        <w:t>is</w:t>
      </w:r>
      <w:proofErr w:type="gramEnd"/>
      <w:r w:rsidRPr="007F7E7A">
        <w:t xml:space="preserve"> the price used to forecast the unaccounted for ga</w:t>
      </w:r>
      <w:r w:rsidR="001C099D">
        <w:t>s allowance in financial year t–</w:t>
      </w:r>
      <w:r w:rsidRPr="007F7E7A">
        <w:t>2 and is as set out in</w:t>
      </w:r>
      <w:r>
        <w:t xml:space="preserve"> </w:t>
      </w:r>
      <w:r>
        <w:fldChar w:fldCharType="begin"/>
      </w:r>
      <w:r>
        <w:instrText xml:space="preserve"> REF  _Ref443922909 \* Lower \h </w:instrText>
      </w:r>
      <w:r>
        <w:fldChar w:fldCharType="separate"/>
      </w:r>
      <w:r w:rsidR="00AD3CCA">
        <w:t xml:space="preserve">table </w:t>
      </w:r>
      <w:r w:rsidR="00AD3CCA">
        <w:rPr>
          <w:noProof/>
        </w:rPr>
        <w:t>11</w:t>
      </w:r>
      <w:r w:rsidR="00AD3CCA">
        <w:t>.</w:t>
      </w:r>
      <w:r w:rsidR="00AD3CCA">
        <w:rPr>
          <w:noProof/>
        </w:rPr>
        <w:t>1</w:t>
      </w:r>
      <w:r>
        <w:fldChar w:fldCharType="end"/>
      </w:r>
    </w:p>
    <w:p w:rsidR="007F7E7A" w:rsidRPr="007F7E7A" w:rsidRDefault="007F7E7A" w:rsidP="007F7E7A">
      <w:r w:rsidRPr="007F7E7A">
        <w:rPr>
          <w:position w:val="-12"/>
        </w:rPr>
        <w:object w:dxaOrig="600" w:dyaOrig="360">
          <v:shape id="_x0000_i1070" type="#_x0000_t75" style="width:29.7pt;height:19.65pt" o:ole="">
            <v:imagedata r:id="rId101" o:title=""/>
          </v:shape>
          <o:OLEObject Type="Embed" ProgID="Equation.3" ShapeID="_x0000_i1070" DrawAspect="Content" ObjectID="_1525270040" r:id="rId102"/>
        </w:object>
      </w:r>
      <w:r w:rsidRPr="007F7E7A">
        <w:t xml:space="preserve"> </w:t>
      </w:r>
      <w:proofErr w:type="gramStart"/>
      <w:r w:rsidRPr="007F7E7A">
        <w:t>is</w:t>
      </w:r>
      <w:proofErr w:type="gramEnd"/>
      <w:r w:rsidRPr="007F7E7A">
        <w:t xml:space="preserve"> the quantity used to forecast the unaccounted for gas allowance in financial year t</w:t>
      </w:r>
      <w:r w:rsidR="00B34AEC">
        <w:t>–</w:t>
      </w:r>
      <w:r w:rsidRPr="007F7E7A">
        <w:t>2 and is as set out in</w:t>
      </w:r>
      <w:r>
        <w:t xml:space="preserve"> </w:t>
      </w:r>
      <w:r>
        <w:fldChar w:fldCharType="begin"/>
      </w:r>
      <w:r>
        <w:instrText xml:space="preserve"> REF  _Ref443922909 \* Lower \h </w:instrText>
      </w:r>
      <w:r>
        <w:fldChar w:fldCharType="separate"/>
      </w:r>
      <w:r w:rsidR="00872C03">
        <w:t xml:space="preserve">table </w:t>
      </w:r>
      <w:r w:rsidR="00872C03">
        <w:rPr>
          <w:noProof/>
        </w:rPr>
        <w:t>11</w:t>
      </w:r>
      <w:r w:rsidR="00872C03">
        <w:t>.</w:t>
      </w:r>
      <w:r w:rsidR="00872C03">
        <w:rPr>
          <w:noProof/>
        </w:rPr>
        <w:t>2</w:t>
      </w:r>
      <w:r>
        <w:fldChar w:fldCharType="end"/>
      </w:r>
    </w:p>
    <w:p w:rsidR="0002396C" w:rsidRPr="0002396C" w:rsidRDefault="007F7E7A" w:rsidP="007F7E7A">
      <w:pPr>
        <w:pStyle w:val="Caption"/>
      </w:pPr>
      <w:bookmarkStart w:id="41" w:name="_Ref443922909"/>
      <w:proofErr w:type="gramStart"/>
      <w:r>
        <w:t xml:space="preserve">Table </w:t>
      </w:r>
      <w:r w:rsidR="00872C03">
        <w:fldChar w:fldCharType="begin"/>
      </w:r>
      <w:r w:rsidR="00872C03">
        <w:instrText xml:space="preserve"> STYLEREF 1 \s </w:instrText>
      </w:r>
      <w:r w:rsidR="00872C03">
        <w:fldChar w:fldCharType="separate"/>
      </w:r>
      <w:r w:rsidR="00872C03">
        <w:rPr>
          <w:noProof/>
        </w:rPr>
        <w:t>11</w:t>
      </w:r>
      <w:r w:rsidR="00872C03">
        <w:fldChar w:fldCharType="end"/>
      </w:r>
      <w:r w:rsidR="00872C03">
        <w:t>.</w:t>
      </w:r>
      <w:proofErr w:type="gramEnd"/>
      <w:r w:rsidR="00872C03">
        <w:fldChar w:fldCharType="begin"/>
      </w:r>
      <w:r w:rsidR="00872C03">
        <w:instrText xml:space="preserve"> SEQ Table \* ARABIC \s 1 </w:instrText>
      </w:r>
      <w:r w:rsidR="00872C03">
        <w:fldChar w:fldCharType="separate"/>
      </w:r>
      <w:r w:rsidR="00872C03">
        <w:rPr>
          <w:noProof/>
        </w:rPr>
        <w:t>2</w:t>
      </w:r>
      <w:r w:rsidR="00872C03">
        <w:fldChar w:fldCharType="end"/>
      </w:r>
      <w:bookmarkEnd w:id="41"/>
      <w:r>
        <w:t xml:space="preserve"> Forecast price and quantities used to determine the unaccounted for gas allowance in AGN's allowed revenues</w:t>
      </w:r>
      <w:r w:rsidR="00E51D59">
        <w:t xml:space="preserve"> ($2014–15)</w:t>
      </w:r>
    </w:p>
    <w:tbl>
      <w:tblPr>
        <w:tblStyle w:val="AERtable-numbers"/>
        <w:tblW w:w="0" w:type="auto"/>
        <w:tblLook w:val="04A0" w:firstRow="1" w:lastRow="0" w:firstColumn="1" w:lastColumn="0" w:noHBand="0" w:noVBand="1"/>
      </w:tblPr>
      <w:tblGrid>
        <w:gridCol w:w="2518"/>
        <w:gridCol w:w="1235"/>
        <w:gridCol w:w="1235"/>
        <w:gridCol w:w="1235"/>
        <w:gridCol w:w="1235"/>
        <w:gridCol w:w="1235"/>
      </w:tblGrid>
      <w:tr w:rsidR="007F7E7A" w:rsidTr="007F7E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7E7A" w:rsidRDefault="007F7E7A" w:rsidP="00A2087A"/>
        </w:tc>
        <w:tc>
          <w:tcPr>
            <w:tcW w:w="1235" w:type="dxa"/>
          </w:tcPr>
          <w:p w:rsidR="007F7E7A" w:rsidRDefault="007F7E7A" w:rsidP="00A2087A">
            <w:pPr>
              <w:cnfStyle w:val="100000000000" w:firstRow="1" w:lastRow="0" w:firstColumn="0" w:lastColumn="0" w:oddVBand="0" w:evenVBand="0" w:oddHBand="0" w:evenHBand="0" w:firstRowFirstColumn="0" w:firstRowLastColumn="0" w:lastRowFirstColumn="0" w:lastRowLastColumn="0"/>
            </w:pPr>
            <w:r>
              <w:t>2016–17</w:t>
            </w:r>
          </w:p>
        </w:tc>
        <w:tc>
          <w:tcPr>
            <w:tcW w:w="1235" w:type="dxa"/>
          </w:tcPr>
          <w:p w:rsidR="007F7E7A" w:rsidRDefault="007F7E7A" w:rsidP="00A2087A">
            <w:pPr>
              <w:cnfStyle w:val="100000000000" w:firstRow="1" w:lastRow="0" w:firstColumn="0" w:lastColumn="0" w:oddVBand="0" w:evenVBand="0" w:oddHBand="0" w:evenHBand="0" w:firstRowFirstColumn="0" w:firstRowLastColumn="0" w:lastRowFirstColumn="0" w:lastRowLastColumn="0"/>
            </w:pPr>
            <w:r>
              <w:t>2017–18</w:t>
            </w:r>
          </w:p>
        </w:tc>
        <w:tc>
          <w:tcPr>
            <w:tcW w:w="1235" w:type="dxa"/>
          </w:tcPr>
          <w:p w:rsidR="007F7E7A" w:rsidRDefault="007F7E7A" w:rsidP="00A2087A">
            <w:pPr>
              <w:cnfStyle w:val="100000000000" w:firstRow="1" w:lastRow="0" w:firstColumn="0" w:lastColumn="0" w:oddVBand="0" w:evenVBand="0" w:oddHBand="0" w:evenHBand="0" w:firstRowFirstColumn="0" w:firstRowLastColumn="0" w:lastRowFirstColumn="0" w:lastRowLastColumn="0"/>
            </w:pPr>
            <w:r>
              <w:t>2018–19</w:t>
            </w:r>
          </w:p>
        </w:tc>
        <w:tc>
          <w:tcPr>
            <w:tcW w:w="1235" w:type="dxa"/>
          </w:tcPr>
          <w:p w:rsidR="007F7E7A" w:rsidRDefault="007F7E7A" w:rsidP="00A2087A">
            <w:pPr>
              <w:cnfStyle w:val="100000000000" w:firstRow="1" w:lastRow="0" w:firstColumn="0" w:lastColumn="0" w:oddVBand="0" w:evenVBand="0" w:oddHBand="0" w:evenHBand="0" w:firstRowFirstColumn="0" w:firstRowLastColumn="0" w:lastRowFirstColumn="0" w:lastRowLastColumn="0"/>
            </w:pPr>
            <w:r>
              <w:t>2019–20</w:t>
            </w:r>
          </w:p>
        </w:tc>
        <w:tc>
          <w:tcPr>
            <w:tcW w:w="1235" w:type="dxa"/>
          </w:tcPr>
          <w:p w:rsidR="007F7E7A" w:rsidRDefault="007F7E7A" w:rsidP="00A2087A">
            <w:pPr>
              <w:cnfStyle w:val="100000000000" w:firstRow="1" w:lastRow="0" w:firstColumn="0" w:lastColumn="0" w:oddVBand="0" w:evenVBand="0" w:oddHBand="0" w:evenHBand="0" w:firstRowFirstColumn="0" w:firstRowLastColumn="0" w:lastRowFirstColumn="0" w:lastRowLastColumn="0"/>
            </w:pPr>
            <w:r>
              <w:t>2020–21</w:t>
            </w:r>
          </w:p>
        </w:tc>
      </w:tr>
      <w:tr w:rsidR="007F7E7A" w:rsidTr="007F7E7A">
        <w:tc>
          <w:tcPr>
            <w:cnfStyle w:val="001000000000" w:firstRow="0" w:lastRow="0" w:firstColumn="1" w:lastColumn="0" w:oddVBand="0" w:evenVBand="0" w:oddHBand="0" w:evenHBand="0" w:firstRowFirstColumn="0" w:firstRowLastColumn="0" w:lastRowFirstColumn="0" w:lastRowLastColumn="0"/>
            <w:tcW w:w="2518" w:type="dxa"/>
          </w:tcPr>
          <w:p w:rsidR="007F7E7A" w:rsidRDefault="007F7E7A" w:rsidP="00A2087A">
            <w:r>
              <w:t>Forecast price for unaccounted for gas (FP) $/GJ</w:t>
            </w:r>
          </w:p>
        </w:tc>
        <w:tc>
          <w:tcPr>
            <w:tcW w:w="1235" w:type="dxa"/>
          </w:tcPr>
          <w:p w:rsidR="007F7E7A" w:rsidRDefault="00152B47" w:rsidP="00A2087A">
            <w:pPr>
              <w:cnfStyle w:val="000000000000" w:firstRow="0" w:lastRow="0" w:firstColumn="0" w:lastColumn="0" w:oddVBand="0" w:evenVBand="0" w:oddHBand="0" w:evenHBand="0" w:firstRowFirstColumn="0" w:firstRowLastColumn="0" w:lastRowFirstColumn="0" w:lastRowLastColumn="0"/>
            </w:pPr>
            <w:r>
              <w:t>11.10</w:t>
            </w:r>
          </w:p>
        </w:tc>
        <w:tc>
          <w:tcPr>
            <w:tcW w:w="1235" w:type="dxa"/>
          </w:tcPr>
          <w:p w:rsidR="007F7E7A" w:rsidRDefault="00152B47" w:rsidP="00A2087A">
            <w:pPr>
              <w:cnfStyle w:val="000000000000" w:firstRow="0" w:lastRow="0" w:firstColumn="0" w:lastColumn="0" w:oddVBand="0" w:evenVBand="0" w:oddHBand="0" w:evenHBand="0" w:firstRowFirstColumn="0" w:firstRowLastColumn="0" w:lastRowFirstColumn="0" w:lastRowLastColumn="0"/>
            </w:pPr>
            <w:r>
              <w:t>11.10</w:t>
            </w:r>
          </w:p>
        </w:tc>
        <w:tc>
          <w:tcPr>
            <w:tcW w:w="1235" w:type="dxa"/>
          </w:tcPr>
          <w:p w:rsidR="007F7E7A" w:rsidRDefault="00152B47" w:rsidP="00A2087A">
            <w:pPr>
              <w:cnfStyle w:val="000000000000" w:firstRow="0" w:lastRow="0" w:firstColumn="0" w:lastColumn="0" w:oddVBand="0" w:evenVBand="0" w:oddHBand="0" w:evenHBand="0" w:firstRowFirstColumn="0" w:firstRowLastColumn="0" w:lastRowFirstColumn="0" w:lastRowLastColumn="0"/>
            </w:pPr>
            <w:r>
              <w:t>11.10</w:t>
            </w:r>
          </w:p>
        </w:tc>
        <w:tc>
          <w:tcPr>
            <w:tcW w:w="1235" w:type="dxa"/>
          </w:tcPr>
          <w:p w:rsidR="007F7E7A" w:rsidRDefault="00152B47" w:rsidP="00A2087A">
            <w:pPr>
              <w:cnfStyle w:val="000000000000" w:firstRow="0" w:lastRow="0" w:firstColumn="0" w:lastColumn="0" w:oddVBand="0" w:evenVBand="0" w:oddHBand="0" w:evenHBand="0" w:firstRowFirstColumn="0" w:firstRowLastColumn="0" w:lastRowFirstColumn="0" w:lastRowLastColumn="0"/>
            </w:pPr>
            <w:r>
              <w:t>11.10</w:t>
            </w:r>
          </w:p>
        </w:tc>
        <w:tc>
          <w:tcPr>
            <w:tcW w:w="1235" w:type="dxa"/>
          </w:tcPr>
          <w:p w:rsidR="007F7E7A" w:rsidRDefault="00152B47" w:rsidP="00A2087A">
            <w:pPr>
              <w:cnfStyle w:val="000000000000" w:firstRow="0" w:lastRow="0" w:firstColumn="0" w:lastColumn="0" w:oddVBand="0" w:evenVBand="0" w:oddHBand="0" w:evenHBand="0" w:firstRowFirstColumn="0" w:firstRowLastColumn="0" w:lastRowFirstColumn="0" w:lastRowLastColumn="0"/>
            </w:pPr>
            <w:r>
              <w:t>11.10</w:t>
            </w:r>
          </w:p>
        </w:tc>
      </w:tr>
      <w:tr w:rsidR="007F7E7A" w:rsidTr="007F7E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7E7A" w:rsidRDefault="007F7E7A" w:rsidP="00A2087A">
            <w:r>
              <w:t>Forecast quantity of unaccounted for gas (FQ)</w:t>
            </w:r>
          </w:p>
        </w:tc>
        <w:tc>
          <w:tcPr>
            <w:tcW w:w="1235" w:type="dxa"/>
          </w:tcPr>
          <w:p w:rsidR="007F7E7A" w:rsidRDefault="00152B47" w:rsidP="00A2087A">
            <w:pPr>
              <w:cnfStyle w:val="000000010000" w:firstRow="0" w:lastRow="0" w:firstColumn="0" w:lastColumn="0" w:oddVBand="0" w:evenVBand="0" w:oddHBand="0" w:evenHBand="1" w:firstRowFirstColumn="0" w:firstRowLastColumn="0" w:lastRowFirstColumn="0" w:lastRowLastColumn="0"/>
            </w:pPr>
            <w:r>
              <w:t>1177</w:t>
            </w:r>
          </w:p>
        </w:tc>
        <w:tc>
          <w:tcPr>
            <w:tcW w:w="1235" w:type="dxa"/>
          </w:tcPr>
          <w:p w:rsidR="007F7E7A" w:rsidRDefault="00152B47" w:rsidP="00A2087A">
            <w:pPr>
              <w:cnfStyle w:val="000000010000" w:firstRow="0" w:lastRow="0" w:firstColumn="0" w:lastColumn="0" w:oddVBand="0" w:evenVBand="0" w:oddHBand="0" w:evenHBand="1" w:firstRowFirstColumn="0" w:firstRowLastColumn="0" w:lastRowFirstColumn="0" w:lastRowLastColumn="0"/>
            </w:pPr>
            <w:r>
              <w:t>1148</w:t>
            </w:r>
          </w:p>
        </w:tc>
        <w:tc>
          <w:tcPr>
            <w:tcW w:w="1235" w:type="dxa"/>
          </w:tcPr>
          <w:p w:rsidR="007F7E7A" w:rsidRDefault="00152B47" w:rsidP="00A2087A">
            <w:pPr>
              <w:cnfStyle w:val="000000010000" w:firstRow="0" w:lastRow="0" w:firstColumn="0" w:lastColumn="0" w:oddVBand="0" w:evenVBand="0" w:oddHBand="0" w:evenHBand="1" w:firstRowFirstColumn="0" w:firstRowLastColumn="0" w:lastRowFirstColumn="0" w:lastRowLastColumn="0"/>
            </w:pPr>
            <w:r>
              <w:t>1118</w:t>
            </w:r>
          </w:p>
        </w:tc>
        <w:tc>
          <w:tcPr>
            <w:tcW w:w="1235" w:type="dxa"/>
          </w:tcPr>
          <w:p w:rsidR="007F7E7A" w:rsidRDefault="00152B47" w:rsidP="00A2087A">
            <w:pPr>
              <w:cnfStyle w:val="000000010000" w:firstRow="0" w:lastRow="0" w:firstColumn="0" w:lastColumn="0" w:oddVBand="0" w:evenVBand="0" w:oddHBand="0" w:evenHBand="1" w:firstRowFirstColumn="0" w:firstRowLastColumn="0" w:lastRowFirstColumn="0" w:lastRowLastColumn="0"/>
            </w:pPr>
            <w:r>
              <w:t>1080</w:t>
            </w:r>
          </w:p>
        </w:tc>
        <w:tc>
          <w:tcPr>
            <w:tcW w:w="1235" w:type="dxa"/>
          </w:tcPr>
          <w:p w:rsidR="007F7E7A" w:rsidRDefault="00152B47" w:rsidP="00A2087A">
            <w:pPr>
              <w:cnfStyle w:val="000000010000" w:firstRow="0" w:lastRow="0" w:firstColumn="0" w:lastColumn="0" w:oddVBand="0" w:evenVBand="0" w:oddHBand="0" w:evenHBand="1" w:firstRowFirstColumn="0" w:firstRowLastColumn="0" w:lastRowFirstColumn="0" w:lastRowLastColumn="0"/>
            </w:pPr>
            <w:r>
              <w:t>1029</w:t>
            </w:r>
          </w:p>
        </w:tc>
      </w:tr>
    </w:tbl>
    <w:p w:rsidR="00E51D59" w:rsidRDefault="00E51D59" w:rsidP="00E51D59">
      <w:pPr>
        <w:pStyle w:val="AERtablesource"/>
      </w:pPr>
      <w:r>
        <w:t>Source:</w:t>
      </w:r>
      <w:r>
        <w:tab/>
        <w:t>AER analysis.</w:t>
      </w:r>
    </w:p>
    <w:p w:rsidR="007F7E7A" w:rsidRPr="007F7E7A" w:rsidRDefault="00862B9D" w:rsidP="007F7E7A">
      <w:r w:rsidRPr="007F7E7A">
        <w:rPr>
          <w:position w:val="-12"/>
        </w:rPr>
        <w:object w:dxaOrig="560" w:dyaOrig="380">
          <v:shape id="_x0000_i1071" type="#_x0000_t75" style="width:27.7pt;height:18.65pt" o:ole="">
            <v:imagedata r:id="rId103" o:title=""/>
          </v:shape>
          <o:OLEObject Type="Embed" ProgID="Equation.3" ShapeID="_x0000_i1071" DrawAspect="Content" ObjectID="_1525270041" r:id="rId104"/>
        </w:object>
      </w:r>
      <w:r w:rsidR="007F7E7A" w:rsidRPr="007F7E7A">
        <w:tab/>
      </w:r>
      <w:proofErr w:type="gramStart"/>
      <w:r w:rsidR="007F7E7A" w:rsidRPr="007F7E7A">
        <w:t>is</w:t>
      </w:r>
      <w:proofErr w:type="gramEnd"/>
      <w:r w:rsidR="007F7E7A" w:rsidRPr="007F7E7A">
        <w:t xml:space="preserve"> the annual percentage change in the ABS CPI All Groups, Weighted Average of Eight Capital Cities from</w:t>
      </w:r>
      <w:r w:rsidR="001C099D">
        <w:t xml:space="preserve"> the December quarter in year t–</w:t>
      </w:r>
      <w:r>
        <w:t>2</w:t>
      </w:r>
      <w:r w:rsidR="007F7E7A" w:rsidRPr="007F7E7A">
        <w:t xml:space="preserve"> to</w:t>
      </w:r>
      <w:r w:rsidR="001C099D">
        <w:t xml:space="preserve"> the December quarter in year t–</w:t>
      </w:r>
      <w:r>
        <w:t>1</w:t>
      </w:r>
      <w:r w:rsidR="007F7E7A" w:rsidRPr="007F7E7A">
        <w:t>, calculated using the following method:</w:t>
      </w:r>
    </w:p>
    <w:p w:rsidR="007F7E7A" w:rsidRPr="007F7E7A" w:rsidRDefault="007F7E7A" w:rsidP="007F7E7A">
      <w:pPr>
        <w:pStyle w:val="ListContinue"/>
      </w:pPr>
      <w:r w:rsidRPr="007F7E7A">
        <w:t>The ABS CPI All Groups, Weighted Average of Eight Capital Cities for the December quarter in financial year t</w:t>
      </w:r>
      <w:r w:rsidR="001C099D">
        <w:t>–</w:t>
      </w:r>
      <w:r w:rsidR="00862B9D">
        <w:t>1</w:t>
      </w:r>
    </w:p>
    <w:p w:rsidR="007F7E7A" w:rsidRPr="007F7E7A" w:rsidRDefault="007F7E7A" w:rsidP="007F7E7A">
      <w:pPr>
        <w:pStyle w:val="ListContinue"/>
      </w:pPr>
      <w:r w:rsidRPr="007F7E7A">
        <w:t>divided by</w:t>
      </w:r>
    </w:p>
    <w:p w:rsidR="007F7E7A" w:rsidRPr="007F7E7A" w:rsidRDefault="007F7E7A" w:rsidP="007F7E7A">
      <w:pPr>
        <w:pStyle w:val="ListContinue"/>
      </w:pPr>
      <w:r w:rsidRPr="007F7E7A">
        <w:t>The ABS CPI All Groups, Weighted Average of Eight Capital Cities for the Decem</w:t>
      </w:r>
      <w:r w:rsidR="001C099D">
        <w:t>ber quarter in financial year t–</w:t>
      </w:r>
      <w:r w:rsidR="00862B9D">
        <w:t>2</w:t>
      </w:r>
    </w:p>
    <w:p w:rsidR="007F7E7A" w:rsidRPr="007F7E7A" w:rsidRDefault="007F7E7A" w:rsidP="007F7E7A">
      <w:pPr>
        <w:pStyle w:val="ListContinue"/>
      </w:pPr>
      <w:proofErr w:type="gramStart"/>
      <w:r w:rsidRPr="007F7E7A">
        <w:t>minus</w:t>
      </w:r>
      <w:proofErr w:type="gramEnd"/>
      <w:r w:rsidRPr="007F7E7A">
        <w:t xml:space="preserve"> one. </w:t>
      </w:r>
    </w:p>
    <w:p w:rsidR="007F7E7A" w:rsidRDefault="007F7E7A" w:rsidP="007F7E7A">
      <w:r w:rsidRPr="007F7E7A">
        <w:t>If the ABS does not, or ceases to, publish the index, then CPI will mean an index which the AER considers is the b</w:t>
      </w:r>
      <w:r w:rsidR="00862B9D">
        <w:t>est available alternative index</w:t>
      </w:r>
    </w:p>
    <w:p w:rsidR="00862B9D" w:rsidRPr="007F7E7A" w:rsidRDefault="00862B9D" w:rsidP="007F7E7A">
      <w:r w:rsidRPr="00862B9D">
        <w:rPr>
          <w:position w:val="-12"/>
        </w:rPr>
        <w:object w:dxaOrig="660" w:dyaOrig="380">
          <v:shape id="_x0000_i1072" type="#_x0000_t75" style="width:32.75pt;height:18.65pt" o:ole="">
            <v:imagedata r:id="rId105" o:title=""/>
          </v:shape>
          <o:OLEObject Type="Embed" ProgID="Equation.3" ShapeID="_x0000_i1072" DrawAspect="Content" ObjectID="_1525270042" r:id="rId106"/>
        </w:object>
      </w:r>
      <w:proofErr w:type="gramStart"/>
      <w:r>
        <w:t>is</w:t>
      </w:r>
      <w:proofErr w:type="gramEnd"/>
      <w:r>
        <w:t xml:space="preserve"> the value of </w:t>
      </w:r>
      <w:r w:rsidRPr="00862B9D">
        <w:rPr>
          <w:position w:val="-12"/>
        </w:rPr>
        <w:object w:dxaOrig="560" w:dyaOrig="380">
          <v:shape id="_x0000_i1073" type="#_x0000_t75" style="width:27.7pt;height:18.65pt" o:ole="">
            <v:imagedata r:id="rId107" o:title=""/>
          </v:shape>
          <o:OLEObject Type="Embed" ProgID="Equation.3" ShapeID="_x0000_i1073" DrawAspect="Content" ObjectID="_1525270043" r:id="rId108"/>
        </w:object>
      </w:r>
      <w:r>
        <w:t>determined in financial year t–1</w:t>
      </w:r>
    </w:p>
    <w:p w:rsidR="007F7E7A" w:rsidRDefault="007F7E7A" w:rsidP="007F7E7A">
      <w:r w:rsidRPr="007F7E7A">
        <w:rPr>
          <w:position w:val="-12"/>
        </w:rPr>
        <w:object w:dxaOrig="1180" w:dyaOrig="360">
          <v:shape id="_x0000_i1074" type="#_x0000_t75" style="width:59.9pt;height:19.65pt" o:ole="">
            <v:imagedata r:id="rId109" o:title=""/>
          </v:shape>
          <o:OLEObject Type="Embed" ProgID="Equation.3" ShapeID="_x0000_i1074" DrawAspect="Content" ObjectID="_1525270044" r:id="rId110"/>
        </w:object>
      </w:r>
      <w:r w:rsidRPr="007F7E7A">
        <w:t xml:space="preserve"> </w:t>
      </w:r>
      <w:proofErr w:type="gramStart"/>
      <w:r w:rsidRPr="007F7E7A">
        <w:t>is</w:t>
      </w:r>
      <w:proofErr w:type="gramEnd"/>
      <w:r w:rsidR="007E6E8C">
        <w:t xml:space="preserve"> the real</w:t>
      </w:r>
      <w:r w:rsidR="000A67D6">
        <w:t xml:space="preserve"> vanilla</w:t>
      </w:r>
      <w:r w:rsidR="007E6E8C">
        <w:t xml:space="preserve"> weighted average cost of capital</w:t>
      </w:r>
      <w:r w:rsidRPr="007F7E7A">
        <w:t xml:space="preserve"> as </w:t>
      </w:r>
      <w:r w:rsidR="007E6E8C">
        <w:t>set out in this final</w:t>
      </w:r>
      <w:r w:rsidRPr="007F7E7A">
        <w:t xml:space="preserve"> decision and u</w:t>
      </w:r>
      <w:r w:rsidR="00862B9D">
        <w:t>pdated annually within the PTRM</w:t>
      </w:r>
    </w:p>
    <w:p w:rsidR="00115655" w:rsidRPr="007F7E7A" w:rsidRDefault="00115655" w:rsidP="007F7E7A">
      <w:r w:rsidRPr="00115655">
        <w:rPr>
          <w:position w:val="-12"/>
        </w:rPr>
        <w:object w:dxaOrig="1320" w:dyaOrig="360">
          <v:shape id="_x0000_i1075" type="#_x0000_t75" style="width:65.95pt;height:19.65pt" o:ole="">
            <v:imagedata r:id="rId111" o:title=""/>
          </v:shape>
          <o:OLEObject Type="Embed" ProgID="Equation.3" ShapeID="_x0000_i1075" DrawAspect="Content" ObjectID="_1525270045" r:id="rId112"/>
        </w:object>
      </w:r>
      <w:r w:rsidRPr="00115655">
        <w:t xml:space="preserve"> </w:t>
      </w:r>
      <w:proofErr w:type="gramStart"/>
      <w:r w:rsidRPr="00115655">
        <w:t>is</w:t>
      </w:r>
      <w:proofErr w:type="gramEnd"/>
      <w:r w:rsidRPr="00115655">
        <w:t xml:space="preserve"> the real </w:t>
      </w:r>
      <w:r w:rsidR="000A67D6">
        <w:t xml:space="preserve">vanilla </w:t>
      </w:r>
      <w:r w:rsidRPr="00115655">
        <w:t>weighted average cost of capital</w:t>
      </w:r>
      <w:r>
        <w:t xml:space="preserve"> as determined in financial year t–1</w:t>
      </w:r>
    </w:p>
    <w:p w:rsidR="007F7E7A" w:rsidRDefault="007F7E7A" w:rsidP="007F7E7A">
      <w:r w:rsidRPr="007F7E7A">
        <w:rPr>
          <w:position w:val="-12"/>
        </w:rPr>
        <w:object w:dxaOrig="360" w:dyaOrig="380">
          <v:shape id="_x0000_i1076" type="#_x0000_t75" style="width:19.65pt;height:18.65pt" o:ole="">
            <v:imagedata r:id="rId113" o:title=""/>
          </v:shape>
          <o:OLEObject Type="Embed" ProgID="Equation.3" ShapeID="_x0000_i1076" DrawAspect="Content" ObjectID="_1525270046" r:id="rId114"/>
        </w:object>
      </w:r>
      <w:r w:rsidRPr="007F7E7A">
        <w:tab/>
      </w:r>
      <w:proofErr w:type="gramStart"/>
      <w:r w:rsidRPr="007F7E7A">
        <w:t>is</w:t>
      </w:r>
      <w:proofErr w:type="gramEnd"/>
      <w:r w:rsidRPr="007F7E7A">
        <w:t xml:space="preserve"> the X factor for each financial year of the 2016–21 access arrangement period as determined in the PTRM as approved in the AER's final decision, and annually revised for the return on debt update calculated for the relevant financial year during the access arrangement period in accordance with that approved in the AER's final decision</w:t>
      </w:r>
    </w:p>
    <w:p w:rsidR="00DB1187" w:rsidRDefault="00DB1187" w:rsidP="00DB1187">
      <w:r w:rsidRPr="00DB1187">
        <w:object w:dxaOrig="200" w:dyaOrig="220">
          <v:shape id="_x0000_i1077" type="#_x0000_t75" style="width:9.55pt;height:10.05pt" o:ole="">
            <v:imagedata r:id="rId62" o:title=""/>
          </v:shape>
          <o:OLEObject Type="Embed" ProgID="Equation.3" ShapeID="_x0000_i1077" DrawAspect="Content" ObjectID="_1525270047" r:id="rId115"/>
        </w:object>
      </w:r>
      <w:r>
        <w:tab/>
      </w:r>
      <w:r>
        <w:tab/>
      </w:r>
      <w:proofErr w:type="gramStart"/>
      <w:r>
        <w:t>is</w:t>
      </w:r>
      <w:proofErr w:type="gramEnd"/>
      <w:r>
        <w:t xml:space="preserve"> the number of different reference tariffs in each tariff class</w:t>
      </w:r>
    </w:p>
    <w:p w:rsidR="00DB1187" w:rsidRDefault="00DB1187" w:rsidP="00DB1187">
      <w:r w:rsidRPr="00DB1187">
        <w:object w:dxaOrig="260" w:dyaOrig="220">
          <v:shape id="_x0000_i1078" type="#_x0000_t75" style="width:11.6pt;height:10.05pt" o:ole="">
            <v:imagedata r:id="rId64" o:title=""/>
          </v:shape>
          <o:OLEObject Type="Embed" ProgID="Equation.3" ShapeID="_x0000_i1078" DrawAspect="Content" ObjectID="_1525270048" r:id="rId116"/>
        </w:object>
      </w:r>
      <w:r>
        <w:tab/>
      </w:r>
      <w:r>
        <w:tab/>
      </w:r>
      <w:proofErr w:type="gramStart"/>
      <w:r>
        <w:t>is</w:t>
      </w:r>
      <w:proofErr w:type="gramEnd"/>
      <w:r>
        <w:t xml:space="preserve"> the different components, elements or variables ("components") comprised within a reference tariff</w:t>
      </w:r>
    </w:p>
    <w:p w:rsidR="007F7E7A" w:rsidRPr="007F7E7A" w:rsidRDefault="007F7E7A" w:rsidP="007F7E7A">
      <w:r w:rsidRPr="007F7E7A">
        <w:rPr>
          <w:position w:val="-12"/>
        </w:rPr>
        <w:object w:dxaOrig="420" w:dyaOrig="380">
          <v:shape id="_x0000_i1079" type="#_x0000_t75" style="width:22.15pt;height:18.65pt" o:ole="">
            <v:imagedata r:id="rId117" o:title=""/>
          </v:shape>
          <o:OLEObject Type="Embed" ProgID="Equation.3" ShapeID="_x0000_i1079" DrawAspect="Content" ObjectID="_1525270049" r:id="rId118"/>
        </w:object>
      </w:r>
      <w:r w:rsidRPr="007F7E7A">
        <w:tab/>
      </w:r>
      <w:proofErr w:type="gramStart"/>
      <w:r w:rsidRPr="007F7E7A">
        <w:t>is</w:t>
      </w:r>
      <w:proofErr w:type="gramEnd"/>
      <w:r w:rsidRPr="007F7E7A">
        <w:t xml:space="preserve"> the prevailing component </w:t>
      </w:r>
      <w:r w:rsidR="00DF0116" w:rsidRPr="00DF0116">
        <w:rPr>
          <w:position w:val="-10"/>
        </w:rPr>
        <w:object w:dxaOrig="200" w:dyaOrig="300">
          <v:shape id="_x0000_i1080" type="#_x0000_t75" style="width:9.55pt;height:12.6pt" o:ole="">
            <v:imagedata r:id="rId119" o:title=""/>
          </v:shape>
          <o:OLEObject Type="Embed" ProgID="Equation.3" ShapeID="_x0000_i1080" DrawAspect="Content" ObjectID="_1525270050" r:id="rId120"/>
        </w:object>
      </w:r>
      <w:r w:rsidRPr="007F7E7A">
        <w:t xml:space="preserve"> of reference tariff </w:t>
      </w:r>
      <w:r w:rsidR="00DF0116" w:rsidRPr="00DF0116">
        <w:rPr>
          <w:position w:val="-6"/>
        </w:rPr>
        <w:object w:dxaOrig="139" w:dyaOrig="260">
          <v:shape id="_x0000_i1081" type="#_x0000_t75" style="width:5.55pt;height:12.1pt" o:ole="">
            <v:imagedata r:id="rId121" o:title=""/>
          </v:shape>
          <o:OLEObject Type="Embed" ProgID="Equation.3" ShapeID="_x0000_i1081" DrawAspect="Content" ObjectID="_1525270051" r:id="rId122"/>
        </w:object>
      </w:r>
      <w:r w:rsidR="00320E6A">
        <w:t xml:space="preserve"> in year t–</w:t>
      </w:r>
      <w:r w:rsidRPr="007F7E7A">
        <w:t>1</w:t>
      </w:r>
    </w:p>
    <w:p w:rsidR="007F7E7A" w:rsidRPr="007F7E7A" w:rsidRDefault="007F7E7A" w:rsidP="007F7E7A">
      <w:r w:rsidRPr="007F7E7A">
        <w:rPr>
          <w:position w:val="-12"/>
        </w:rPr>
        <w:object w:dxaOrig="400" w:dyaOrig="380">
          <v:shape id="_x0000_i1082" type="#_x0000_t75" style="width:22.15pt;height:18.65pt" o:ole="">
            <v:imagedata r:id="rId123" o:title=""/>
          </v:shape>
          <o:OLEObject Type="Embed" ProgID="Equation.3" ShapeID="_x0000_i1082" DrawAspect="Content" ObjectID="_1525270052" r:id="rId124"/>
        </w:object>
      </w:r>
      <w:r w:rsidRPr="007F7E7A">
        <w:tab/>
      </w:r>
      <w:proofErr w:type="gramStart"/>
      <w:r w:rsidRPr="007F7E7A">
        <w:t>is</w:t>
      </w:r>
      <w:proofErr w:type="gramEnd"/>
      <w:r w:rsidRPr="007F7E7A">
        <w:t xml:space="preserve"> the audited quantity of component </w:t>
      </w:r>
      <w:r w:rsidR="00DF0116" w:rsidRPr="00DF0116">
        <w:rPr>
          <w:position w:val="-10"/>
        </w:rPr>
        <w:object w:dxaOrig="200" w:dyaOrig="300">
          <v:shape id="_x0000_i1083" type="#_x0000_t75" style="width:9.55pt;height:12.6pt" o:ole="">
            <v:imagedata r:id="rId125" o:title=""/>
          </v:shape>
          <o:OLEObject Type="Embed" ProgID="Equation.3" ShapeID="_x0000_i1083" DrawAspect="Content" ObjectID="_1525270053" r:id="rId126"/>
        </w:object>
      </w:r>
      <w:r w:rsidRPr="007F7E7A">
        <w:t xml:space="preserve"> of reference tariff </w:t>
      </w:r>
      <w:r w:rsidR="00DF0116" w:rsidRPr="00DF0116">
        <w:rPr>
          <w:position w:val="-6"/>
        </w:rPr>
        <w:object w:dxaOrig="139" w:dyaOrig="260">
          <v:shape id="_x0000_i1084" type="#_x0000_t75" style="width:5.55pt;height:12.1pt" o:ole="">
            <v:imagedata r:id="rId127" o:title=""/>
          </v:shape>
          <o:OLEObject Type="Embed" ProgID="Equation.3" ShapeID="_x0000_i1084" DrawAspect="Content" ObjectID="_1525270054" r:id="rId128"/>
        </w:object>
      </w:r>
      <w:r w:rsidR="00320E6A">
        <w:t xml:space="preserve"> that was sold in year t–</w:t>
      </w:r>
      <w:r w:rsidRPr="007F7E7A">
        <w:t>2 (expressed in the units in which that component is expressed (e.g. GJ)).</w:t>
      </w:r>
    </w:p>
    <w:p w:rsidR="00A2087A" w:rsidRDefault="00A2087A" w:rsidP="00A2087A">
      <w:pPr>
        <w:pStyle w:val="HeadingBoldBlue"/>
      </w:pPr>
      <w:r>
        <w:t>Pass through factor formula</w:t>
      </w:r>
    </w:p>
    <w:p w:rsidR="009F5EBE" w:rsidRDefault="00400523" w:rsidP="00A2087A">
      <w:r>
        <w:t>T</w:t>
      </w:r>
      <w:r w:rsidR="005F58FD" w:rsidRPr="005F58FD">
        <w:t xml:space="preserve">he haulage reference tariff variation mechanism formula </w:t>
      </w:r>
      <w:r>
        <w:t>includes</w:t>
      </w:r>
      <w:r w:rsidRPr="005F58FD">
        <w:t xml:space="preserve"> </w:t>
      </w:r>
      <w:r w:rsidR="005F58FD" w:rsidRPr="005F58FD">
        <w:t>a pass through factor</w:t>
      </w:r>
      <w:r w:rsidRPr="00400523">
        <w:t xml:space="preserve"> </w:t>
      </w:r>
      <w:r w:rsidRPr="005F58FD">
        <w:t>to accommodate reference tariff adjustments on account of approved cost pass through events</w:t>
      </w:r>
      <w:r>
        <w:t xml:space="preserve">. </w:t>
      </w:r>
      <w:proofErr w:type="gramStart"/>
      <w:r>
        <w:t>This approach enables a simple and transparent method for cost recovery and pass</w:t>
      </w:r>
      <w:proofErr w:type="gramEnd"/>
      <w:r w:rsidRPr="005F58FD">
        <w:t xml:space="preserve"> through to customers. </w:t>
      </w:r>
    </w:p>
    <w:p w:rsidR="00532A9E" w:rsidRDefault="00532A9E" w:rsidP="00A2087A">
      <w:r>
        <w:t>We note o</w:t>
      </w:r>
      <w:r w:rsidR="009F5EBE">
        <w:t>ur draft decision contained an error in the definition</w:t>
      </w:r>
      <w:r>
        <w:t>s of pass through factor formula terms. Our draft decision incorrectly stated that:</w:t>
      </w:r>
    </w:p>
    <w:p w:rsidR="00532A9E" w:rsidRDefault="00532A9E" w:rsidP="00532A9E">
      <w:pPr>
        <w:rPr>
          <w:rStyle w:val="AERbody"/>
        </w:rPr>
      </w:pPr>
      <w:r w:rsidRPr="00532A9E">
        <w:rPr>
          <w:rStyle w:val="AERbody"/>
        </w:rPr>
        <w:object w:dxaOrig="400" w:dyaOrig="360">
          <v:shape id="_x0000_i1085" type="#_x0000_t75" style="width:20.15pt;height:19.65pt" o:ole="">
            <v:imagedata r:id="rId129" o:title=""/>
          </v:shape>
          <o:OLEObject Type="Embed" ProgID="Equation.3" ShapeID="_x0000_i1085" DrawAspect="Content" ObjectID="_1525270055" r:id="rId130"/>
        </w:object>
      </w:r>
      <w:r>
        <w:rPr>
          <w:rStyle w:val="AERbody"/>
        </w:rPr>
        <w:tab/>
      </w:r>
      <w:proofErr w:type="gramStart"/>
      <w:r>
        <w:rPr>
          <w:rStyle w:val="AERbody"/>
        </w:rPr>
        <w:t>is</w:t>
      </w:r>
      <w:proofErr w:type="gramEnd"/>
      <w:r>
        <w:rPr>
          <w:rStyle w:val="AERbody"/>
        </w:rPr>
        <w:t>:</w:t>
      </w:r>
    </w:p>
    <w:p w:rsidR="00532A9E" w:rsidRPr="00532A9E" w:rsidRDefault="00532A9E" w:rsidP="00532A9E">
      <w:pPr>
        <w:pStyle w:val="ListBullet2"/>
        <w:numPr>
          <w:ilvl w:val="0"/>
          <w:numId w:val="33"/>
        </w:numPr>
      </w:pPr>
      <w:r>
        <w:t xml:space="preserve">zero </w:t>
      </w:r>
      <w:r w:rsidR="0011671A">
        <w:t>when financial year t–</w:t>
      </w:r>
      <w:r w:rsidRPr="00532A9E">
        <w:t>1 refers to financial year 2016–17</w:t>
      </w:r>
    </w:p>
    <w:p w:rsidR="00532A9E" w:rsidRDefault="00532A9E" w:rsidP="00532A9E">
      <w:pPr>
        <w:pStyle w:val="ListBullet2"/>
        <w:rPr>
          <w:rStyle w:val="AERbody"/>
        </w:rPr>
      </w:pPr>
      <w:proofErr w:type="gramStart"/>
      <w:r>
        <w:t>the</w:t>
      </w:r>
      <w:proofErr w:type="gramEnd"/>
      <w:r>
        <w:t xml:space="preserve"> value of </w:t>
      </w:r>
      <w:r w:rsidRPr="00532A9E">
        <w:rPr>
          <w:position w:val="-12"/>
        </w:rPr>
        <w:object w:dxaOrig="499" w:dyaOrig="360">
          <v:shape id="_x0000_i1086" type="#_x0000_t75" style="width:25.7pt;height:19.65pt" o:ole="">
            <v:imagedata r:id="rId131" o:title=""/>
          </v:shape>
          <o:OLEObject Type="Embed" ProgID="Equation.3" ShapeID="_x0000_i1086" DrawAspect="Content" ObjectID="_1525270056" r:id="rId132"/>
        </w:object>
      </w:r>
      <w:r>
        <w:rPr>
          <w:rStyle w:val="AERbody"/>
        </w:rPr>
        <w:t xml:space="preserve"> determined in the financial year t-1 for all other financial years in the access arrangement period.</w:t>
      </w:r>
      <w:r>
        <w:rPr>
          <w:rStyle w:val="FootnoteReference"/>
        </w:rPr>
        <w:footnoteReference w:id="75"/>
      </w:r>
    </w:p>
    <w:p w:rsidR="0011671A" w:rsidRDefault="0011671A" w:rsidP="00A2087A">
      <w:r>
        <w:t xml:space="preserve">We note this is the definition of </w:t>
      </w:r>
      <w:r w:rsidRPr="0011671A">
        <w:rPr>
          <w:position w:val="-12"/>
        </w:rPr>
        <w:object w:dxaOrig="540" w:dyaOrig="380">
          <v:shape id="_x0000_i1087" type="#_x0000_t75" style="width:27.7pt;height:20.15pt" o:ole="">
            <v:imagedata r:id="rId133" o:title=""/>
          </v:shape>
          <o:OLEObject Type="Embed" ProgID="Equation.3" ShapeID="_x0000_i1087" DrawAspect="Content" ObjectID="_1525270057" r:id="rId134"/>
        </w:object>
      </w:r>
      <w:r>
        <w:t xml:space="preserve"> and not </w:t>
      </w:r>
      <w:r w:rsidRPr="0011671A">
        <w:rPr>
          <w:position w:val="-12"/>
        </w:rPr>
        <w:object w:dxaOrig="400" w:dyaOrig="360">
          <v:shape id="_x0000_i1088" type="#_x0000_t75" style="width:20.15pt;height:19.65pt" o:ole="">
            <v:imagedata r:id="rId135" o:title=""/>
          </v:shape>
          <o:OLEObject Type="Embed" ProgID="Equation.3" ShapeID="_x0000_i1088" DrawAspect="Content" ObjectID="_1525270058" r:id="rId136"/>
        </w:object>
      </w:r>
      <w:r>
        <w:t xml:space="preserve"> as stated in our draft decision. Our final decision has corrected for this error.</w:t>
      </w:r>
    </w:p>
    <w:p w:rsidR="00DF0116" w:rsidRDefault="00400523" w:rsidP="00A2087A">
      <w:r w:rsidRPr="005F58FD">
        <w:t>The</w:t>
      </w:r>
      <w:r w:rsidR="001C099D">
        <w:t xml:space="preserve"> final decision</w:t>
      </w:r>
      <w:r w:rsidR="005F58FD" w:rsidRPr="005F58FD">
        <w:t xml:space="preserve"> pass through adjustment factor formula is set out in </w:t>
      </w:r>
      <w:r w:rsidR="005F58FD">
        <w:fldChar w:fldCharType="begin"/>
      </w:r>
      <w:r w:rsidR="005F58FD">
        <w:instrText xml:space="preserve"> REF  _Ref443924516 \* Lower \h </w:instrText>
      </w:r>
      <w:r w:rsidR="005F58FD">
        <w:fldChar w:fldCharType="separate"/>
      </w:r>
      <w:r w:rsidR="00AD3CCA">
        <w:t xml:space="preserve">figure </w:t>
      </w:r>
      <w:r w:rsidR="00AD3CCA">
        <w:rPr>
          <w:noProof/>
        </w:rPr>
        <w:t>11</w:t>
      </w:r>
      <w:r w:rsidR="00AD3CCA">
        <w:t>.</w:t>
      </w:r>
      <w:r w:rsidR="00AD3CCA">
        <w:rPr>
          <w:noProof/>
        </w:rPr>
        <w:t>6</w:t>
      </w:r>
      <w:r w:rsidR="005F58FD">
        <w:fldChar w:fldCharType="end"/>
      </w:r>
      <w:r w:rsidR="005F58FD" w:rsidRPr="005F58FD">
        <w:t>.</w:t>
      </w:r>
    </w:p>
    <w:p w:rsidR="00DF0116" w:rsidRDefault="00DF0116" w:rsidP="00DF0116">
      <w:pPr>
        <w:pStyle w:val="Caption"/>
      </w:pPr>
      <w:bookmarkStart w:id="42" w:name="_Ref443924516"/>
      <w:proofErr w:type="gramStart"/>
      <w:r>
        <w:t xml:space="preserve">Figure </w:t>
      </w:r>
      <w:proofErr w:type="gramEnd"/>
      <w:r w:rsidR="009A676B">
        <w:fldChar w:fldCharType="begin"/>
      </w:r>
      <w:r w:rsidR="009A676B">
        <w:instrText xml:space="preserve"> STYLEREF 1 \s </w:instrText>
      </w:r>
      <w:r w:rsidR="009A676B">
        <w:fldChar w:fldCharType="separate"/>
      </w:r>
      <w:r w:rsidR="00AD3CCA">
        <w:rPr>
          <w:noProof/>
        </w:rPr>
        <w:t>11</w:t>
      </w:r>
      <w:r w:rsidR="009A676B">
        <w:rPr>
          <w:noProof/>
        </w:rPr>
        <w:fldChar w:fldCharType="end"/>
      </w:r>
      <w:proofErr w:type="gramStart"/>
      <w:r w:rsidR="008C40B1">
        <w:t>.</w:t>
      </w:r>
      <w:proofErr w:type="gramEnd"/>
      <w:r w:rsidR="00271C4A">
        <w:fldChar w:fldCharType="begin"/>
      </w:r>
      <w:r w:rsidR="00271C4A">
        <w:instrText xml:space="preserve"> SEQ Figure \* ARABIC \s 1 </w:instrText>
      </w:r>
      <w:r w:rsidR="00271C4A">
        <w:fldChar w:fldCharType="separate"/>
      </w:r>
      <w:r w:rsidR="00AD3CCA">
        <w:rPr>
          <w:noProof/>
        </w:rPr>
        <w:t>6</w:t>
      </w:r>
      <w:r w:rsidR="00271C4A">
        <w:rPr>
          <w:noProof/>
        </w:rPr>
        <w:fldChar w:fldCharType="end"/>
      </w:r>
      <w:bookmarkEnd w:id="42"/>
      <w:r>
        <w:t xml:space="preserve"> Pass through adjustment factor formula</w:t>
      </w:r>
    </w:p>
    <w:p w:rsidR="00DF0116" w:rsidRPr="00DF0116" w:rsidRDefault="00DF0116" w:rsidP="00DF0116">
      <w:r w:rsidRPr="00DF0116">
        <w:rPr>
          <w:position w:val="-30"/>
        </w:rPr>
        <w:object w:dxaOrig="2120" w:dyaOrig="700">
          <v:shape id="_x0000_i1089" type="#_x0000_t75" style="width:106.25pt;height:36.25pt" o:ole="">
            <v:imagedata r:id="rId137" o:title=""/>
          </v:shape>
          <o:OLEObject Type="Embed" ProgID="Equation.3" ShapeID="_x0000_i1089" DrawAspect="Content" ObjectID="_1525270059" r:id="rId138"/>
        </w:object>
      </w:r>
    </w:p>
    <w:p w:rsidR="00DF0116" w:rsidRPr="00DF0116" w:rsidRDefault="00DF0116" w:rsidP="00DF0116">
      <w:proofErr w:type="gramStart"/>
      <w:r w:rsidRPr="00DF0116">
        <w:t>where</w:t>
      </w:r>
      <w:proofErr w:type="gramEnd"/>
      <w:r w:rsidRPr="00DF0116">
        <w:t>:</w:t>
      </w:r>
    </w:p>
    <w:p w:rsidR="00DF0116" w:rsidRPr="00DF0116" w:rsidRDefault="00623BC2" w:rsidP="00DF0116">
      <w:r w:rsidRPr="00A636EE">
        <w:rPr>
          <w:position w:val="-12"/>
        </w:rPr>
        <w:object w:dxaOrig="620" w:dyaOrig="360">
          <v:shape id="_x0000_i1090" type="#_x0000_t75" style="width:32.75pt;height:19.65pt" o:ole="">
            <v:imagedata r:id="rId139" o:title=""/>
          </v:shape>
          <o:OLEObject Type="Embed" ProgID="Equation.3" ShapeID="_x0000_i1090" DrawAspect="Content" ObjectID="_1525270060" r:id="rId140"/>
        </w:object>
      </w:r>
      <w:r w:rsidR="00DF0116" w:rsidRPr="00DF0116">
        <w:tab/>
      </w:r>
      <w:proofErr w:type="gramStart"/>
      <w:r w:rsidR="00DF0116" w:rsidRPr="00DF0116">
        <w:t>is</w:t>
      </w:r>
      <w:proofErr w:type="gramEnd"/>
      <w:r w:rsidR="00DF0116" w:rsidRPr="00DF0116">
        <w:t>:</w:t>
      </w:r>
    </w:p>
    <w:p w:rsidR="00DF0116" w:rsidRPr="00DF0116" w:rsidRDefault="00DF0116" w:rsidP="00DF0116">
      <w:pPr>
        <w:pStyle w:val="ListBullet2"/>
        <w:numPr>
          <w:ilvl w:val="0"/>
          <w:numId w:val="31"/>
        </w:numPr>
      </w:pPr>
      <w:r w:rsidRPr="00DF0116">
        <w:t>zero when financial year t</w:t>
      </w:r>
      <w:r w:rsidR="001C099D">
        <w:t>–</w:t>
      </w:r>
      <w:r w:rsidRPr="00DF0116">
        <w:t>1 refers to financial year 2016–17</w:t>
      </w:r>
    </w:p>
    <w:p w:rsidR="00DF0116" w:rsidRPr="00DF0116" w:rsidRDefault="00DF0116" w:rsidP="00DF0116">
      <w:pPr>
        <w:pStyle w:val="ListBullet2"/>
      </w:pPr>
      <w:r w:rsidRPr="00DF0116">
        <w:t xml:space="preserve">the value of </w:t>
      </w:r>
      <w:r w:rsidRPr="00DF0116">
        <w:rPr>
          <w:position w:val="-12"/>
        </w:rPr>
        <w:object w:dxaOrig="499" w:dyaOrig="360">
          <v:shape id="_x0000_i1091" type="#_x0000_t75" style="width:25.7pt;height:19.65pt" o:ole="">
            <v:imagedata r:id="rId141" o:title=""/>
          </v:shape>
          <o:OLEObject Type="Embed" ProgID="Equation.3" ShapeID="_x0000_i1091" DrawAspect="Content" ObjectID="_1525270061" r:id="rId142"/>
        </w:object>
      </w:r>
      <w:r w:rsidRPr="00DF0116">
        <w:t xml:space="preserve"> determined in the finan</w:t>
      </w:r>
      <w:r w:rsidR="001C099D">
        <w:t>cial year t–</w:t>
      </w:r>
      <w:r w:rsidRPr="00DF0116">
        <w:t>1 for all other financial years in the access arrangement period</w:t>
      </w:r>
    </w:p>
    <w:p w:rsidR="00DF0116" w:rsidRPr="00DF0116" w:rsidRDefault="00DF0116" w:rsidP="00DF0116">
      <w:proofErr w:type="gramStart"/>
      <w:r w:rsidRPr="00DF0116">
        <w:t>and</w:t>
      </w:r>
      <w:proofErr w:type="gramEnd"/>
    </w:p>
    <w:p w:rsidR="00DF0116" w:rsidRPr="00DF0116" w:rsidRDefault="00DF0116" w:rsidP="00DF0116">
      <w:r w:rsidRPr="00DF0116">
        <w:rPr>
          <w:position w:val="-64"/>
        </w:rPr>
        <w:object w:dxaOrig="4580" w:dyaOrig="1040">
          <v:shape id="_x0000_i1092" type="#_x0000_t75" style="width:229.6pt;height:52.35pt" o:ole="">
            <v:imagedata r:id="rId143" o:title=""/>
          </v:shape>
          <o:OLEObject Type="Embed" ProgID="Equation.3" ShapeID="_x0000_i1092" DrawAspect="Content" ObjectID="_1525270062" r:id="rId144"/>
        </w:object>
      </w:r>
    </w:p>
    <w:p w:rsidR="00DF0116" w:rsidRPr="00DF0116" w:rsidRDefault="00DF0116" w:rsidP="00DF0116">
      <w:proofErr w:type="gramStart"/>
      <w:r w:rsidRPr="00DF0116">
        <w:t>where</w:t>
      </w:r>
      <w:proofErr w:type="gramEnd"/>
    </w:p>
    <w:p w:rsidR="00DB1187" w:rsidRDefault="00DB1187" w:rsidP="00DB1187">
      <w:r w:rsidRPr="00DB1187">
        <w:object w:dxaOrig="139" w:dyaOrig="240">
          <v:shape id="_x0000_i1093" type="#_x0000_t75" style="width:5.55pt;height:11.6pt" o:ole="">
            <v:imagedata r:id="rId145" o:title=""/>
          </v:shape>
          <o:OLEObject Type="Embed" ProgID="Equation.3" ShapeID="_x0000_i1093" DrawAspect="Content" ObjectID="_1525270063" r:id="rId146"/>
        </w:object>
      </w:r>
      <w:r w:rsidRPr="00DF0116">
        <w:tab/>
      </w:r>
      <w:r w:rsidRPr="00DF0116">
        <w:tab/>
      </w:r>
      <w:proofErr w:type="gramStart"/>
      <w:r w:rsidRPr="00DF0116">
        <w:t>is</w:t>
      </w:r>
      <w:proofErr w:type="gramEnd"/>
      <w:r w:rsidRPr="00DF0116">
        <w:t xml:space="preserve"> the financial year for which tariffs are being set.</w:t>
      </w:r>
    </w:p>
    <w:p w:rsidR="00DF0116" w:rsidRPr="00DF0116" w:rsidRDefault="00DF0116" w:rsidP="00DF0116">
      <w:r w:rsidRPr="00DF0116">
        <w:rPr>
          <w:position w:val="-12"/>
        </w:rPr>
        <w:object w:dxaOrig="400" w:dyaOrig="360">
          <v:shape id="_x0000_i1094" type="#_x0000_t75" style="width:20.15pt;height:19.65pt" o:ole="">
            <v:imagedata r:id="rId147" o:title=""/>
          </v:shape>
          <o:OLEObject Type="Embed" ProgID="Equation.3" ShapeID="_x0000_i1094" DrawAspect="Content" ObjectID="_1525270064" r:id="rId148"/>
        </w:object>
      </w:r>
      <w:r w:rsidRPr="00DF0116">
        <w:tab/>
      </w:r>
      <w:proofErr w:type="gramStart"/>
      <w:r w:rsidRPr="00DF0116">
        <w:t>is</w:t>
      </w:r>
      <w:proofErr w:type="gramEnd"/>
      <w:r w:rsidRPr="00DF0116">
        <w:t>:</w:t>
      </w:r>
    </w:p>
    <w:p w:rsidR="00DF0116" w:rsidRPr="00DF0116" w:rsidRDefault="00DF0116" w:rsidP="00F65623">
      <w:pPr>
        <w:pStyle w:val="ListBullet2"/>
        <w:numPr>
          <w:ilvl w:val="0"/>
          <w:numId w:val="32"/>
        </w:numPr>
      </w:pPr>
      <w:r w:rsidRPr="00DF0116">
        <w:t>any determined pass through amount that the AER approves in whole or part in financial year t; and/or</w:t>
      </w:r>
    </w:p>
    <w:p w:rsidR="00DF0116" w:rsidRPr="00DF0116" w:rsidRDefault="00DF0116" w:rsidP="00F65623">
      <w:pPr>
        <w:pStyle w:val="ListBullet2"/>
      </w:pPr>
      <w:r w:rsidRPr="00DF0116">
        <w:t>any pass through amounts arising from pass through events (as that term is defined in the access arrangement applying to AGN in the immediately prior access arrangement period) occurring in the 2011–16 access arrangement period that AGN proposed to pass through in whole or in part in financial year t,</w:t>
      </w:r>
    </w:p>
    <w:p w:rsidR="00DF0116" w:rsidRPr="00DF0116" w:rsidRDefault="00DF0116" w:rsidP="00DF0116">
      <w:proofErr w:type="gramStart"/>
      <w:r w:rsidRPr="00DF0116">
        <w:t>that</w:t>
      </w:r>
      <w:proofErr w:type="gramEnd"/>
      <w:r w:rsidRPr="00DF0116">
        <w:t xml:space="preserve"> includes an amount to reflect the time vale of money between incurring the costs and recovering the costs, and excludes any amounts already passed through in reference tariffs.</w:t>
      </w:r>
    </w:p>
    <w:p w:rsidR="00DF0116" w:rsidRPr="00DF0116" w:rsidRDefault="00F65623" w:rsidP="00DF0116">
      <w:r w:rsidRPr="00F65623">
        <w:rPr>
          <w:position w:val="-12"/>
        </w:rPr>
        <w:object w:dxaOrig="560" w:dyaOrig="380">
          <v:shape id="_x0000_i1095" type="#_x0000_t75" style="width:27.7pt;height:18.65pt" o:ole="">
            <v:imagedata r:id="rId149" o:title=""/>
          </v:shape>
          <o:OLEObject Type="Embed" ProgID="Equation.3" ShapeID="_x0000_i1095" DrawAspect="Content" ObjectID="_1525270065" r:id="rId150"/>
        </w:object>
      </w:r>
      <w:r w:rsidR="00DF0116" w:rsidRPr="00DF0116">
        <w:tab/>
      </w:r>
      <w:proofErr w:type="gramStart"/>
      <w:r w:rsidR="00DF0116" w:rsidRPr="00DF0116">
        <w:t>is</w:t>
      </w:r>
      <w:proofErr w:type="gramEnd"/>
      <w:r w:rsidR="00DF0116" w:rsidRPr="00DF0116">
        <w:t xml:space="preserve"> the annual percentage change in the ABS CPI All Groups, Weighted Average of Eight Capital Cities from</w:t>
      </w:r>
      <w:r w:rsidR="001C099D">
        <w:t xml:space="preserve"> the December quarter in year t–</w:t>
      </w:r>
      <w:r w:rsidR="00DF0116" w:rsidRPr="00DF0116">
        <w:t>2 to</w:t>
      </w:r>
      <w:r w:rsidR="001C099D">
        <w:t xml:space="preserve"> the December quarter in year t–</w:t>
      </w:r>
      <w:r w:rsidR="00DF0116" w:rsidRPr="00DF0116">
        <w:t>1, calculated using the following method:</w:t>
      </w:r>
    </w:p>
    <w:p w:rsidR="00DF0116" w:rsidRPr="00DF0116" w:rsidRDefault="00DF0116" w:rsidP="00F65623">
      <w:pPr>
        <w:pStyle w:val="ListContinue"/>
      </w:pPr>
      <w:r w:rsidRPr="00DF0116">
        <w:t>The ABS CPI All Groups, Weighted Average of Eight Capital Cities for the Decem</w:t>
      </w:r>
      <w:r w:rsidR="00320E6A">
        <w:t>ber quarter in financial year t–</w:t>
      </w:r>
      <w:r w:rsidRPr="00DF0116">
        <w:t>1</w:t>
      </w:r>
    </w:p>
    <w:p w:rsidR="00DF0116" w:rsidRPr="00DF0116" w:rsidRDefault="00DF0116" w:rsidP="00F65623">
      <w:pPr>
        <w:pStyle w:val="ListContinue"/>
      </w:pPr>
      <w:r w:rsidRPr="00DF0116">
        <w:t>divided by</w:t>
      </w:r>
    </w:p>
    <w:p w:rsidR="00DF0116" w:rsidRPr="00DF0116" w:rsidRDefault="00DF0116" w:rsidP="00F65623">
      <w:pPr>
        <w:pStyle w:val="ListContinue"/>
      </w:pPr>
      <w:r w:rsidRPr="00DF0116">
        <w:t>The ABS CPI All Groups, Weighted Average of Eight Capital Cities for the December quarter in financial year t</w:t>
      </w:r>
      <w:r w:rsidR="00320E6A">
        <w:t>–</w:t>
      </w:r>
      <w:r w:rsidRPr="00DF0116">
        <w:t>2</w:t>
      </w:r>
    </w:p>
    <w:p w:rsidR="00DF0116" w:rsidRPr="00DF0116" w:rsidRDefault="00DF0116" w:rsidP="00F65623">
      <w:pPr>
        <w:pStyle w:val="ListContinue"/>
      </w:pPr>
      <w:proofErr w:type="gramStart"/>
      <w:r w:rsidRPr="00DF0116">
        <w:t>minus</w:t>
      </w:r>
      <w:proofErr w:type="gramEnd"/>
      <w:r w:rsidRPr="00DF0116">
        <w:t xml:space="preserve"> one.</w:t>
      </w:r>
    </w:p>
    <w:p w:rsidR="00DF0116" w:rsidRPr="00DF0116" w:rsidRDefault="00DF0116" w:rsidP="00DF0116">
      <w:r w:rsidRPr="00DF0116">
        <w:t>If the ABS does not, or ceases to, publish the index, then CPI will mean an index which the AER considers is the best available alternative index.</w:t>
      </w:r>
    </w:p>
    <w:p w:rsidR="00DF0116" w:rsidRPr="00DF0116" w:rsidRDefault="00F65623" w:rsidP="00DF0116">
      <w:r w:rsidRPr="00F65623">
        <w:rPr>
          <w:position w:val="-12"/>
        </w:rPr>
        <w:object w:dxaOrig="360" w:dyaOrig="380">
          <v:shape id="_x0000_i1096" type="#_x0000_t75" style="width:19.65pt;height:18.65pt" o:ole="">
            <v:imagedata r:id="rId151" o:title=""/>
          </v:shape>
          <o:OLEObject Type="Embed" ProgID="Equation.3" ShapeID="_x0000_i1096" DrawAspect="Content" ObjectID="_1525270066" r:id="rId152"/>
        </w:object>
      </w:r>
      <w:r w:rsidR="00DF0116" w:rsidRPr="00DF0116">
        <w:tab/>
      </w:r>
      <w:proofErr w:type="gramStart"/>
      <w:r w:rsidR="00DF0116" w:rsidRPr="00DF0116">
        <w:t>is</w:t>
      </w:r>
      <w:proofErr w:type="gramEnd"/>
      <w:r w:rsidR="00DF0116" w:rsidRPr="00DF0116">
        <w:t xml:space="preserve"> the X factor for each financial year of the 2016–21 access arrangement period as determined in the PTRM as approved in the AER's final decision, and annually revised for the return on debt update calculated for the relevant financial year during the access arrangement period in accordance with that approved in the AER's final decision</w:t>
      </w:r>
    </w:p>
    <w:p w:rsidR="00DF0116" w:rsidRDefault="00F65623" w:rsidP="00DF0116">
      <w:r w:rsidRPr="00F65623">
        <w:rPr>
          <w:position w:val="-12"/>
        </w:rPr>
        <w:object w:dxaOrig="340" w:dyaOrig="380">
          <v:shape id="_x0000_i1097" type="#_x0000_t75" style="width:18.15pt;height:18.65pt" o:ole="">
            <v:imagedata r:id="rId153" o:title=""/>
          </v:shape>
          <o:OLEObject Type="Embed" ProgID="Equation.3" ShapeID="_x0000_i1097" DrawAspect="Content" ObjectID="_1525270067" r:id="rId154"/>
        </w:object>
      </w:r>
      <w:r w:rsidR="00DF0116" w:rsidRPr="00DF0116">
        <w:tab/>
      </w:r>
      <w:proofErr w:type="gramStart"/>
      <w:r w:rsidR="00DF0116" w:rsidRPr="00DF0116">
        <w:t>is</w:t>
      </w:r>
      <w:proofErr w:type="gramEnd"/>
      <w:r w:rsidR="00DF0116" w:rsidRPr="00DF0116">
        <w:t xml:space="preserve"> the adjustment factor to accommodate price variations in unaccounted for gas as outlined above</w:t>
      </w:r>
    </w:p>
    <w:p w:rsidR="00DB1187" w:rsidRDefault="00DB1187" w:rsidP="00DB1187">
      <w:r w:rsidRPr="00DB1187">
        <w:object w:dxaOrig="200" w:dyaOrig="220">
          <v:shape id="_x0000_i1098" type="#_x0000_t75" style="width:9.55pt;height:10.05pt" o:ole="">
            <v:imagedata r:id="rId62" o:title=""/>
          </v:shape>
          <o:OLEObject Type="Embed" ProgID="Equation.3" ShapeID="_x0000_i1098" DrawAspect="Content" ObjectID="_1525270068" r:id="rId155"/>
        </w:object>
      </w:r>
      <w:r>
        <w:tab/>
      </w:r>
      <w:r>
        <w:tab/>
      </w:r>
      <w:proofErr w:type="gramStart"/>
      <w:r>
        <w:t>is</w:t>
      </w:r>
      <w:proofErr w:type="gramEnd"/>
      <w:r>
        <w:t xml:space="preserve"> the number of different reference tariffs in each tariff class</w:t>
      </w:r>
    </w:p>
    <w:p w:rsidR="00DB1187" w:rsidRDefault="00DB1187" w:rsidP="00DB1187">
      <w:r w:rsidRPr="00DB1187">
        <w:object w:dxaOrig="260" w:dyaOrig="220">
          <v:shape id="_x0000_i1099" type="#_x0000_t75" style="width:11.6pt;height:10.05pt" o:ole="">
            <v:imagedata r:id="rId64" o:title=""/>
          </v:shape>
          <o:OLEObject Type="Embed" ProgID="Equation.3" ShapeID="_x0000_i1099" DrawAspect="Content" ObjectID="_1525270069" r:id="rId156"/>
        </w:object>
      </w:r>
      <w:r>
        <w:tab/>
      </w:r>
      <w:r>
        <w:tab/>
      </w:r>
      <w:proofErr w:type="gramStart"/>
      <w:r>
        <w:t>is</w:t>
      </w:r>
      <w:proofErr w:type="gramEnd"/>
      <w:r>
        <w:t xml:space="preserve"> the different components, elements or variables ("components") comprised within a reference tariff</w:t>
      </w:r>
    </w:p>
    <w:p w:rsidR="00DF0116" w:rsidRPr="00DF0116" w:rsidRDefault="00F65623" w:rsidP="00DF0116">
      <w:r w:rsidRPr="00F65623">
        <w:rPr>
          <w:position w:val="-12"/>
        </w:rPr>
        <w:object w:dxaOrig="420" w:dyaOrig="380">
          <v:shape id="_x0000_i1100" type="#_x0000_t75" style="width:22.15pt;height:18.65pt" o:ole="">
            <v:imagedata r:id="rId157" o:title=""/>
          </v:shape>
          <o:OLEObject Type="Embed" ProgID="Equation.3" ShapeID="_x0000_i1100" DrawAspect="Content" ObjectID="_1525270070" r:id="rId158"/>
        </w:object>
      </w:r>
      <w:r w:rsidR="00DF0116" w:rsidRPr="00DF0116">
        <w:tab/>
      </w:r>
      <w:proofErr w:type="gramStart"/>
      <w:r w:rsidR="00DF0116" w:rsidRPr="00DF0116">
        <w:t>is</w:t>
      </w:r>
      <w:proofErr w:type="gramEnd"/>
      <w:r w:rsidR="00DF0116" w:rsidRPr="00DF0116">
        <w:t xml:space="preserve"> the prevailing component </w:t>
      </w:r>
      <w:r w:rsidRPr="00F65623">
        <w:rPr>
          <w:position w:val="-10"/>
        </w:rPr>
        <w:object w:dxaOrig="200" w:dyaOrig="300">
          <v:shape id="_x0000_i1101" type="#_x0000_t75" style="width:9.55pt;height:12.6pt" o:ole="">
            <v:imagedata r:id="rId159" o:title=""/>
          </v:shape>
          <o:OLEObject Type="Embed" ProgID="Equation.3" ShapeID="_x0000_i1101" DrawAspect="Content" ObjectID="_1525270071" r:id="rId160"/>
        </w:object>
      </w:r>
      <w:r w:rsidR="00DF0116" w:rsidRPr="00DF0116">
        <w:t xml:space="preserve"> of reference tariff </w:t>
      </w:r>
      <w:r w:rsidRPr="00F65623">
        <w:rPr>
          <w:position w:val="-6"/>
        </w:rPr>
        <w:object w:dxaOrig="139" w:dyaOrig="260">
          <v:shape id="_x0000_i1102" type="#_x0000_t75" style="width:5.55pt;height:12.1pt" o:ole="">
            <v:imagedata r:id="rId161" o:title=""/>
          </v:shape>
          <o:OLEObject Type="Embed" ProgID="Equation.3" ShapeID="_x0000_i1102" DrawAspect="Content" ObjectID="_1525270072" r:id="rId162"/>
        </w:object>
      </w:r>
      <w:r w:rsidR="00DF0116" w:rsidRPr="00DF0116">
        <w:t xml:space="preserve"> in year t</w:t>
      </w:r>
      <w:r w:rsidR="00320E6A">
        <w:t>–</w:t>
      </w:r>
      <w:r w:rsidR="00DF0116" w:rsidRPr="00DF0116">
        <w:t>1</w:t>
      </w:r>
    </w:p>
    <w:p w:rsidR="00DF0116" w:rsidRPr="00DF0116" w:rsidRDefault="00F65623" w:rsidP="00DF0116">
      <w:r w:rsidRPr="00F65623">
        <w:rPr>
          <w:position w:val="-12"/>
        </w:rPr>
        <w:object w:dxaOrig="400" w:dyaOrig="380">
          <v:shape id="_x0000_i1103" type="#_x0000_t75" style="width:22.15pt;height:18.65pt" o:ole="">
            <v:imagedata r:id="rId163" o:title=""/>
          </v:shape>
          <o:OLEObject Type="Embed" ProgID="Equation.3" ShapeID="_x0000_i1103" DrawAspect="Content" ObjectID="_1525270073" r:id="rId164"/>
        </w:object>
      </w:r>
      <w:r w:rsidR="00DF0116" w:rsidRPr="00DF0116">
        <w:tab/>
      </w:r>
      <w:proofErr w:type="gramStart"/>
      <w:r w:rsidR="00DF0116" w:rsidRPr="00DF0116">
        <w:t>is</w:t>
      </w:r>
      <w:proofErr w:type="gramEnd"/>
      <w:r w:rsidR="00DF0116" w:rsidRPr="00DF0116">
        <w:t xml:space="preserve"> the audited quantity of component </w:t>
      </w:r>
      <w:r w:rsidRPr="00F65623">
        <w:rPr>
          <w:position w:val="-10"/>
        </w:rPr>
        <w:object w:dxaOrig="200" w:dyaOrig="300">
          <v:shape id="_x0000_i1104" type="#_x0000_t75" style="width:9.55pt;height:12.6pt" o:ole="">
            <v:imagedata r:id="rId165" o:title=""/>
          </v:shape>
          <o:OLEObject Type="Embed" ProgID="Equation.3" ShapeID="_x0000_i1104" DrawAspect="Content" ObjectID="_1525270074" r:id="rId166"/>
        </w:object>
      </w:r>
      <w:r w:rsidR="00DF0116" w:rsidRPr="00DF0116">
        <w:t xml:space="preserve"> of reference tariff </w:t>
      </w:r>
      <w:r w:rsidRPr="00F65623">
        <w:rPr>
          <w:position w:val="-6"/>
        </w:rPr>
        <w:object w:dxaOrig="139" w:dyaOrig="260">
          <v:shape id="_x0000_i1105" type="#_x0000_t75" style="width:5.55pt;height:12.1pt" o:ole="">
            <v:imagedata r:id="rId167" o:title=""/>
          </v:shape>
          <o:OLEObject Type="Embed" ProgID="Equation.3" ShapeID="_x0000_i1105" DrawAspect="Content" ObjectID="_1525270075" r:id="rId168"/>
        </w:object>
      </w:r>
      <w:r w:rsidR="00DF0116" w:rsidRPr="00DF0116">
        <w:t xml:space="preserve"> that was sold in year t</w:t>
      </w:r>
      <w:r w:rsidR="00320E6A">
        <w:t>–</w:t>
      </w:r>
      <w:r w:rsidR="00DF0116" w:rsidRPr="00DF0116">
        <w:t>2 (expressed in the units in which that component is expressed (e.g. GJ)).</w:t>
      </w:r>
    </w:p>
    <w:p w:rsidR="00F65623" w:rsidRDefault="00F65623" w:rsidP="00F65623">
      <w:pPr>
        <w:pStyle w:val="HeadingBoldBlue"/>
      </w:pPr>
      <w:r>
        <w:t>Annual ancillary reference tariff variation formula</w:t>
      </w:r>
    </w:p>
    <w:p w:rsidR="00B12C89" w:rsidRDefault="00F65623" w:rsidP="00F65623">
      <w:r>
        <w:t>Our draft decision a</w:t>
      </w:r>
      <w:r w:rsidRPr="00F65623">
        <w:t>ccept</w:t>
      </w:r>
      <w:r>
        <w:t>ed AGN's</w:t>
      </w:r>
      <w:r w:rsidRPr="00F65623">
        <w:t xml:space="preserve"> proposed annual ancillary reference tariff variation formula which is consistent with the current</w:t>
      </w:r>
      <w:r w:rsidR="0019128D">
        <w:t xml:space="preserve"> access arrangement. However, our draft</w:t>
      </w:r>
      <w:r w:rsidR="00196D51">
        <w:t xml:space="preserve"> decision</w:t>
      </w:r>
      <w:r w:rsidRPr="00F65623">
        <w:t xml:space="preserve"> changed the definition of the CPI escalation to be consistent w</w:t>
      </w:r>
      <w:r w:rsidR="00400523">
        <w:t>ith that applied in the annual haulage reference tariff variation mechanism</w:t>
      </w:r>
      <w:r w:rsidRPr="00F65623">
        <w:t>.</w:t>
      </w:r>
      <w:r w:rsidR="0019128D">
        <w:t xml:space="preserve"> </w:t>
      </w:r>
    </w:p>
    <w:p w:rsidR="00B12C89" w:rsidRDefault="00B12C89" w:rsidP="00F65623">
      <w:r>
        <w:t xml:space="preserve">While </w:t>
      </w:r>
      <w:r w:rsidR="0019128D">
        <w:t>AGN's revised proposal stated that it accepted this change</w:t>
      </w:r>
      <w:r w:rsidR="0019128D">
        <w:rPr>
          <w:rStyle w:val="FootnoteReference"/>
        </w:rPr>
        <w:footnoteReference w:id="76"/>
      </w:r>
      <w:r>
        <w:t xml:space="preserve">, it erroneously maintained its initial annual ancillary </w:t>
      </w:r>
      <w:r w:rsidRPr="0019128D">
        <w:t>reference tariff variation formula</w:t>
      </w:r>
      <w:r>
        <w:t xml:space="preserve">—including use of the March quarter CPI—in its </w:t>
      </w:r>
      <w:r w:rsidR="0019128D">
        <w:t>revised access arrangement.</w:t>
      </w:r>
      <w:r w:rsidR="00196D51">
        <w:rPr>
          <w:rStyle w:val="FootnoteReference"/>
        </w:rPr>
        <w:footnoteReference w:id="77"/>
      </w:r>
      <w:r w:rsidR="0019128D">
        <w:t xml:space="preserve"> We raised this issue with AGN who noted this was an error.</w:t>
      </w:r>
      <w:r>
        <w:rPr>
          <w:rStyle w:val="FootnoteReference"/>
        </w:rPr>
        <w:footnoteReference w:id="78"/>
      </w:r>
      <w:r w:rsidR="0019128D">
        <w:t xml:space="preserve"> </w:t>
      </w:r>
      <w:r>
        <w:t>We have corrected this error in our final decision access arrangement for AGN.</w:t>
      </w:r>
    </w:p>
    <w:p w:rsidR="00F65623" w:rsidRDefault="00F65623" w:rsidP="00F65623">
      <w:r w:rsidRPr="00F65623">
        <w:t xml:space="preserve">Our </w:t>
      </w:r>
      <w:r>
        <w:t>final</w:t>
      </w:r>
      <w:r w:rsidRPr="00F65623">
        <w:t xml:space="preserve"> decision ancillary reference tariff variation formula is set out in </w:t>
      </w:r>
      <w:r>
        <w:fldChar w:fldCharType="begin"/>
      </w:r>
      <w:r>
        <w:instrText xml:space="preserve"> REF  _Ref443924387 \* Lower \h </w:instrText>
      </w:r>
      <w:r>
        <w:fldChar w:fldCharType="separate"/>
      </w:r>
      <w:r w:rsidR="00AD3CCA">
        <w:t xml:space="preserve">figure </w:t>
      </w:r>
      <w:r w:rsidR="00AD3CCA">
        <w:rPr>
          <w:noProof/>
        </w:rPr>
        <w:t>11</w:t>
      </w:r>
      <w:r w:rsidR="00AD3CCA">
        <w:t>.</w:t>
      </w:r>
      <w:r w:rsidR="00AD3CCA">
        <w:rPr>
          <w:noProof/>
        </w:rPr>
        <w:t>7</w:t>
      </w:r>
      <w:r>
        <w:fldChar w:fldCharType="end"/>
      </w:r>
      <w:r w:rsidRPr="00F65623">
        <w:t>.</w:t>
      </w:r>
    </w:p>
    <w:p w:rsidR="00F65623" w:rsidRDefault="00F65623" w:rsidP="00F65623">
      <w:pPr>
        <w:pStyle w:val="Caption"/>
      </w:pPr>
      <w:bookmarkStart w:id="43" w:name="_Ref443924387"/>
      <w:proofErr w:type="gramStart"/>
      <w:r>
        <w:t xml:space="preserve">Figure </w:t>
      </w:r>
      <w:proofErr w:type="gramEnd"/>
      <w:r w:rsidR="009A676B">
        <w:fldChar w:fldCharType="begin"/>
      </w:r>
      <w:r w:rsidR="009A676B">
        <w:instrText xml:space="preserve"> STYLEREF 1 \s </w:instrText>
      </w:r>
      <w:r w:rsidR="009A676B">
        <w:fldChar w:fldCharType="separate"/>
      </w:r>
      <w:r w:rsidR="00AD3CCA">
        <w:rPr>
          <w:noProof/>
        </w:rPr>
        <w:t>11</w:t>
      </w:r>
      <w:r w:rsidR="009A676B">
        <w:rPr>
          <w:noProof/>
        </w:rPr>
        <w:fldChar w:fldCharType="end"/>
      </w:r>
      <w:proofErr w:type="gramStart"/>
      <w:r w:rsidR="008C40B1">
        <w:t>.</w:t>
      </w:r>
      <w:proofErr w:type="gramEnd"/>
      <w:r w:rsidR="00271C4A">
        <w:fldChar w:fldCharType="begin"/>
      </w:r>
      <w:r w:rsidR="00271C4A">
        <w:instrText xml:space="preserve"> SEQ Figure \* ARABIC \s 1 </w:instrText>
      </w:r>
      <w:r w:rsidR="00271C4A">
        <w:fldChar w:fldCharType="separate"/>
      </w:r>
      <w:r w:rsidR="00AD3CCA">
        <w:rPr>
          <w:noProof/>
        </w:rPr>
        <w:t>7</w:t>
      </w:r>
      <w:r w:rsidR="00271C4A">
        <w:rPr>
          <w:noProof/>
        </w:rPr>
        <w:fldChar w:fldCharType="end"/>
      </w:r>
      <w:bookmarkEnd w:id="43"/>
      <w:r w:rsidR="00872C03">
        <w:tab/>
      </w:r>
      <w:r>
        <w:t>Ancillary reference tariff variation formula</w:t>
      </w:r>
    </w:p>
    <w:p w:rsidR="00F65623" w:rsidRPr="00F65623" w:rsidRDefault="00F65623" w:rsidP="00F65623">
      <w:r w:rsidRPr="00F65623">
        <w:rPr>
          <w:position w:val="-12"/>
        </w:rPr>
        <w:object w:dxaOrig="2659" w:dyaOrig="380">
          <v:shape id="_x0000_i1106" type="#_x0000_t75" style="width:132.4pt;height:18.65pt" o:ole="">
            <v:imagedata r:id="rId169" o:title=""/>
          </v:shape>
          <o:OLEObject Type="Embed" ProgID="Equation.3" ShapeID="_x0000_i1106" DrawAspect="Content" ObjectID="_1525270076" r:id="rId170"/>
        </w:object>
      </w:r>
    </w:p>
    <w:p w:rsidR="00F65623" w:rsidRPr="00F65623" w:rsidRDefault="00F65623" w:rsidP="00F65623">
      <w:proofErr w:type="gramStart"/>
      <w:r w:rsidRPr="00F65623">
        <w:t>where</w:t>
      </w:r>
      <w:proofErr w:type="gramEnd"/>
      <w:r w:rsidRPr="00F65623">
        <w:t>:</w:t>
      </w:r>
    </w:p>
    <w:p w:rsidR="00F65623" w:rsidRPr="00F65623" w:rsidRDefault="00F65623" w:rsidP="00F65623">
      <w:r w:rsidRPr="00F65623">
        <w:rPr>
          <w:position w:val="-12"/>
        </w:rPr>
        <w:object w:dxaOrig="639" w:dyaOrig="380">
          <v:shape id="_x0000_i1107" type="#_x0000_t75" style="width:31.7pt;height:18.65pt" o:ole="">
            <v:imagedata r:id="rId171" o:title=""/>
          </v:shape>
          <o:OLEObject Type="Embed" ProgID="Equation.3" ShapeID="_x0000_i1107" DrawAspect="Content" ObjectID="_1525270077" r:id="rId172"/>
        </w:object>
      </w:r>
      <w:r w:rsidRPr="00F65623">
        <w:tab/>
      </w:r>
      <w:r w:rsidRPr="00F65623">
        <w:tab/>
      </w:r>
      <w:proofErr w:type="gramStart"/>
      <w:r w:rsidRPr="00F65623">
        <w:t>is</w:t>
      </w:r>
      <w:proofErr w:type="gramEnd"/>
      <w:r w:rsidRPr="00F65623">
        <w:t xml:space="preserve"> the reference tariff that will apply to an ancillary reference service in year t</w:t>
      </w:r>
    </w:p>
    <w:p w:rsidR="00F65623" w:rsidRPr="00F65623" w:rsidRDefault="00F65623" w:rsidP="00F65623">
      <w:r w:rsidRPr="00F65623">
        <w:rPr>
          <w:position w:val="-12"/>
        </w:rPr>
        <w:object w:dxaOrig="700" w:dyaOrig="380">
          <v:shape id="_x0000_i1108" type="#_x0000_t75" style="width:35.75pt;height:18.65pt" o:ole="">
            <v:imagedata r:id="rId173" o:title=""/>
          </v:shape>
          <o:OLEObject Type="Embed" ProgID="Equation.3" ShapeID="_x0000_i1108" DrawAspect="Content" ObjectID="_1525270078" r:id="rId174"/>
        </w:object>
      </w:r>
      <w:r w:rsidRPr="00F65623">
        <w:tab/>
      </w:r>
      <w:proofErr w:type="gramStart"/>
      <w:r w:rsidRPr="00F65623">
        <w:t>is</w:t>
      </w:r>
      <w:proofErr w:type="gramEnd"/>
      <w:r w:rsidRPr="00F65623">
        <w:t xml:space="preserve"> the reference tariff applicable to an ancill</w:t>
      </w:r>
      <w:r w:rsidR="00400523">
        <w:t>ary reference service in year t–</w:t>
      </w:r>
      <w:r w:rsidRPr="00F65623">
        <w:t>1</w:t>
      </w:r>
    </w:p>
    <w:p w:rsidR="00F65623" w:rsidRPr="00F65623" w:rsidRDefault="00F65623" w:rsidP="00F65623">
      <w:r w:rsidRPr="00F65623">
        <w:rPr>
          <w:position w:val="-12"/>
        </w:rPr>
        <w:object w:dxaOrig="560" w:dyaOrig="380">
          <v:shape id="_x0000_i1109" type="#_x0000_t75" style="width:27.7pt;height:18.65pt" o:ole="">
            <v:imagedata r:id="rId175" o:title=""/>
          </v:shape>
          <o:OLEObject Type="Embed" ProgID="Equation.3" ShapeID="_x0000_i1109" DrawAspect="Content" ObjectID="_1525270079" r:id="rId176"/>
        </w:object>
      </w:r>
      <w:r w:rsidRPr="00F65623">
        <w:tab/>
      </w:r>
      <w:proofErr w:type="gramStart"/>
      <w:r w:rsidRPr="00F65623">
        <w:t>is</w:t>
      </w:r>
      <w:proofErr w:type="gramEnd"/>
      <w:r w:rsidRPr="00F65623">
        <w:t xml:space="preserve"> the annual percentage change in the ABS CPI All Groups, Weighted Average of Eight Capital Cities from the December quarter in year t</w:t>
      </w:r>
      <w:r w:rsidR="0019128D">
        <w:t>–</w:t>
      </w:r>
      <w:r w:rsidRPr="00F65623">
        <w:t>2 to the December quarter in year t</w:t>
      </w:r>
      <w:r w:rsidR="0019128D">
        <w:t>–</w:t>
      </w:r>
      <w:r w:rsidRPr="00F65623">
        <w:t>1, calculated using the following method:</w:t>
      </w:r>
    </w:p>
    <w:p w:rsidR="00F65623" w:rsidRPr="00F65623" w:rsidRDefault="00F65623" w:rsidP="00F65623">
      <w:pPr>
        <w:pStyle w:val="ListContinue"/>
      </w:pPr>
      <w:r w:rsidRPr="00F65623">
        <w:t>The ABS CPI All Groups, Weighted Average of Eight Capital Cities for the Decem</w:t>
      </w:r>
      <w:r w:rsidR="0019128D">
        <w:t>ber quarter in financial year t–</w:t>
      </w:r>
      <w:r w:rsidRPr="00F65623">
        <w:t>1</w:t>
      </w:r>
    </w:p>
    <w:p w:rsidR="00F65623" w:rsidRPr="00F65623" w:rsidRDefault="00F65623" w:rsidP="00F65623">
      <w:pPr>
        <w:pStyle w:val="ListContinue"/>
      </w:pPr>
      <w:r w:rsidRPr="00F65623">
        <w:t>divided by</w:t>
      </w:r>
    </w:p>
    <w:p w:rsidR="00F65623" w:rsidRPr="00F65623" w:rsidRDefault="00F65623" w:rsidP="00F65623">
      <w:pPr>
        <w:pStyle w:val="ListContinue"/>
      </w:pPr>
      <w:r w:rsidRPr="00F65623">
        <w:t>The ABS CPI All Groups, Weighted Average of Eight Capital Cities for the Decem</w:t>
      </w:r>
      <w:r w:rsidR="0019128D">
        <w:t>ber quarter in financial year t–</w:t>
      </w:r>
      <w:r w:rsidRPr="00F65623">
        <w:t>2</w:t>
      </w:r>
    </w:p>
    <w:p w:rsidR="00F65623" w:rsidRPr="00F65623" w:rsidRDefault="00F65623" w:rsidP="00F65623">
      <w:pPr>
        <w:pStyle w:val="ListContinue"/>
      </w:pPr>
      <w:proofErr w:type="gramStart"/>
      <w:r w:rsidRPr="00F65623">
        <w:t>minus</w:t>
      </w:r>
      <w:proofErr w:type="gramEnd"/>
      <w:r w:rsidRPr="00F65623">
        <w:t xml:space="preserve"> one. </w:t>
      </w:r>
    </w:p>
    <w:p w:rsidR="00F65623" w:rsidRPr="00F65623" w:rsidRDefault="00F65623" w:rsidP="00F65623">
      <w:r w:rsidRPr="00F65623">
        <w:t>If the ABS does not, or ceases to, publish the index, then CPI will mean an index which the AER considers is the best available alternative index.</w:t>
      </w:r>
    </w:p>
    <w:p w:rsidR="00DF0116" w:rsidRPr="00A2087A" w:rsidRDefault="00F65623" w:rsidP="00A2087A">
      <w:r w:rsidRPr="00F65623">
        <w:rPr>
          <w:position w:val="-6"/>
        </w:rPr>
        <w:object w:dxaOrig="139" w:dyaOrig="240">
          <v:shape id="_x0000_i1110" type="#_x0000_t75" style="width:5.55pt;height:11.6pt" o:ole="">
            <v:imagedata r:id="rId177" o:title=""/>
          </v:shape>
          <o:OLEObject Type="Embed" ProgID="Equation.3" ShapeID="_x0000_i1110" DrawAspect="Content" ObjectID="_1525270080" r:id="rId178"/>
        </w:object>
      </w:r>
      <w:r w:rsidRPr="00F65623">
        <w:tab/>
      </w:r>
      <w:r w:rsidRPr="00F65623">
        <w:tab/>
      </w:r>
      <w:proofErr w:type="gramStart"/>
      <w:r w:rsidRPr="00F65623">
        <w:t>is</w:t>
      </w:r>
      <w:proofErr w:type="gramEnd"/>
      <w:r w:rsidRPr="00F65623">
        <w:t xml:space="preserve"> the financial year for which tariffs are being set.</w:t>
      </w:r>
    </w:p>
    <w:p w:rsidR="00550B01" w:rsidRDefault="00550B01" w:rsidP="00550B01">
      <w:pPr>
        <w:pStyle w:val="Heading3"/>
      </w:pPr>
      <w:bookmarkStart w:id="44" w:name="_Ref437270297"/>
      <w:bookmarkStart w:id="45" w:name="_Toc451527815"/>
      <w:r>
        <w:t>Cost pass through events</w:t>
      </w:r>
      <w:bookmarkEnd w:id="44"/>
      <w:bookmarkEnd w:id="45"/>
    </w:p>
    <w:p w:rsidR="000D23F5" w:rsidRDefault="000D23F5" w:rsidP="000D23F5">
      <w:r>
        <w:t xml:space="preserve">AGN's revised proposal largely incorporates the revisions </w:t>
      </w:r>
      <w:r w:rsidR="00441E77">
        <w:t xml:space="preserve">to AGN's proposed pass through events </w:t>
      </w:r>
      <w:r>
        <w:t>required in our draft decision. In the sections below, set out our final decision on each of these events.</w:t>
      </w:r>
    </w:p>
    <w:p w:rsidR="008D58E4" w:rsidRDefault="00376160" w:rsidP="00681503">
      <w:r>
        <w:t xml:space="preserve">AGN's revised proposal </w:t>
      </w:r>
      <w:r w:rsidR="000D23F5">
        <w:t xml:space="preserve">also </w:t>
      </w:r>
      <w:r>
        <w:t>amended its proposed access arrangement to add the efficiency of AGN's decisions and actions in relation to an event to the list of matters we must take into account in deciding whether to approve an application for a cost pass through event variation. We accept this amendment, which was made in accordance with our draft decision.</w:t>
      </w:r>
    </w:p>
    <w:p w:rsidR="00F735D1" w:rsidRDefault="0081482C" w:rsidP="00F735D1">
      <w:pPr>
        <w:pStyle w:val="HeadingBoldBlue"/>
      </w:pPr>
      <w:r>
        <w:t xml:space="preserve">Regulatory Change, Service Standard, Terrorism, Tax Change, Insurer Credit Risk </w:t>
      </w:r>
    </w:p>
    <w:p w:rsidR="000D23F5" w:rsidRDefault="000D23F5" w:rsidP="00681503">
      <w:r>
        <w:t xml:space="preserve">In our draft decision we accepted AGN's proposal to include a regulatory change event, service standard event, </w:t>
      </w:r>
      <w:r w:rsidR="0081482C">
        <w:t xml:space="preserve">terrorism event, </w:t>
      </w:r>
      <w:r>
        <w:t>tax change event and insurer credit risk event in its access arrangement for 2016–21. However, we required revisions to the definitions of each of these events.</w:t>
      </w:r>
    </w:p>
    <w:p w:rsidR="0081482C" w:rsidRDefault="00376160" w:rsidP="00681503">
      <w:r>
        <w:t xml:space="preserve">AGN's revised proposal incorporates </w:t>
      </w:r>
      <w:r w:rsidR="0081482C">
        <w:t xml:space="preserve">the </w:t>
      </w:r>
      <w:r>
        <w:t xml:space="preserve">required revisions to the </w:t>
      </w:r>
      <w:r w:rsidR="003A1212">
        <w:t>terrorism event</w:t>
      </w:r>
      <w:r w:rsidR="0081482C">
        <w:t xml:space="preserve">. However, following submissions in concurrent processes, we </w:t>
      </w:r>
      <w:r w:rsidR="0067774D">
        <w:t>have removed</w:t>
      </w:r>
      <w:r w:rsidR="0081482C">
        <w:t xml:space="preserve"> the word 'materially' in the definition </w:t>
      </w:r>
      <w:r w:rsidR="00ED1DE7">
        <w:t>given</w:t>
      </w:r>
      <w:r w:rsidR="0081482C">
        <w:t xml:space="preserve"> </w:t>
      </w:r>
      <w:r w:rsidR="00ED1DE7">
        <w:t>that any event would be subject to a</w:t>
      </w:r>
      <w:r w:rsidR="0081482C">
        <w:t xml:space="preserve"> materiality threshold.  </w:t>
      </w:r>
      <w:r w:rsidR="00ED1DE7">
        <w:t>AGN advised that it supports this change.</w:t>
      </w:r>
      <w:r w:rsidR="00ED1DE7">
        <w:rPr>
          <w:rStyle w:val="FootnoteReference"/>
        </w:rPr>
        <w:footnoteReference w:id="79"/>
      </w:r>
    </w:p>
    <w:p w:rsidR="00F735D1" w:rsidRDefault="0081482C" w:rsidP="00681503">
      <w:r>
        <w:t>AGN also incorporated the required changes to</w:t>
      </w:r>
      <w:r w:rsidR="003A1212">
        <w:t xml:space="preserve"> </w:t>
      </w:r>
      <w:r w:rsidR="00376160">
        <w:t>regulatory change event, service standard event</w:t>
      </w:r>
      <w:r w:rsidR="008C1A37">
        <w:t>,</w:t>
      </w:r>
      <w:r w:rsidR="00376160">
        <w:t xml:space="preserve"> and </w:t>
      </w:r>
      <w:r w:rsidR="008C1A37">
        <w:t xml:space="preserve">the supporting definition of 'relevant tax' to the </w:t>
      </w:r>
      <w:r w:rsidR="00376160">
        <w:t>tax change event</w:t>
      </w:r>
      <w:r w:rsidR="008C1A37">
        <w:t xml:space="preserve">. </w:t>
      </w:r>
      <w:r w:rsidR="00F735D1">
        <w:t>We accept these elements of its revised proposal.</w:t>
      </w:r>
    </w:p>
    <w:p w:rsidR="00376160" w:rsidRDefault="000D23F5" w:rsidP="00681503">
      <w:r>
        <w:t>AGN's revised proposal</w:t>
      </w:r>
      <w:r w:rsidR="00DB3FFC">
        <w:t xml:space="preserve"> also incorporates—with minor amendments to reflect the format and drafting of its access arrangement as a whole—the revisions our draft decision required to the insurer credit risk event. </w:t>
      </w:r>
      <w:r w:rsidR="008C1A37">
        <w:t>We accept these amendments</w:t>
      </w:r>
      <w:r w:rsidR="00A46DB1">
        <w:t>, although we have made a modification to insurer credit risk event to remove a redundant word.</w:t>
      </w:r>
      <w:r w:rsidR="00A46DB1">
        <w:rPr>
          <w:rStyle w:val="FootnoteReference"/>
        </w:rPr>
        <w:footnoteReference w:id="80"/>
      </w:r>
      <w:r w:rsidR="00A46DB1" w:rsidRPr="00A46DB1">
        <w:t xml:space="preserve"> </w:t>
      </w:r>
    </w:p>
    <w:p w:rsidR="00F735D1" w:rsidRDefault="00F735D1" w:rsidP="00F735D1">
      <w:pPr>
        <w:pStyle w:val="HeadingBoldBlue"/>
      </w:pPr>
      <w:r>
        <w:t>Insurance cap event</w:t>
      </w:r>
    </w:p>
    <w:p w:rsidR="00EA2A22" w:rsidRDefault="000E28D7" w:rsidP="00807A40">
      <w:r>
        <w:t xml:space="preserve">AGN's revised proposal incorporates with minor amendments our required revision to the definition of insurance cap event.  </w:t>
      </w:r>
      <w:r w:rsidR="00807A40">
        <w:rPr>
          <w:rStyle w:val="AERbody"/>
        </w:rPr>
        <w:t>Th</w:t>
      </w:r>
      <w:r w:rsidR="009616EC">
        <w:rPr>
          <w:rStyle w:val="AERbody"/>
        </w:rPr>
        <w:t>e definition in AGN's revised proposal</w:t>
      </w:r>
      <w:r w:rsidR="00807A40">
        <w:rPr>
          <w:rStyle w:val="AERbody"/>
        </w:rPr>
        <w:t xml:space="preserve"> </w:t>
      </w:r>
      <w:r w:rsidR="0005049A">
        <w:rPr>
          <w:rStyle w:val="AERbody"/>
        </w:rPr>
        <w:t>provides that the relevant policy limit for this</w:t>
      </w:r>
      <w:r w:rsidR="00807A40" w:rsidRPr="00807A40">
        <w:t xml:space="preserve"> insurance cap </w:t>
      </w:r>
      <w:r w:rsidR="0005049A">
        <w:t>event is</w:t>
      </w:r>
      <w:r w:rsidR="00807A40" w:rsidRPr="00807A40">
        <w:t xml:space="preserve"> the greater of</w:t>
      </w:r>
      <w:r w:rsidR="00EA2A22">
        <w:t>:</w:t>
      </w:r>
    </w:p>
    <w:p w:rsidR="00EA2A22" w:rsidRDefault="00807A40" w:rsidP="00B47F14">
      <w:pPr>
        <w:pStyle w:val="AERquote"/>
      </w:pPr>
      <w:r w:rsidRPr="00807A40">
        <w:t xml:space="preserve"> (a) </w:t>
      </w:r>
      <w:proofErr w:type="gramStart"/>
      <w:r>
        <w:t>the</w:t>
      </w:r>
      <w:proofErr w:type="gramEnd"/>
      <w:r>
        <w:t xml:space="preserve"> regulated entity's</w:t>
      </w:r>
      <w:r w:rsidRPr="00807A40">
        <w:t xml:space="preserve"> actual policy level, and </w:t>
      </w:r>
    </w:p>
    <w:p w:rsidR="00EA2A22" w:rsidRDefault="00807A40" w:rsidP="00B47F14">
      <w:pPr>
        <w:pStyle w:val="AERquote"/>
      </w:pPr>
      <w:r w:rsidRPr="00807A40">
        <w:t xml:space="preserve">(b) </w:t>
      </w:r>
      <w:proofErr w:type="gramStart"/>
      <w:r w:rsidRPr="00807A40">
        <w:t>the</w:t>
      </w:r>
      <w:proofErr w:type="gramEnd"/>
      <w:r w:rsidRPr="00807A40">
        <w:t xml:space="preserve"> </w:t>
      </w:r>
      <w:r w:rsidR="009616EC">
        <w:t>policy limit that is explicitly or implicitly commensurate with the allowance for insurance premiums that is included in the forecast operating expenditure allowance approved in the AER's final decision for the Fourth Access Arrangement Period</w:t>
      </w:r>
      <w:r w:rsidRPr="00807A40">
        <w:t xml:space="preserve">.  </w:t>
      </w:r>
    </w:p>
    <w:p w:rsidR="00807A40" w:rsidRPr="00807A40" w:rsidRDefault="00807A40" w:rsidP="00856EAD">
      <w:r w:rsidRPr="00807A40">
        <w:t>Our objective was to avoid a perverse incentive for a service provider to reduce its expenditure on insurance below prudent efficient levels, thereby reducing its operating expenditure relative to the approved forecast by transferring insurable risks to its customers</w:t>
      </w:r>
      <w:r w:rsidR="00727593">
        <w:t>,</w:t>
      </w:r>
      <w:r w:rsidRPr="00807A40">
        <w:t xml:space="preserve"> instead of through genuine efficiencies.</w:t>
      </w:r>
    </w:p>
    <w:p w:rsidR="006E5BF6" w:rsidRPr="006E5BF6" w:rsidRDefault="00807A40" w:rsidP="006E5BF6">
      <w:r w:rsidRPr="00807A40">
        <w:t>We maintain that the insurance cap event should operate so as to dissuade a regulated firm from reducing its cover below prudent and efficient levels. However</w:t>
      </w:r>
      <w:r w:rsidR="00195F68">
        <w:t>,</w:t>
      </w:r>
      <w:r>
        <w:t xml:space="preserve"> we have considered recent submissions in other regulatory processes,</w:t>
      </w:r>
      <w:r>
        <w:rPr>
          <w:rStyle w:val="FootnoteReference"/>
        </w:rPr>
        <w:footnoteReference w:id="81"/>
      </w:r>
      <w:r w:rsidRPr="00807A40">
        <w:t xml:space="preserve"> </w:t>
      </w:r>
      <w:r>
        <w:t xml:space="preserve">and </w:t>
      </w:r>
      <w:r w:rsidRPr="00807A40">
        <w:t>we accept that a firm's approved operating expenditure allowance may not imply a parti</w:t>
      </w:r>
      <w:r w:rsidR="003A1212">
        <w:t>cular level of insurance cover and have removed this limb</w:t>
      </w:r>
      <w:r w:rsidR="006E5BF6">
        <w:t xml:space="preserve"> from the definition.  However</w:t>
      </w:r>
      <w:r w:rsidR="00195F68">
        <w:t>,</w:t>
      </w:r>
      <w:r w:rsidR="006E5BF6">
        <w:t xml:space="preserve"> </w:t>
      </w:r>
      <w:r w:rsidR="003A1212" w:rsidRPr="003A1212">
        <w:t xml:space="preserve">it remains appropriate that we take into account where relevant, </w:t>
      </w:r>
      <w:r w:rsidR="003A1212">
        <w:t>any</w:t>
      </w:r>
      <w:r w:rsidR="003A1212" w:rsidRPr="003A1212">
        <w:t xml:space="preserve"> assessments and analysis we have undertaken in relation to insurance when approving the service provider's </w:t>
      </w:r>
      <w:r w:rsidR="003A1212">
        <w:t>access arrangement</w:t>
      </w:r>
      <w:r w:rsidR="003A1212" w:rsidRPr="003A1212">
        <w:t xml:space="preserve">.  </w:t>
      </w:r>
      <w:r w:rsidR="006E5BF6" w:rsidRPr="006E5BF6">
        <w:t>We have added a note to this effect stating that, when making a determination on a pass through application, we will have regard to:</w:t>
      </w:r>
    </w:p>
    <w:p w:rsidR="006E5BF6" w:rsidRPr="006E5BF6" w:rsidRDefault="006E5BF6" w:rsidP="00B47F14">
      <w:pPr>
        <w:pStyle w:val="AERquote"/>
      </w:pPr>
      <w:r w:rsidRPr="006E5BF6">
        <w:t xml:space="preserve">(iii) </w:t>
      </w:r>
      <w:proofErr w:type="gramStart"/>
      <w:r w:rsidRPr="006E5BF6">
        <w:t>any</w:t>
      </w:r>
      <w:proofErr w:type="gramEnd"/>
      <w:r w:rsidRPr="006E5BF6">
        <w:rPr>
          <w:rFonts w:eastAsia="Arial"/>
        </w:rPr>
        <w:t xml:space="preserve"> assessment by the AER of </w:t>
      </w:r>
      <w:r w:rsidR="003E0FA7">
        <w:rPr>
          <w:rFonts w:eastAsia="Arial"/>
        </w:rPr>
        <w:t>AGN's</w:t>
      </w:r>
      <w:r w:rsidRPr="006E5BF6">
        <w:rPr>
          <w:rFonts w:eastAsia="Arial"/>
        </w:rPr>
        <w:t xml:space="preserve"> insurance in approving the access arrangement for the relevant period.</w:t>
      </w:r>
      <w:r w:rsidRPr="006E5BF6">
        <w:t xml:space="preserve">   </w:t>
      </w:r>
    </w:p>
    <w:p w:rsidR="003A1212" w:rsidRPr="003A1212" w:rsidRDefault="0067774D" w:rsidP="003A1212">
      <w:r>
        <w:t xml:space="preserve">We consulted </w:t>
      </w:r>
      <w:r w:rsidR="00EA2A22">
        <w:t xml:space="preserve">AGN </w:t>
      </w:r>
      <w:r>
        <w:t xml:space="preserve">on the final form of the definition and it </w:t>
      </w:r>
      <w:r w:rsidR="00EA2A22">
        <w:t xml:space="preserve">advised </w:t>
      </w:r>
      <w:r w:rsidR="00B14279">
        <w:t xml:space="preserve">that </w:t>
      </w:r>
      <w:r w:rsidR="00EA2A22">
        <w:t>it supports this amendment.</w:t>
      </w:r>
      <w:r w:rsidR="00EA2A22">
        <w:rPr>
          <w:rStyle w:val="FootnoteReference"/>
        </w:rPr>
        <w:footnoteReference w:id="82"/>
      </w:r>
    </w:p>
    <w:p w:rsidR="00F735D1" w:rsidRDefault="00F735D1" w:rsidP="00B47F14">
      <w:pPr>
        <w:pStyle w:val="HeadingBoldBlue"/>
        <w:keepNext/>
      </w:pPr>
      <w:r>
        <w:t xml:space="preserve">Network user failure event and </w:t>
      </w:r>
      <w:r w:rsidR="00727593">
        <w:t>natural disaster event</w:t>
      </w:r>
    </w:p>
    <w:p w:rsidR="00F735D1" w:rsidRDefault="008C1A37" w:rsidP="00B47F14">
      <w:pPr>
        <w:keepNext/>
      </w:pPr>
      <w:r>
        <w:t xml:space="preserve">Our draft decision did not accept AGN's proposed </w:t>
      </w:r>
      <w:r w:rsidR="00376160">
        <w:t>network user failure event</w:t>
      </w:r>
      <w:r w:rsidR="00376160" w:rsidRPr="00376160">
        <w:t xml:space="preserve"> and significant safety event</w:t>
      </w:r>
      <w:r>
        <w:t xml:space="preserve">, but in each case directed AGN to comparable events we had approved in other decisions should it wish to pursue these. AGN's revised proposal </w:t>
      </w:r>
      <w:r w:rsidR="00727593">
        <w:t>incorporated</w:t>
      </w:r>
      <w:r>
        <w:t xml:space="preserve"> </w:t>
      </w:r>
      <w:r w:rsidR="00DB3FFC">
        <w:t xml:space="preserve">our suggested, alternative events. </w:t>
      </w:r>
    </w:p>
    <w:p w:rsidR="00376160" w:rsidRDefault="00DB3FFC" w:rsidP="00681503">
      <w:r>
        <w:t xml:space="preserve">We </w:t>
      </w:r>
      <w:r w:rsidR="00F735D1">
        <w:t>accept the network user failure event in AGN's revised proposal, which is consistent with the guidance provided in our draft decision</w:t>
      </w:r>
      <w:r>
        <w:t>.</w:t>
      </w:r>
    </w:p>
    <w:p w:rsidR="00350B1D" w:rsidRDefault="00F735D1" w:rsidP="00350B1D">
      <w:r>
        <w:t>AGN's revised proposal also incorporate</w:t>
      </w:r>
      <w:r w:rsidR="00727593">
        <w:t>d</w:t>
      </w:r>
      <w:r>
        <w:t>—in place of the 'significant safety event'</w:t>
      </w:r>
      <w:r w:rsidR="00727593">
        <w:t xml:space="preserve"> in its original proposal</w:t>
      </w:r>
      <w:r>
        <w:t xml:space="preserve">—a </w:t>
      </w:r>
      <w:r w:rsidR="00727593">
        <w:t>'</w:t>
      </w:r>
      <w:r>
        <w:t>natural disaster event</w:t>
      </w:r>
      <w:r w:rsidR="00727593">
        <w:t>'</w:t>
      </w:r>
      <w:r>
        <w:t xml:space="preserve"> consistent with the guidance provided </w:t>
      </w:r>
      <w:r w:rsidR="00B47F14">
        <w:t>in our</w:t>
      </w:r>
      <w:r>
        <w:t xml:space="preserve"> draft decision.</w:t>
      </w:r>
      <w:r w:rsidR="00350B1D">
        <w:t xml:space="preserve"> While not an issue raised in AGN's revised proposal, in our final decisions on concurrent proposals for other service providers, we have:</w:t>
      </w:r>
    </w:p>
    <w:p w:rsidR="00350B1D" w:rsidRPr="00350B1D" w:rsidRDefault="00350B1D" w:rsidP="00350B1D">
      <w:pPr>
        <w:pStyle w:val="AERbulletlistfirststyle"/>
      </w:pPr>
      <w:r>
        <w:t xml:space="preserve">removed the adjective 'major' from the definition of the natural disaster event </w:t>
      </w:r>
      <w:r w:rsidR="00727593">
        <w:t xml:space="preserve">that AGN has adopted </w:t>
      </w:r>
      <w:r>
        <w:t xml:space="preserve">to avoid perceived confusion with the materiality threshold that applies to all pass through events under the access arrangement. </w:t>
      </w:r>
    </w:p>
    <w:p w:rsidR="00350B1D" w:rsidRDefault="008D7E72" w:rsidP="00350B1D">
      <w:pPr>
        <w:pStyle w:val="AERbulletlistfirststyle"/>
      </w:pPr>
      <w:proofErr w:type="gramStart"/>
      <w:r w:rsidRPr="008D7E72">
        <w:t>deleted</w:t>
      </w:r>
      <w:proofErr w:type="gramEnd"/>
      <w:r w:rsidRPr="008D7E72">
        <w:t xml:space="preserve"> reference to whether a government authority has made a natural disaster declaration, following submissions that this may not be an appropriate matter for us to consider in the context of a claim under the natural disaster pass through event</w:t>
      </w:r>
      <w:r w:rsidR="00350B1D" w:rsidRPr="00350B1D">
        <w:t>.</w:t>
      </w:r>
    </w:p>
    <w:p w:rsidR="00856EAD" w:rsidRDefault="00856EAD" w:rsidP="00856EAD">
      <w:pPr>
        <w:pStyle w:val="AERbulletlistfirststyle"/>
        <w:numPr>
          <w:ilvl w:val="0"/>
          <w:numId w:val="0"/>
        </w:numPr>
      </w:pPr>
      <w:r>
        <w:t>AGN has advised it supports these changes to the natural disaster event definition.</w:t>
      </w:r>
      <w:r>
        <w:rPr>
          <w:rStyle w:val="FootnoteReference"/>
        </w:rPr>
        <w:footnoteReference w:id="83"/>
      </w:r>
    </w:p>
    <w:p w:rsidR="00F735D1" w:rsidRDefault="00F735D1" w:rsidP="00F735D1">
      <w:pPr>
        <w:pStyle w:val="HeadingBoldBlue"/>
      </w:pPr>
      <w:r>
        <w:t>Security of supply event, significant extension event</w:t>
      </w:r>
    </w:p>
    <w:p w:rsidR="00727593" w:rsidRDefault="00DB3FFC" w:rsidP="00681503">
      <w:r>
        <w:t xml:space="preserve">Lastly, our draft decision did not accept AGN's proposed security of supply event and </w:t>
      </w:r>
      <w:r w:rsidR="00376160">
        <w:t>significant extension event</w:t>
      </w:r>
      <w:r>
        <w:t xml:space="preserve">. AGN's revised proposal does not include these events. </w:t>
      </w:r>
    </w:p>
    <w:p w:rsidR="00376160" w:rsidRDefault="00DB3FFC" w:rsidP="00681503">
      <w:r>
        <w:t xml:space="preserve">However, AGN </w:t>
      </w:r>
      <w:r w:rsidR="00856EAD">
        <w:t>conditionally proposed</w:t>
      </w:r>
      <w:r>
        <w:t xml:space="preserve"> an amended version of its significant extension event</w:t>
      </w:r>
      <w:r w:rsidR="00D54C6E">
        <w:t xml:space="preserve"> should our final decision not include capex for </w:t>
      </w:r>
      <w:r w:rsidR="00A045E2">
        <w:t xml:space="preserve">the </w:t>
      </w:r>
      <w:r w:rsidR="00D54C6E">
        <w:t>proposed Mount Barker Extension:</w:t>
      </w:r>
    </w:p>
    <w:p w:rsidR="00D54C6E" w:rsidRDefault="00D54C6E" w:rsidP="00681503">
      <w:pPr>
        <w:pStyle w:val="AERquote"/>
      </w:pPr>
      <w:r>
        <w:t>'Significant extension event' means:</w:t>
      </w:r>
    </w:p>
    <w:p w:rsidR="00D54C6E" w:rsidRDefault="00D54C6E" w:rsidP="00681503">
      <w:pPr>
        <w:pStyle w:val="AERquote"/>
      </w:pPr>
      <w:r>
        <w:t>Approval by AGN's Board to proceed with a project to supply gas to the area of Mount Barker, where the capital expenditure for such a project over the regulatory period exceeds [$20m] and such expenditure has not been considered and approved by the AER at the time of revision of AGN's access arrangement proposal in 2016.</w:t>
      </w:r>
    </w:p>
    <w:p w:rsidR="0001354D" w:rsidRDefault="00B14279" w:rsidP="00681503">
      <w:r>
        <w:t>A submission from the South Australian</w:t>
      </w:r>
      <w:r w:rsidR="00A266B0">
        <w:t xml:space="preserve"> Minister for Mineral Resources and Energy, the Hon Tom Koutsantonis MP,  </w:t>
      </w:r>
      <w:r w:rsidR="0001354D" w:rsidRPr="0001354D">
        <w:t xml:space="preserve"> note</w:t>
      </w:r>
      <w:r w:rsidR="0001354D">
        <w:t>d</w:t>
      </w:r>
      <w:r w:rsidR="0001354D" w:rsidRPr="0001354D">
        <w:t xml:space="preserve"> the change in definition from AGN’s initial proposal and suggest</w:t>
      </w:r>
      <w:r w:rsidR="0001354D">
        <w:t>ed</w:t>
      </w:r>
      <w:r w:rsidR="0001354D" w:rsidRPr="0001354D">
        <w:t xml:space="preserve"> that </w:t>
      </w:r>
      <w:r w:rsidR="0001354D">
        <w:t>we give</w:t>
      </w:r>
      <w:r w:rsidR="0001354D" w:rsidRPr="0001354D">
        <w:t xml:space="preserve"> consideration to a monetary cap on this proposal as part of the pass through event, thereby limiting price uncertainty for consumers. Furthermore, in light of the complexity of the pre-construction matters,</w:t>
      </w:r>
      <w:r w:rsidR="0001354D">
        <w:t xml:space="preserve"> </w:t>
      </w:r>
      <w:r w:rsidR="00A266B0">
        <w:t xml:space="preserve">the Minister </w:t>
      </w:r>
      <w:r w:rsidR="0001354D">
        <w:t>su</w:t>
      </w:r>
      <w:r w:rsidR="00007B02">
        <w:t xml:space="preserve">ggested we </w:t>
      </w:r>
      <w:r w:rsidR="0001354D" w:rsidRPr="0001354D">
        <w:t>consider whether a cost pass through event may be beneficial in this circumstance and may provide a more targeted expenditure allowance</w:t>
      </w:r>
      <w:r w:rsidR="0001354D">
        <w:t>.</w:t>
      </w:r>
      <w:r w:rsidR="00B47F14">
        <w:rPr>
          <w:rStyle w:val="FootnoteReference"/>
        </w:rPr>
        <w:footnoteReference w:id="84"/>
      </w:r>
    </w:p>
    <w:p w:rsidR="00A229A8" w:rsidRDefault="00727593" w:rsidP="00727593">
      <w:r>
        <w:t xml:space="preserve">The reasons for our final decision </w:t>
      </w:r>
      <w:r w:rsidR="00795084" w:rsidRPr="00B47F14">
        <w:rPr>
          <w:rStyle w:val="AERbody"/>
        </w:rPr>
        <w:t xml:space="preserve">in relation to </w:t>
      </w:r>
      <w:r w:rsidRPr="00B47F14">
        <w:rPr>
          <w:rStyle w:val="AERbody"/>
        </w:rPr>
        <w:t>AGN's p</w:t>
      </w:r>
      <w:r>
        <w:t xml:space="preserve">roposed capex for the Mt Barker extension are set out in attachment 6 to this final decision. In short, we </w:t>
      </w:r>
      <w:r w:rsidR="009F079E">
        <w:t>are not satisfied that</w:t>
      </w:r>
      <w:r w:rsidR="00B14279">
        <w:t xml:space="preserve"> all of </w:t>
      </w:r>
      <w:r w:rsidR="009F079E">
        <w:t>AGN's</w:t>
      </w:r>
      <w:r>
        <w:t xml:space="preserve"> proposed expenditure on the Mount Barker extension</w:t>
      </w:r>
      <w:r w:rsidR="00CD75B9">
        <w:t xml:space="preserve"> in the 2016–21 access arrangement period</w:t>
      </w:r>
      <w:r>
        <w:t xml:space="preserve"> is conforming capex for the purposes of rule 79 of the NGR. We do not accept </w:t>
      </w:r>
      <w:r w:rsidR="00ED6E9D">
        <w:t xml:space="preserve">the </w:t>
      </w:r>
      <w:r>
        <w:t xml:space="preserve">submission that </w:t>
      </w:r>
      <w:r w:rsidR="00ED6E9D">
        <w:t>this means</w:t>
      </w:r>
      <w:r>
        <w:t xml:space="preserve"> a pass through event in the current period</w:t>
      </w:r>
      <w:r w:rsidR="005F519E">
        <w:t xml:space="preserve">—through which AGN </w:t>
      </w:r>
      <w:r w:rsidR="009F079E">
        <w:t>proposes it could</w:t>
      </w:r>
      <w:r w:rsidR="005F519E">
        <w:t xml:space="preserve"> ask us to reconsider this </w:t>
      </w:r>
      <w:r w:rsidR="009F079E">
        <w:t>element of its total forecast capex</w:t>
      </w:r>
      <w:r w:rsidR="005F519E">
        <w:t xml:space="preserve"> at a later date—</w:t>
      </w:r>
      <w:r>
        <w:t xml:space="preserve">is </w:t>
      </w:r>
      <w:r w:rsidR="00790295">
        <w:t xml:space="preserve">necessary </w:t>
      </w:r>
      <w:r w:rsidR="00A229A8">
        <w:t>or appropriate</w:t>
      </w:r>
      <w:r>
        <w:t>.</w:t>
      </w:r>
      <w:r w:rsidR="0094441D">
        <w:t xml:space="preserve">  The pass through mechanism provides an avenue for risk management where other strategies are unavailable or inefficient. Typically this would include low probability, high impact risks.</w:t>
      </w:r>
      <w:r w:rsidR="00B701A6">
        <w:t xml:space="preserve"> We do not accept that a decision by a service provider's board of directors to go ahead with an extension project is appropriate subject matter for a pass through.  </w:t>
      </w:r>
      <w:r w:rsidR="0094441D">
        <w:t xml:space="preserve"> </w:t>
      </w:r>
    </w:p>
    <w:p w:rsidR="00E33714" w:rsidRPr="00E33714" w:rsidRDefault="00E33714" w:rsidP="00E33714">
      <w:r w:rsidRPr="00E33714">
        <w:t>Our assessment approach is guided by the NGO and the RPPs. These provide that the service provider should be provided with a reasonable opportunity to recover at least the efficient costs incurred in providing services and complying with a regulatory obligation or requirement.</w:t>
      </w:r>
      <w:r w:rsidRPr="00B47F14">
        <w:rPr>
          <w:rStyle w:val="FootnoteReference"/>
        </w:rPr>
        <w:footnoteReference w:id="85"/>
      </w:r>
      <w:r w:rsidRPr="00E33714">
        <w:t xml:space="preserve"> They also provide incentives to promote economic efficiency.</w:t>
      </w:r>
      <w:r w:rsidRPr="00B47F14">
        <w:rPr>
          <w:rStyle w:val="FootnoteReference"/>
        </w:rPr>
        <w:footnoteReference w:id="86"/>
      </w:r>
      <w:r w:rsidRPr="00E33714">
        <w:t xml:space="preserve"> Together, they promote a balance between the economic costs and risks </w:t>
      </w:r>
      <w:bookmarkEnd w:id="40"/>
      <w:r w:rsidRPr="00E33714">
        <w:t>of the potential for under and over investment by a service provider, to promote efficient investment.</w:t>
      </w:r>
      <w:r w:rsidRPr="00B47F14">
        <w:rPr>
          <w:rStyle w:val="FootnoteReference"/>
        </w:rPr>
        <w:footnoteReference w:id="87"/>
      </w:r>
      <w:r w:rsidRPr="00E33714">
        <w:t xml:space="preserve"> In the context of pass through events, we have particular regard to the impact on price, quality, safety, reliability and security of supply that may arise as a result of any change in the efficient operation of, and ability and incentive of, a service provider to invest in its network.</w:t>
      </w:r>
      <w:r w:rsidRPr="00B47F14">
        <w:rPr>
          <w:rStyle w:val="FootnoteReference"/>
        </w:rPr>
        <w:footnoteReference w:id="88"/>
      </w:r>
    </w:p>
    <w:p w:rsidR="004322E6" w:rsidRPr="00550B01" w:rsidRDefault="004322E6" w:rsidP="004322E6"/>
    <w:sectPr w:rsidR="004322E6" w:rsidRPr="00550B01" w:rsidSect="00B757A6">
      <w:headerReference w:type="even" r:id="rId179"/>
      <w:footerReference w:type="even" r:id="rId180"/>
      <w:footerReference w:type="default" r:id="rId181"/>
      <w:headerReference w:type="first" r:id="rId182"/>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5F9" w:rsidRPr="00290C63" w:rsidRDefault="006235F9" w:rsidP="00290C63">
      <w:r>
        <w:separator/>
      </w:r>
    </w:p>
    <w:p w:rsidR="006235F9" w:rsidRDefault="006235F9"/>
  </w:endnote>
  <w:endnote w:type="continuationSeparator" w:id="0">
    <w:p w:rsidR="006235F9" w:rsidRPr="00290C63" w:rsidRDefault="006235F9" w:rsidP="00290C63">
      <w:r>
        <w:continuationSeparator/>
      </w:r>
    </w:p>
    <w:p w:rsidR="006235F9" w:rsidRDefault="006235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5F9" w:rsidRDefault="006235F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6235F9" w:rsidRDefault="006235F9">
    <w:pPr>
      <w:pStyle w:val="Footer"/>
    </w:pPr>
  </w:p>
  <w:p w:rsidR="006235F9" w:rsidRDefault="006235F9">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6235F9" w:rsidRPr="00CA52A2" w:rsidRDefault="006235F9" w:rsidP="00CA52A2">
        <w:pPr>
          <w:pStyle w:val="Footer"/>
        </w:pPr>
        <w:r w:rsidRPr="00CA52A2">
          <w:fldChar w:fldCharType="begin"/>
        </w:r>
        <w:r>
          <w:instrText xml:space="preserve"> PAGE   \* MERGEFORMAT </w:instrText>
        </w:r>
        <w:r w:rsidRPr="00CA52A2">
          <w:fldChar w:fldCharType="separate"/>
        </w:r>
        <w:r w:rsidR="005F33DD">
          <w:rPr>
            <w:noProof/>
          </w:rPr>
          <w:t>11-26</w:t>
        </w:r>
        <w:r w:rsidRPr="00CA52A2">
          <w:fldChar w:fldCharType="end"/>
        </w:r>
        <w:r w:rsidRPr="00CA52A2">
          <w:t xml:space="preserve">          Attachment </w:t>
        </w:r>
        <w:r>
          <w:t xml:space="preserve">11 </w:t>
        </w:r>
        <w:r w:rsidRPr="00CA52A2">
          <w:t xml:space="preserve">– </w:t>
        </w:r>
        <w:r>
          <w:t>Reference tariff variation mechanism</w:t>
        </w:r>
        <w:r w:rsidRPr="00CA52A2">
          <w:t xml:space="preserve"> | </w:t>
        </w:r>
        <w:r>
          <w:t>Final decision: Australian Gas Networks Access Arrangement 2016</w:t>
        </w:r>
        <w:r w:rsidRPr="00CA52A2">
          <w:t>–</w:t>
        </w:r>
        <w:r>
          <w:t>21</w:t>
        </w:r>
      </w:p>
    </w:sdtContent>
  </w:sdt>
  <w:p w:rsidR="006235F9" w:rsidRDefault="006235F9">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5F9" w:rsidRPr="00290C63" w:rsidRDefault="006235F9" w:rsidP="00290C63">
      <w:r>
        <w:separator/>
      </w:r>
    </w:p>
    <w:p w:rsidR="006235F9" w:rsidRDefault="006235F9"/>
  </w:footnote>
  <w:footnote w:type="continuationSeparator" w:id="0">
    <w:p w:rsidR="006235F9" w:rsidRPr="00290C63" w:rsidRDefault="006235F9" w:rsidP="00290C63">
      <w:r>
        <w:continuationSeparator/>
      </w:r>
    </w:p>
    <w:p w:rsidR="006235F9" w:rsidRDefault="006235F9"/>
  </w:footnote>
  <w:footnote w:id="1">
    <w:p w:rsidR="006235F9" w:rsidRDefault="006235F9">
      <w:pPr>
        <w:pStyle w:val="FootnoteText"/>
      </w:pPr>
      <w:r>
        <w:rPr>
          <w:rStyle w:val="FootnoteReference"/>
        </w:rPr>
        <w:footnoteRef/>
      </w:r>
      <w:r>
        <w:t xml:space="preserve"> </w:t>
      </w:r>
      <w:r>
        <w:tab/>
      </w:r>
      <w:proofErr w:type="gramStart"/>
      <w:r>
        <w:t>AER,</w:t>
      </w:r>
      <w:proofErr w:type="gramEnd"/>
      <w:r>
        <w:t xml:space="preserve"> </w:t>
      </w:r>
      <w:r w:rsidRPr="00E95766">
        <w:rPr>
          <w:rStyle w:val="Emphasis"/>
        </w:rPr>
        <w:t>Approved Access Arrangement for AGN's South Australian Gas Distribution Network 1 July 2016-30 June 2021</w:t>
      </w:r>
      <w:r>
        <w:t xml:space="preserve">, </w:t>
      </w:r>
      <w:r w:rsidRPr="00E95766">
        <w:t>May 2016</w:t>
      </w:r>
      <w:r>
        <w:t>.</w:t>
      </w:r>
      <w:r w:rsidRPr="00E95766">
        <w:t xml:space="preserve"> </w:t>
      </w:r>
    </w:p>
  </w:footnote>
  <w:footnote w:id="2">
    <w:p w:rsidR="006235F9" w:rsidRDefault="006235F9">
      <w:pPr>
        <w:pStyle w:val="FootnoteText"/>
      </w:pPr>
      <w:r>
        <w:rPr>
          <w:rStyle w:val="FootnoteReference"/>
        </w:rPr>
        <w:footnoteRef/>
      </w:r>
      <w:r>
        <w:t xml:space="preserve"> </w:t>
      </w:r>
      <w:r>
        <w:tab/>
        <w:t>AGN</w:t>
      </w:r>
      <w:r w:rsidRPr="00E5257A">
        <w:rPr>
          <w:rStyle w:val="AERtextitalic"/>
        </w:rPr>
        <w:t xml:space="preserve">, Revised access arrangement information: Attachment </w:t>
      </w:r>
      <w:r>
        <w:rPr>
          <w:rStyle w:val="AERtextitalic"/>
        </w:rPr>
        <w:t>16</w:t>
      </w:r>
      <w:r w:rsidRPr="00E5257A">
        <w:rPr>
          <w:rStyle w:val="AERtextitalic"/>
        </w:rPr>
        <w:t>.</w:t>
      </w:r>
      <w:r>
        <w:rPr>
          <w:rStyle w:val="AERtextitalic"/>
        </w:rPr>
        <w:t>1</w:t>
      </w:r>
      <w:r w:rsidRPr="00E5257A">
        <w:rPr>
          <w:rStyle w:val="AERtextitalic"/>
        </w:rPr>
        <w:t xml:space="preserve"> – Response to d</w:t>
      </w:r>
      <w:r>
        <w:rPr>
          <w:rStyle w:val="AERtextitalic"/>
        </w:rPr>
        <w:t>raft decision: Tariff variation mechanisms</w:t>
      </w:r>
      <w:r>
        <w:t>, January 2016, pp. 4–5.</w:t>
      </w:r>
    </w:p>
  </w:footnote>
  <w:footnote w:id="3">
    <w:p w:rsidR="006235F9" w:rsidRDefault="006235F9">
      <w:pPr>
        <w:pStyle w:val="FootnoteText"/>
      </w:pPr>
      <w:r>
        <w:rPr>
          <w:rStyle w:val="FootnoteReference"/>
        </w:rPr>
        <w:footnoteRef/>
      </w:r>
      <w:r>
        <w:t xml:space="preserve"> </w:t>
      </w:r>
      <w:r>
        <w:tab/>
        <w:t xml:space="preserve">AER, </w:t>
      </w:r>
      <w:r w:rsidRPr="00D85D25">
        <w:rPr>
          <w:rStyle w:val="AERtextitalic"/>
        </w:rPr>
        <w:t>Draft decision: Australian Gas Networks Access Arrangement 2016 to 2021, Attachment 11 – Reference tariff variation mechanism</w:t>
      </w:r>
      <w:r>
        <w:t>, November 2015, pp. 6, 13–22.</w:t>
      </w:r>
    </w:p>
  </w:footnote>
  <w:footnote w:id="4">
    <w:p w:rsidR="006235F9" w:rsidRDefault="006235F9">
      <w:pPr>
        <w:pStyle w:val="FootnoteText"/>
      </w:pPr>
      <w:r>
        <w:rPr>
          <w:rStyle w:val="FootnoteReference"/>
        </w:rPr>
        <w:footnoteRef/>
      </w:r>
      <w:r>
        <w:t xml:space="preserve"> </w:t>
      </w:r>
      <w:r>
        <w:tab/>
        <w:t>AGN response to AER information request AGN 049, 23 March 2016.</w:t>
      </w:r>
    </w:p>
  </w:footnote>
  <w:footnote w:id="5">
    <w:p w:rsidR="006235F9" w:rsidRDefault="006235F9">
      <w:pPr>
        <w:pStyle w:val="FootnoteText"/>
      </w:pPr>
      <w:r>
        <w:rPr>
          <w:rStyle w:val="FootnoteReference"/>
        </w:rPr>
        <w:footnoteRef/>
      </w:r>
      <w:r>
        <w:t xml:space="preserve"> </w:t>
      </w:r>
      <w:r>
        <w:tab/>
      </w:r>
      <w:proofErr w:type="gramStart"/>
      <w:r>
        <w:t>NGR, r. 59(2).</w:t>
      </w:r>
      <w:proofErr w:type="gramEnd"/>
    </w:p>
  </w:footnote>
  <w:footnote w:id="6">
    <w:p w:rsidR="006235F9" w:rsidRDefault="006235F9" w:rsidP="00AD788E">
      <w:pPr>
        <w:pStyle w:val="FootnoteText"/>
      </w:pPr>
      <w:r>
        <w:rPr>
          <w:rStyle w:val="FootnoteReference"/>
        </w:rPr>
        <w:footnoteRef/>
      </w:r>
      <w:r>
        <w:t xml:space="preserve"> </w:t>
      </w:r>
      <w:r>
        <w:tab/>
      </w:r>
      <w:proofErr w:type="gramStart"/>
      <w:r>
        <w:t>NGR, r. 60(2).</w:t>
      </w:r>
      <w:proofErr w:type="gramEnd"/>
    </w:p>
  </w:footnote>
  <w:footnote w:id="7">
    <w:p w:rsidR="006235F9" w:rsidRDefault="006235F9">
      <w:pPr>
        <w:pStyle w:val="FootnoteText"/>
      </w:pPr>
      <w:r>
        <w:rPr>
          <w:rStyle w:val="FootnoteReference"/>
        </w:rPr>
        <w:footnoteRef/>
      </w:r>
      <w:r>
        <w:t xml:space="preserve"> </w:t>
      </w:r>
      <w:r>
        <w:tab/>
        <w:t xml:space="preserve">NGR, </w:t>
      </w:r>
      <w:proofErr w:type="gramStart"/>
      <w:r>
        <w:t>rr</w:t>
      </w:r>
      <w:proofErr w:type="gramEnd"/>
      <w:r>
        <w:t xml:space="preserve">. </w:t>
      </w:r>
      <w:proofErr w:type="gramStart"/>
      <w:r>
        <w:t>59(3), 60(1).</w:t>
      </w:r>
      <w:proofErr w:type="gramEnd"/>
    </w:p>
  </w:footnote>
  <w:footnote w:id="8">
    <w:p w:rsidR="006235F9" w:rsidRDefault="006235F9">
      <w:pPr>
        <w:pStyle w:val="FootnoteText"/>
      </w:pPr>
      <w:r>
        <w:rPr>
          <w:rStyle w:val="FootnoteReference"/>
        </w:rPr>
        <w:footnoteRef/>
      </w:r>
      <w:r>
        <w:t xml:space="preserve"> </w:t>
      </w:r>
      <w:r>
        <w:tab/>
        <w:t xml:space="preserve">AER, </w:t>
      </w:r>
      <w:r w:rsidRPr="00D85D25">
        <w:rPr>
          <w:rStyle w:val="AERtextitalic"/>
        </w:rPr>
        <w:t>Draft decision: Australian Gas Networks Access Arrangement 2016 to 2021, Attachment 11 – Reference tariff variation mechanism</w:t>
      </w:r>
      <w:r>
        <w:t>, November 2015, p. 11</w:t>
      </w:r>
      <w:r w:rsidR="00872C03">
        <w:t>-</w:t>
      </w:r>
      <w:r>
        <w:t>38 (Revision 11.1).</w:t>
      </w:r>
    </w:p>
  </w:footnote>
  <w:footnote w:id="9">
    <w:p w:rsidR="006235F9" w:rsidRDefault="006235F9">
      <w:pPr>
        <w:pStyle w:val="FootnoteText"/>
      </w:pPr>
      <w:r>
        <w:rPr>
          <w:rStyle w:val="FootnoteReference"/>
        </w:rPr>
        <w:footnoteRef/>
      </w:r>
      <w:r>
        <w:t xml:space="preserve"> </w:t>
      </w:r>
      <w:r>
        <w:tab/>
        <w:t xml:space="preserve">AER, </w:t>
      </w:r>
      <w:r w:rsidRPr="00D85D25">
        <w:rPr>
          <w:rStyle w:val="AERtextitalic"/>
        </w:rPr>
        <w:t>Draft decision: Australian Gas Networks Access Arrangement 2016 to 2021, Attachment 11 – Reference tariff variation mechanism</w:t>
      </w:r>
      <w:r>
        <w:t>, November 2015, p. 11</w:t>
      </w:r>
      <w:r w:rsidR="00872C03">
        <w:t>-</w:t>
      </w:r>
      <w:r>
        <w:t>38 (Revision 11.2).</w:t>
      </w:r>
    </w:p>
  </w:footnote>
  <w:footnote w:id="10">
    <w:p w:rsidR="006235F9" w:rsidRDefault="006235F9">
      <w:pPr>
        <w:pStyle w:val="FootnoteText"/>
      </w:pPr>
      <w:r>
        <w:rPr>
          <w:rStyle w:val="FootnoteReference"/>
        </w:rPr>
        <w:footnoteRef/>
      </w:r>
      <w:r>
        <w:t xml:space="preserve"> </w:t>
      </w:r>
      <w:r>
        <w:tab/>
        <w:t>AGN</w:t>
      </w:r>
      <w:r w:rsidRPr="00E5257A">
        <w:rPr>
          <w:rStyle w:val="AERtextitalic"/>
        </w:rPr>
        <w:t xml:space="preserve">, Revised access arrangement information: Attachment </w:t>
      </w:r>
      <w:r>
        <w:rPr>
          <w:rStyle w:val="AERtextitalic"/>
        </w:rPr>
        <w:t>16</w:t>
      </w:r>
      <w:r w:rsidRPr="00E5257A">
        <w:rPr>
          <w:rStyle w:val="AERtextitalic"/>
        </w:rPr>
        <w:t>.</w:t>
      </w:r>
      <w:r>
        <w:rPr>
          <w:rStyle w:val="AERtextitalic"/>
        </w:rPr>
        <w:t>1</w:t>
      </w:r>
      <w:r w:rsidRPr="00E5257A">
        <w:rPr>
          <w:rStyle w:val="AERtextitalic"/>
        </w:rPr>
        <w:t xml:space="preserve"> – Response to d</w:t>
      </w:r>
      <w:r>
        <w:rPr>
          <w:rStyle w:val="AERtextitalic"/>
        </w:rPr>
        <w:t>raft decision: Tariff variation mechanisms</w:t>
      </w:r>
      <w:r>
        <w:t>, January 2016, pp. 2–3.</w:t>
      </w:r>
    </w:p>
  </w:footnote>
  <w:footnote w:id="11">
    <w:p w:rsidR="006235F9" w:rsidRDefault="006235F9">
      <w:pPr>
        <w:pStyle w:val="FootnoteText"/>
      </w:pPr>
      <w:r>
        <w:rPr>
          <w:rStyle w:val="FootnoteReference"/>
        </w:rPr>
        <w:footnoteRef/>
      </w:r>
      <w:r>
        <w:t xml:space="preserve"> </w:t>
      </w:r>
      <w:r>
        <w:tab/>
        <w:t>AGN</w:t>
      </w:r>
      <w:r w:rsidRPr="00E5257A">
        <w:rPr>
          <w:rStyle w:val="AERtextitalic"/>
        </w:rPr>
        <w:t xml:space="preserve">, Revised access arrangement information: Attachment </w:t>
      </w:r>
      <w:r>
        <w:rPr>
          <w:rStyle w:val="AERtextitalic"/>
        </w:rPr>
        <w:t>16</w:t>
      </w:r>
      <w:r w:rsidRPr="00E5257A">
        <w:rPr>
          <w:rStyle w:val="AERtextitalic"/>
        </w:rPr>
        <w:t>.</w:t>
      </w:r>
      <w:r>
        <w:rPr>
          <w:rStyle w:val="AERtextitalic"/>
        </w:rPr>
        <w:t>1</w:t>
      </w:r>
      <w:r w:rsidRPr="00E5257A">
        <w:rPr>
          <w:rStyle w:val="AERtextitalic"/>
        </w:rPr>
        <w:t xml:space="preserve"> – Response to d</w:t>
      </w:r>
      <w:r>
        <w:rPr>
          <w:rStyle w:val="AERtextitalic"/>
        </w:rPr>
        <w:t>raft decision: Tariff variation mechanisms</w:t>
      </w:r>
      <w:r>
        <w:t>, January 2016, pp. 3–5.</w:t>
      </w:r>
    </w:p>
  </w:footnote>
  <w:footnote w:id="12">
    <w:p w:rsidR="006235F9" w:rsidRDefault="006235F9">
      <w:pPr>
        <w:pStyle w:val="FootnoteText"/>
      </w:pPr>
      <w:r>
        <w:rPr>
          <w:rStyle w:val="FootnoteReference"/>
        </w:rPr>
        <w:footnoteRef/>
      </w:r>
      <w:r>
        <w:t xml:space="preserve"> </w:t>
      </w:r>
      <w:r>
        <w:tab/>
        <w:t xml:space="preserve">AER, </w:t>
      </w:r>
      <w:r w:rsidRPr="00D85D25">
        <w:rPr>
          <w:rStyle w:val="AERtextitalic"/>
        </w:rPr>
        <w:t>Draft decision: Australian Gas Networks Access Arrangement 2016 to 2021, Attachment 11 – Reference tariff variation mechanism</w:t>
      </w:r>
      <w:r>
        <w:t>, November 2015, p. 11</w:t>
      </w:r>
      <w:r w:rsidR="00872C03">
        <w:t>-</w:t>
      </w:r>
      <w:r>
        <w:t>38 (Revision 11.3).</w:t>
      </w:r>
    </w:p>
  </w:footnote>
  <w:footnote w:id="13">
    <w:p w:rsidR="006235F9" w:rsidRDefault="006235F9" w:rsidP="00376160">
      <w:pPr>
        <w:pStyle w:val="FootnoteText"/>
      </w:pPr>
      <w:r>
        <w:rPr>
          <w:rStyle w:val="FootnoteReference"/>
        </w:rPr>
        <w:footnoteRef/>
      </w:r>
      <w:r>
        <w:t xml:space="preserve"> </w:t>
      </w:r>
      <w:r>
        <w:tab/>
        <w:t xml:space="preserve">AER, </w:t>
      </w:r>
      <w:r w:rsidRPr="00D85D25">
        <w:rPr>
          <w:rStyle w:val="AERtextitalic"/>
        </w:rPr>
        <w:t>Draft decision: Australian Gas Networks Access Arrangement 2016 to 2021, Attachment 11 – Reference tariff variation mechanism</w:t>
      </w:r>
      <w:r>
        <w:t>, November 2015, p. 11</w:t>
      </w:r>
      <w:r w:rsidR="00872C03">
        <w:t>-</w:t>
      </w:r>
      <w:r>
        <w:t>38 (Revision 11.3).</w:t>
      </w:r>
    </w:p>
  </w:footnote>
  <w:footnote w:id="14">
    <w:p w:rsidR="006235F9" w:rsidRDefault="006235F9">
      <w:pPr>
        <w:pStyle w:val="FootnoteText"/>
      </w:pPr>
      <w:r>
        <w:rPr>
          <w:rStyle w:val="FootnoteReference"/>
        </w:rPr>
        <w:footnoteRef/>
      </w:r>
      <w:r>
        <w:t xml:space="preserve"> </w:t>
      </w:r>
      <w:r>
        <w:tab/>
        <w:t xml:space="preserve">AER, </w:t>
      </w:r>
      <w:r w:rsidRPr="00D85D25">
        <w:rPr>
          <w:rStyle w:val="AERtextitalic"/>
        </w:rPr>
        <w:t>Draft decision: Australian Gas Networks Access Arrangement 2016 to 2021, Attachment 11 – Reference tariff variation mechanism</w:t>
      </w:r>
      <w:r>
        <w:t>, November 2015, p. 11</w:t>
      </w:r>
      <w:r w:rsidR="00872C03">
        <w:t>-</w:t>
      </w:r>
      <w:r>
        <w:t>38 (Revision 11.4).</w:t>
      </w:r>
    </w:p>
  </w:footnote>
  <w:footnote w:id="15">
    <w:p w:rsidR="006235F9" w:rsidRDefault="006235F9">
      <w:pPr>
        <w:pStyle w:val="FootnoteText"/>
      </w:pPr>
      <w:r>
        <w:rPr>
          <w:rStyle w:val="FootnoteReference"/>
        </w:rPr>
        <w:footnoteRef/>
      </w:r>
      <w:r>
        <w:t xml:space="preserve"> </w:t>
      </w:r>
      <w:r>
        <w:tab/>
        <w:t xml:space="preserve">AER, </w:t>
      </w:r>
      <w:r w:rsidRPr="00D85D25">
        <w:rPr>
          <w:rStyle w:val="AERtextitalic"/>
        </w:rPr>
        <w:t>Draft decision: Australian Gas Networks Access Arrangement 2016 to 2021, Attachment 11 – Reference tariff variation mechanism</w:t>
      </w:r>
      <w:r>
        <w:t>, November 2015, p. 11</w:t>
      </w:r>
      <w:r w:rsidR="00872C03">
        <w:t>-</w:t>
      </w:r>
      <w:r>
        <w:t>38 (Revision 11.5).</w:t>
      </w:r>
    </w:p>
  </w:footnote>
  <w:footnote w:id="16">
    <w:p w:rsidR="006235F9" w:rsidRDefault="006235F9">
      <w:pPr>
        <w:pStyle w:val="FootnoteText"/>
      </w:pPr>
      <w:r>
        <w:rPr>
          <w:rStyle w:val="FootnoteReference"/>
        </w:rPr>
        <w:footnoteRef/>
      </w:r>
      <w:r>
        <w:t xml:space="preserve"> </w:t>
      </w:r>
      <w:r>
        <w:tab/>
      </w:r>
      <w:proofErr w:type="gramStart"/>
      <w:r>
        <w:t>NGR, r. 92(2).</w:t>
      </w:r>
      <w:proofErr w:type="gramEnd"/>
    </w:p>
  </w:footnote>
  <w:footnote w:id="17">
    <w:p w:rsidR="006235F9" w:rsidRDefault="006235F9">
      <w:pPr>
        <w:pStyle w:val="FootnoteText"/>
      </w:pPr>
      <w:r>
        <w:rPr>
          <w:rStyle w:val="FootnoteReference"/>
        </w:rPr>
        <w:footnoteRef/>
      </w:r>
      <w:r>
        <w:t xml:space="preserve"> </w:t>
      </w:r>
      <w:r>
        <w:tab/>
      </w:r>
      <w:proofErr w:type="gramStart"/>
      <w:r>
        <w:t>NGR, r. 97(1).</w:t>
      </w:r>
      <w:proofErr w:type="gramEnd"/>
    </w:p>
  </w:footnote>
  <w:footnote w:id="18">
    <w:p w:rsidR="006235F9" w:rsidRDefault="006235F9">
      <w:pPr>
        <w:pStyle w:val="FootnoteText"/>
      </w:pPr>
      <w:r>
        <w:rPr>
          <w:rStyle w:val="FootnoteReference"/>
        </w:rPr>
        <w:footnoteRef/>
      </w:r>
      <w:r>
        <w:t xml:space="preserve"> </w:t>
      </w:r>
      <w:r>
        <w:tab/>
      </w:r>
      <w:proofErr w:type="gramStart"/>
      <w:r>
        <w:t>NGR, r. 97(2).</w:t>
      </w:r>
      <w:proofErr w:type="gramEnd"/>
    </w:p>
  </w:footnote>
  <w:footnote w:id="19">
    <w:p w:rsidR="006235F9" w:rsidRDefault="006235F9">
      <w:pPr>
        <w:pStyle w:val="FootnoteText"/>
      </w:pPr>
      <w:r>
        <w:rPr>
          <w:rStyle w:val="FootnoteReference"/>
        </w:rPr>
        <w:footnoteRef/>
      </w:r>
      <w:r>
        <w:t xml:space="preserve"> </w:t>
      </w:r>
      <w:r>
        <w:tab/>
      </w:r>
      <w:proofErr w:type="gramStart"/>
      <w:r>
        <w:t>NGR, r. 97(3).</w:t>
      </w:r>
      <w:proofErr w:type="gramEnd"/>
    </w:p>
  </w:footnote>
  <w:footnote w:id="20">
    <w:p w:rsidR="006235F9" w:rsidRDefault="006235F9">
      <w:pPr>
        <w:pStyle w:val="FootnoteText"/>
      </w:pPr>
      <w:r>
        <w:rPr>
          <w:rStyle w:val="FootnoteReference"/>
        </w:rPr>
        <w:footnoteRef/>
      </w:r>
      <w:r>
        <w:t xml:space="preserve"> </w:t>
      </w:r>
      <w:r>
        <w:tab/>
      </w:r>
      <w:proofErr w:type="gramStart"/>
      <w:r>
        <w:t>NGR, r. 97(4).</w:t>
      </w:r>
      <w:proofErr w:type="gramEnd"/>
    </w:p>
  </w:footnote>
  <w:footnote w:id="21">
    <w:p w:rsidR="006235F9" w:rsidRDefault="006235F9" w:rsidP="00672881">
      <w:pPr>
        <w:pStyle w:val="FootnoteText"/>
      </w:pPr>
      <w:r>
        <w:rPr>
          <w:rStyle w:val="FootnoteReference"/>
        </w:rPr>
        <w:footnoteRef/>
      </w:r>
      <w:r>
        <w:t xml:space="preserve"> </w:t>
      </w:r>
      <w:r>
        <w:tab/>
        <w:t>NGR, r. 97(3</w:t>
      </w:r>
      <w:proofErr w:type="gramStart"/>
      <w:r>
        <w:t>)(</w:t>
      </w:r>
      <w:proofErr w:type="gramEnd"/>
      <w:r>
        <w:t>e).</w:t>
      </w:r>
    </w:p>
  </w:footnote>
  <w:footnote w:id="22">
    <w:p w:rsidR="006235F9" w:rsidRDefault="006235F9">
      <w:pPr>
        <w:pStyle w:val="FootnoteText"/>
      </w:pPr>
      <w:r>
        <w:rPr>
          <w:rStyle w:val="FootnoteReference"/>
        </w:rPr>
        <w:footnoteRef/>
      </w:r>
      <w:r>
        <w:t xml:space="preserve"> </w:t>
      </w:r>
      <w:r>
        <w:tab/>
        <w:t xml:space="preserve">NGR, </w:t>
      </w:r>
      <w:proofErr w:type="gramStart"/>
      <w:r>
        <w:t>rr</w:t>
      </w:r>
      <w:proofErr w:type="gramEnd"/>
      <w:r>
        <w:t xml:space="preserve">. </w:t>
      </w:r>
      <w:proofErr w:type="gramStart"/>
      <w:r>
        <w:t>40(3), 92, 97.</w:t>
      </w:r>
      <w:proofErr w:type="gramEnd"/>
    </w:p>
  </w:footnote>
  <w:footnote w:id="23">
    <w:p w:rsidR="006235F9" w:rsidRDefault="006235F9" w:rsidP="00567B4A">
      <w:pPr>
        <w:pStyle w:val="FootnoteText"/>
      </w:pPr>
      <w:r>
        <w:rPr>
          <w:rStyle w:val="FootnoteReference"/>
        </w:rPr>
        <w:footnoteRef/>
      </w:r>
      <w:r>
        <w:t xml:space="preserve"> </w:t>
      </w:r>
      <w:r>
        <w:tab/>
        <w:t>NGR, r. 97(1</w:t>
      </w:r>
      <w:proofErr w:type="gramStart"/>
      <w:r>
        <w:t>)(</w:t>
      </w:r>
      <w:proofErr w:type="gramEnd"/>
      <w:r>
        <w:t>c).</w:t>
      </w:r>
    </w:p>
  </w:footnote>
  <w:footnote w:id="24">
    <w:p w:rsidR="006235F9" w:rsidRDefault="006235F9" w:rsidP="00567B4A">
      <w:pPr>
        <w:pStyle w:val="FootnoteText"/>
      </w:pPr>
      <w:r>
        <w:rPr>
          <w:rStyle w:val="FootnoteReference"/>
        </w:rPr>
        <w:footnoteRef/>
      </w:r>
      <w:r>
        <w:t xml:space="preserve"> </w:t>
      </w:r>
      <w:r>
        <w:tab/>
      </w:r>
      <w:proofErr w:type="gramStart"/>
      <w:r>
        <w:t>NGL, s. 24(2)</w:t>
      </w:r>
      <w:r w:rsidRPr="00CE34CA">
        <w:t>.</w:t>
      </w:r>
      <w:proofErr w:type="gramEnd"/>
    </w:p>
  </w:footnote>
  <w:footnote w:id="25">
    <w:p w:rsidR="006235F9" w:rsidRDefault="006235F9" w:rsidP="00567B4A">
      <w:pPr>
        <w:pStyle w:val="FootnoteText"/>
      </w:pPr>
      <w:r>
        <w:rPr>
          <w:rStyle w:val="FootnoteReference"/>
        </w:rPr>
        <w:footnoteRef/>
      </w:r>
      <w:r>
        <w:t xml:space="preserve"> </w:t>
      </w:r>
      <w:r>
        <w:tab/>
      </w:r>
      <w:proofErr w:type="gramStart"/>
      <w:r>
        <w:t>NGL, s. 24(3).</w:t>
      </w:r>
      <w:proofErr w:type="gramEnd"/>
    </w:p>
  </w:footnote>
  <w:footnote w:id="26">
    <w:p w:rsidR="006235F9" w:rsidRDefault="006235F9" w:rsidP="00567B4A">
      <w:pPr>
        <w:pStyle w:val="FootnoteText"/>
      </w:pPr>
      <w:r>
        <w:rPr>
          <w:rStyle w:val="FootnoteReference"/>
        </w:rPr>
        <w:footnoteRef/>
      </w:r>
      <w:r>
        <w:t xml:space="preserve"> </w:t>
      </w:r>
      <w:r>
        <w:tab/>
      </w:r>
      <w:proofErr w:type="gramStart"/>
      <w:r>
        <w:t>NGL, s. 24</w:t>
      </w:r>
      <w:r w:rsidRPr="005D0FD3">
        <w:t>(6)</w:t>
      </w:r>
      <w:r>
        <w:t>.</w:t>
      </w:r>
      <w:proofErr w:type="gramEnd"/>
    </w:p>
  </w:footnote>
  <w:footnote w:id="27">
    <w:p w:rsidR="006235F9" w:rsidRDefault="006235F9" w:rsidP="00567B4A">
      <w:pPr>
        <w:pStyle w:val="FootnoteText"/>
      </w:pPr>
      <w:r>
        <w:rPr>
          <w:rStyle w:val="FootnoteReference"/>
        </w:rPr>
        <w:footnoteRef/>
      </w:r>
      <w:r>
        <w:t xml:space="preserve"> </w:t>
      </w:r>
      <w:r>
        <w:tab/>
        <w:t xml:space="preserve">NGL, s. 23; See also AEMC 2012, </w:t>
      </w:r>
      <w:r>
        <w:rPr>
          <w:i/>
        </w:rPr>
        <w:t xml:space="preserve">Cost pass through arrangements for Network Service Providers, Rule Determination, </w:t>
      </w:r>
      <w:r>
        <w:t>2 August 2012, Sydney, p. 6.</w:t>
      </w:r>
    </w:p>
  </w:footnote>
  <w:footnote w:id="28">
    <w:p w:rsidR="006235F9" w:rsidRDefault="006235F9">
      <w:pPr>
        <w:pStyle w:val="FootnoteText"/>
      </w:pPr>
      <w:r>
        <w:rPr>
          <w:rStyle w:val="FootnoteReference"/>
        </w:rPr>
        <w:footnoteRef/>
      </w:r>
      <w:r>
        <w:t xml:space="preserve"> </w:t>
      </w:r>
      <w:r>
        <w:tab/>
        <w:t>NGR, r. 97(3</w:t>
      </w:r>
      <w:proofErr w:type="gramStart"/>
      <w:r>
        <w:t>)(</w:t>
      </w:r>
      <w:proofErr w:type="gramEnd"/>
      <w:r>
        <w:t xml:space="preserve">e). </w:t>
      </w:r>
    </w:p>
  </w:footnote>
  <w:footnote w:id="29">
    <w:p w:rsidR="006235F9" w:rsidRDefault="006235F9">
      <w:pPr>
        <w:pStyle w:val="FootnoteText"/>
      </w:pPr>
      <w:r>
        <w:rPr>
          <w:rStyle w:val="FootnoteReference"/>
        </w:rPr>
        <w:footnoteRef/>
      </w:r>
      <w:r>
        <w:t xml:space="preserve"> </w:t>
      </w:r>
      <w:r>
        <w:tab/>
        <w:t>For example, rule 531 of the NGR provides for pass through of unpaid distribution service charges if a retailer insolvency event occurs.</w:t>
      </w:r>
    </w:p>
  </w:footnote>
  <w:footnote w:id="30">
    <w:p w:rsidR="006235F9" w:rsidRDefault="006235F9">
      <w:pPr>
        <w:pStyle w:val="FootnoteText"/>
      </w:pPr>
      <w:r>
        <w:rPr>
          <w:rStyle w:val="FootnoteReference"/>
        </w:rPr>
        <w:footnoteRef/>
      </w:r>
      <w:r>
        <w:t xml:space="preserve"> </w:t>
      </w:r>
      <w:r>
        <w:tab/>
      </w:r>
      <w:proofErr w:type="gramStart"/>
      <w:r w:rsidRPr="00930CEF">
        <w:t>NER, cl</w:t>
      </w:r>
      <w:r>
        <w:t>l</w:t>
      </w:r>
      <w:r w:rsidRPr="00930CEF">
        <w:t>.</w:t>
      </w:r>
      <w:proofErr w:type="gramEnd"/>
      <w:r w:rsidRPr="00930CEF">
        <w:t xml:space="preserve"> 6.5.10(b)</w:t>
      </w:r>
      <w:r>
        <w:t xml:space="preserve">, </w:t>
      </w:r>
      <w:proofErr w:type="gramStart"/>
      <w:r>
        <w:t>6A.6.9(</w:t>
      </w:r>
      <w:proofErr w:type="gramEnd"/>
      <w:r>
        <w:t>b)</w:t>
      </w:r>
      <w:r w:rsidRPr="00930CEF">
        <w:t xml:space="preserve">; NER </w:t>
      </w:r>
      <w:r>
        <w:t>Chapter 10: G</w:t>
      </w:r>
      <w:r w:rsidRPr="00930CEF">
        <w:t>lossary, definition of 'nominated pass through event considerations'</w:t>
      </w:r>
      <w:r>
        <w:t>.</w:t>
      </w:r>
    </w:p>
  </w:footnote>
  <w:footnote w:id="31">
    <w:p w:rsidR="006235F9" w:rsidRDefault="006235F9" w:rsidP="00326894">
      <w:pPr>
        <w:pStyle w:val="FootnoteText"/>
      </w:pPr>
      <w:r>
        <w:rPr>
          <w:rStyle w:val="FootnoteReference"/>
        </w:rPr>
        <w:footnoteRef/>
      </w:r>
      <w:r>
        <w:t xml:space="preserve"> </w:t>
      </w:r>
      <w:r>
        <w:tab/>
      </w:r>
      <w:proofErr w:type="gramStart"/>
      <w:r>
        <w:t>NGR, r. 100(1).</w:t>
      </w:r>
      <w:proofErr w:type="gramEnd"/>
    </w:p>
  </w:footnote>
  <w:footnote w:id="32">
    <w:p w:rsidR="006235F9" w:rsidRDefault="006235F9" w:rsidP="00567B4A">
      <w:pPr>
        <w:pStyle w:val="FootnoteText"/>
      </w:pPr>
      <w:r>
        <w:rPr>
          <w:rStyle w:val="FootnoteReference"/>
        </w:rPr>
        <w:footnoteRef/>
      </w:r>
      <w:r>
        <w:t xml:space="preserve"> </w:t>
      </w:r>
      <w:r>
        <w:tab/>
      </w:r>
      <w:proofErr w:type="gramStart"/>
      <w:r>
        <w:t xml:space="preserve">AEMC 2012, </w:t>
      </w:r>
      <w:r>
        <w:rPr>
          <w:i/>
        </w:rPr>
        <w:t xml:space="preserve">Cost pass through arrangements for Network Service Providers, Rule Determination, </w:t>
      </w:r>
      <w:r>
        <w:t>2 August 2012, Sydney, p. 19.</w:t>
      </w:r>
      <w:proofErr w:type="gramEnd"/>
    </w:p>
  </w:footnote>
  <w:footnote w:id="33">
    <w:p w:rsidR="006235F9" w:rsidRDefault="006235F9" w:rsidP="00567B4A">
      <w:pPr>
        <w:pStyle w:val="FootnoteText"/>
      </w:pPr>
      <w:r>
        <w:rPr>
          <w:rStyle w:val="FootnoteReference"/>
        </w:rPr>
        <w:footnoteRef/>
      </w:r>
      <w:r>
        <w:t xml:space="preserve"> </w:t>
      </w:r>
      <w:r>
        <w:tab/>
      </w:r>
      <w:proofErr w:type="gramStart"/>
      <w:r>
        <w:t xml:space="preserve">AEMC 2012, </w:t>
      </w:r>
      <w:r>
        <w:rPr>
          <w:i/>
        </w:rPr>
        <w:t xml:space="preserve">Cost pass through arrangements for Network Service Providers, Rule Determination, </w:t>
      </w:r>
      <w:r>
        <w:t>2 August 2012, Sydney, p. 20.</w:t>
      </w:r>
      <w:proofErr w:type="gramEnd"/>
    </w:p>
  </w:footnote>
  <w:footnote w:id="34">
    <w:p w:rsidR="006235F9" w:rsidRDefault="006235F9" w:rsidP="00567B4A">
      <w:pPr>
        <w:pStyle w:val="FootnoteText"/>
      </w:pPr>
      <w:r>
        <w:rPr>
          <w:rStyle w:val="FootnoteReference"/>
        </w:rPr>
        <w:footnoteRef/>
      </w:r>
      <w:r>
        <w:t xml:space="preserve"> </w:t>
      </w:r>
      <w:r>
        <w:tab/>
        <w:t xml:space="preserve">NGL, s. 24(3); AEMC 2012, </w:t>
      </w:r>
      <w:r>
        <w:rPr>
          <w:i/>
        </w:rPr>
        <w:t xml:space="preserve">Cost pass through arrangements for Network Service Providers, Rule Determination, </w:t>
      </w:r>
      <w:r>
        <w:t>2 August 2012, Sydney, p.</w:t>
      </w:r>
      <w:r w:rsidR="00872C03">
        <w:t xml:space="preserve"> </w:t>
      </w:r>
      <w:r>
        <w:t>8.</w:t>
      </w:r>
    </w:p>
  </w:footnote>
  <w:footnote w:id="35">
    <w:p w:rsidR="006235F9" w:rsidRDefault="006235F9" w:rsidP="00567B4A">
      <w:pPr>
        <w:pStyle w:val="FootnoteText"/>
      </w:pPr>
      <w:r>
        <w:rPr>
          <w:rStyle w:val="FootnoteReference"/>
        </w:rPr>
        <w:footnoteRef/>
      </w:r>
      <w:r>
        <w:t xml:space="preserve"> </w:t>
      </w:r>
      <w:r>
        <w:tab/>
        <w:t xml:space="preserve">NGL, s. 23; AEMC 2012, </w:t>
      </w:r>
      <w:r>
        <w:rPr>
          <w:i/>
        </w:rPr>
        <w:t xml:space="preserve">Cost pass through arrangements for Network Service Providers, Rule Determination, </w:t>
      </w:r>
      <w:r>
        <w:t>2 August 2012, Sydney, p.</w:t>
      </w:r>
      <w:r w:rsidR="00872C03">
        <w:t xml:space="preserve"> </w:t>
      </w:r>
      <w:r>
        <w:t>8.</w:t>
      </w:r>
    </w:p>
  </w:footnote>
  <w:footnote w:id="36">
    <w:p w:rsidR="006235F9" w:rsidRDefault="006235F9" w:rsidP="00567B4A">
      <w:pPr>
        <w:pStyle w:val="FootnoteText"/>
      </w:pPr>
      <w:r>
        <w:rPr>
          <w:rStyle w:val="FootnoteReference"/>
        </w:rPr>
        <w:footnoteRef/>
      </w:r>
      <w:r>
        <w:t xml:space="preserve"> </w:t>
      </w:r>
      <w:r>
        <w:tab/>
        <w:t>NGR, r. 97(3</w:t>
      </w:r>
      <w:proofErr w:type="gramStart"/>
      <w:r>
        <w:t>)(</w:t>
      </w:r>
      <w:proofErr w:type="gramEnd"/>
      <w:r>
        <w:t xml:space="preserve">e). </w:t>
      </w:r>
    </w:p>
  </w:footnote>
  <w:footnote w:id="37">
    <w:p w:rsidR="006235F9" w:rsidRDefault="006235F9" w:rsidP="00567B4A">
      <w:pPr>
        <w:pStyle w:val="FootnoteText"/>
      </w:pPr>
      <w:r>
        <w:rPr>
          <w:rStyle w:val="FootnoteReference"/>
        </w:rPr>
        <w:footnoteRef/>
      </w:r>
      <w:r>
        <w:t xml:space="preserve"> </w:t>
      </w:r>
      <w:r>
        <w:tab/>
      </w:r>
      <w:proofErr w:type="gramStart"/>
      <w:r>
        <w:t xml:space="preserve">AEMC 2012, </w:t>
      </w:r>
      <w:r>
        <w:rPr>
          <w:i/>
        </w:rPr>
        <w:t xml:space="preserve">Cost pass through arrangements for Network Service Providers, Rule Determination, </w:t>
      </w:r>
      <w:r>
        <w:t>2 August 2012, Sydney, p. 18.</w:t>
      </w:r>
      <w:proofErr w:type="gramEnd"/>
    </w:p>
  </w:footnote>
  <w:footnote w:id="38">
    <w:p w:rsidR="006235F9" w:rsidRDefault="006235F9" w:rsidP="00567B4A">
      <w:pPr>
        <w:pStyle w:val="FootnoteText"/>
      </w:pPr>
      <w:r>
        <w:rPr>
          <w:rStyle w:val="FootnoteReference"/>
        </w:rPr>
        <w:footnoteRef/>
      </w:r>
      <w:r>
        <w:t xml:space="preserve"> </w:t>
      </w:r>
      <w:r>
        <w:tab/>
        <w:t>NGR, r. 97(3</w:t>
      </w:r>
      <w:proofErr w:type="gramStart"/>
      <w:r>
        <w:t>)(</w:t>
      </w:r>
      <w:proofErr w:type="gramEnd"/>
      <w:r>
        <w:t>e).</w:t>
      </w:r>
    </w:p>
  </w:footnote>
  <w:footnote w:id="39">
    <w:p w:rsidR="006235F9" w:rsidRPr="00162BEE" w:rsidRDefault="006235F9" w:rsidP="00567B4A">
      <w:pPr>
        <w:pStyle w:val="FootnoteText"/>
      </w:pPr>
      <w:r>
        <w:rPr>
          <w:rStyle w:val="FootnoteReference"/>
        </w:rPr>
        <w:footnoteRef/>
      </w:r>
      <w:r>
        <w:t xml:space="preserve"> </w:t>
      </w:r>
      <w:r>
        <w:tab/>
      </w:r>
      <w:proofErr w:type="gramStart"/>
      <w:r>
        <w:t xml:space="preserve">AEMC 2012, </w:t>
      </w:r>
      <w:r>
        <w:rPr>
          <w:i/>
        </w:rPr>
        <w:t xml:space="preserve">Cost pass through arrangements for Network Service Providers, Rule Determination, </w:t>
      </w:r>
      <w:r>
        <w:t>2 August 2012, Sydney, p. 3.</w:t>
      </w:r>
      <w:proofErr w:type="gramEnd"/>
    </w:p>
  </w:footnote>
  <w:footnote w:id="40">
    <w:p w:rsidR="006235F9" w:rsidRDefault="006235F9" w:rsidP="00567B4A">
      <w:pPr>
        <w:pStyle w:val="FootnoteText"/>
      </w:pPr>
      <w:r>
        <w:rPr>
          <w:rStyle w:val="FootnoteReference"/>
        </w:rPr>
        <w:footnoteRef/>
      </w:r>
      <w:r>
        <w:t xml:space="preserve"> </w:t>
      </w:r>
      <w:r>
        <w:tab/>
        <w:t>NER, Chapter 10: Glossary, definition of ‘materially’.</w:t>
      </w:r>
    </w:p>
  </w:footnote>
  <w:footnote w:id="41">
    <w:p w:rsidR="006235F9" w:rsidRDefault="006235F9" w:rsidP="00567B4A">
      <w:pPr>
        <w:pStyle w:val="FootnoteText"/>
      </w:pPr>
      <w:r>
        <w:rPr>
          <w:rStyle w:val="FootnoteReference"/>
        </w:rPr>
        <w:footnoteRef/>
      </w:r>
      <w:r>
        <w:t xml:space="preserve"> </w:t>
      </w:r>
      <w:r>
        <w:tab/>
      </w:r>
      <w:proofErr w:type="gramStart"/>
      <w:r>
        <w:t>NER, c</w:t>
      </w:r>
      <w:r w:rsidR="00872C03">
        <w:t>l</w:t>
      </w:r>
      <w:r>
        <w:t>l.</w:t>
      </w:r>
      <w:proofErr w:type="gramEnd"/>
      <w:r>
        <w:t xml:space="preserve"> </w:t>
      </w:r>
      <w:proofErr w:type="gramStart"/>
      <w:r>
        <w:t>6A.7.3(</w:t>
      </w:r>
      <w:proofErr w:type="gramEnd"/>
      <w:r>
        <w:t>j) / 6.6.1(j).</w:t>
      </w:r>
    </w:p>
  </w:footnote>
  <w:footnote w:id="42">
    <w:p w:rsidR="006235F9" w:rsidRDefault="006235F9" w:rsidP="00595C31">
      <w:pPr>
        <w:pStyle w:val="FootnoteText"/>
      </w:pPr>
      <w:r>
        <w:rPr>
          <w:rStyle w:val="FootnoteReference"/>
        </w:rPr>
        <w:footnoteRef/>
      </w:r>
      <w:r>
        <w:t xml:space="preserve"> </w:t>
      </w:r>
      <w:r>
        <w:tab/>
        <w:t xml:space="preserve">Where actual demand across the 2016–21 access arrangement </w:t>
      </w:r>
      <w:proofErr w:type="gramStart"/>
      <w:r>
        <w:t>period</w:t>
      </w:r>
      <w:proofErr w:type="gramEnd"/>
      <w:r>
        <w:t xml:space="preserve"> varies from the demand forecast in the access arrangement, AGN's actual revenue will vary from the revenue allowance determined in our decision. In general, if actual demand is above forecast demand, AGN's actual revenue will be above forecast revenue, and vice versa.</w:t>
      </w:r>
    </w:p>
  </w:footnote>
  <w:footnote w:id="43">
    <w:p w:rsidR="006235F9" w:rsidRDefault="006235F9" w:rsidP="00595C31">
      <w:pPr>
        <w:pStyle w:val="FootnoteText"/>
      </w:pPr>
      <w:r>
        <w:rPr>
          <w:rStyle w:val="FootnoteReference"/>
        </w:rPr>
        <w:footnoteRef/>
      </w:r>
      <w:r>
        <w:t xml:space="preserve"> </w:t>
      </w:r>
      <w:r>
        <w:tab/>
      </w:r>
      <w:proofErr w:type="gramStart"/>
      <w:r>
        <w:t>NGR, r. 97(5).</w:t>
      </w:r>
      <w:proofErr w:type="gramEnd"/>
    </w:p>
  </w:footnote>
  <w:footnote w:id="44">
    <w:p w:rsidR="006235F9" w:rsidRDefault="006235F9">
      <w:pPr>
        <w:pStyle w:val="FootnoteText"/>
      </w:pPr>
      <w:r>
        <w:rPr>
          <w:rStyle w:val="FootnoteReference"/>
        </w:rPr>
        <w:footnoteRef/>
      </w:r>
      <w:r>
        <w:t xml:space="preserve"> </w:t>
      </w:r>
      <w:r>
        <w:tab/>
      </w:r>
      <w:proofErr w:type="gramStart"/>
      <w:r>
        <w:t>NGL, ss. 23, 24.</w:t>
      </w:r>
      <w:proofErr w:type="gramEnd"/>
    </w:p>
  </w:footnote>
  <w:footnote w:id="45">
    <w:p w:rsidR="006235F9" w:rsidRDefault="006235F9">
      <w:pPr>
        <w:pStyle w:val="FootnoteText"/>
      </w:pPr>
      <w:r>
        <w:rPr>
          <w:rStyle w:val="FootnoteReference"/>
        </w:rPr>
        <w:footnoteRef/>
      </w:r>
      <w:r>
        <w:t xml:space="preserve"> </w:t>
      </w:r>
      <w:r>
        <w:tab/>
        <w:t>See Attachment 7 (Operating expenditure) to this final decision.</w:t>
      </w:r>
    </w:p>
  </w:footnote>
  <w:footnote w:id="46">
    <w:p w:rsidR="006235F9" w:rsidRDefault="006235F9">
      <w:pPr>
        <w:pStyle w:val="FootnoteText"/>
      </w:pPr>
      <w:r>
        <w:rPr>
          <w:rStyle w:val="FootnoteReference"/>
        </w:rPr>
        <w:footnoteRef/>
      </w:r>
      <w:r>
        <w:t xml:space="preserve"> </w:t>
      </w:r>
      <w:r>
        <w:tab/>
      </w:r>
      <w:r w:rsidRPr="00AA537A">
        <w:t>AER</w:t>
      </w:r>
      <w:r>
        <w:t>,</w:t>
      </w:r>
      <w:r w:rsidRPr="00AA537A">
        <w:t xml:space="preserve"> </w:t>
      </w:r>
      <w:r w:rsidRPr="00AA537A">
        <w:rPr>
          <w:rStyle w:val="AERtextitalic"/>
        </w:rPr>
        <w:t xml:space="preserve">Approved Access Arrangement for AGN's South Australian Gas Distribution Network 1 July 2016–30 June 2021, </w:t>
      </w:r>
      <w:r w:rsidRPr="00E95766">
        <w:t>May2016</w:t>
      </w:r>
      <w:r w:rsidRPr="00AA537A">
        <w:t xml:space="preserve">, </w:t>
      </w:r>
      <w:r w:rsidRPr="00E269AE">
        <w:t>cl. 5.1(h)</w:t>
      </w:r>
      <w:r w:rsidRPr="00271C4A">
        <w:t>;</w:t>
      </w:r>
      <w:r w:rsidRPr="00AA537A">
        <w:t xml:space="preserve"> See</w:t>
      </w:r>
      <w:r>
        <w:t xml:space="preserve"> Attachment 9 (Efficiency carryover mechanism) to this final decision.</w:t>
      </w:r>
    </w:p>
  </w:footnote>
  <w:footnote w:id="47">
    <w:p w:rsidR="006235F9" w:rsidRDefault="006235F9">
      <w:pPr>
        <w:pStyle w:val="FootnoteText"/>
      </w:pPr>
      <w:r>
        <w:rPr>
          <w:rStyle w:val="FootnoteReference"/>
        </w:rPr>
        <w:footnoteRef/>
      </w:r>
      <w:r>
        <w:t xml:space="preserve"> </w:t>
      </w:r>
      <w:r>
        <w:tab/>
        <w:t>See Attachment 6 (Capital expenditure) to this final decision.</w:t>
      </w:r>
    </w:p>
  </w:footnote>
  <w:footnote w:id="48">
    <w:p w:rsidR="006235F9" w:rsidRDefault="006235F9">
      <w:pPr>
        <w:pStyle w:val="FootnoteText"/>
      </w:pPr>
      <w:r>
        <w:rPr>
          <w:rStyle w:val="FootnoteReference"/>
        </w:rPr>
        <w:footnoteRef/>
      </w:r>
      <w:r>
        <w:t xml:space="preserve"> </w:t>
      </w:r>
      <w:r>
        <w:tab/>
        <w:t>See Attachment 7 (Operating expenditure) to this final decision.</w:t>
      </w:r>
    </w:p>
  </w:footnote>
  <w:footnote w:id="49">
    <w:p w:rsidR="006235F9" w:rsidRDefault="006235F9">
      <w:pPr>
        <w:pStyle w:val="FootnoteText"/>
      </w:pPr>
      <w:r>
        <w:rPr>
          <w:rStyle w:val="FootnoteReference"/>
        </w:rPr>
        <w:footnoteRef/>
      </w:r>
      <w:r>
        <w:t xml:space="preserve"> </w:t>
      </w:r>
      <w:r>
        <w:tab/>
        <w:t>See Attachment 6 (Capital expenditure) to this final decision.</w:t>
      </w:r>
    </w:p>
  </w:footnote>
  <w:footnote w:id="50">
    <w:p w:rsidR="006235F9" w:rsidRDefault="006235F9">
      <w:pPr>
        <w:pStyle w:val="FootnoteText"/>
      </w:pPr>
      <w:r>
        <w:rPr>
          <w:rStyle w:val="FootnoteReference"/>
        </w:rPr>
        <w:footnoteRef/>
      </w:r>
      <w:r>
        <w:t xml:space="preserve"> </w:t>
      </w:r>
      <w:r>
        <w:tab/>
        <w:t>See Attachment 3 (Rate of return) to this final decision.</w:t>
      </w:r>
    </w:p>
  </w:footnote>
  <w:footnote w:id="51">
    <w:p w:rsidR="006235F9" w:rsidRDefault="006235F9" w:rsidP="00F26D31">
      <w:pPr>
        <w:pStyle w:val="FootnoteText"/>
      </w:pPr>
      <w:r>
        <w:rPr>
          <w:rStyle w:val="FootnoteReference"/>
        </w:rPr>
        <w:footnoteRef/>
      </w:r>
      <w:r>
        <w:t xml:space="preserve"> </w:t>
      </w:r>
      <w:r>
        <w:tab/>
        <w:t xml:space="preserve">This is consistent with the AEMC's conclusions in its review of the NER pass through arrangements. See: AEMC 2012, </w:t>
      </w:r>
      <w:r>
        <w:rPr>
          <w:i/>
        </w:rPr>
        <w:t xml:space="preserve">Cost pass through arrangements for Network Service Providers, Rule Determination, </w:t>
      </w:r>
      <w:r>
        <w:t>2 August 2012, Sydney, pp. 19–20.</w:t>
      </w:r>
    </w:p>
  </w:footnote>
  <w:footnote w:id="52">
    <w:p w:rsidR="006235F9" w:rsidRPr="00AA537A" w:rsidRDefault="006235F9" w:rsidP="00F26D31">
      <w:pPr>
        <w:pStyle w:val="FootnoteText"/>
      </w:pPr>
      <w:r>
        <w:rPr>
          <w:rStyle w:val="FootnoteReference"/>
        </w:rPr>
        <w:footnoteRef/>
      </w:r>
      <w:r>
        <w:t xml:space="preserve"> </w:t>
      </w:r>
      <w:r>
        <w:tab/>
      </w:r>
      <w:r w:rsidRPr="00AA537A">
        <w:t xml:space="preserve">AER, </w:t>
      </w:r>
      <w:r w:rsidRPr="00AA537A">
        <w:rPr>
          <w:rStyle w:val="AERtextitalic"/>
        </w:rPr>
        <w:t>Approved Access Arrangement for AGN's South Australian Gas Distribution Network 1 July 2016–30 June 2021</w:t>
      </w:r>
      <w:r>
        <w:t>, May</w:t>
      </w:r>
      <w:r w:rsidRPr="00AA537A">
        <w:t xml:space="preserve"> 2016</w:t>
      </w:r>
      <w:r w:rsidRPr="00271C4A">
        <w:t xml:space="preserve">, </w:t>
      </w:r>
      <w:r w:rsidRPr="00E269AE">
        <w:t>cl. 4.5</w:t>
      </w:r>
      <w:r w:rsidRPr="00271C4A">
        <w:t>, Definition</w:t>
      </w:r>
      <w:r w:rsidRPr="00AA537A">
        <w:t xml:space="preserve"> of 'materiality threshold'.</w:t>
      </w:r>
    </w:p>
  </w:footnote>
  <w:footnote w:id="53">
    <w:p w:rsidR="006235F9" w:rsidRDefault="006235F9" w:rsidP="00F26D31">
      <w:pPr>
        <w:pStyle w:val="FootnoteText"/>
      </w:pPr>
      <w:r w:rsidRPr="00AA537A">
        <w:rPr>
          <w:rStyle w:val="FootnoteReference"/>
        </w:rPr>
        <w:footnoteRef/>
      </w:r>
      <w:r w:rsidRPr="00AA537A">
        <w:t xml:space="preserve"> </w:t>
      </w:r>
      <w:r w:rsidRPr="00AA537A">
        <w:tab/>
        <w:t xml:space="preserve">AER, </w:t>
      </w:r>
      <w:r w:rsidRPr="00AA537A">
        <w:rPr>
          <w:rStyle w:val="AERtextitalic"/>
        </w:rPr>
        <w:t>Approved Access Arrangement, Access Arrangement for AGN's South Australian Gas Distribution Network 1 July 2016–30 June 2021</w:t>
      </w:r>
      <w:r>
        <w:t>, May</w:t>
      </w:r>
      <w:r w:rsidRPr="00AA537A">
        <w:t xml:space="preserve"> 2016, </w:t>
      </w:r>
      <w:r w:rsidRPr="00E269AE">
        <w:t>cl. 5.1(i)</w:t>
      </w:r>
      <w:r w:rsidRPr="00271C4A">
        <w:t>;</w:t>
      </w:r>
      <w:r w:rsidRPr="00AA537A">
        <w:t xml:space="preserve"> See Attachment </w:t>
      </w:r>
      <w:r>
        <w:t xml:space="preserve"> </w:t>
      </w:r>
      <w:r w:rsidRPr="00AA537A">
        <w:t>9 (Efficiency carryover mechanism) to this final decision.</w:t>
      </w:r>
      <w:r w:rsidRPr="00EA0C7F">
        <w:t xml:space="preserve"> </w:t>
      </w:r>
    </w:p>
  </w:footnote>
  <w:footnote w:id="54">
    <w:p w:rsidR="006235F9" w:rsidRDefault="006235F9" w:rsidP="00032E05">
      <w:pPr>
        <w:pStyle w:val="FootnoteText"/>
      </w:pPr>
      <w:r>
        <w:rPr>
          <w:rStyle w:val="FootnoteReference"/>
        </w:rPr>
        <w:footnoteRef/>
      </w:r>
      <w:r>
        <w:t xml:space="preserve"> </w:t>
      </w:r>
      <w:r>
        <w:tab/>
        <w:t>AGN</w:t>
      </w:r>
      <w:r w:rsidRPr="00E5257A">
        <w:rPr>
          <w:rStyle w:val="AERtextitalic"/>
        </w:rPr>
        <w:t xml:space="preserve">, Revised access arrangement information: Attachment </w:t>
      </w:r>
      <w:r>
        <w:rPr>
          <w:rStyle w:val="AERtextitalic"/>
        </w:rPr>
        <w:t>16</w:t>
      </w:r>
      <w:r w:rsidRPr="00E5257A">
        <w:rPr>
          <w:rStyle w:val="AERtextitalic"/>
        </w:rPr>
        <w:t>.</w:t>
      </w:r>
      <w:r>
        <w:rPr>
          <w:rStyle w:val="AERtextitalic"/>
        </w:rPr>
        <w:t>1</w:t>
      </w:r>
      <w:r w:rsidRPr="00E5257A">
        <w:rPr>
          <w:rStyle w:val="AERtextitalic"/>
        </w:rPr>
        <w:t xml:space="preserve"> – Response to d</w:t>
      </w:r>
      <w:r>
        <w:rPr>
          <w:rStyle w:val="AERtextitalic"/>
        </w:rPr>
        <w:t>raft decision: Tariff variation mechanisms</w:t>
      </w:r>
      <w:r>
        <w:t>, January 2016, pp. 2–3.</w:t>
      </w:r>
    </w:p>
  </w:footnote>
  <w:footnote w:id="55">
    <w:p w:rsidR="006235F9" w:rsidRDefault="006235F9" w:rsidP="005E5168">
      <w:pPr>
        <w:pStyle w:val="FootnoteText"/>
      </w:pPr>
      <w:r>
        <w:rPr>
          <w:rStyle w:val="FootnoteReference"/>
        </w:rPr>
        <w:footnoteRef/>
      </w:r>
      <w:r>
        <w:t xml:space="preserve"> </w:t>
      </w:r>
      <w:r>
        <w:tab/>
        <w:t xml:space="preserve">Energy Consumers Coalition of South Australia, </w:t>
      </w:r>
      <w:r w:rsidRPr="00C3308E">
        <w:rPr>
          <w:rStyle w:val="AERtextitalic"/>
        </w:rPr>
        <w:t>A response</w:t>
      </w:r>
      <w:r>
        <w:rPr>
          <w:rStyle w:val="AERtextitalic"/>
        </w:rPr>
        <w:t xml:space="preserve"> to the Australian Energy Regulator draft decision on Australian Gas Networks AA2016 revenue reset</w:t>
      </w:r>
      <w:r>
        <w:t>, February 2016, p. 42.</w:t>
      </w:r>
    </w:p>
  </w:footnote>
  <w:footnote w:id="56">
    <w:p w:rsidR="006235F9" w:rsidRDefault="006235F9">
      <w:pPr>
        <w:pStyle w:val="FootnoteText"/>
      </w:pPr>
      <w:r>
        <w:rPr>
          <w:rStyle w:val="FootnoteReference"/>
        </w:rPr>
        <w:footnoteRef/>
      </w:r>
      <w:r>
        <w:t xml:space="preserve"> </w:t>
      </w:r>
      <w:r>
        <w:tab/>
        <w:t xml:space="preserve">AER, </w:t>
      </w:r>
      <w:r w:rsidRPr="00D85D25">
        <w:rPr>
          <w:rStyle w:val="AERtextitalic"/>
        </w:rPr>
        <w:t xml:space="preserve">Draft decision: </w:t>
      </w:r>
      <w:r>
        <w:rPr>
          <w:rStyle w:val="AERtextitalic"/>
        </w:rPr>
        <w:t>Australian gas networks access arrangement:</w:t>
      </w:r>
      <w:r w:rsidRPr="00D85D25">
        <w:rPr>
          <w:rStyle w:val="AERtextitalic"/>
        </w:rPr>
        <w:t xml:space="preserve"> Attachment 11 – Reference tariff variation mechanism</w:t>
      </w:r>
      <w:r>
        <w:t>, November 2015, p. 14.</w:t>
      </w:r>
    </w:p>
  </w:footnote>
  <w:footnote w:id="57">
    <w:p w:rsidR="006235F9" w:rsidRDefault="006235F9">
      <w:pPr>
        <w:pStyle w:val="FootnoteText"/>
      </w:pPr>
      <w:r>
        <w:rPr>
          <w:rStyle w:val="FootnoteReference"/>
        </w:rPr>
        <w:footnoteRef/>
      </w:r>
      <w:r>
        <w:t xml:space="preserve"> </w:t>
      </w:r>
      <w:r>
        <w:tab/>
        <w:t xml:space="preserve">Energy Consumers Coalition of South Australia, </w:t>
      </w:r>
      <w:r w:rsidRPr="00C3308E">
        <w:rPr>
          <w:rStyle w:val="AERtextitalic"/>
        </w:rPr>
        <w:t>A response</w:t>
      </w:r>
      <w:r>
        <w:rPr>
          <w:rStyle w:val="AERtextitalic"/>
        </w:rPr>
        <w:t xml:space="preserve"> to the Australian Energy Regulator draft decision on Australian Gas Networks AA2016 revenue reset</w:t>
      </w:r>
      <w:r>
        <w:t>, February 2016, p. 42.</w:t>
      </w:r>
    </w:p>
  </w:footnote>
  <w:footnote w:id="58">
    <w:p w:rsidR="006235F9" w:rsidRDefault="006235F9">
      <w:pPr>
        <w:pStyle w:val="FootnoteText"/>
      </w:pPr>
      <w:r>
        <w:rPr>
          <w:rStyle w:val="FootnoteReference"/>
        </w:rPr>
        <w:footnoteRef/>
      </w:r>
      <w:r>
        <w:t xml:space="preserve"> </w:t>
      </w:r>
      <w:r>
        <w:tab/>
        <w:t xml:space="preserve">AER, </w:t>
      </w:r>
      <w:r w:rsidRPr="00D85D25">
        <w:rPr>
          <w:rStyle w:val="AERtextitalic"/>
        </w:rPr>
        <w:t xml:space="preserve">Draft decision: </w:t>
      </w:r>
      <w:r>
        <w:rPr>
          <w:rStyle w:val="AERtextitalic"/>
        </w:rPr>
        <w:t>Australian gas networks access arrangement:</w:t>
      </w:r>
      <w:r w:rsidRPr="00D85D25">
        <w:rPr>
          <w:rStyle w:val="AERtextitalic"/>
        </w:rPr>
        <w:t xml:space="preserve"> Attachment 11 – Reference tariff variation mechanism</w:t>
      </w:r>
      <w:r>
        <w:t>, November 2015, p. 14.</w:t>
      </w:r>
    </w:p>
  </w:footnote>
  <w:footnote w:id="59">
    <w:p w:rsidR="006235F9" w:rsidRDefault="006235F9" w:rsidP="00752D79">
      <w:pPr>
        <w:pStyle w:val="FootnoteText"/>
      </w:pPr>
      <w:r>
        <w:rPr>
          <w:rStyle w:val="FootnoteReference"/>
        </w:rPr>
        <w:footnoteRef/>
      </w:r>
      <w:r>
        <w:t xml:space="preserve"> </w:t>
      </w:r>
      <w:r>
        <w:tab/>
        <w:t xml:space="preserve">AER, </w:t>
      </w:r>
      <w:r w:rsidRPr="00D85D25">
        <w:rPr>
          <w:rStyle w:val="AERtextitalic"/>
        </w:rPr>
        <w:t xml:space="preserve">Draft decision: </w:t>
      </w:r>
      <w:r>
        <w:rPr>
          <w:rStyle w:val="AERtextitalic"/>
        </w:rPr>
        <w:t>Australian gas networks access arrangement:</w:t>
      </w:r>
      <w:r w:rsidRPr="00D85D25">
        <w:rPr>
          <w:rStyle w:val="AERtextitalic"/>
        </w:rPr>
        <w:t xml:space="preserve"> Attachment 11 – Reference tariff variation mechanism</w:t>
      </w:r>
      <w:r>
        <w:t>, November 2015, pp. 14–15.</w:t>
      </w:r>
    </w:p>
  </w:footnote>
  <w:footnote w:id="60">
    <w:p w:rsidR="006235F9" w:rsidRDefault="006235F9" w:rsidP="00752D79">
      <w:pPr>
        <w:pStyle w:val="FootnoteText"/>
      </w:pPr>
      <w:r>
        <w:rPr>
          <w:rStyle w:val="FootnoteReference"/>
        </w:rPr>
        <w:footnoteRef/>
      </w:r>
      <w:r>
        <w:t xml:space="preserve"> </w:t>
      </w:r>
      <w:r>
        <w:tab/>
        <w:t xml:space="preserve">AER, </w:t>
      </w:r>
      <w:r w:rsidRPr="00D85D25">
        <w:rPr>
          <w:rStyle w:val="AERtextitalic"/>
        </w:rPr>
        <w:t xml:space="preserve">Draft decision: </w:t>
      </w:r>
      <w:r>
        <w:rPr>
          <w:rStyle w:val="AERtextitalic"/>
        </w:rPr>
        <w:t>Australian gas networks access arrangement:</w:t>
      </w:r>
      <w:r w:rsidRPr="00D85D25">
        <w:rPr>
          <w:rStyle w:val="AERtextitalic"/>
        </w:rPr>
        <w:t xml:space="preserve"> Attachment 11 – Reference tariff variation mechanism</w:t>
      </w:r>
      <w:r>
        <w:t>, November 2015, pp. 14–15.</w:t>
      </w:r>
    </w:p>
  </w:footnote>
  <w:footnote w:id="61">
    <w:p w:rsidR="006235F9" w:rsidRDefault="006235F9" w:rsidP="009357D3">
      <w:pPr>
        <w:pStyle w:val="FootnoteText"/>
      </w:pPr>
      <w:r>
        <w:rPr>
          <w:rStyle w:val="FootnoteReference"/>
        </w:rPr>
        <w:footnoteRef/>
      </w:r>
      <w:r>
        <w:t xml:space="preserve"> </w:t>
      </w:r>
      <w:r>
        <w:tab/>
        <w:t>AGN</w:t>
      </w:r>
      <w:r w:rsidRPr="00E5257A">
        <w:rPr>
          <w:rStyle w:val="AERtextitalic"/>
        </w:rPr>
        <w:t xml:space="preserve">, Revised access arrangement information: Attachment </w:t>
      </w:r>
      <w:r>
        <w:rPr>
          <w:rStyle w:val="AERtextitalic"/>
        </w:rPr>
        <w:t>16</w:t>
      </w:r>
      <w:r w:rsidRPr="00E5257A">
        <w:rPr>
          <w:rStyle w:val="AERtextitalic"/>
        </w:rPr>
        <w:t>.</w:t>
      </w:r>
      <w:r>
        <w:rPr>
          <w:rStyle w:val="AERtextitalic"/>
        </w:rPr>
        <w:t>1</w:t>
      </w:r>
      <w:r w:rsidRPr="00E5257A">
        <w:rPr>
          <w:rStyle w:val="AERtextitalic"/>
        </w:rPr>
        <w:t xml:space="preserve"> – Response to d</w:t>
      </w:r>
      <w:r>
        <w:rPr>
          <w:rStyle w:val="AERtextitalic"/>
        </w:rPr>
        <w:t>raft decision: Tariff variation mechanisms</w:t>
      </w:r>
      <w:r>
        <w:t xml:space="preserve">, January 2016, </w:t>
      </w:r>
      <w:r w:rsidRPr="009357D3">
        <w:t>pp. 2–3.</w:t>
      </w:r>
    </w:p>
  </w:footnote>
  <w:footnote w:id="62">
    <w:p w:rsidR="006235F9" w:rsidRDefault="006235F9" w:rsidP="009357D3">
      <w:pPr>
        <w:pStyle w:val="FootnoteText"/>
      </w:pPr>
      <w:r>
        <w:rPr>
          <w:rStyle w:val="FootnoteReference"/>
        </w:rPr>
        <w:footnoteRef/>
      </w:r>
      <w:r>
        <w:t xml:space="preserve"> </w:t>
      </w:r>
      <w:r>
        <w:tab/>
        <w:t xml:space="preserve">Australian Gas Networks, </w:t>
      </w:r>
      <w:r w:rsidRPr="00196D51">
        <w:rPr>
          <w:rStyle w:val="AERtextitalic"/>
        </w:rPr>
        <w:t>Access arrangement for AGN's South Australian Gas Distribution Network 1 July 2016–30 June 2021</w:t>
      </w:r>
      <w:r>
        <w:t>, January 2016, clause 4.6.1.</w:t>
      </w:r>
    </w:p>
  </w:footnote>
  <w:footnote w:id="63">
    <w:p w:rsidR="006235F9" w:rsidRDefault="006235F9" w:rsidP="009357D3">
      <w:pPr>
        <w:pStyle w:val="FootnoteText"/>
      </w:pPr>
      <w:r>
        <w:rPr>
          <w:rStyle w:val="FootnoteReference"/>
        </w:rPr>
        <w:footnoteRef/>
      </w:r>
      <w:r>
        <w:t xml:space="preserve"> </w:t>
      </w:r>
      <w:r>
        <w:tab/>
        <w:t>AGN response to information request AER AGN 051: Tariff variation mechanism, 4 April 2016.</w:t>
      </w:r>
    </w:p>
  </w:footnote>
  <w:footnote w:id="64">
    <w:p w:rsidR="006235F9" w:rsidRDefault="006235F9" w:rsidP="00BD0218">
      <w:pPr>
        <w:pStyle w:val="FootnoteText"/>
      </w:pPr>
      <w:r>
        <w:rPr>
          <w:rStyle w:val="FootnoteReference"/>
        </w:rPr>
        <w:footnoteRef/>
      </w:r>
      <w:r>
        <w:t xml:space="preserve"> </w:t>
      </w:r>
      <w:r>
        <w:tab/>
        <w:t xml:space="preserve">AER, </w:t>
      </w:r>
      <w:r w:rsidRPr="00D85D25">
        <w:rPr>
          <w:rStyle w:val="AERtextitalic"/>
        </w:rPr>
        <w:t xml:space="preserve">Draft decision: </w:t>
      </w:r>
      <w:r>
        <w:rPr>
          <w:rStyle w:val="AERtextitalic"/>
        </w:rPr>
        <w:t>Australian gas networks access arrangement:</w:t>
      </w:r>
      <w:r w:rsidRPr="00D85D25">
        <w:rPr>
          <w:rStyle w:val="AERtextitalic"/>
        </w:rPr>
        <w:t xml:space="preserve"> Attachment 11 – Reference tariff variation mechanism</w:t>
      </w:r>
      <w:r>
        <w:t>, November 2015, pp. 15–21.</w:t>
      </w:r>
    </w:p>
  </w:footnote>
  <w:footnote w:id="65">
    <w:p w:rsidR="006235F9" w:rsidRDefault="006235F9" w:rsidP="001E6D5F">
      <w:pPr>
        <w:pStyle w:val="FootnoteText"/>
      </w:pPr>
      <w:r>
        <w:rPr>
          <w:rStyle w:val="FootnoteReference"/>
        </w:rPr>
        <w:footnoteRef/>
      </w:r>
      <w:r>
        <w:t xml:space="preserve"> </w:t>
      </w:r>
      <w:r>
        <w:tab/>
        <w:t>AGN</w:t>
      </w:r>
      <w:r w:rsidRPr="00E5257A">
        <w:rPr>
          <w:rStyle w:val="AERtextitalic"/>
        </w:rPr>
        <w:t xml:space="preserve">, Revised access arrangement information: Attachment </w:t>
      </w:r>
      <w:r>
        <w:rPr>
          <w:rStyle w:val="AERtextitalic"/>
        </w:rPr>
        <w:t>16</w:t>
      </w:r>
      <w:r w:rsidRPr="00E5257A">
        <w:rPr>
          <w:rStyle w:val="AERtextitalic"/>
        </w:rPr>
        <w:t>.</w:t>
      </w:r>
      <w:r>
        <w:rPr>
          <w:rStyle w:val="AERtextitalic"/>
        </w:rPr>
        <w:t>1</w:t>
      </w:r>
      <w:r w:rsidRPr="00E5257A">
        <w:rPr>
          <w:rStyle w:val="AERtextitalic"/>
        </w:rPr>
        <w:t xml:space="preserve"> – Response to d</w:t>
      </w:r>
      <w:r>
        <w:rPr>
          <w:rStyle w:val="AERtextitalic"/>
        </w:rPr>
        <w:t>raft decision: Tariff variation mechanisms</w:t>
      </w:r>
      <w:r>
        <w:t>, January 2016, pp. 2–3.</w:t>
      </w:r>
    </w:p>
  </w:footnote>
  <w:footnote w:id="66">
    <w:p w:rsidR="006235F9" w:rsidRDefault="006235F9" w:rsidP="00BD0218">
      <w:pPr>
        <w:pStyle w:val="FootnoteText"/>
      </w:pPr>
      <w:r>
        <w:rPr>
          <w:rStyle w:val="FootnoteReference"/>
        </w:rPr>
        <w:footnoteRef/>
      </w:r>
      <w:r>
        <w:t xml:space="preserve"> </w:t>
      </w:r>
      <w:r>
        <w:tab/>
        <w:t>AGN</w:t>
      </w:r>
      <w:r w:rsidRPr="00E5257A">
        <w:rPr>
          <w:rStyle w:val="AERtextitalic"/>
        </w:rPr>
        <w:t xml:space="preserve">, Revised access arrangement information: Attachment </w:t>
      </w:r>
      <w:r>
        <w:rPr>
          <w:rStyle w:val="AERtextitalic"/>
        </w:rPr>
        <w:t>16</w:t>
      </w:r>
      <w:r w:rsidRPr="00E5257A">
        <w:rPr>
          <w:rStyle w:val="AERtextitalic"/>
        </w:rPr>
        <w:t>.</w:t>
      </w:r>
      <w:r>
        <w:rPr>
          <w:rStyle w:val="AERtextitalic"/>
        </w:rPr>
        <w:t>1</w:t>
      </w:r>
      <w:r w:rsidRPr="00E5257A">
        <w:rPr>
          <w:rStyle w:val="AERtextitalic"/>
        </w:rPr>
        <w:t xml:space="preserve"> – Response to d</w:t>
      </w:r>
      <w:r>
        <w:rPr>
          <w:rStyle w:val="AERtextitalic"/>
        </w:rPr>
        <w:t>raft decision: Tariff variation mechanisms</w:t>
      </w:r>
      <w:r>
        <w:t>, January 2016, pp. 3–5.</w:t>
      </w:r>
    </w:p>
  </w:footnote>
  <w:footnote w:id="67">
    <w:p w:rsidR="006235F9" w:rsidRDefault="006235F9">
      <w:pPr>
        <w:pStyle w:val="FootnoteText"/>
      </w:pPr>
      <w:r>
        <w:rPr>
          <w:rStyle w:val="FootnoteReference"/>
        </w:rPr>
        <w:footnoteRef/>
      </w:r>
      <w:r>
        <w:t xml:space="preserve"> </w:t>
      </w:r>
      <w:r>
        <w:tab/>
        <w:t>NGR, r. 97(3</w:t>
      </w:r>
      <w:proofErr w:type="gramStart"/>
      <w:r>
        <w:t>)(</w:t>
      </w:r>
      <w:proofErr w:type="gramEnd"/>
      <w:r>
        <w:t>d).</w:t>
      </w:r>
    </w:p>
  </w:footnote>
  <w:footnote w:id="68">
    <w:p w:rsidR="006235F9" w:rsidRDefault="006235F9">
      <w:pPr>
        <w:pStyle w:val="FootnoteText"/>
      </w:pPr>
      <w:r>
        <w:rPr>
          <w:rStyle w:val="FootnoteReference"/>
        </w:rPr>
        <w:footnoteRef/>
      </w:r>
      <w:r>
        <w:t xml:space="preserve"> </w:t>
      </w:r>
      <w:r>
        <w:tab/>
        <w:t>NGR, r. 97(3</w:t>
      </w:r>
      <w:proofErr w:type="gramStart"/>
      <w:r>
        <w:t>)(</w:t>
      </w:r>
      <w:proofErr w:type="gramEnd"/>
      <w:r>
        <w:t>d).</w:t>
      </w:r>
    </w:p>
  </w:footnote>
  <w:footnote w:id="69">
    <w:p w:rsidR="006235F9" w:rsidRDefault="006235F9" w:rsidP="007813EF">
      <w:pPr>
        <w:pStyle w:val="FootnoteText"/>
      </w:pPr>
      <w:r>
        <w:rPr>
          <w:rStyle w:val="FootnoteReference"/>
        </w:rPr>
        <w:footnoteRef/>
      </w:r>
      <w:r>
        <w:t xml:space="preserve"> </w:t>
      </w:r>
      <w:r>
        <w:tab/>
      </w:r>
      <w:proofErr w:type="gramStart"/>
      <w:r>
        <w:t xml:space="preserve">South Australian Council of Social Service, </w:t>
      </w:r>
      <w:r w:rsidRPr="00936352">
        <w:rPr>
          <w:rStyle w:val="AERtextitalic"/>
        </w:rPr>
        <w:t>Submission to the Australian Energy Regulator in response to Australian Gas Network's revise regulatory proposal for the 2016–2021 access arrangements</w:t>
      </w:r>
      <w:r>
        <w:t>, February 2016, p. 9.</w:t>
      </w:r>
      <w:proofErr w:type="gramEnd"/>
    </w:p>
  </w:footnote>
  <w:footnote w:id="70">
    <w:p w:rsidR="006235F9" w:rsidRDefault="006235F9">
      <w:pPr>
        <w:pStyle w:val="FootnoteText"/>
      </w:pPr>
      <w:r>
        <w:rPr>
          <w:rStyle w:val="FootnoteReference"/>
        </w:rPr>
        <w:footnoteRef/>
      </w:r>
      <w:r>
        <w:t xml:space="preserve"> </w:t>
      </w:r>
      <w:r>
        <w:tab/>
      </w:r>
      <w:r w:rsidRPr="00444CB4">
        <w:t xml:space="preserve">AER, </w:t>
      </w:r>
      <w:r w:rsidRPr="00115655">
        <w:rPr>
          <w:rStyle w:val="AERtextitalic"/>
        </w:rPr>
        <w:t>Draft decision: Australian gas networks access arrangement: Attachment 11 – Reference tariff variation mechanism</w:t>
      </w:r>
      <w:r w:rsidRPr="00444CB4">
        <w:t>, November 2015, pp. 15–21.</w:t>
      </w:r>
    </w:p>
  </w:footnote>
  <w:footnote w:id="71">
    <w:p w:rsidR="006235F9" w:rsidRDefault="006235F9" w:rsidP="00AB5293">
      <w:pPr>
        <w:pStyle w:val="FootnoteText"/>
      </w:pPr>
      <w:r>
        <w:rPr>
          <w:rStyle w:val="FootnoteReference"/>
        </w:rPr>
        <w:footnoteRef/>
      </w:r>
      <w:r>
        <w:t xml:space="preserve"> </w:t>
      </w:r>
      <w:r>
        <w:tab/>
      </w:r>
      <w:r w:rsidRPr="00B41580">
        <w:t xml:space="preserve">Year t represents the forthcoming regulatory year. Therefore, year t–2 and year t–1 are the two regulatory years prior to year t. By </w:t>
      </w:r>
      <w:r>
        <w:t>way of example, if year t is financial</w:t>
      </w:r>
      <w:r w:rsidRPr="00B41580">
        <w:t xml:space="preserve"> year </w:t>
      </w:r>
      <w:r>
        <w:t>2017–1</w:t>
      </w:r>
      <w:r w:rsidRPr="00B41580">
        <w:t>8 then year t–2 is</w:t>
      </w:r>
      <w:r>
        <w:t xml:space="preserve"> financial year </w:t>
      </w:r>
      <w:r w:rsidRPr="00B41580">
        <w:t>201</w:t>
      </w:r>
      <w:r>
        <w:t>5–1</w:t>
      </w:r>
      <w:r w:rsidRPr="00B41580">
        <w:t>6 and year t–1 is</w:t>
      </w:r>
      <w:r>
        <w:t xml:space="preserve"> financial year 2016–</w:t>
      </w:r>
      <w:r w:rsidRPr="00B41580">
        <w:t>17.</w:t>
      </w:r>
    </w:p>
  </w:footnote>
  <w:footnote w:id="72">
    <w:p w:rsidR="006235F9" w:rsidRDefault="006235F9" w:rsidP="00F35C33">
      <w:pPr>
        <w:pStyle w:val="FootnoteText"/>
      </w:pPr>
      <w:r>
        <w:rPr>
          <w:rStyle w:val="FootnoteReference"/>
        </w:rPr>
        <w:footnoteRef/>
      </w:r>
      <w:r>
        <w:t xml:space="preserve"> </w:t>
      </w:r>
      <w:r>
        <w:tab/>
      </w:r>
      <w:r w:rsidRPr="00444CB4">
        <w:t xml:space="preserve">AER, </w:t>
      </w:r>
      <w:r w:rsidRPr="0007150E">
        <w:rPr>
          <w:rStyle w:val="AERtextitalic"/>
        </w:rPr>
        <w:t>Draft decision: Australian gas networks access arrangement: Attachment 11 – Reference tariff variation mechanism</w:t>
      </w:r>
      <w:r w:rsidRPr="00444CB4">
        <w:t>, November 2015, pp. 1</w:t>
      </w:r>
      <w:r>
        <w:t>8–20, Figure 11.3.</w:t>
      </w:r>
    </w:p>
  </w:footnote>
  <w:footnote w:id="73">
    <w:p w:rsidR="006235F9" w:rsidRDefault="006235F9" w:rsidP="00DF0116">
      <w:pPr>
        <w:pStyle w:val="FootnoteText"/>
      </w:pPr>
      <w:r>
        <w:rPr>
          <w:rStyle w:val="FootnoteReference"/>
        </w:rPr>
        <w:footnoteRef/>
      </w:r>
      <w:r>
        <w:t xml:space="preserve"> </w:t>
      </w:r>
      <w:r>
        <w:tab/>
        <w:t>AGN</w:t>
      </w:r>
      <w:r w:rsidRPr="00E5257A">
        <w:rPr>
          <w:rStyle w:val="AERtextitalic"/>
        </w:rPr>
        <w:t xml:space="preserve">, Revised access arrangement information: Attachment </w:t>
      </w:r>
      <w:r>
        <w:rPr>
          <w:rStyle w:val="AERtextitalic"/>
        </w:rPr>
        <w:t>16</w:t>
      </w:r>
      <w:r w:rsidRPr="00E5257A">
        <w:rPr>
          <w:rStyle w:val="AERtextitalic"/>
        </w:rPr>
        <w:t>.</w:t>
      </w:r>
      <w:r>
        <w:rPr>
          <w:rStyle w:val="AERtextitalic"/>
        </w:rPr>
        <w:t>1</w:t>
      </w:r>
      <w:r w:rsidRPr="00E5257A">
        <w:rPr>
          <w:rStyle w:val="AERtextitalic"/>
        </w:rPr>
        <w:t xml:space="preserve"> – Response to d</w:t>
      </w:r>
      <w:r>
        <w:rPr>
          <w:rStyle w:val="AERtextitalic"/>
        </w:rPr>
        <w:t>raft decision: Tariff variation mechanisms</w:t>
      </w:r>
      <w:r>
        <w:t>, January 2016, pp. 3–5.</w:t>
      </w:r>
    </w:p>
  </w:footnote>
  <w:footnote w:id="74">
    <w:p w:rsidR="006235F9" w:rsidRDefault="006235F9" w:rsidP="007F7E7A">
      <w:pPr>
        <w:pStyle w:val="FootnoteText"/>
      </w:pPr>
      <w:r>
        <w:rPr>
          <w:rStyle w:val="FootnoteReference"/>
        </w:rPr>
        <w:footnoteRef/>
      </w:r>
      <w:r>
        <w:t xml:space="preserve"> </w:t>
      </w:r>
      <w:r>
        <w:tab/>
        <w:t>The w</w:t>
      </w:r>
      <w:r w:rsidRPr="00AC14A0">
        <w:t>holesale</w:t>
      </w:r>
      <w:r>
        <w:t xml:space="preserve"> gas price is t</w:t>
      </w:r>
      <w:r w:rsidRPr="00AC14A0">
        <w:t xml:space="preserve">he market price of gas realised by the supplier to produce and deliver gas into the transmission pipeline. This is the price for flat load gas production. </w:t>
      </w:r>
      <w:r>
        <w:t xml:space="preserve">The </w:t>
      </w:r>
      <w:r w:rsidRPr="00AC14A0">
        <w:t>MDQ</w:t>
      </w:r>
      <w:r>
        <w:t xml:space="preserve"> price is t</w:t>
      </w:r>
      <w:r w:rsidRPr="00AC14A0">
        <w:t xml:space="preserve">he cost of production to deliver maximum daily supply capacity to meet peak customer demand during the winter heating season. </w:t>
      </w:r>
      <w:r>
        <w:t>The t</w:t>
      </w:r>
      <w:r w:rsidRPr="00AC14A0">
        <w:t>ransmission</w:t>
      </w:r>
      <w:r>
        <w:t xml:space="preserve"> price is the c</w:t>
      </w:r>
      <w:r w:rsidRPr="00AC14A0">
        <w:t>ost of transporting gas along the transmission pipeline from the supply source to the distribution network. This includes base load and an additional load factor for maximum daily quantity MDQ capacity allowance.</w:t>
      </w:r>
    </w:p>
  </w:footnote>
  <w:footnote w:id="75">
    <w:p w:rsidR="006235F9" w:rsidRDefault="006235F9" w:rsidP="00532A9E">
      <w:pPr>
        <w:pStyle w:val="FootnoteText"/>
      </w:pPr>
      <w:r>
        <w:rPr>
          <w:rStyle w:val="FootnoteReference"/>
        </w:rPr>
        <w:footnoteRef/>
      </w:r>
      <w:r>
        <w:t xml:space="preserve"> </w:t>
      </w:r>
      <w:r>
        <w:tab/>
      </w:r>
      <w:r w:rsidRPr="00444CB4">
        <w:t xml:space="preserve">AER, </w:t>
      </w:r>
      <w:r w:rsidRPr="0007150E">
        <w:rPr>
          <w:rStyle w:val="AERtextitalic"/>
        </w:rPr>
        <w:t>Draft decision: Australian gas networks access arrangement: Attachment 11 – Reference tariff variation mechanism</w:t>
      </w:r>
      <w:r>
        <w:t>, November 2015, p</w:t>
      </w:r>
      <w:r w:rsidRPr="00444CB4">
        <w:t xml:space="preserve">. </w:t>
      </w:r>
      <w:r>
        <w:t>20, Figure 11.4.</w:t>
      </w:r>
    </w:p>
  </w:footnote>
  <w:footnote w:id="76">
    <w:p w:rsidR="006235F9" w:rsidRDefault="006235F9">
      <w:pPr>
        <w:pStyle w:val="FootnoteText"/>
      </w:pPr>
      <w:r>
        <w:rPr>
          <w:rStyle w:val="FootnoteReference"/>
        </w:rPr>
        <w:footnoteRef/>
      </w:r>
      <w:r>
        <w:t xml:space="preserve"> </w:t>
      </w:r>
      <w:r>
        <w:tab/>
        <w:t>AGN</w:t>
      </w:r>
      <w:r w:rsidRPr="00E5257A">
        <w:rPr>
          <w:rStyle w:val="AERtextitalic"/>
        </w:rPr>
        <w:t xml:space="preserve">, Revised access arrangement information: Attachment </w:t>
      </w:r>
      <w:r>
        <w:rPr>
          <w:rStyle w:val="AERtextitalic"/>
        </w:rPr>
        <w:t>16</w:t>
      </w:r>
      <w:r w:rsidRPr="00E5257A">
        <w:rPr>
          <w:rStyle w:val="AERtextitalic"/>
        </w:rPr>
        <w:t>.</w:t>
      </w:r>
      <w:r>
        <w:rPr>
          <w:rStyle w:val="AERtextitalic"/>
        </w:rPr>
        <w:t>1</w:t>
      </w:r>
      <w:r w:rsidRPr="00E5257A">
        <w:rPr>
          <w:rStyle w:val="AERtextitalic"/>
        </w:rPr>
        <w:t xml:space="preserve"> – Response to d</w:t>
      </w:r>
      <w:r>
        <w:rPr>
          <w:rStyle w:val="AERtextitalic"/>
        </w:rPr>
        <w:t>raft decision: Tariff variation mechanisms</w:t>
      </w:r>
      <w:r>
        <w:t>, January 2016, p. 3.</w:t>
      </w:r>
    </w:p>
  </w:footnote>
  <w:footnote w:id="77">
    <w:p w:rsidR="006235F9" w:rsidRDefault="006235F9">
      <w:pPr>
        <w:pStyle w:val="FootnoteText"/>
      </w:pPr>
      <w:r>
        <w:rPr>
          <w:rStyle w:val="FootnoteReference"/>
        </w:rPr>
        <w:footnoteRef/>
      </w:r>
      <w:r>
        <w:t xml:space="preserve"> </w:t>
      </w:r>
      <w:r>
        <w:tab/>
        <w:t xml:space="preserve">Australian Gas Networks, </w:t>
      </w:r>
      <w:r w:rsidRPr="00196D51">
        <w:rPr>
          <w:rStyle w:val="AERtextitalic"/>
        </w:rPr>
        <w:t>Access arrangement for AGN's South Australian Gas Distribution Network 1 July 2016–30 June 2021</w:t>
      </w:r>
      <w:r>
        <w:t>, January 2016, cl</w:t>
      </w:r>
      <w:r w:rsidR="00872C03">
        <w:t>.</w:t>
      </w:r>
      <w:r>
        <w:t xml:space="preserve"> 4.4.2.</w:t>
      </w:r>
    </w:p>
  </w:footnote>
  <w:footnote w:id="78">
    <w:p w:rsidR="006235F9" w:rsidRDefault="006235F9">
      <w:pPr>
        <w:pStyle w:val="FootnoteText"/>
      </w:pPr>
      <w:r>
        <w:rPr>
          <w:rStyle w:val="FootnoteReference"/>
        </w:rPr>
        <w:footnoteRef/>
      </w:r>
      <w:r>
        <w:t xml:space="preserve"> </w:t>
      </w:r>
      <w:r>
        <w:tab/>
        <w:t>AGN response to information request AER AGN 045: Tariff variation mechanism, 26 February 2016.</w:t>
      </w:r>
    </w:p>
  </w:footnote>
  <w:footnote w:id="79">
    <w:p w:rsidR="006235F9" w:rsidRDefault="006235F9">
      <w:pPr>
        <w:pStyle w:val="FootnoteText"/>
      </w:pPr>
      <w:r>
        <w:rPr>
          <w:rStyle w:val="FootnoteReference"/>
        </w:rPr>
        <w:footnoteRef/>
      </w:r>
      <w:r>
        <w:t xml:space="preserve"> </w:t>
      </w:r>
      <w:r>
        <w:tab/>
        <w:t>AGN</w:t>
      </w:r>
      <w:r w:rsidR="00195F68">
        <w:t>,</w:t>
      </w:r>
      <w:r>
        <w:t xml:space="preserve"> </w:t>
      </w:r>
      <w:r w:rsidRPr="00E269AE">
        <w:rPr>
          <w:i/>
        </w:rPr>
        <w:t>response to information request AER 049</w:t>
      </w:r>
      <w:r w:rsidR="00195F68">
        <w:t>,</w:t>
      </w:r>
      <w:r>
        <w:t xml:space="preserve"> 23 March 2016</w:t>
      </w:r>
      <w:r w:rsidR="00195F68">
        <w:t>.</w:t>
      </w:r>
    </w:p>
  </w:footnote>
  <w:footnote w:id="80">
    <w:p w:rsidR="006235F9" w:rsidRDefault="006235F9">
      <w:pPr>
        <w:pStyle w:val="FootnoteText"/>
      </w:pPr>
      <w:r>
        <w:rPr>
          <w:rStyle w:val="FootnoteReference"/>
        </w:rPr>
        <w:footnoteRef/>
      </w:r>
      <w:r>
        <w:t xml:space="preserve"> </w:t>
      </w:r>
      <w:r>
        <w:tab/>
      </w:r>
      <w:r w:rsidRPr="00A46DB1">
        <w:t>Paragraph (a) of our definition now commences 'an insurer of the service provider becomes insolvent' instead of 'a nominated insurer of the service provider becomes insolvent'.  The word 'nominated' was redundant.</w:t>
      </w:r>
    </w:p>
  </w:footnote>
  <w:footnote w:id="81">
    <w:p w:rsidR="006235F9" w:rsidRDefault="006235F9">
      <w:pPr>
        <w:pStyle w:val="FootnoteText"/>
      </w:pPr>
      <w:r>
        <w:rPr>
          <w:rStyle w:val="FootnoteReference"/>
        </w:rPr>
        <w:footnoteRef/>
      </w:r>
      <w:r>
        <w:t xml:space="preserve"> </w:t>
      </w:r>
      <w:r>
        <w:tab/>
        <w:t xml:space="preserve">ActewAGL Distribution, </w:t>
      </w:r>
      <w:r w:rsidRPr="00B47F14">
        <w:rPr>
          <w:rStyle w:val="Emphasis"/>
        </w:rPr>
        <w:t>Response to AER's draft determination, 2016-21 ACT, Queanbeyan and Palerang Gas Network Access Arrangement,</w:t>
      </w:r>
      <w:r>
        <w:t xml:space="preserve"> January 2016, p. 125; CitiPower, </w:t>
      </w:r>
      <w:r w:rsidRPr="00B47F14">
        <w:rPr>
          <w:rStyle w:val="Emphasis"/>
        </w:rPr>
        <w:t>Revised Regulatory Proposal 2016-2020</w:t>
      </w:r>
      <w:r w:rsidRPr="00D87EC9">
        <w:t xml:space="preserve"> pp.</w:t>
      </w:r>
      <w:r w:rsidR="00872C03">
        <w:t xml:space="preserve"> </w:t>
      </w:r>
      <w:r w:rsidRPr="00D87EC9">
        <w:t>420</w:t>
      </w:r>
      <w:r w:rsidR="00872C03">
        <w:t>–</w:t>
      </w:r>
      <w:r w:rsidRPr="00D87EC9">
        <w:t>421</w:t>
      </w:r>
      <w:r>
        <w:t xml:space="preserve">; PowerCor, </w:t>
      </w:r>
      <w:r w:rsidRPr="00B47F14">
        <w:rPr>
          <w:rStyle w:val="Emphasis"/>
        </w:rPr>
        <w:t>Revised Regulatory Proposal 2016-2020</w:t>
      </w:r>
      <w:r>
        <w:t>, pp, 412</w:t>
      </w:r>
      <w:r w:rsidR="00872C03">
        <w:t>–</w:t>
      </w:r>
      <w:r>
        <w:t>413.</w:t>
      </w:r>
    </w:p>
  </w:footnote>
  <w:footnote w:id="82">
    <w:p w:rsidR="006235F9" w:rsidRDefault="006235F9">
      <w:pPr>
        <w:pStyle w:val="FootnoteText"/>
      </w:pPr>
      <w:r>
        <w:rPr>
          <w:rStyle w:val="FootnoteReference"/>
        </w:rPr>
        <w:footnoteRef/>
      </w:r>
      <w:r>
        <w:t xml:space="preserve"> </w:t>
      </w:r>
      <w:r>
        <w:tab/>
        <w:t>AGN</w:t>
      </w:r>
      <w:r w:rsidR="00195F68">
        <w:t>,</w:t>
      </w:r>
      <w:r>
        <w:t xml:space="preserve"> </w:t>
      </w:r>
      <w:r w:rsidRPr="00E269AE">
        <w:rPr>
          <w:i/>
        </w:rPr>
        <w:t>response to information request AER 049</w:t>
      </w:r>
      <w:r w:rsidR="00195F68">
        <w:t>,</w:t>
      </w:r>
      <w:r>
        <w:t xml:space="preserve"> 23 March 2016</w:t>
      </w:r>
    </w:p>
  </w:footnote>
  <w:footnote w:id="83">
    <w:p w:rsidR="006235F9" w:rsidRDefault="006235F9">
      <w:pPr>
        <w:pStyle w:val="FootnoteText"/>
      </w:pPr>
      <w:r>
        <w:rPr>
          <w:rStyle w:val="FootnoteReference"/>
        </w:rPr>
        <w:footnoteRef/>
      </w:r>
      <w:r>
        <w:t xml:space="preserve"> </w:t>
      </w:r>
      <w:r>
        <w:tab/>
        <w:t>AGN</w:t>
      </w:r>
      <w:r w:rsidR="00195F68">
        <w:t>,</w:t>
      </w:r>
      <w:r>
        <w:t xml:space="preserve"> </w:t>
      </w:r>
      <w:r w:rsidRPr="00E269AE">
        <w:rPr>
          <w:i/>
        </w:rPr>
        <w:t>response to information request AGN 049</w:t>
      </w:r>
      <w:r w:rsidR="00195F68">
        <w:t>,</w:t>
      </w:r>
      <w:r>
        <w:t xml:space="preserve"> 23 March 2016.</w:t>
      </w:r>
    </w:p>
  </w:footnote>
  <w:footnote w:id="84">
    <w:p w:rsidR="006235F9" w:rsidRDefault="006235F9">
      <w:pPr>
        <w:pStyle w:val="FootnoteText"/>
      </w:pPr>
      <w:r>
        <w:rPr>
          <w:rStyle w:val="FootnoteReference"/>
        </w:rPr>
        <w:footnoteRef/>
      </w:r>
      <w:r>
        <w:t xml:space="preserve"> </w:t>
      </w:r>
      <w:r>
        <w:tab/>
      </w:r>
      <w:r w:rsidRPr="00B47F14">
        <w:t>Government of South Australia</w:t>
      </w:r>
      <w:r>
        <w:t xml:space="preserve">, </w:t>
      </w:r>
      <w:r w:rsidRPr="00B47F14">
        <w:t xml:space="preserve"> </w:t>
      </w:r>
      <w:r w:rsidRPr="00B47F14">
        <w:rPr>
          <w:rStyle w:val="Emphasis"/>
        </w:rPr>
        <w:t>AGN Access Arrangement - submission to Draft Decision and Revised Proposal</w:t>
      </w:r>
      <w:r>
        <w:t xml:space="preserve">, </w:t>
      </w:r>
      <w:r w:rsidRPr="00B47F14">
        <w:t xml:space="preserve"> 24 February 2016</w:t>
      </w:r>
      <w:r>
        <w:t>, p. 2.</w:t>
      </w:r>
    </w:p>
  </w:footnote>
  <w:footnote w:id="85">
    <w:p w:rsidR="006235F9" w:rsidRDefault="006235F9" w:rsidP="00E33714">
      <w:pPr>
        <w:pStyle w:val="FootnoteText"/>
      </w:pPr>
      <w:r>
        <w:rPr>
          <w:rStyle w:val="FootnoteReference"/>
        </w:rPr>
        <w:footnoteRef/>
      </w:r>
      <w:r>
        <w:t xml:space="preserve"> </w:t>
      </w:r>
      <w:r>
        <w:tab/>
      </w:r>
      <w:proofErr w:type="gramStart"/>
      <w:r>
        <w:t>NGL, s. 24(2)</w:t>
      </w:r>
      <w:r w:rsidRPr="00CE34CA">
        <w:t>.</w:t>
      </w:r>
      <w:proofErr w:type="gramEnd"/>
    </w:p>
  </w:footnote>
  <w:footnote w:id="86">
    <w:p w:rsidR="006235F9" w:rsidRDefault="006235F9" w:rsidP="00E33714">
      <w:pPr>
        <w:pStyle w:val="FootnoteText"/>
      </w:pPr>
      <w:r>
        <w:rPr>
          <w:rStyle w:val="FootnoteReference"/>
        </w:rPr>
        <w:footnoteRef/>
      </w:r>
      <w:r>
        <w:t xml:space="preserve"> </w:t>
      </w:r>
      <w:r>
        <w:tab/>
      </w:r>
      <w:proofErr w:type="gramStart"/>
      <w:r>
        <w:t>NGL, s. 24(3).</w:t>
      </w:r>
      <w:proofErr w:type="gramEnd"/>
    </w:p>
  </w:footnote>
  <w:footnote w:id="87">
    <w:p w:rsidR="006235F9" w:rsidRDefault="006235F9" w:rsidP="00E33714">
      <w:pPr>
        <w:pStyle w:val="FootnoteText"/>
      </w:pPr>
      <w:r>
        <w:rPr>
          <w:rStyle w:val="FootnoteReference"/>
        </w:rPr>
        <w:footnoteRef/>
      </w:r>
      <w:r>
        <w:t xml:space="preserve"> </w:t>
      </w:r>
      <w:r>
        <w:tab/>
      </w:r>
      <w:proofErr w:type="gramStart"/>
      <w:r>
        <w:t>NGL, s. 24</w:t>
      </w:r>
      <w:r w:rsidRPr="005D0FD3">
        <w:t>(6)</w:t>
      </w:r>
      <w:r>
        <w:t>.</w:t>
      </w:r>
      <w:proofErr w:type="gramEnd"/>
    </w:p>
  </w:footnote>
  <w:footnote w:id="88">
    <w:p w:rsidR="006235F9" w:rsidRDefault="006235F9" w:rsidP="00E33714">
      <w:pPr>
        <w:pStyle w:val="FootnoteText"/>
      </w:pPr>
      <w:r>
        <w:rPr>
          <w:rStyle w:val="FootnoteReference"/>
        </w:rPr>
        <w:footnoteRef/>
      </w:r>
      <w:r>
        <w:t xml:space="preserve"> </w:t>
      </w:r>
      <w:r>
        <w:tab/>
        <w:t xml:space="preserve">NGL, s. 23; See also AEMC 2012, </w:t>
      </w:r>
      <w:r>
        <w:rPr>
          <w:i/>
        </w:rPr>
        <w:t xml:space="preserve">Cost pass through arrangements for Network Service Providers, Rule Determination, </w:t>
      </w:r>
      <w:r>
        <w:t>2 August 2012, Sydney, p.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5F9" w:rsidRDefault="00BF1038">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6235F9">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5F9" w:rsidRDefault="00BF1038">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D3E2121C"/>
    <w:lvl w:ilvl="0">
      <w:start w:val="1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644"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num>
  <w:num w:numId="30">
    <w:abstractNumId w:val="7"/>
    <w:lvlOverride w:ilvl="0">
      <w:startOverride w:val="1"/>
    </w:lvlOverride>
  </w:num>
  <w:num w:numId="31">
    <w:abstractNumId w:val="7"/>
    <w:lvlOverride w:ilvl="0">
      <w:startOverride w:val="1"/>
    </w:lvlOverride>
  </w:num>
  <w:num w:numId="32">
    <w:abstractNumId w:val="7"/>
    <w:lvlOverride w:ilvl="0">
      <w:startOverride w:val="1"/>
    </w:lvlOverride>
  </w:num>
  <w:num w:numId="33">
    <w:abstractNumId w:val="7"/>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removePersonalInformation/>
  <w:removeDateAndTime/>
  <w:proofState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A4A"/>
    <w:rsid w:val="000036C0"/>
    <w:rsid w:val="00004633"/>
    <w:rsid w:val="00007B02"/>
    <w:rsid w:val="00010286"/>
    <w:rsid w:val="00012D7B"/>
    <w:rsid w:val="0001354D"/>
    <w:rsid w:val="00020D64"/>
    <w:rsid w:val="00020E13"/>
    <w:rsid w:val="00021202"/>
    <w:rsid w:val="00021C2B"/>
    <w:rsid w:val="0002396C"/>
    <w:rsid w:val="00024B7C"/>
    <w:rsid w:val="0002517F"/>
    <w:rsid w:val="00026495"/>
    <w:rsid w:val="00027B49"/>
    <w:rsid w:val="00032E05"/>
    <w:rsid w:val="0003578C"/>
    <w:rsid w:val="000378F1"/>
    <w:rsid w:val="000401AF"/>
    <w:rsid w:val="00041BD0"/>
    <w:rsid w:val="00041DDA"/>
    <w:rsid w:val="0005049A"/>
    <w:rsid w:val="00063247"/>
    <w:rsid w:val="00063A92"/>
    <w:rsid w:val="00067527"/>
    <w:rsid w:val="00070F9F"/>
    <w:rsid w:val="0007137B"/>
    <w:rsid w:val="0007150E"/>
    <w:rsid w:val="00071BCC"/>
    <w:rsid w:val="00085663"/>
    <w:rsid w:val="00085EBF"/>
    <w:rsid w:val="00085F93"/>
    <w:rsid w:val="00091B15"/>
    <w:rsid w:val="000932FA"/>
    <w:rsid w:val="000939CD"/>
    <w:rsid w:val="000A1E7C"/>
    <w:rsid w:val="000A3020"/>
    <w:rsid w:val="000A67D6"/>
    <w:rsid w:val="000A6C7B"/>
    <w:rsid w:val="000B0360"/>
    <w:rsid w:val="000B345A"/>
    <w:rsid w:val="000B467B"/>
    <w:rsid w:val="000B7165"/>
    <w:rsid w:val="000C2B40"/>
    <w:rsid w:val="000D01F4"/>
    <w:rsid w:val="000D06C1"/>
    <w:rsid w:val="000D122C"/>
    <w:rsid w:val="000D14AD"/>
    <w:rsid w:val="000D1EEE"/>
    <w:rsid w:val="000D200F"/>
    <w:rsid w:val="000D23F5"/>
    <w:rsid w:val="000D3016"/>
    <w:rsid w:val="000D64F2"/>
    <w:rsid w:val="000D7F32"/>
    <w:rsid w:val="000E1819"/>
    <w:rsid w:val="000E28D7"/>
    <w:rsid w:val="000E4821"/>
    <w:rsid w:val="000E6C72"/>
    <w:rsid w:val="000F0B2B"/>
    <w:rsid w:val="000F2738"/>
    <w:rsid w:val="000F3E72"/>
    <w:rsid w:val="000F48B1"/>
    <w:rsid w:val="000F6327"/>
    <w:rsid w:val="000F723D"/>
    <w:rsid w:val="00103A67"/>
    <w:rsid w:val="00110FC0"/>
    <w:rsid w:val="0011238A"/>
    <w:rsid w:val="00115655"/>
    <w:rsid w:val="0011671A"/>
    <w:rsid w:val="00116EB2"/>
    <w:rsid w:val="00122972"/>
    <w:rsid w:val="00124609"/>
    <w:rsid w:val="00125139"/>
    <w:rsid w:val="00126A4C"/>
    <w:rsid w:val="00132F83"/>
    <w:rsid w:val="001349A3"/>
    <w:rsid w:val="0014179F"/>
    <w:rsid w:val="00142AB6"/>
    <w:rsid w:val="0014573B"/>
    <w:rsid w:val="00147E70"/>
    <w:rsid w:val="00152B47"/>
    <w:rsid w:val="001558AB"/>
    <w:rsid w:val="00156DCC"/>
    <w:rsid w:val="001573E4"/>
    <w:rsid w:val="00160756"/>
    <w:rsid w:val="0017232E"/>
    <w:rsid w:val="001739F6"/>
    <w:rsid w:val="00174102"/>
    <w:rsid w:val="0017480F"/>
    <w:rsid w:val="001754EE"/>
    <w:rsid w:val="00180157"/>
    <w:rsid w:val="00180384"/>
    <w:rsid w:val="00182467"/>
    <w:rsid w:val="00185CB9"/>
    <w:rsid w:val="00186F77"/>
    <w:rsid w:val="001909BF"/>
    <w:rsid w:val="0019128D"/>
    <w:rsid w:val="001926A4"/>
    <w:rsid w:val="00192744"/>
    <w:rsid w:val="00192AD5"/>
    <w:rsid w:val="00195F68"/>
    <w:rsid w:val="00196D51"/>
    <w:rsid w:val="001A01F2"/>
    <w:rsid w:val="001A433D"/>
    <w:rsid w:val="001A4592"/>
    <w:rsid w:val="001B3F62"/>
    <w:rsid w:val="001B45A0"/>
    <w:rsid w:val="001B45C0"/>
    <w:rsid w:val="001B6F2E"/>
    <w:rsid w:val="001B7D00"/>
    <w:rsid w:val="001C099D"/>
    <w:rsid w:val="001C17E7"/>
    <w:rsid w:val="001D055E"/>
    <w:rsid w:val="001E009C"/>
    <w:rsid w:val="001E0839"/>
    <w:rsid w:val="001E0F48"/>
    <w:rsid w:val="001E5FE2"/>
    <w:rsid w:val="001E6D5F"/>
    <w:rsid w:val="001F05A4"/>
    <w:rsid w:val="001F492E"/>
    <w:rsid w:val="001F6DA3"/>
    <w:rsid w:val="002010BC"/>
    <w:rsid w:val="002016E7"/>
    <w:rsid w:val="00201F98"/>
    <w:rsid w:val="00202E03"/>
    <w:rsid w:val="0020478D"/>
    <w:rsid w:val="0020492C"/>
    <w:rsid w:val="00205710"/>
    <w:rsid w:val="00205A33"/>
    <w:rsid w:val="00220704"/>
    <w:rsid w:val="0022444D"/>
    <w:rsid w:val="00224DB9"/>
    <w:rsid w:val="00225350"/>
    <w:rsid w:val="00227DCE"/>
    <w:rsid w:val="0023276C"/>
    <w:rsid w:val="00233775"/>
    <w:rsid w:val="00251745"/>
    <w:rsid w:val="00251AF2"/>
    <w:rsid w:val="00255680"/>
    <w:rsid w:val="0026071A"/>
    <w:rsid w:val="00263AC0"/>
    <w:rsid w:val="00264264"/>
    <w:rsid w:val="0026772D"/>
    <w:rsid w:val="00271C4A"/>
    <w:rsid w:val="002724C7"/>
    <w:rsid w:val="00275E92"/>
    <w:rsid w:val="00277554"/>
    <w:rsid w:val="002821E1"/>
    <w:rsid w:val="00286874"/>
    <w:rsid w:val="00290C63"/>
    <w:rsid w:val="002947DA"/>
    <w:rsid w:val="00296955"/>
    <w:rsid w:val="00296B65"/>
    <w:rsid w:val="0029724D"/>
    <w:rsid w:val="002A1D2A"/>
    <w:rsid w:val="002A4F97"/>
    <w:rsid w:val="002A6688"/>
    <w:rsid w:val="002A7DEF"/>
    <w:rsid w:val="002B0D51"/>
    <w:rsid w:val="002B1003"/>
    <w:rsid w:val="002B27C4"/>
    <w:rsid w:val="002B573C"/>
    <w:rsid w:val="002B7810"/>
    <w:rsid w:val="002C233C"/>
    <w:rsid w:val="002C792F"/>
    <w:rsid w:val="002C7DB8"/>
    <w:rsid w:val="002D72E8"/>
    <w:rsid w:val="002E0B7A"/>
    <w:rsid w:val="002E2CC0"/>
    <w:rsid w:val="002E7B22"/>
    <w:rsid w:val="002F78EE"/>
    <w:rsid w:val="002F7986"/>
    <w:rsid w:val="0030140F"/>
    <w:rsid w:val="00301B40"/>
    <w:rsid w:val="003029A5"/>
    <w:rsid w:val="003029EE"/>
    <w:rsid w:val="0030370B"/>
    <w:rsid w:val="00305CC8"/>
    <w:rsid w:val="00307F6D"/>
    <w:rsid w:val="003130C9"/>
    <w:rsid w:val="00314924"/>
    <w:rsid w:val="00315A62"/>
    <w:rsid w:val="003177A2"/>
    <w:rsid w:val="00320869"/>
    <w:rsid w:val="00320E6A"/>
    <w:rsid w:val="00326894"/>
    <w:rsid w:val="00326B1D"/>
    <w:rsid w:val="003271B5"/>
    <w:rsid w:val="00327A1E"/>
    <w:rsid w:val="003302F0"/>
    <w:rsid w:val="00331264"/>
    <w:rsid w:val="003338A2"/>
    <w:rsid w:val="00334C8D"/>
    <w:rsid w:val="0033540B"/>
    <w:rsid w:val="0033548E"/>
    <w:rsid w:val="00335BFE"/>
    <w:rsid w:val="00341252"/>
    <w:rsid w:val="00343A18"/>
    <w:rsid w:val="00344473"/>
    <w:rsid w:val="00344D08"/>
    <w:rsid w:val="003457F9"/>
    <w:rsid w:val="00347114"/>
    <w:rsid w:val="00350B1D"/>
    <w:rsid w:val="003518B3"/>
    <w:rsid w:val="0035391A"/>
    <w:rsid w:val="003578CD"/>
    <w:rsid w:val="003600E7"/>
    <w:rsid w:val="00366088"/>
    <w:rsid w:val="003666F2"/>
    <w:rsid w:val="003669B6"/>
    <w:rsid w:val="003717D8"/>
    <w:rsid w:val="00373CBA"/>
    <w:rsid w:val="00374C3A"/>
    <w:rsid w:val="00376160"/>
    <w:rsid w:val="003846F1"/>
    <w:rsid w:val="00384D44"/>
    <w:rsid w:val="00386E48"/>
    <w:rsid w:val="003903D4"/>
    <w:rsid w:val="003919F8"/>
    <w:rsid w:val="00391BF0"/>
    <w:rsid w:val="003931A7"/>
    <w:rsid w:val="00393646"/>
    <w:rsid w:val="00396A14"/>
    <w:rsid w:val="003A1212"/>
    <w:rsid w:val="003B2F97"/>
    <w:rsid w:val="003B3445"/>
    <w:rsid w:val="003B484F"/>
    <w:rsid w:val="003B7FBA"/>
    <w:rsid w:val="003C55BC"/>
    <w:rsid w:val="003E0FA7"/>
    <w:rsid w:val="003E1F06"/>
    <w:rsid w:val="003F174D"/>
    <w:rsid w:val="003F572D"/>
    <w:rsid w:val="003F7442"/>
    <w:rsid w:val="00400523"/>
    <w:rsid w:val="00402D60"/>
    <w:rsid w:val="00413C7E"/>
    <w:rsid w:val="00415F31"/>
    <w:rsid w:val="0042205D"/>
    <w:rsid w:val="00423A77"/>
    <w:rsid w:val="004322E6"/>
    <w:rsid w:val="00436ECD"/>
    <w:rsid w:val="0044110A"/>
    <w:rsid w:val="00441E77"/>
    <w:rsid w:val="00442E22"/>
    <w:rsid w:val="00444CB4"/>
    <w:rsid w:val="0044663D"/>
    <w:rsid w:val="00452473"/>
    <w:rsid w:val="00453455"/>
    <w:rsid w:val="0045777E"/>
    <w:rsid w:val="00461B0F"/>
    <w:rsid w:val="00461C29"/>
    <w:rsid w:val="00474EC7"/>
    <w:rsid w:val="004752FC"/>
    <w:rsid w:val="00480B4B"/>
    <w:rsid w:val="00485DC4"/>
    <w:rsid w:val="00494976"/>
    <w:rsid w:val="004A0A5E"/>
    <w:rsid w:val="004A43D1"/>
    <w:rsid w:val="004B355D"/>
    <w:rsid w:val="004B4412"/>
    <w:rsid w:val="004B7F6F"/>
    <w:rsid w:val="004C0C43"/>
    <w:rsid w:val="004C348C"/>
    <w:rsid w:val="004C6A30"/>
    <w:rsid w:val="004D1A96"/>
    <w:rsid w:val="004D3206"/>
    <w:rsid w:val="004D55BA"/>
    <w:rsid w:val="004E22EC"/>
    <w:rsid w:val="004E2A4C"/>
    <w:rsid w:val="004E7F53"/>
    <w:rsid w:val="004F6A0E"/>
    <w:rsid w:val="00501DF6"/>
    <w:rsid w:val="00510BA1"/>
    <w:rsid w:val="00530128"/>
    <w:rsid w:val="00532467"/>
    <w:rsid w:val="00532A9E"/>
    <w:rsid w:val="00537FD6"/>
    <w:rsid w:val="00542545"/>
    <w:rsid w:val="00550B01"/>
    <w:rsid w:val="00562214"/>
    <w:rsid w:val="00562F2C"/>
    <w:rsid w:val="00564A4D"/>
    <w:rsid w:val="0056588A"/>
    <w:rsid w:val="00567B4A"/>
    <w:rsid w:val="00567BA5"/>
    <w:rsid w:val="00571B35"/>
    <w:rsid w:val="00571D57"/>
    <w:rsid w:val="00577A09"/>
    <w:rsid w:val="005829C2"/>
    <w:rsid w:val="00584D8F"/>
    <w:rsid w:val="00585A4E"/>
    <w:rsid w:val="00586819"/>
    <w:rsid w:val="00590B5D"/>
    <w:rsid w:val="00592D2F"/>
    <w:rsid w:val="00595C31"/>
    <w:rsid w:val="0059704C"/>
    <w:rsid w:val="005A404D"/>
    <w:rsid w:val="005A52F6"/>
    <w:rsid w:val="005A56C0"/>
    <w:rsid w:val="005A7DF6"/>
    <w:rsid w:val="005B1E3C"/>
    <w:rsid w:val="005B3FB7"/>
    <w:rsid w:val="005B4D33"/>
    <w:rsid w:val="005B704A"/>
    <w:rsid w:val="005C03F9"/>
    <w:rsid w:val="005C0A7F"/>
    <w:rsid w:val="005C26CC"/>
    <w:rsid w:val="005C4C9C"/>
    <w:rsid w:val="005C6218"/>
    <w:rsid w:val="005C6579"/>
    <w:rsid w:val="005C7E24"/>
    <w:rsid w:val="005D0BF1"/>
    <w:rsid w:val="005D7BA2"/>
    <w:rsid w:val="005E20B2"/>
    <w:rsid w:val="005E36C2"/>
    <w:rsid w:val="005E5168"/>
    <w:rsid w:val="005E5BEE"/>
    <w:rsid w:val="005F0183"/>
    <w:rsid w:val="005F33DD"/>
    <w:rsid w:val="005F519E"/>
    <w:rsid w:val="005F58FD"/>
    <w:rsid w:val="005F5D33"/>
    <w:rsid w:val="005F6E53"/>
    <w:rsid w:val="005F727F"/>
    <w:rsid w:val="006007DE"/>
    <w:rsid w:val="00601073"/>
    <w:rsid w:val="00601638"/>
    <w:rsid w:val="00610EF9"/>
    <w:rsid w:val="00611303"/>
    <w:rsid w:val="00612F4F"/>
    <w:rsid w:val="00614FE6"/>
    <w:rsid w:val="00615C6B"/>
    <w:rsid w:val="00620DC3"/>
    <w:rsid w:val="00621D81"/>
    <w:rsid w:val="00621DCE"/>
    <w:rsid w:val="006228FB"/>
    <w:rsid w:val="0062358F"/>
    <w:rsid w:val="006235F9"/>
    <w:rsid w:val="00623BC2"/>
    <w:rsid w:val="00631A3F"/>
    <w:rsid w:val="00632D6D"/>
    <w:rsid w:val="00640812"/>
    <w:rsid w:val="00642257"/>
    <w:rsid w:val="00642C3E"/>
    <w:rsid w:val="00651C3A"/>
    <w:rsid w:val="00651CB2"/>
    <w:rsid w:val="006539F8"/>
    <w:rsid w:val="00655157"/>
    <w:rsid w:val="006560CA"/>
    <w:rsid w:val="0066104A"/>
    <w:rsid w:val="00663DAD"/>
    <w:rsid w:val="00665649"/>
    <w:rsid w:val="00666E20"/>
    <w:rsid w:val="006672AA"/>
    <w:rsid w:val="00667D4C"/>
    <w:rsid w:val="00672881"/>
    <w:rsid w:val="00673380"/>
    <w:rsid w:val="00674428"/>
    <w:rsid w:val="0067475E"/>
    <w:rsid w:val="00675E20"/>
    <w:rsid w:val="00676679"/>
    <w:rsid w:val="0067774D"/>
    <w:rsid w:val="00677F88"/>
    <w:rsid w:val="006812E7"/>
    <w:rsid w:val="00681503"/>
    <w:rsid w:val="00683C89"/>
    <w:rsid w:val="00684C16"/>
    <w:rsid w:val="00691D9A"/>
    <w:rsid w:val="00692326"/>
    <w:rsid w:val="0069354E"/>
    <w:rsid w:val="0069625F"/>
    <w:rsid w:val="006A7CB9"/>
    <w:rsid w:val="006A7D76"/>
    <w:rsid w:val="006B2395"/>
    <w:rsid w:val="006B45A4"/>
    <w:rsid w:val="006B4CF9"/>
    <w:rsid w:val="006B4ECF"/>
    <w:rsid w:val="006B695D"/>
    <w:rsid w:val="006B785B"/>
    <w:rsid w:val="006B7AC8"/>
    <w:rsid w:val="006C1736"/>
    <w:rsid w:val="006C34CB"/>
    <w:rsid w:val="006C4798"/>
    <w:rsid w:val="006C774D"/>
    <w:rsid w:val="006D0661"/>
    <w:rsid w:val="006D1F89"/>
    <w:rsid w:val="006D22F2"/>
    <w:rsid w:val="006D4497"/>
    <w:rsid w:val="006D550F"/>
    <w:rsid w:val="006E3F76"/>
    <w:rsid w:val="006E5BF6"/>
    <w:rsid w:val="006F1F83"/>
    <w:rsid w:val="006F3AD1"/>
    <w:rsid w:val="006F3FC8"/>
    <w:rsid w:val="006F6183"/>
    <w:rsid w:val="0070011E"/>
    <w:rsid w:val="00701CAB"/>
    <w:rsid w:val="0070450E"/>
    <w:rsid w:val="007063B3"/>
    <w:rsid w:val="00707563"/>
    <w:rsid w:val="0072348C"/>
    <w:rsid w:val="00724A37"/>
    <w:rsid w:val="00727593"/>
    <w:rsid w:val="007303C3"/>
    <w:rsid w:val="00741C46"/>
    <w:rsid w:val="00741E23"/>
    <w:rsid w:val="007429BE"/>
    <w:rsid w:val="00743223"/>
    <w:rsid w:val="00746E01"/>
    <w:rsid w:val="00747EEA"/>
    <w:rsid w:val="00750AB2"/>
    <w:rsid w:val="007518C7"/>
    <w:rsid w:val="00752C8D"/>
    <w:rsid w:val="00752D79"/>
    <w:rsid w:val="00754617"/>
    <w:rsid w:val="00754852"/>
    <w:rsid w:val="00757364"/>
    <w:rsid w:val="00757BDF"/>
    <w:rsid w:val="007609D0"/>
    <w:rsid w:val="00761B54"/>
    <w:rsid w:val="00763618"/>
    <w:rsid w:val="00763E5D"/>
    <w:rsid w:val="007653F7"/>
    <w:rsid w:val="00767740"/>
    <w:rsid w:val="00770F8D"/>
    <w:rsid w:val="007770A4"/>
    <w:rsid w:val="0077716F"/>
    <w:rsid w:val="00777EE6"/>
    <w:rsid w:val="007813EF"/>
    <w:rsid w:val="00782EEA"/>
    <w:rsid w:val="00790295"/>
    <w:rsid w:val="00791A63"/>
    <w:rsid w:val="00795084"/>
    <w:rsid w:val="007A168E"/>
    <w:rsid w:val="007A7002"/>
    <w:rsid w:val="007A7136"/>
    <w:rsid w:val="007A7F63"/>
    <w:rsid w:val="007B011C"/>
    <w:rsid w:val="007B186E"/>
    <w:rsid w:val="007B2C72"/>
    <w:rsid w:val="007B321F"/>
    <w:rsid w:val="007B6C52"/>
    <w:rsid w:val="007C1C53"/>
    <w:rsid w:val="007C74BB"/>
    <w:rsid w:val="007D456E"/>
    <w:rsid w:val="007D7034"/>
    <w:rsid w:val="007E427D"/>
    <w:rsid w:val="007E42F4"/>
    <w:rsid w:val="007E4904"/>
    <w:rsid w:val="007E4C67"/>
    <w:rsid w:val="007E4CB5"/>
    <w:rsid w:val="007E6E8C"/>
    <w:rsid w:val="007E71D3"/>
    <w:rsid w:val="007F066B"/>
    <w:rsid w:val="007F213A"/>
    <w:rsid w:val="007F4C4F"/>
    <w:rsid w:val="007F53F3"/>
    <w:rsid w:val="007F75C4"/>
    <w:rsid w:val="007F7E7A"/>
    <w:rsid w:val="008033C4"/>
    <w:rsid w:val="008057DE"/>
    <w:rsid w:val="00806C88"/>
    <w:rsid w:val="00807A40"/>
    <w:rsid w:val="00810070"/>
    <w:rsid w:val="0081034E"/>
    <w:rsid w:val="00812B03"/>
    <w:rsid w:val="0081482C"/>
    <w:rsid w:val="008159DC"/>
    <w:rsid w:val="00815CAC"/>
    <w:rsid w:val="008168E7"/>
    <w:rsid w:val="00817849"/>
    <w:rsid w:val="00821004"/>
    <w:rsid w:val="008221F2"/>
    <w:rsid w:val="0082573F"/>
    <w:rsid w:val="00825985"/>
    <w:rsid w:val="00827EC7"/>
    <w:rsid w:val="008301A7"/>
    <w:rsid w:val="008301B2"/>
    <w:rsid w:val="008310A0"/>
    <w:rsid w:val="008344F6"/>
    <w:rsid w:val="0083510F"/>
    <w:rsid w:val="00836B56"/>
    <w:rsid w:val="00837181"/>
    <w:rsid w:val="008408C5"/>
    <w:rsid w:val="008414FC"/>
    <w:rsid w:val="00847887"/>
    <w:rsid w:val="00851209"/>
    <w:rsid w:val="00856EAD"/>
    <w:rsid w:val="0085722A"/>
    <w:rsid w:val="00862B19"/>
    <w:rsid w:val="00862B9D"/>
    <w:rsid w:val="00864B35"/>
    <w:rsid w:val="00864E71"/>
    <w:rsid w:val="00866D99"/>
    <w:rsid w:val="00867CF6"/>
    <w:rsid w:val="00872C03"/>
    <w:rsid w:val="008749E0"/>
    <w:rsid w:val="00874CD0"/>
    <w:rsid w:val="008755AC"/>
    <w:rsid w:val="00881AA0"/>
    <w:rsid w:val="00882481"/>
    <w:rsid w:val="008837AC"/>
    <w:rsid w:val="0089116E"/>
    <w:rsid w:val="00894CEB"/>
    <w:rsid w:val="008A4841"/>
    <w:rsid w:val="008A587D"/>
    <w:rsid w:val="008A6E26"/>
    <w:rsid w:val="008B29C0"/>
    <w:rsid w:val="008B35CD"/>
    <w:rsid w:val="008B5FCC"/>
    <w:rsid w:val="008B7544"/>
    <w:rsid w:val="008C1A37"/>
    <w:rsid w:val="008C3374"/>
    <w:rsid w:val="008C39F0"/>
    <w:rsid w:val="008C40B1"/>
    <w:rsid w:val="008C44D0"/>
    <w:rsid w:val="008C5486"/>
    <w:rsid w:val="008C5B14"/>
    <w:rsid w:val="008C63DF"/>
    <w:rsid w:val="008C708B"/>
    <w:rsid w:val="008D1661"/>
    <w:rsid w:val="008D3283"/>
    <w:rsid w:val="008D58E4"/>
    <w:rsid w:val="008D6800"/>
    <w:rsid w:val="008D7E72"/>
    <w:rsid w:val="008E29A6"/>
    <w:rsid w:val="008E2C0C"/>
    <w:rsid w:val="008E4E3C"/>
    <w:rsid w:val="008E4F60"/>
    <w:rsid w:val="008E7031"/>
    <w:rsid w:val="008E77DE"/>
    <w:rsid w:val="008F07A3"/>
    <w:rsid w:val="008F16B3"/>
    <w:rsid w:val="008F1B2E"/>
    <w:rsid w:val="008F34DD"/>
    <w:rsid w:val="008F4217"/>
    <w:rsid w:val="009001B6"/>
    <w:rsid w:val="00900E1B"/>
    <w:rsid w:val="00901C3C"/>
    <w:rsid w:val="00901CC3"/>
    <w:rsid w:val="009038ED"/>
    <w:rsid w:val="00921184"/>
    <w:rsid w:val="009233EE"/>
    <w:rsid w:val="00923CFC"/>
    <w:rsid w:val="00923FA9"/>
    <w:rsid w:val="009272AD"/>
    <w:rsid w:val="009277DC"/>
    <w:rsid w:val="009310BE"/>
    <w:rsid w:val="009357D3"/>
    <w:rsid w:val="00936352"/>
    <w:rsid w:val="0094441D"/>
    <w:rsid w:val="009460AA"/>
    <w:rsid w:val="0094641C"/>
    <w:rsid w:val="0095070E"/>
    <w:rsid w:val="00951978"/>
    <w:rsid w:val="00961115"/>
    <w:rsid w:val="009616EC"/>
    <w:rsid w:val="00961A4A"/>
    <w:rsid w:val="009661DE"/>
    <w:rsid w:val="0097395E"/>
    <w:rsid w:val="0098017F"/>
    <w:rsid w:val="009804E4"/>
    <w:rsid w:val="00983C25"/>
    <w:rsid w:val="009847F3"/>
    <w:rsid w:val="0098551A"/>
    <w:rsid w:val="009856B7"/>
    <w:rsid w:val="00985C86"/>
    <w:rsid w:val="009873A4"/>
    <w:rsid w:val="00990BD8"/>
    <w:rsid w:val="00996BAF"/>
    <w:rsid w:val="0099706B"/>
    <w:rsid w:val="009972D8"/>
    <w:rsid w:val="009A2913"/>
    <w:rsid w:val="009A4FAA"/>
    <w:rsid w:val="009A5113"/>
    <w:rsid w:val="009A539D"/>
    <w:rsid w:val="009A5FC3"/>
    <w:rsid w:val="009A676B"/>
    <w:rsid w:val="009B5DC8"/>
    <w:rsid w:val="009B6F84"/>
    <w:rsid w:val="009B7343"/>
    <w:rsid w:val="009B74B0"/>
    <w:rsid w:val="009C691D"/>
    <w:rsid w:val="009D136D"/>
    <w:rsid w:val="009D2B38"/>
    <w:rsid w:val="009D3906"/>
    <w:rsid w:val="009D6B46"/>
    <w:rsid w:val="009D7495"/>
    <w:rsid w:val="009E3D60"/>
    <w:rsid w:val="009E4713"/>
    <w:rsid w:val="009F079E"/>
    <w:rsid w:val="009F4940"/>
    <w:rsid w:val="009F5BA1"/>
    <w:rsid w:val="009F5EBE"/>
    <w:rsid w:val="00A02A88"/>
    <w:rsid w:val="00A045E2"/>
    <w:rsid w:val="00A0562E"/>
    <w:rsid w:val="00A06085"/>
    <w:rsid w:val="00A0726D"/>
    <w:rsid w:val="00A16596"/>
    <w:rsid w:val="00A2087A"/>
    <w:rsid w:val="00A229A8"/>
    <w:rsid w:val="00A2303E"/>
    <w:rsid w:val="00A266B0"/>
    <w:rsid w:val="00A31744"/>
    <w:rsid w:val="00A32FBB"/>
    <w:rsid w:val="00A334F9"/>
    <w:rsid w:val="00A341C6"/>
    <w:rsid w:val="00A428EE"/>
    <w:rsid w:val="00A4478A"/>
    <w:rsid w:val="00A44852"/>
    <w:rsid w:val="00A44E67"/>
    <w:rsid w:val="00A4650A"/>
    <w:rsid w:val="00A46DB1"/>
    <w:rsid w:val="00A50502"/>
    <w:rsid w:val="00A578C3"/>
    <w:rsid w:val="00A57D04"/>
    <w:rsid w:val="00A60A26"/>
    <w:rsid w:val="00A61598"/>
    <w:rsid w:val="00A63290"/>
    <w:rsid w:val="00A636EE"/>
    <w:rsid w:val="00A77FD7"/>
    <w:rsid w:val="00A81E92"/>
    <w:rsid w:val="00A84A99"/>
    <w:rsid w:val="00A84F46"/>
    <w:rsid w:val="00A86D29"/>
    <w:rsid w:val="00A871F4"/>
    <w:rsid w:val="00A90AA4"/>
    <w:rsid w:val="00A913CA"/>
    <w:rsid w:val="00A923BF"/>
    <w:rsid w:val="00A97733"/>
    <w:rsid w:val="00AA3056"/>
    <w:rsid w:val="00AA537A"/>
    <w:rsid w:val="00AB0AEE"/>
    <w:rsid w:val="00AB47E1"/>
    <w:rsid w:val="00AB5293"/>
    <w:rsid w:val="00AC046D"/>
    <w:rsid w:val="00AC1B2C"/>
    <w:rsid w:val="00AC3264"/>
    <w:rsid w:val="00AC7D49"/>
    <w:rsid w:val="00AD3884"/>
    <w:rsid w:val="00AD3CCA"/>
    <w:rsid w:val="00AD788E"/>
    <w:rsid w:val="00AD7B56"/>
    <w:rsid w:val="00AE1BF1"/>
    <w:rsid w:val="00AF0DD2"/>
    <w:rsid w:val="00B0209D"/>
    <w:rsid w:val="00B02961"/>
    <w:rsid w:val="00B02FBB"/>
    <w:rsid w:val="00B04737"/>
    <w:rsid w:val="00B04908"/>
    <w:rsid w:val="00B04B4C"/>
    <w:rsid w:val="00B064A8"/>
    <w:rsid w:val="00B07CEA"/>
    <w:rsid w:val="00B12C89"/>
    <w:rsid w:val="00B13048"/>
    <w:rsid w:val="00B14279"/>
    <w:rsid w:val="00B1716D"/>
    <w:rsid w:val="00B17A1D"/>
    <w:rsid w:val="00B207A0"/>
    <w:rsid w:val="00B22B6A"/>
    <w:rsid w:val="00B34AEC"/>
    <w:rsid w:val="00B40CAA"/>
    <w:rsid w:val="00B41580"/>
    <w:rsid w:val="00B44013"/>
    <w:rsid w:val="00B47F14"/>
    <w:rsid w:val="00B514DD"/>
    <w:rsid w:val="00B51F23"/>
    <w:rsid w:val="00B51F3F"/>
    <w:rsid w:val="00B524D8"/>
    <w:rsid w:val="00B52AF0"/>
    <w:rsid w:val="00B561BD"/>
    <w:rsid w:val="00B56E03"/>
    <w:rsid w:val="00B60266"/>
    <w:rsid w:val="00B61EDF"/>
    <w:rsid w:val="00B701A6"/>
    <w:rsid w:val="00B74AC5"/>
    <w:rsid w:val="00B757A6"/>
    <w:rsid w:val="00B8080B"/>
    <w:rsid w:val="00B82223"/>
    <w:rsid w:val="00B87BA5"/>
    <w:rsid w:val="00B87C39"/>
    <w:rsid w:val="00B91B85"/>
    <w:rsid w:val="00B9562D"/>
    <w:rsid w:val="00B95A88"/>
    <w:rsid w:val="00BA0731"/>
    <w:rsid w:val="00BA10D7"/>
    <w:rsid w:val="00BA4665"/>
    <w:rsid w:val="00BA47EE"/>
    <w:rsid w:val="00BB2FB2"/>
    <w:rsid w:val="00BB3304"/>
    <w:rsid w:val="00BB3FD7"/>
    <w:rsid w:val="00BB6848"/>
    <w:rsid w:val="00BB7528"/>
    <w:rsid w:val="00BC18DE"/>
    <w:rsid w:val="00BC2FAF"/>
    <w:rsid w:val="00BC42EF"/>
    <w:rsid w:val="00BC6585"/>
    <w:rsid w:val="00BD0218"/>
    <w:rsid w:val="00BD0920"/>
    <w:rsid w:val="00BD0C45"/>
    <w:rsid w:val="00BD310B"/>
    <w:rsid w:val="00BD3446"/>
    <w:rsid w:val="00BE1F1B"/>
    <w:rsid w:val="00BE42B7"/>
    <w:rsid w:val="00BE47B5"/>
    <w:rsid w:val="00BF0C8F"/>
    <w:rsid w:val="00BF0CD7"/>
    <w:rsid w:val="00BF1038"/>
    <w:rsid w:val="00C04223"/>
    <w:rsid w:val="00C07A91"/>
    <w:rsid w:val="00C14CE4"/>
    <w:rsid w:val="00C16899"/>
    <w:rsid w:val="00C25E5F"/>
    <w:rsid w:val="00C25FA6"/>
    <w:rsid w:val="00C275C4"/>
    <w:rsid w:val="00C30637"/>
    <w:rsid w:val="00C31DFD"/>
    <w:rsid w:val="00C36F19"/>
    <w:rsid w:val="00C427B2"/>
    <w:rsid w:val="00C42ACA"/>
    <w:rsid w:val="00C45F65"/>
    <w:rsid w:val="00C5122C"/>
    <w:rsid w:val="00C538A9"/>
    <w:rsid w:val="00C53B5A"/>
    <w:rsid w:val="00C54F5A"/>
    <w:rsid w:val="00C569B4"/>
    <w:rsid w:val="00C56A01"/>
    <w:rsid w:val="00C56A3E"/>
    <w:rsid w:val="00C62818"/>
    <w:rsid w:val="00C64DA7"/>
    <w:rsid w:val="00C67A92"/>
    <w:rsid w:val="00C72AF0"/>
    <w:rsid w:val="00C7497E"/>
    <w:rsid w:val="00C74D43"/>
    <w:rsid w:val="00C81568"/>
    <w:rsid w:val="00C84560"/>
    <w:rsid w:val="00C84F52"/>
    <w:rsid w:val="00C86679"/>
    <w:rsid w:val="00C912B6"/>
    <w:rsid w:val="00C97660"/>
    <w:rsid w:val="00C97CDF"/>
    <w:rsid w:val="00CA0D11"/>
    <w:rsid w:val="00CA2ABF"/>
    <w:rsid w:val="00CA2C1D"/>
    <w:rsid w:val="00CA489E"/>
    <w:rsid w:val="00CA52A2"/>
    <w:rsid w:val="00CB0279"/>
    <w:rsid w:val="00CB666B"/>
    <w:rsid w:val="00CC32DF"/>
    <w:rsid w:val="00CC7F1D"/>
    <w:rsid w:val="00CD19EE"/>
    <w:rsid w:val="00CD2D5A"/>
    <w:rsid w:val="00CD75B9"/>
    <w:rsid w:val="00CE3EE9"/>
    <w:rsid w:val="00CE484B"/>
    <w:rsid w:val="00CE4900"/>
    <w:rsid w:val="00CF0DEE"/>
    <w:rsid w:val="00CF2C05"/>
    <w:rsid w:val="00CF6EDE"/>
    <w:rsid w:val="00D006AE"/>
    <w:rsid w:val="00D00B9C"/>
    <w:rsid w:val="00D01916"/>
    <w:rsid w:val="00D01CF0"/>
    <w:rsid w:val="00D01EFD"/>
    <w:rsid w:val="00D0442A"/>
    <w:rsid w:val="00D06055"/>
    <w:rsid w:val="00D066B7"/>
    <w:rsid w:val="00D17683"/>
    <w:rsid w:val="00D32BAE"/>
    <w:rsid w:val="00D36FCC"/>
    <w:rsid w:val="00D41E80"/>
    <w:rsid w:val="00D4502D"/>
    <w:rsid w:val="00D45694"/>
    <w:rsid w:val="00D537A6"/>
    <w:rsid w:val="00D54C6E"/>
    <w:rsid w:val="00D608F6"/>
    <w:rsid w:val="00D60EFF"/>
    <w:rsid w:val="00D61388"/>
    <w:rsid w:val="00D61A54"/>
    <w:rsid w:val="00D64275"/>
    <w:rsid w:val="00D64DEA"/>
    <w:rsid w:val="00D7168E"/>
    <w:rsid w:val="00D71E57"/>
    <w:rsid w:val="00D75AA2"/>
    <w:rsid w:val="00D7645E"/>
    <w:rsid w:val="00D80893"/>
    <w:rsid w:val="00D843A3"/>
    <w:rsid w:val="00D84854"/>
    <w:rsid w:val="00D848B4"/>
    <w:rsid w:val="00D85D25"/>
    <w:rsid w:val="00D87EC9"/>
    <w:rsid w:val="00D90253"/>
    <w:rsid w:val="00D91E60"/>
    <w:rsid w:val="00D92CF1"/>
    <w:rsid w:val="00D92D38"/>
    <w:rsid w:val="00D94245"/>
    <w:rsid w:val="00D94D6E"/>
    <w:rsid w:val="00D950F5"/>
    <w:rsid w:val="00D96662"/>
    <w:rsid w:val="00DA0BCC"/>
    <w:rsid w:val="00DA4752"/>
    <w:rsid w:val="00DA5A41"/>
    <w:rsid w:val="00DA61F3"/>
    <w:rsid w:val="00DA6B93"/>
    <w:rsid w:val="00DA6F94"/>
    <w:rsid w:val="00DB0F93"/>
    <w:rsid w:val="00DB1187"/>
    <w:rsid w:val="00DB1A67"/>
    <w:rsid w:val="00DB3FFC"/>
    <w:rsid w:val="00DB5074"/>
    <w:rsid w:val="00DB5B21"/>
    <w:rsid w:val="00DC6914"/>
    <w:rsid w:val="00DC7981"/>
    <w:rsid w:val="00DD1C15"/>
    <w:rsid w:val="00DE1093"/>
    <w:rsid w:val="00DE4EFA"/>
    <w:rsid w:val="00DE5520"/>
    <w:rsid w:val="00DE563D"/>
    <w:rsid w:val="00DE5E2E"/>
    <w:rsid w:val="00DE772C"/>
    <w:rsid w:val="00DF0116"/>
    <w:rsid w:val="00DF1D9A"/>
    <w:rsid w:val="00DF312A"/>
    <w:rsid w:val="00DF3AF5"/>
    <w:rsid w:val="00DF3D13"/>
    <w:rsid w:val="00DF6399"/>
    <w:rsid w:val="00DF75A5"/>
    <w:rsid w:val="00DF7DB3"/>
    <w:rsid w:val="00E04818"/>
    <w:rsid w:val="00E06442"/>
    <w:rsid w:val="00E06BCF"/>
    <w:rsid w:val="00E1001C"/>
    <w:rsid w:val="00E23993"/>
    <w:rsid w:val="00E257D6"/>
    <w:rsid w:val="00E25B8C"/>
    <w:rsid w:val="00E269AE"/>
    <w:rsid w:val="00E30279"/>
    <w:rsid w:val="00E33714"/>
    <w:rsid w:val="00E3544F"/>
    <w:rsid w:val="00E36777"/>
    <w:rsid w:val="00E4066C"/>
    <w:rsid w:val="00E41545"/>
    <w:rsid w:val="00E43B3D"/>
    <w:rsid w:val="00E44982"/>
    <w:rsid w:val="00E51D59"/>
    <w:rsid w:val="00E51D65"/>
    <w:rsid w:val="00E5325C"/>
    <w:rsid w:val="00E6200B"/>
    <w:rsid w:val="00E65C85"/>
    <w:rsid w:val="00E66199"/>
    <w:rsid w:val="00E711C7"/>
    <w:rsid w:val="00E7494F"/>
    <w:rsid w:val="00E749F1"/>
    <w:rsid w:val="00E755EC"/>
    <w:rsid w:val="00E75D78"/>
    <w:rsid w:val="00E7624D"/>
    <w:rsid w:val="00E92646"/>
    <w:rsid w:val="00E95766"/>
    <w:rsid w:val="00E97242"/>
    <w:rsid w:val="00EA13B8"/>
    <w:rsid w:val="00EA2A22"/>
    <w:rsid w:val="00EA38F3"/>
    <w:rsid w:val="00EA3D42"/>
    <w:rsid w:val="00EA6B1B"/>
    <w:rsid w:val="00EB5BC8"/>
    <w:rsid w:val="00EB606C"/>
    <w:rsid w:val="00EC04F1"/>
    <w:rsid w:val="00EC1B2B"/>
    <w:rsid w:val="00EC32E5"/>
    <w:rsid w:val="00ED0EC2"/>
    <w:rsid w:val="00ED1DE7"/>
    <w:rsid w:val="00ED3474"/>
    <w:rsid w:val="00ED6E9D"/>
    <w:rsid w:val="00ED7323"/>
    <w:rsid w:val="00EE28F3"/>
    <w:rsid w:val="00EE50D1"/>
    <w:rsid w:val="00EE77FA"/>
    <w:rsid w:val="00EE7A83"/>
    <w:rsid w:val="00EF1B7A"/>
    <w:rsid w:val="00EF1F67"/>
    <w:rsid w:val="00EF2985"/>
    <w:rsid w:val="00EF5110"/>
    <w:rsid w:val="00F0334E"/>
    <w:rsid w:val="00F033CE"/>
    <w:rsid w:val="00F05131"/>
    <w:rsid w:val="00F07967"/>
    <w:rsid w:val="00F10411"/>
    <w:rsid w:val="00F12AC4"/>
    <w:rsid w:val="00F15882"/>
    <w:rsid w:val="00F171E0"/>
    <w:rsid w:val="00F20BD3"/>
    <w:rsid w:val="00F24BFF"/>
    <w:rsid w:val="00F250C3"/>
    <w:rsid w:val="00F2526A"/>
    <w:rsid w:val="00F26D31"/>
    <w:rsid w:val="00F35081"/>
    <w:rsid w:val="00F35C33"/>
    <w:rsid w:val="00F373A5"/>
    <w:rsid w:val="00F42E08"/>
    <w:rsid w:val="00F47559"/>
    <w:rsid w:val="00F47D66"/>
    <w:rsid w:val="00F57907"/>
    <w:rsid w:val="00F61176"/>
    <w:rsid w:val="00F61482"/>
    <w:rsid w:val="00F628F4"/>
    <w:rsid w:val="00F62A30"/>
    <w:rsid w:val="00F63A7B"/>
    <w:rsid w:val="00F63F0F"/>
    <w:rsid w:val="00F64C7B"/>
    <w:rsid w:val="00F65623"/>
    <w:rsid w:val="00F65B25"/>
    <w:rsid w:val="00F676DD"/>
    <w:rsid w:val="00F71667"/>
    <w:rsid w:val="00F735D1"/>
    <w:rsid w:val="00F7388A"/>
    <w:rsid w:val="00F73895"/>
    <w:rsid w:val="00F739F0"/>
    <w:rsid w:val="00F75A26"/>
    <w:rsid w:val="00F76706"/>
    <w:rsid w:val="00F768C8"/>
    <w:rsid w:val="00F779C9"/>
    <w:rsid w:val="00F81B8D"/>
    <w:rsid w:val="00F83FAD"/>
    <w:rsid w:val="00F8653A"/>
    <w:rsid w:val="00F91F55"/>
    <w:rsid w:val="00F92349"/>
    <w:rsid w:val="00F93B21"/>
    <w:rsid w:val="00F952A0"/>
    <w:rsid w:val="00FA3C7F"/>
    <w:rsid w:val="00FB1BF3"/>
    <w:rsid w:val="00FB4402"/>
    <w:rsid w:val="00FB60FE"/>
    <w:rsid w:val="00FB74E2"/>
    <w:rsid w:val="00FC54A9"/>
    <w:rsid w:val="00FC71DC"/>
    <w:rsid w:val="00FD2ED2"/>
    <w:rsid w:val="00FD5614"/>
    <w:rsid w:val="00FD58E8"/>
    <w:rsid w:val="00FD5E78"/>
    <w:rsid w:val="00FE0BE1"/>
    <w:rsid w:val="00FE1DE9"/>
    <w:rsid w:val="00FE36AF"/>
    <w:rsid w:val="00FE39C2"/>
    <w:rsid w:val="00FE3C32"/>
    <w:rsid w:val="00FE64AE"/>
    <w:rsid w:val="00FE7BB0"/>
    <w:rsid w:val="00FF28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DB1187"/>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DB1187"/>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533758">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94314634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2087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image" Target="media/image53.wmf"/><Relationship Id="rId21" Type="http://schemas.openxmlformats.org/officeDocument/2006/relationships/oleObject" Target="embeddings/oleObject5.bin"/><Relationship Id="rId42" Type="http://schemas.openxmlformats.org/officeDocument/2006/relationships/image" Target="media/image17.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39.bin"/><Relationship Id="rId112" Type="http://schemas.openxmlformats.org/officeDocument/2006/relationships/oleObject" Target="embeddings/oleObject51.bin"/><Relationship Id="rId133" Type="http://schemas.openxmlformats.org/officeDocument/2006/relationships/image" Target="media/image61.wmf"/><Relationship Id="rId138" Type="http://schemas.openxmlformats.org/officeDocument/2006/relationships/oleObject" Target="embeddings/oleObject65.bin"/><Relationship Id="rId154" Type="http://schemas.openxmlformats.org/officeDocument/2006/relationships/oleObject" Target="embeddings/oleObject73.bin"/><Relationship Id="rId159" Type="http://schemas.openxmlformats.org/officeDocument/2006/relationships/image" Target="media/image73.wmf"/><Relationship Id="rId175" Type="http://schemas.openxmlformats.org/officeDocument/2006/relationships/image" Target="media/image81.wmf"/><Relationship Id="rId170" Type="http://schemas.openxmlformats.org/officeDocument/2006/relationships/oleObject" Target="embeddings/oleObject82.bin"/><Relationship Id="rId16" Type="http://schemas.openxmlformats.org/officeDocument/2006/relationships/image" Target="media/image4.wmf"/><Relationship Id="rId107" Type="http://schemas.openxmlformats.org/officeDocument/2006/relationships/image" Target="media/image49.wmf"/><Relationship Id="rId11" Type="http://schemas.openxmlformats.org/officeDocument/2006/relationships/hyperlink" Target="mailto:AERInquiry@aer.gov.au" TargetMode="External"/><Relationship Id="rId32" Type="http://schemas.openxmlformats.org/officeDocument/2006/relationships/image" Target="media/image12.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4.bin"/><Relationship Id="rId102" Type="http://schemas.openxmlformats.org/officeDocument/2006/relationships/oleObject" Target="embeddings/oleObject46.bin"/><Relationship Id="rId123" Type="http://schemas.openxmlformats.org/officeDocument/2006/relationships/image" Target="media/image56.wmf"/><Relationship Id="rId128" Type="http://schemas.openxmlformats.org/officeDocument/2006/relationships/oleObject" Target="embeddings/oleObject60.bin"/><Relationship Id="rId144" Type="http://schemas.openxmlformats.org/officeDocument/2006/relationships/oleObject" Target="embeddings/oleObject68.bin"/><Relationship Id="rId149" Type="http://schemas.openxmlformats.org/officeDocument/2006/relationships/image" Target="media/image69.wmf"/><Relationship Id="rId5" Type="http://schemas.microsoft.com/office/2007/relationships/stylesWithEffects" Target="stylesWithEffects.xml"/><Relationship Id="rId90" Type="http://schemas.openxmlformats.org/officeDocument/2006/relationships/image" Target="media/image41.wmf"/><Relationship Id="rId95" Type="http://schemas.openxmlformats.org/officeDocument/2006/relationships/oleObject" Target="embeddings/oleObject42.bin"/><Relationship Id="rId160" Type="http://schemas.openxmlformats.org/officeDocument/2006/relationships/oleObject" Target="embeddings/oleObject77.bin"/><Relationship Id="rId165" Type="http://schemas.openxmlformats.org/officeDocument/2006/relationships/image" Target="media/image76.wmf"/><Relationship Id="rId181" Type="http://schemas.openxmlformats.org/officeDocument/2006/relationships/footer" Target="footer2.xml"/><Relationship Id="rId22" Type="http://schemas.openxmlformats.org/officeDocument/2006/relationships/image" Target="media/image7.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29.bin"/><Relationship Id="rId113" Type="http://schemas.openxmlformats.org/officeDocument/2006/relationships/image" Target="media/image52.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image" Target="media/image64.wmf"/><Relationship Id="rId80" Type="http://schemas.openxmlformats.org/officeDocument/2006/relationships/image" Target="media/image36.wmf"/><Relationship Id="rId85" Type="http://schemas.openxmlformats.org/officeDocument/2006/relationships/oleObject" Target="embeddings/oleObject37.bin"/><Relationship Id="rId150" Type="http://schemas.openxmlformats.org/officeDocument/2006/relationships/oleObject" Target="embeddings/oleObject71.bin"/><Relationship Id="rId155" Type="http://schemas.openxmlformats.org/officeDocument/2006/relationships/oleObject" Target="embeddings/oleObject74.bin"/><Relationship Id="rId171" Type="http://schemas.openxmlformats.org/officeDocument/2006/relationships/image" Target="media/image79.wmf"/><Relationship Id="rId176" Type="http://schemas.openxmlformats.org/officeDocument/2006/relationships/oleObject" Target="embeddings/oleObject85.bin"/><Relationship Id="rId12" Type="http://schemas.openxmlformats.org/officeDocument/2006/relationships/image" Target="media/image2.wmf"/><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15.wmf"/><Relationship Id="rId59" Type="http://schemas.openxmlformats.org/officeDocument/2006/relationships/oleObject" Target="embeddings/oleObject24.bin"/><Relationship Id="rId103" Type="http://schemas.openxmlformats.org/officeDocument/2006/relationships/image" Target="media/image47.wmf"/><Relationship Id="rId108" Type="http://schemas.openxmlformats.org/officeDocument/2006/relationships/oleObject" Target="embeddings/oleObject49.bin"/><Relationship Id="rId124" Type="http://schemas.openxmlformats.org/officeDocument/2006/relationships/oleObject" Target="embeddings/oleObject58.bin"/><Relationship Id="rId129" Type="http://schemas.openxmlformats.org/officeDocument/2006/relationships/image" Target="media/image59.wmf"/><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oleObject" Target="embeddings/oleObject43.bin"/><Relationship Id="rId140" Type="http://schemas.openxmlformats.org/officeDocument/2006/relationships/oleObject" Target="embeddings/oleObject66.bin"/><Relationship Id="rId145" Type="http://schemas.openxmlformats.org/officeDocument/2006/relationships/image" Target="media/image67.wmf"/><Relationship Id="rId161" Type="http://schemas.openxmlformats.org/officeDocument/2006/relationships/image" Target="media/image74.wmf"/><Relationship Id="rId166" Type="http://schemas.openxmlformats.org/officeDocument/2006/relationships/oleObject" Target="embeddings/oleObject80.bin"/><Relationship Id="rId18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oleObject" Target="embeddings/oleObject6.bin"/><Relationship Id="rId28" Type="http://schemas.openxmlformats.org/officeDocument/2006/relationships/image" Target="media/image10.wmf"/><Relationship Id="rId49" Type="http://schemas.openxmlformats.org/officeDocument/2006/relationships/oleObject" Target="embeddings/oleObject19.bin"/><Relationship Id="rId114" Type="http://schemas.openxmlformats.org/officeDocument/2006/relationships/oleObject" Target="embeddings/oleObject52.bin"/><Relationship Id="rId119" Type="http://schemas.openxmlformats.org/officeDocument/2006/relationships/image" Target="media/image54.wmf"/><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27.bin"/><Relationship Id="rId81" Type="http://schemas.openxmlformats.org/officeDocument/2006/relationships/oleObject" Target="embeddings/oleObject35.bin"/><Relationship Id="rId86" Type="http://schemas.openxmlformats.org/officeDocument/2006/relationships/image" Target="media/image39.wmf"/><Relationship Id="rId130" Type="http://schemas.openxmlformats.org/officeDocument/2006/relationships/oleObject" Target="embeddings/oleObject61.bin"/><Relationship Id="rId135" Type="http://schemas.openxmlformats.org/officeDocument/2006/relationships/image" Target="media/image62.wmf"/><Relationship Id="rId151" Type="http://schemas.openxmlformats.org/officeDocument/2006/relationships/image" Target="media/image70.wmf"/><Relationship Id="rId156" Type="http://schemas.openxmlformats.org/officeDocument/2006/relationships/oleObject" Target="embeddings/oleObject75.bin"/><Relationship Id="rId177" Type="http://schemas.openxmlformats.org/officeDocument/2006/relationships/image" Target="media/image82.wmf"/><Relationship Id="rId4" Type="http://schemas.openxmlformats.org/officeDocument/2006/relationships/styles" Target="styles.xml"/><Relationship Id="rId9" Type="http://schemas.openxmlformats.org/officeDocument/2006/relationships/endnotes" Target="endnotes.xml"/><Relationship Id="rId172" Type="http://schemas.openxmlformats.org/officeDocument/2006/relationships/oleObject" Target="embeddings/oleObject83.bin"/><Relationship Id="rId180"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4.bin"/><Relationship Id="rId109" Type="http://schemas.openxmlformats.org/officeDocument/2006/relationships/image" Target="media/image50.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2.bin"/><Relationship Id="rId76" Type="http://schemas.openxmlformats.org/officeDocument/2006/relationships/image" Target="media/image34.wmf"/><Relationship Id="rId97" Type="http://schemas.openxmlformats.org/officeDocument/2006/relationships/image" Target="media/image44.wmf"/><Relationship Id="rId104" Type="http://schemas.openxmlformats.org/officeDocument/2006/relationships/oleObject" Target="embeddings/oleObject47.bin"/><Relationship Id="rId120" Type="http://schemas.openxmlformats.org/officeDocument/2006/relationships/oleObject" Target="embeddings/oleObject56.bin"/><Relationship Id="rId125" Type="http://schemas.openxmlformats.org/officeDocument/2006/relationships/image" Target="media/image57.wmf"/><Relationship Id="rId141" Type="http://schemas.openxmlformats.org/officeDocument/2006/relationships/image" Target="media/image65.wmf"/><Relationship Id="rId146" Type="http://schemas.openxmlformats.org/officeDocument/2006/relationships/oleObject" Target="embeddings/oleObject69.bin"/><Relationship Id="rId167" Type="http://schemas.openxmlformats.org/officeDocument/2006/relationships/image" Target="media/image77.wmf"/><Relationship Id="rId7" Type="http://schemas.openxmlformats.org/officeDocument/2006/relationships/webSettings" Target="webSettings.xml"/><Relationship Id="rId71" Type="http://schemas.openxmlformats.org/officeDocument/2006/relationships/oleObject" Target="embeddings/oleObject30.bin"/><Relationship Id="rId92" Type="http://schemas.openxmlformats.org/officeDocument/2006/relationships/image" Target="media/image42.wmf"/><Relationship Id="rId162" Type="http://schemas.openxmlformats.org/officeDocument/2006/relationships/oleObject" Target="embeddings/oleObject78.bin"/><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7.bin"/><Relationship Id="rId66" Type="http://schemas.openxmlformats.org/officeDocument/2006/relationships/image" Target="media/image29.wmf"/><Relationship Id="rId87" Type="http://schemas.openxmlformats.org/officeDocument/2006/relationships/oleObject" Target="embeddings/oleObject38.bin"/><Relationship Id="rId110" Type="http://schemas.openxmlformats.org/officeDocument/2006/relationships/oleObject" Target="embeddings/oleObject50.bin"/><Relationship Id="rId115" Type="http://schemas.openxmlformats.org/officeDocument/2006/relationships/oleObject" Target="embeddings/oleObject53.bin"/><Relationship Id="rId131" Type="http://schemas.openxmlformats.org/officeDocument/2006/relationships/image" Target="media/image60.wmf"/><Relationship Id="rId136" Type="http://schemas.openxmlformats.org/officeDocument/2006/relationships/oleObject" Target="embeddings/oleObject64.bin"/><Relationship Id="rId157" Type="http://schemas.openxmlformats.org/officeDocument/2006/relationships/image" Target="media/image72.wmf"/><Relationship Id="rId178" Type="http://schemas.openxmlformats.org/officeDocument/2006/relationships/oleObject" Target="embeddings/oleObject86.bin"/><Relationship Id="rId61" Type="http://schemas.openxmlformats.org/officeDocument/2006/relationships/oleObject" Target="embeddings/oleObject25.bin"/><Relationship Id="rId82" Type="http://schemas.openxmlformats.org/officeDocument/2006/relationships/image" Target="media/image37.wmf"/><Relationship Id="rId152" Type="http://schemas.openxmlformats.org/officeDocument/2006/relationships/oleObject" Target="embeddings/oleObject72.bin"/><Relationship Id="rId173" Type="http://schemas.openxmlformats.org/officeDocument/2006/relationships/image" Target="media/image80.wmf"/><Relationship Id="rId19" Type="http://schemas.openxmlformats.org/officeDocument/2006/relationships/oleObject" Target="embeddings/oleObject4.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2.bin"/><Relationship Id="rId56" Type="http://schemas.openxmlformats.org/officeDocument/2006/relationships/image" Target="media/image24.wmf"/><Relationship Id="rId77" Type="http://schemas.openxmlformats.org/officeDocument/2006/relationships/oleObject" Target="embeddings/oleObject33.bin"/><Relationship Id="rId100" Type="http://schemas.openxmlformats.org/officeDocument/2006/relationships/oleObject" Target="embeddings/oleObject45.bin"/><Relationship Id="rId105" Type="http://schemas.openxmlformats.org/officeDocument/2006/relationships/image" Target="media/image48.wmf"/><Relationship Id="rId126" Type="http://schemas.openxmlformats.org/officeDocument/2006/relationships/oleObject" Target="embeddings/oleObject59.bin"/><Relationship Id="rId147" Type="http://schemas.openxmlformats.org/officeDocument/2006/relationships/image" Target="media/image68.wmf"/><Relationship Id="rId168" Type="http://schemas.openxmlformats.org/officeDocument/2006/relationships/oleObject" Target="embeddings/oleObject81.bin"/><Relationship Id="rId8" Type="http://schemas.openxmlformats.org/officeDocument/2006/relationships/footnotes" Target="footnotes.xml"/><Relationship Id="rId51" Type="http://schemas.openxmlformats.org/officeDocument/2006/relationships/oleObject" Target="embeddings/oleObject20.bin"/><Relationship Id="rId72" Type="http://schemas.openxmlformats.org/officeDocument/2006/relationships/image" Target="media/image32.wmf"/><Relationship Id="rId93" Type="http://schemas.openxmlformats.org/officeDocument/2006/relationships/oleObject" Target="embeddings/oleObject41.bin"/><Relationship Id="rId98" Type="http://schemas.openxmlformats.org/officeDocument/2006/relationships/oleObject" Target="embeddings/oleObject44.bin"/><Relationship Id="rId121" Type="http://schemas.openxmlformats.org/officeDocument/2006/relationships/image" Target="media/image55.wmf"/><Relationship Id="rId142" Type="http://schemas.openxmlformats.org/officeDocument/2006/relationships/oleObject" Target="embeddings/oleObject67.bin"/><Relationship Id="rId163" Type="http://schemas.openxmlformats.org/officeDocument/2006/relationships/image" Target="media/image75.wmf"/><Relationship Id="rId184" Type="http://schemas.openxmlformats.org/officeDocument/2006/relationships/theme" Target="theme/theme1.xml"/><Relationship Id="rId3" Type="http://schemas.openxmlformats.org/officeDocument/2006/relationships/numbering" Target="numbering.xml"/><Relationship Id="rId25" Type="http://schemas.openxmlformats.org/officeDocument/2006/relationships/oleObject" Target="embeddings/oleObject7.bin"/><Relationship Id="rId46" Type="http://schemas.openxmlformats.org/officeDocument/2006/relationships/image" Target="media/image19.wmf"/><Relationship Id="rId67" Type="http://schemas.openxmlformats.org/officeDocument/2006/relationships/oleObject" Target="embeddings/oleObject28.bin"/><Relationship Id="rId116" Type="http://schemas.openxmlformats.org/officeDocument/2006/relationships/oleObject" Target="embeddings/oleObject54.bin"/><Relationship Id="rId137" Type="http://schemas.openxmlformats.org/officeDocument/2006/relationships/image" Target="media/image63.wmf"/><Relationship Id="rId158" Type="http://schemas.openxmlformats.org/officeDocument/2006/relationships/oleObject" Target="embeddings/oleObject76.bin"/><Relationship Id="rId20" Type="http://schemas.openxmlformats.org/officeDocument/2006/relationships/image" Target="media/image6.wmf"/><Relationship Id="rId41" Type="http://schemas.openxmlformats.org/officeDocument/2006/relationships/oleObject" Target="embeddings/oleObject15.bin"/><Relationship Id="rId62" Type="http://schemas.openxmlformats.org/officeDocument/2006/relationships/image" Target="media/image27.wmf"/><Relationship Id="rId83" Type="http://schemas.openxmlformats.org/officeDocument/2006/relationships/oleObject" Target="embeddings/oleObject36.bin"/><Relationship Id="rId88" Type="http://schemas.openxmlformats.org/officeDocument/2006/relationships/image" Target="media/image40.wmf"/><Relationship Id="rId111" Type="http://schemas.openxmlformats.org/officeDocument/2006/relationships/image" Target="media/image51.wmf"/><Relationship Id="rId132" Type="http://schemas.openxmlformats.org/officeDocument/2006/relationships/oleObject" Target="embeddings/oleObject62.bin"/><Relationship Id="rId153" Type="http://schemas.openxmlformats.org/officeDocument/2006/relationships/image" Target="media/image71.wmf"/><Relationship Id="rId174" Type="http://schemas.openxmlformats.org/officeDocument/2006/relationships/oleObject" Target="embeddings/oleObject84.bin"/><Relationship Id="rId179" Type="http://schemas.openxmlformats.org/officeDocument/2006/relationships/header" Target="header1.xml"/><Relationship Id="rId15" Type="http://schemas.openxmlformats.org/officeDocument/2006/relationships/oleObject" Target="embeddings/oleObject2.bin"/><Relationship Id="rId36" Type="http://schemas.openxmlformats.org/officeDocument/2006/relationships/image" Target="media/image14.wmf"/><Relationship Id="rId57" Type="http://schemas.openxmlformats.org/officeDocument/2006/relationships/oleObject" Target="embeddings/oleObject23.bin"/><Relationship Id="rId106" Type="http://schemas.openxmlformats.org/officeDocument/2006/relationships/oleObject" Target="embeddings/oleObject48.bin"/><Relationship Id="rId127" Type="http://schemas.openxmlformats.org/officeDocument/2006/relationships/image" Target="media/image58.wmf"/><Relationship Id="rId10" Type="http://schemas.openxmlformats.org/officeDocument/2006/relationships/image" Target="media/image1.jpeg"/><Relationship Id="rId31" Type="http://schemas.openxmlformats.org/officeDocument/2006/relationships/oleObject" Target="embeddings/oleObject10.bin"/><Relationship Id="rId52" Type="http://schemas.openxmlformats.org/officeDocument/2006/relationships/image" Target="media/image22.wmf"/><Relationship Id="rId73" Type="http://schemas.openxmlformats.org/officeDocument/2006/relationships/oleObject" Target="embeddings/oleObject31.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7.bin"/><Relationship Id="rId143" Type="http://schemas.openxmlformats.org/officeDocument/2006/relationships/image" Target="media/image66.wmf"/><Relationship Id="rId148" Type="http://schemas.openxmlformats.org/officeDocument/2006/relationships/oleObject" Target="embeddings/oleObject70.bin"/><Relationship Id="rId164" Type="http://schemas.openxmlformats.org/officeDocument/2006/relationships/oleObject" Target="embeddings/oleObject79.bin"/><Relationship Id="rId169" Type="http://schemas.openxmlformats.org/officeDocument/2006/relationships/image" Target="media/image78.wmf"/></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2A4AB3-C0A7-400A-8CCE-5EDDBF759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A4C8202</Template>
  <TotalTime>0</TotalTime>
  <Pages>36</Pages>
  <Words>10070</Words>
  <Characters>57401</Characters>
  <Application>Microsoft Office Word</Application>
  <DocSecurity>0</DocSecurity>
  <Lines>478</Lines>
  <Paragraphs>134</Paragraphs>
  <ScaleCrop>false</ScaleCrop>
  <Company/>
  <LinksUpToDate>false</LinksUpToDate>
  <CharactersWithSpaces>67337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2016-05-20T07:16:00Z</dcterms:created>
  <dcterms:modified xsi:type="dcterms:W3CDTF">2016-05-20T07:16:00Z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8575735</vt:lpwstr>
  </property>
</Properties>
</file>