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B608091" wp14:editId="5031144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173EAE" w:rsidP="008F07A3">
          <w:pPr>
            <w:pStyle w:val="ReportSubtitle"/>
          </w:pPr>
          <w:r>
            <w:t>Australian Gas Networks</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D41E80">
            <w:t>12</w:t>
          </w:r>
          <w:r w:rsidR="00DA4752">
            <w:t xml:space="preserve"> </w:t>
          </w:r>
          <w:r w:rsidR="00415F31">
            <w:rPr>
              <w:rFonts w:cs="Arial"/>
            </w:rPr>
            <w:t>–</w:t>
          </w:r>
          <w:r w:rsidR="00DA4752">
            <w:t xml:space="preserve"> </w:t>
          </w:r>
          <w:r w:rsidR="00D41E80">
            <w:t>Non-tariff components</w:t>
          </w:r>
        </w:p>
        <w:p w:rsidR="000A6C7B" w:rsidRPr="00327A1E" w:rsidRDefault="00BE4A4E" w:rsidP="00327A1E">
          <w:pPr>
            <w:pStyle w:val="ReportDate"/>
          </w:pPr>
          <w:r>
            <w:t xml:space="preserve">May </w:t>
          </w:r>
          <w:r w:rsidR="00A2303E">
            <w:t>2016</w:t>
          </w:r>
        </w:p>
      </w:sdtContent>
    </w:sdt>
    <w:p w:rsidR="00327A1E" w:rsidRPr="00290C63" w:rsidRDefault="00327A1E" w:rsidP="00290C63">
      <w:r>
        <w:br w:type="page"/>
      </w:r>
    </w:p>
    <w:p w:rsidR="000A6C7B" w:rsidRDefault="00F045BF"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27980"/>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BB07E2" w:rsidRPr="00BB07E2" w:rsidRDefault="00BB07E2" w:rsidP="00BB07E2">
      <w:r w:rsidRPr="00BB07E2">
        <w:t>This attachment forms part of the AER's final decision on the access arrangement for Australian Gas Networks</w:t>
      </w:r>
      <w:r w:rsidR="000221D6">
        <w:t>'</w:t>
      </w:r>
      <w:r w:rsidRPr="00BB07E2">
        <w:t xml:space="preserve"> South Australian distribution network for 2016–21. It should be read with all other parts of the final decision.</w:t>
      </w:r>
    </w:p>
    <w:p w:rsidR="00415F31" w:rsidRDefault="00415F31" w:rsidP="00BB07E2">
      <w:r>
        <w:t xml:space="preserve">The </w:t>
      </w:r>
      <w:r w:rsidR="00A2303E">
        <w:t>final</w:t>
      </w:r>
      <w:r w:rsidR="005C0A7F">
        <w:t xml:space="preserve"> </w:t>
      </w:r>
      <w:r>
        <w:t>decision includes the following documents:</w:t>
      </w:r>
    </w:p>
    <w:p w:rsidR="00415F31" w:rsidRDefault="00415F31" w:rsidP="00BB07E2">
      <w:r>
        <w:t>Overview</w:t>
      </w:r>
    </w:p>
    <w:p w:rsidR="0070011E" w:rsidRDefault="0070011E" w:rsidP="00BB07E2">
      <w:r>
        <w:t xml:space="preserve">Attachment 1 - </w:t>
      </w:r>
      <w:r w:rsidR="00EE77FA">
        <w:t>Services covered by the access arrangement</w:t>
      </w:r>
    </w:p>
    <w:p w:rsidR="0070011E" w:rsidRDefault="0070011E" w:rsidP="00BB07E2">
      <w:r>
        <w:t xml:space="preserve">Attachment 2 - </w:t>
      </w:r>
      <w:r w:rsidR="00EE77FA">
        <w:t>Capital base</w:t>
      </w:r>
    </w:p>
    <w:p w:rsidR="0070011E" w:rsidRDefault="0070011E" w:rsidP="00BB07E2">
      <w:r>
        <w:t xml:space="preserve">Attachment 3 - </w:t>
      </w:r>
      <w:r w:rsidR="00EE77FA">
        <w:t>R</w:t>
      </w:r>
      <w:r>
        <w:t>ate of return</w:t>
      </w:r>
    </w:p>
    <w:p w:rsidR="0070011E" w:rsidRDefault="0070011E" w:rsidP="00BB07E2">
      <w:r>
        <w:t>Attachment 4 - Value of imputation credits</w:t>
      </w:r>
    </w:p>
    <w:p w:rsidR="0070011E" w:rsidRDefault="0070011E" w:rsidP="00BB07E2">
      <w:r>
        <w:t>Attachment 5 - Regulatory depreciation</w:t>
      </w:r>
    </w:p>
    <w:p w:rsidR="0070011E" w:rsidRDefault="0070011E" w:rsidP="00BB07E2">
      <w:r>
        <w:t xml:space="preserve">Attachment 6 - Capital expenditure </w:t>
      </w:r>
    </w:p>
    <w:p w:rsidR="0070011E" w:rsidRDefault="0070011E" w:rsidP="00BB07E2">
      <w:r>
        <w:t>Attachment 7 - Operating expenditure</w:t>
      </w:r>
    </w:p>
    <w:p w:rsidR="0070011E" w:rsidRDefault="0070011E" w:rsidP="00BB07E2">
      <w:r>
        <w:t>Attachment 8 - Corporate income tax</w:t>
      </w:r>
    </w:p>
    <w:p w:rsidR="0070011E" w:rsidRDefault="0070011E" w:rsidP="00BB07E2">
      <w:r>
        <w:t xml:space="preserve">Attachment 9 - Efficiency </w:t>
      </w:r>
      <w:r w:rsidR="00EE77FA">
        <w:t>carryover mechanism</w:t>
      </w:r>
    </w:p>
    <w:p w:rsidR="0070011E" w:rsidRDefault="0070011E" w:rsidP="00BB07E2">
      <w:r>
        <w:t xml:space="preserve">Attachment 10 - </w:t>
      </w:r>
      <w:r w:rsidR="00EE77FA">
        <w:t>Reference tariff setting</w:t>
      </w:r>
    </w:p>
    <w:p w:rsidR="0070011E" w:rsidRDefault="0070011E" w:rsidP="00BB07E2">
      <w:r>
        <w:t xml:space="preserve">Attachment 11 - </w:t>
      </w:r>
      <w:r w:rsidR="00EE77FA">
        <w:t>Reference tariff variation mechanism</w:t>
      </w:r>
    </w:p>
    <w:p w:rsidR="0070011E" w:rsidRDefault="0070011E" w:rsidP="00BB07E2">
      <w:r>
        <w:t xml:space="preserve">Attachment 12 - </w:t>
      </w:r>
      <w:r w:rsidR="00EE77FA">
        <w:t>Non-tariff components</w:t>
      </w:r>
    </w:p>
    <w:p w:rsidR="0070011E" w:rsidRDefault="0070011E" w:rsidP="00BB07E2">
      <w:r>
        <w:t xml:space="preserve">Attachment 13 - </w:t>
      </w:r>
      <w:r w:rsidR="00EE77FA">
        <w:t>Demand</w:t>
      </w:r>
    </w:p>
    <w:p w:rsidR="008A2363" w:rsidRDefault="008A2363" w:rsidP="00BB07E2">
      <w:r>
        <w:t>Attachment 14 - Other incentive schemes</w:t>
      </w:r>
    </w:p>
    <w:p w:rsidR="00DE563D" w:rsidRPr="00A72B34" w:rsidRDefault="00DE563D" w:rsidP="00DE772C">
      <w:pPr>
        <w:pStyle w:val="UnnumberedHeading"/>
        <w:numPr>
          <w:ilvl w:val="0"/>
          <w:numId w:val="23"/>
        </w:numPr>
      </w:pPr>
      <w:bookmarkStart w:id="5" w:name="_Toc403144133"/>
      <w:bookmarkStart w:id="6" w:name="_Toc451527981"/>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7A732A"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527980" w:history="1">
            <w:r w:rsidR="007A732A" w:rsidRPr="00C7009C">
              <w:rPr>
                <w:rStyle w:val="Hyperlink"/>
              </w:rPr>
              <w:t>Note</w:t>
            </w:r>
            <w:r w:rsidR="007A732A">
              <w:rPr>
                <w:webHidden/>
              </w:rPr>
              <w:tab/>
            </w:r>
            <w:r w:rsidR="007A732A">
              <w:rPr>
                <w:webHidden/>
              </w:rPr>
              <w:fldChar w:fldCharType="begin"/>
            </w:r>
            <w:r w:rsidR="007A732A">
              <w:rPr>
                <w:webHidden/>
              </w:rPr>
              <w:instrText xml:space="preserve"> PAGEREF _Toc451527980 \h </w:instrText>
            </w:r>
            <w:r w:rsidR="007A732A">
              <w:rPr>
                <w:webHidden/>
              </w:rPr>
            </w:r>
            <w:r w:rsidR="007A732A">
              <w:rPr>
                <w:webHidden/>
              </w:rPr>
              <w:fldChar w:fldCharType="separate"/>
            </w:r>
            <w:r w:rsidR="007A732A">
              <w:rPr>
                <w:webHidden/>
              </w:rPr>
              <w:t>12-2</w:t>
            </w:r>
            <w:r w:rsidR="007A732A">
              <w:rPr>
                <w:webHidden/>
              </w:rPr>
              <w:fldChar w:fldCharType="end"/>
            </w:r>
          </w:hyperlink>
        </w:p>
        <w:p w:rsidR="007A732A" w:rsidRDefault="007A732A">
          <w:pPr>
            <w:pStyle w:val="TOC1"/>
            <w:rPr>
              <w:rFonts w:asciiTheme="minorHAnsi" w:eastAsiaTheme="minorEastAsia" w:hAnsiTheme="minorHAnsi"/>
              <w:b w:val="0"/>
              <w:color w:val="auto"/>
              <w:sz w:val="22"/>
              <w:lang w:val="en-AU" w:eastAsia="en-AU"/>
            </w:rPr>
          </w:pPr>
          <w:hyperlink w:anchor="_Toc451527981" w:history="1">
            <w:r w:rsidRPr="00C7009C">
              <w:rPr>
                <w:rStyle w:val="Hyperlink"/>
              </w:rPr>
              <w:t>Contents</w:t>
            </w:r>
            <w:r>
              <w:rPr>
                <w:webHidden/>
              </w:rPr>
              <w:tab/>
            </w:r>
            <w:r>
              <w:rPr>
                <w:webHidden/>
              </w:rPr>
              <w:fldChar w:fldCharType="begin"/>
            </w:r>
            <w:r>
              <w:rPr>
                <w:webHidden/>
              </w:rPr>
              <w:instrText xml:space="preserve"> PAGEREF _Toc451527981 \h </w:instrText>
            </w:r>
            <w:r>
              <w:rPr>
                <w:webHidden/>
              </w:rPr>
            </w:r>
            <w:r>
              <w:rPr>
                <w:webHidden/>
              </w:rPr>
              <w:fldChar w:fldCharType="separate"/>
            </w:r>
            <w:r>
              <w:rPr>
                <w:webHidden/>
              </w:rPr>
              <w:t>12-3</w:t>
            </w:r>
            <w:r>
              <w:rPr>
                <w:webHidden/>
              </w:rPr>
              <w:fldChar w:fldCharType="end"/>
            </w:r>
          </w:hyperlink>
        </w:p>
        <w:p w:rsidR="007A732A" w:rsidRDefault="007A732A">
          <w:pPr>
            <w:pStyle w:val="TOC1"/>
            <w:rPr>
              <w:rFonts w:asciiTheme="minorHAnsi" w:eastAsiaTheme="minorEastAsia" w:hAnsiTheme="minorHAnsi"/>
              <w:b w:val="0"/>
              <w:color w:val="auto"/>
              <w:sz w:val="22"/>
              <w:lang w:val="en-AU" w:eastAsia="en-AU"/>
            </w:rPr>
          </w:pPr>
          <w:hyperlink w:anchor="_Toc451527982" w:history="1">
            <w:r w:rsidRPr="00C7009C">
              <w:rPr>
                <w:rStyle w:val="Hyperlink"/>
              </w:rPr>
              <w:t>Shortened forms</w:t>
            </w:r>
            <w:r>
              <w:rPr>
                <w:webHidden/>
              </w:rPr>
              <w:tab/>
            </w:r>
            <w:r>
              <w:rPr>
                <w:webHidden/>
              </w:rPr>
              <w:fldChar w:fldCharType="begin"/>
            </w:r>
            <w:r>
              <w:rPr>
                <w:webHidden/>
              </w:rPr>
              <w:instrText xml:space="preserve"> PAGEREF _Toc451527982 \h </w:instrText>
            </w:r>
            <w:r>
              <w:rPr>
                <w:webHidden/>
              </w:rPr>
            </w:r>
            <w:r>
              <w:rPr>
                <w:webHidden/>
              </w:rPr>
              <w:fldChar w:fldCharType="separate"/>
            </w:r>
            <w:r>
              <w:rPr>
                <w:webHidden/>
              </w:rPr>
              <w:t>12-4</w:t>
            </w:r>
            <w:r>
              <w:rPr>
                <w:webHidden/>
              </w:rPr>
              <w:fldChar w:fldCharType="end"/>
            </w:r>
          </w:hyperlink>
        </w:p>
        <w:p w:rsidR="007A732A" w:rsidRDefault="007A732A">
          <w:pPr>
            <w:pStyle w:val="TOC1"/>
            <w:rPr>
              <w:rFonts w:asciiTheme="minorHAnsi" w:eastAsiaTheme="minorEastAsia" w:hAnsiTheme="minorHAnsi"/>
              <w:b w:val="0"/>
              <w:color w:val="auto"/>
              <w:sz w:val="22"/>
              <w:lang w:val="en-AU" w:eastAsia="en-AU"/>
            </w:rPr>
          </w:pPr>
          <w:hyperlink w:anchor="_Toc451527983" w:history="1">
            <w:r w:rsidRPr="00C7009C">
              <w:rPr>
                <w:rStyle w:val="Hyperlink"/>
              </w:rPr>
              <w:t>12</w:t>
            </w:r>
            <w:r>
              <w:rPr>
                <w:rFonts w:asciiTheme="minorHAnsi" w:eastAsiaTheme="minorEastAsia" w:hAnsiTheme="minorHAnsi"/>
                <w:b w:val="0"/>
                <w:color w:val="auto"/>
                <w:sz w:val="22"/>
                <w:lang w:val="en-AU" w:eastAsia="en-AU"/>
              </w:rPr>
              <w:tab/>
            </w:r>
            <w:r w:rsidRPr="00C7009C">
              <w:rPr>
                <w:rStyle w:val="Hyperlink"/>
              </w:rPr>
              <w:t>Non-tariff components</w:t>
            </w:r>
            <w:r>
              <w:rPr>
                <w:webHidden/>
              </w:rPr>
              <w:tab/>
            </w:r>
            <w:r>
              <w:rPr>
                <w:webHidden/>
              </w:rPr>
              <w:fldChar w:fldCharType="begin"/>
            </w:r>
            <w:r>
              <w:rPr>
                <w:webHidden/>
              </w:rPr>
              <w:instrText xml:space="preserve"> PAGEREF _Toc451527983 \h </w:instrText>
            </w:r>
            <w:r>
              <w:rPr>
                <w:webHidden/>
              </w:rPr>
            </w:r>
            <w:r>
              <w:rPr>
                <w:webHidden/>
              </w:rPr>
              <w:fldChar w:fldCharType="separate"/>
            </w:r>
            <w:r>
              <w:rPr>
                <w:webHidden/>
              </w:rPr>
              <w:t>12-6</w:t>
            </w:r>
            <w:r>
              <w:rPr>
                <w:webHidden/>
              </w:rPr>
              <w:fldChar w:fldCharType="end"/>
            </w:r>
          </w:hyperlink>
        </w:p>
        <w:p w:rsidR="007A732A" w:rsidRDefault="007A732A">
          <w:pPr>
            <w:pStyle w:val="TOC2"/>
            <w:tabs>
              <w:tab w:val="left" w:pos="1276"/>
            </w:tabs>
            <w:rPr>
              <w:rFonts w:asciiTheme="minorHAnsi" w:eastAsiaTheme="minorEastAsia" w:hAnsiTheme="minorHAnsi"/>
              <w:b w:val="0"/>
              <w:color w:val="auto"/>
              <w:sz w:val="22"/>
              <w:lang w:eastAsia="en-AU"/>
            </w:rPr>
          </w:pPr>
          <w:hyperlink w:anchor="_Toc451527984" w:history="1">
            <w:r w:rsidRPr="00C7009C">
              <w:rPr>
                <w:rStyle w:val="Hyperlink"/>
              </w:rPr>
              <w:t>12.1</w:t>
            </w:r>
            <w:r>
              <w:rPr>
                <w:rFonts w:asciiTheme="minorHAnsi" w:eastAsiaTheme="minorEastAsia" w:hAnsiTheme="minorHAnsi"/>
                <w:b w:val="0"/>
                <w:color w:val="auto"/>
                <w:sz w:val="22"/>
                <w:lang w:eastAsia="en-AU"/>
              </w:rPr>
              <w:tab/>
            </w:r>
            <w:r w:rsidRPr="00C7009C">
              <w:rPr>
                <w:rStyle w:val="Hyperlink"/>
              </w:rPr>
              <w:t>Decision</w:t>
            </w:r>
            <w:r>
              <w:rPr>
                <w:webHidden/>
              </w:rPr>
              <w:tab/>
            </w:r>
            <w:r>
              <w:rPr>
                <w:webHidden/>
              </w:rPr>
              <w:fldChar w:fldCharType="begin"/>
            </w:r>
            <w:r>
              <w:rPr>
                <w:webHidden/>
              </w:rPr>
              <w:instrText xml:space="preserve"> PAGEREF _Toc451527984 \h </w:instrText>
            </w:r>
            <w:r>
              <w:rPr>
                <w:webHidden/>
              </w:rPr>
            </w:r>
            <w:r>
              <w:rPr>
                <w:webHidden/>
              </w:rPr>
              <w:fldChar w:fldCharType="separate"/>
            </w:r>
            <w:r>
              <w:rPr>
                <w:webHidden/>
              </w:rPr>
              <w:t>12-6</w:t>
            </w:r>
            <w:r>
              <w:rPr>
                <w:webHidden/>
              </w:rPr>
              <w:fldChar w:fldCharType="end"/>
            </w:r>
          </w:hyperlink>
        </w:p>
        <w:p w:rsidR="007A732A" w:rsidRDefault="007A732A">
          <w:pPr>
            <w:pStyle w:val="TOC2"/>
            <w:tabs>
              <w:tab w:val="left" w:pos="1276"/>
            </w:tabs>
            <w:rPr>
              <w:rFonts w:asciiTheme="minorHAnsi" w:eastAsiaTheme="minorEastAsia" w:hAnsiTheme="minorHAnsi"/>
              <w:b w:val="0"/>
              <w:color w:val="auto"/>
              <w:sz w:val="22"/>
              <w:lang w:eastAsia="en-AU"/>
            </w:rPr>
          </w:pPr>
          <w:hyperlink w:anchor="_Toc451527985" w:history="1">
            <w:r w:rsidRPr="00C7009C">
              <w:rPr>
                <w:rStyle w:val="Hyperlink"/>
              </w:rPr>
              <w:t>12.2</w:t>
            </w:r>
            <w:r>
              <w:rPr>
                <w:rFonts w:asciiTheme="minorHAnsi" w:eastAsiaTheme="minorEastAsia" w:hAnsiTheme="minorHAnsi"/>
                <w:b w:val="0"/>
                <w:color w:val="auto"/>
                <w:sz w:val="22"/>
                <w:lang w:eastAsia="en-AU"/>
              </w:rPr>
              <w:tab/>
            </w:r>
            <w:r w:rsidRPr="00C7009C">
              <w:rPr>
                <w:rStyle w:val="Hyperlink"/>
              </w:rPr>
              <w:t>Terms and conditions</w:t>
            </w:r>
            <w:r>
              <w:rPr>
                <w:webHidden/>
              </w:rPr>
              <w:tab/>
            </w:r>
            <w:r>
              <w:rPr>
                <w:webHidden/>
              </w:rPr>
              <w:fldChar w:fldCharType="begin"/>
            </w:r>
            <w:r>
              <w:rPr>
                <w:webHidden/>
              </w:rPr>
              <w:instrText xml:space="preserve"> PAGEREF _Toc451527985 \h </w:instrText>
            </w:r>
            <w:r>
              <w:rPr>
                <w:webHidden/>
              </w:rPr>
            </w:r>
            <w:r>
              <w:rPr>
                <w:webHidden/>
              </w:rPr>
              <w:fldChar w:fldCharType="separate"/>
            </w:r>
            <w:r>
              <w:rPr>
                <w:webHidden/>
              </w:rPr>
              <w:t>12-6</w:t>
            </w:r>
            <w:r>
              <w:rPr>
                <w:webHidden/>
              </w:rPr>
              <w:fldChar w:fldCharType="end"/>
            </w:r>
          </w:hyperlink>
        </w:p>
        <w:p w:rsidR="007A732A" w:rsidRDefault="007A732A">
          <w:pPr>
            <w:pStyle w:val="TOC3"/>
            <w:rPr>
              <w:rFonts w:asciiTheme="minorHAnsi" w:eastAsiaTheme="minorEastAsia" w:hAnsiTheme="minorHAnsi"/>
              <w:lang w:eastAsia="en-AU"/>
            </w:rPr>
          </w:pPr>
          <w:hyperlink w:anchor="_Toc451527986" w:history="1">
            <w:r w:rsidRPr="00C7009C">
              <w:rPr>
                <w:rStyle w:val="Hyperlink"/>
              </w:rPr>
              <w:t>12.2.1</w:t>
            </w:r>
            <w:r>
              <w:rPr>
                <w:rFonts w:asciiTheme="minorHAnsi" w:eastAsiaTheme="minorEastAsia" w:hAnsiTheme="minorHAnsi"/>
                <w:lang w:eastAsia="en-AU"/>
              </w:rPr>
              <w:tab/>
            </w:r>
            <w:r w:rsidRPr="00C7009C">
              <w:rPr>
                <w:rStyle w:val="Hyperlink"/>
              </w:rPr>
              <w:t>Final decision</w:t>
            </w:r>
            <w:r>
              <w:rPr>
                <w:webHidden/>
              </w:rPr>
              <w:tab/>
            </w:r>
            <w:r>
              <w:rPr>
                <w:webHidden/>
              </w:rPr>
              <w:fldChar w:fldCharType="begin"/>
            </w:r>
            <w:r>
              <w:rPr>
                <w:webHidden/>
              </w:rPr>
              <w:instrText xml:space="preserve"> PAGEREF _Toc451527986 \h </w:instrText>
            </w:r>
            <w:r>
              <w:rPr>
                <w:webHidden/>
              </w:rPr>
            </w:r>
            <w:r>
              <w:rPr>
                <w:webHidden/>
              </w:rPr>
              <w:fldChar w:fldCharType="separate"/>
            </w:r>
            <w:r>
              <w:rPr>
                <w:webHidden/>
              </w:rPr>
              <w:t>12-7</w:t>
            </w:r>
            <w:r>
              <w:rPr>
                <w:webHidden/>
              </w:rPr>
              <w:fldChar w:fldCharType="end"/>
            </w:r>
          </w:hyperlink>
        </w:p>
        <w:p w:rsidR="007A732A" w:rsidRDefault="007A732A">
          <w:pPr>
            <w:pStyle w:val="TOC3"/>
            <w:rPr>
              <w:rFonts w:asciiTheme="minorHAnsi" w:eastAsiaTheme="minorEastAsia" w:hAnsiTheme="minorHAnsi"/>
              <w:lang w:eastAsia="en-AU"/>
            </w:rPr>
          </w:pPr>
          <w:hyperlink w:anchor="_Toc451527987" w:history="1">
            <w:r w:rsidRPr="00C7009C">
              <w:rPr>
                <w:rStyle w:val="Hyperlink"/>
              </w:rPr>
              <w:t>12.2.2</w:t>
            </w:r>
            <w:r>
              <w:rPr>
                <w:rFonts w:asciiTheme="minorHAnsi" w:eastAsiaTheme="minorEastAsia" w:hAnsiTheme="minorHAnsi"/>
                <w:lang w:eastAsia="en-AU"/>
              </w:rPr>
              <w:tab/>
            </w:r>
            <w:r w:rsidRPr="00C7009C">
              <w:rPr>
                <w:rStyle w:val="Hyperlink"/>
              </w:rPr>
              <w:t>AGN's revised proposal</w:t>
            </w:r>
            <w:r>
              <w:rPr>
                <w:webHidden/>
              </w:rPr>
              <w:tab/>
            </w:r>
            <w:r>
              <w:rPr>
                <w:webHidden/>
              </w:rPr>
              <w:fldChar w:fldCharType="begin"/>
            </w:r>
            <w:r>
              <w:rPr>
                <w:webHidden/>
              </w:rPr>
              <w:instrText xml:space="preserve"> PAGEREF _Toc451527987 \h </w:instrText>
            </w:r>
            <w:r>
              <w:rPr>
                <w:webHidden/>
              </w:rPr>
            </w:r>
            <w:r>
              <w:rPr>
                <w:webHidden/>
              </w:rPr>
              <w:fldChar w:fldCharType="separate"/>
            </w:r>
            <w:r>
              <w:rPr>
                <w:webHidden/>
              </w:rPr>
              <w:t>12-7</w:t>
            </w:r>
            <w:r>
              <w:rPr>
                <w:webHidden/>
              </w:rPr>
              <w:fldChar w:fldCharType="end"/>
            </w:r>
          </w:hyperlink>
        </w:p>
        <w:p w:rsidR="007A732A" w:rsidRDefault="007A732A">
          <w:pPr>
            <w:pStyle w:val="TOC3"/>
            <w:rPr>
              <w:rFonts w:asciiTheme="minorHAnsi" w:eastAsiaTheme="minorEastAsia" w:hAnsiTheme="minorHAnsi"/>
              <w:lang w:eastAsia="en-AU"/>
            </w:rPr>
          </w:pPr>
          <w:hyperlink w:anchor="_Toc451527988" w:history="1">
            <w:r w:rsidRPr="00C7009C">
              <w:rPr>
                <w:rStyle w:val="Hyperlink"/>
              </w:rPr>
              <w:t>12.2.3</w:t>
            </w:r>
            <w:r>
              <w:rPr>
                <w:rFonts w:asciiTheme="minorHAnsi" w:eastAsiaTheme="minorEastAsia" w:hAnsiTheme="minorHAnsi"/>
                <w:lang w:eastAsia="en-AU"/>
              </w:rPr>
              <w:tab/>
            </w:r>
            <w:r w:rsidRPr="00C7009C">
              <w:rPr>
                <w:rStyle w:val="Hyperlink"/>
              </w:rPr>
              <w:t>AER’s assessment approach</w:t>
            </w:r>
            <w:r>
              <w:rPr>
                <w:webHidden/>
              </w:rPr>
              <w:tab/>
            </w:r>
            <w:r>
              <w:rPr>
                <w:webHidden/>
              </w:rPr>
              <w:fldChar w:fldCharType="begin"/>
            </w:r>
            <w:r>
              <w:rPr>
                <w:webHidden/>
              </w:rPr>
              <w:instrText xml:space="preserve"> PAGEREF _Toc451527988 \h </w:instrText>
            </w:r>
            <w:r>
              <w:rPr>
                <w:webHidden/>
              </w:rPr>
            </w:r>
            <w:r>
              <w:rPr>
                <w:webHidden/>
              </w:rPr>
              <w:fldChar w:fldCharType="separate"/>
            </w:r>
            <w:r>
              <w:rPr>
                <w:webHidden/>
              </w:rPr>
              <w:t>12-8</w:t>
            </w:r>
            <w:r>
              <w:rPr>
                <w:webHidden/>
              </w:rPr>
              <w:fldChar w:fldCharType="end"/>
            </w:r>
          </w:hyperlink>
        </w:p>
        <w:p w:rsidR="007A732A" w:rsidRDefault="007A732A">
          <w:pPr>
            <w:pStyle w:val="TOC3"/>
            <w:rPr>
              <w:rFonts w:asciiTheme="minorHAnsi" w:eastAsiaTheme="minorEastAsia" w:hAnsiTheme="minorHAnsi"/>
              <w:lang w:eastAsia="en-AU"/>
            </w:rPr>
          </w:pPr>
          <w:hyperlink w:anchor="_Toc451527989" w:history="1">
            <w:r w:rsidRPr="00C7009C">
              <w:rPr>
                <w:rStyle w:val="Hyperlink"/>
              </w:rPr>
              <w:t>12.2.4</w:t>
            </w:r>
            <w:r>
              <w:rPr>
                <w:rFonts w:asciiTheme="minorHAnsi" w:eastAsiaTheme="minorEastAsia" w:hAnsiTheme="minorHAnsi"/>
                <w:lang w:eastAsia="en-AU"/>
              </w:rPr>
              <w:tab/>
            </w:r>
            <w:r w:rsidRPr="00C7009C">
              <w:rPr>
                <w:rStyle w:val="Hyperlink"/>
              </w:rPr>
              <w:t>Reasons for final decision</w:t>
            </w:r>
            <w:r>
              <w:rPr>
                <w:webHidden/>
              </w:rPr>
              <w:tab/>
            </w:r>
            <w:r>
              <w:rPr>
                <w:webHidden/>
              </w:rPr>
              <w:fldChar w:fldCharType="begin"/>
            </w:r>
            <w:r>
              <w:rPr>
                <w:webHidden/>
              </w:rPr>
              <w:instrText xml:space="preserve"> PAGEREF _Toc451527989 \h </w:instrText>
            </w:r>
            <w:r>
              <w:rPr>
                <w:webHidden/>
              </w:rPr>
            </w:r>
            <w:r>
              <w:rPr>
                <w:webHidden/>
              </w:rPr>
              <w:fldChar w:fldCharType="separate"/>
            </w:r>
            <w:r>
              <w:rPr>
                <w:webHidden/>
              </w:rPr>
              <w:t>12-8</w:t>
            </w:r>
            <w:r>
              <w:rPr>
                <w:webHidden/>
              </w:rPr>
              <w:fldChar w:fldCharType="end"/>
            </w:r>
          </w:hyperlink>
        </w:p>
        <w:p w:rsidR="007A732A" w:rsidRDefault="007A732A">
          <w:pPr>
            <w:pStyle w:val="TOC2"/>
            <w:tabs>
              <w:tab w:val="left" w:pos="1276"/>
            </w:tabs>
            <w:rPr>
              <w:rFonts w:asciiTheme="minorHAnsi" w:eastAsiaTheme="minorEastAsia" w:hAnsiTheme="minorHAnsi"/>
              <w:b w:val="0"/>
              <w:color w:val="auto"/>
              <w:sz w:val="22"/>
              <w:lang w:eastAsia="en-AU"/>
            </w:rPr>
          </w:pPr>
          <w:hyperlink w:anchor="_Toc451527990" w:history="1">
            <w:r w:rsidRPr="00C7009C">
              <w:rPr>
                <w:rStyle w:val="Hyperlink"/>
              </w:rPr>
              <w:t>12.3</w:t>
            </w:r>
            <w:r>
              <w:rPr>
                <w:rFonts w:asciiTheme="minorHAnsi" w:eastAsiaTheme="minorEastAsia" w:hAnsiTheme="minorHAnsi"/>
                <w:b w:val="0"/>
                <w:color w:val="auto"/>
                <w:sz w:val="22"/>
                <w:lang w:eastAsia="en-AU"/>
              </w:rPr>
              <w:tab/>
            </w:r>
            <w:r w:rsidRPr="00C7009C">
              <w:rPr>
                <w:rStyle w:val="Hyperlink"/>
              </w:rPr>
              <w:t>Changing receipt or delivery points</w:t>
            </w:r>
            <w:r>
              <w:rPr>
                <w:webHidden/>
              </w:rPr>
              <w:tab/>
            </w:r>
            <w:r>
              <w:rPr>
                <w:webHidden/>
              </w:rPr>
              <w:fldChar w:fldCharType="begin"/>
            </w:r>
            <w:r>
              <w:rPr>
                <w:webHidden/>
              </w:rPr>
              <w:instrText xml:space="preserve"> PAGEREF _Toc451527990 \h </w:instrText>
            </w:r>
            <w:r>
              <w:rPr>
                <w:webHidden/>
              </w:rPr>
            </w:r>
            <w:r>
              <w:rPr>
                <w:webHidden/>
              </w:rPr>
              <w:fldChar w:fldCharType="separate"/>
            </w:r>
            <w:r>
              <w:rPr>
                <w:webHidden/>
              </w:rPr>
              <w:t>12-12</w:t>
            </w:r>
            <w:r>
              <w:rPr>
                <w:webHidden/>
              </w:rPr>
              <w:fldChar w:fldCharType="end"/>
            </w:r>
          </w:hyperlink>
        </w:p>
        <w:p w:rsidR="007A732A" w:rsidRDefault="007A732A">
          <w:pPr>
            <w:pStyle w:val="TOC2"/>
            <w:tabs>
              <w:tab w:val="left" w:pos="1276"/>
            </w:tabs>
            <w:rPr>
              <w:rFonts w:asciiTheme="minorHAnsi" w:eastAsiaTheme="minorEastAsia" w:hAnsiTheme="minorHAnsi"/>
              <w:b w:val="0"/>
              <w:color w:val="auto"/>
              <w:sz w:val="22"/>
              <w:lang w:eastAsia="en-AU"/>
            </w:rPr>
          </w:pPr>
          <w:hyperlink w:anchor="_Toc451527991" w:history="1">
            <w:r w:rsidRPr="00C7009C">
              <w:rPr>
                <w:rStyle w:val="Hyperlink"/>
              </w:rPr>
              <w:t>12.4</w:t>
            </w:r>
            <w:r>
              <w:rPr>
                <w:rFonts w:asciiTheme="minorHAnsi" w:eastAsiaTheme="minorEastAsia" w:hAnsiTheme="minorHAnsi"/>
                <w:b w:val="0"/>
                <w:color w:val="auto"/>
                <w:sz w:val="22"/>
                <w:lang w:eastAsia="en-AU"/>
              </w:rPr>
              <w:tab/>
            </w:r>
            <w:r w:rsidRPr="00C7009C">
              <w:rPr>
                <w:rStyle w:val="Hyperlink"/>
              </w:rPr>
              <w:t>Capacity trading requirements</w:t>
            </w:r>
            <w:r>
              <w:rPr>
                <w:webHidden/>
              </w:rPr>
              <w:tab/>
            </w:r>
            <w:r>
              <w:rPr>
                <w:webHidden/>
              </w:rPr>
              <w:fldChar w:fldCharType="begin"/>
            </w:r>
            <w:r>
              <w:rPr>
                <w:webHidden/>
              </w:rPr>
              <w:instrText xml:space="preserve"> PAGEREF _Toc451527991 \h </w:instrText>
            </w:r>
            <w:r>
              <w:rPr>
                <w:webHidden/>
              </w:rPr>
            </w:r>
            <w:r>
              <w:rPr>
                <w:webHidden/>
              </w:rPr>
              <w:fldChar w:fldCharType="separate"/>
            </w:r>
            <w:r>
              <w:rPr>
                <w:webHidden/>
              </w:rPr>
              <w:t>12-13</w:t>
            </w:r>
            <w:r>
              <w:rPr>
                <w:webHidden/>
              </w:rPr>
              <w:fldChar w:fldCharType="end"/>
            </w:r>
          </w:hyperlink>
        </w:p>
        <w:p w:rsidR="007A732A" w:rsidRDefault="007A732A">
          <w:pPr>
            <w:pStyle w:val="TOC2"/>
            <w:tabs>
              <w:tab w:val="left" w:pos="1276"/>
            </w:tabs>
            <w:rPr>
              <w:rFonts w:asciiTheme="minorHAnsi" w:eastAsiaTheme="minorEastAsia" w:hAnsiTheme="minorHAnsi"/>
              <w:b w:val="0"/>
              <w:color w:val="auto"/>
              <w:sz w:val="22"/>
              <w:lang w:eastAsia="en-AU"/>
            </w:rPr>
          </w:pPr>
          <w:hyperlink w:anchor="_Toc451527992" w:history="1">
            <w:r w:rsidRPr="00C7009C">
              <w:rPr>
                <w:rStyle w:val="Hyperlink"/>
              </w:rPr>
              <w:t>12.5</w:t>
            </w:r>
            <w:r>
              <w:rPr>
                <w:rFonts w:asciiTheme="minorHAnsi" w:eastAsiaTheme="minorEastAsia" w:hAnsiTheme="minorHAnsi"/>
                <w:b w:val="0"/>
                <w:color w:val="auto"/>
                <w:sz w:val="22"/>
                <w:lang w:eastAsia="en-AU"/>
              </w:rPr>
              <w:tab/>
            </w:r>
            <w:r w:rsidRPr="00C7009C">
              <w:rPr>
                <w:rStyle w:val="Hyperlink"/>
              </w:rPr>
              <w:t>Other non-tariff components</w:t>
            </w:r>
            <w:r>
              <w:rPr>
                <w:webHidden/>
              </w:rPr>
              <w:tab/>
            </w:r>
            <w:r>
              <w:rPr>
                <w:webHidden/>
              </w:rPr>
              <w:fldChar w:fldCharType="begin"/>
            </w:r>
            <w:r>
              <w:rPr>
                <w:webHidden/>
              </w:rPr>
              <w:instrText xml:space="preserve"> PAGEREF _Toc451527992 \h </w:instrText>
            </w:r>
            <w:r>
              <w:rPr>
                <w:webHidden/>
              </w:rPr>
            </w:r>
            <w:r>
              <w:rPr>
                <w:webHidden/>
              </w:rPr>
              <w:fldChar w:fldCharType="separate"/>
            </w:r>
            <w:r>
              <w:rPr>
                <w:webHidden/>
              </w:rPr>
              <w:t>12-14</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527982"/>
      <w:r>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082AEA" w:rsidTr="00082A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Shortened form</w:t>
            </w:r>
          </w:p>
        </w:tc>
        <w:tc>
          <w:tcPr>
            <w:tcW w:w="5041" w:type="dxa"/>
            <w:tcBorders>
              <w:top w:val="nil"/>
              <w:left w:val="nil"/>
              <w:bottom w:val="nil"/>
              <w:right w:val="nil"/>
            </w:tcBorders>
            <w:hideMark/>
          </w:tcPr>
          <w:p w:rsidR="00082AEA" w:rsidRDefault="00082AEA" w:rsidP="00082AEA">
            <w:pPr>
              <w:numPr>
                <w:ilvl w:val="0"/>
                <w:numId w:val="28"/>
              </w:numPr>
              <w:cnfStyle w:val="100000000000" w:firstRow="1" w:lastRow="0" w:firstColumn="0" w:lastColumn="0" w:oddVBand="0" w:evenVBand="0" w:oddHBand="0" w:evenHBand="0" w:firstRowFirstColumn="0" w:firstRowLastColumn="0" w:lastRowFirstColumn="0" w:lastRowLastColumn="0"/>
            </w:pPr>
            <w:r>
              <w:t>Extended form</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AA</w:t>
            </w:r>
          </w:p>
        </w:tc>
        <w:tc>
          <w:tcPr>
            <w:tcW w:w="5041" w:type="dxa"/>
            <w:tcBorders>
              <w:top w:val="nil"/>
              <w:left w:val="nil"/>
              <w:bottom w:val="nil"/>
              <w:right w:val="nil"/>
            </w:tcBorders>
            <w:hideMark/>
          </w:tcPr>
          <w:p w:rsidR="00082AEA" w:rsidRDefault="00082AEA">
            <w:pPr>
              <w:cnfStyle w:val="000000000000" w:firstRow="0" w:lastRow="0" w:firstColumn="0" w:lastColumn="0" w:oddVBand="0" w:evenVBand="0" w:oddHBand="0" w:evenHBand="0" w:firstRowFirstColumn="0" w:firstRowLastColumn="0" w:lastRowFirstColumn="0" w:lastRowLastColumn="0"/>
            </w:pPr>
            <w:r>
              <w:t>Access Arrangement</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AAI</w:t>
            </w:r>
          </w:p>
        </w:tc>
        <w:tc>
          <w:tcPr>
            <w:tcW w:w="5041" w:type="dxa"/>
            <w:tcBorders>
              <w:top w:val="nil"/>
              <w:left w:val="nil"/>
              <w:bottom w:val="nil"/>
              <w:right w:val="nil"/>
            </w:tcBorders>
            <w:hideMark/>
          </w:tcPr>
          <w:p w:rsidR="00082AEA" w:rsidRDefault="00082AEA">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AER</w:t>
            </w:r>
          </w:p>
        </w:tc>
        <w:tc>
          <w:tcPr>
            <w:tcW w:w="5041" w:type="dxa"/>
            <w:tcBorders>
              <w:top w:val="nil"/>
              <w:left w:val="nil"/>
              <w:bottom w:val="nil"/>
              <w:right w:val="nil"/>
            </w:tcBorders>
            <w:hideMark/>
          </w:tcPr>
          <w:p w:rsidR="00082AEA" w:rsidRDefault="00082AEA" w:rsidP="00082AEA">
            <w:pPr>
              <w:numPr>
                <w:ilvl w:val="0"/>
                <w:numId w:val="28"/>
              </w:numPr>
              <w:cnfStyle w:val="000000000000" w:firstRow="0" w:lastRow="0" w:firstColumn="0" w:lastColumn="0" w:oddVBand="0" w:evenVBand="0" w:oddHBand="0" w:evenHBand="0" w:firstRowFirstColumn="0" w:firstRowLastColumn="0" w:lastRowFirstColumn="0" w:lastRowLastColumn="0"/>
            </w:pPr>
            <w:r>
              <w:t>Australian Energy Regulator</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AGN</w:t>
            </w:r>
          </w:p>
        </w:tc>
        <w:tc>
          <w:tcPr>
            <w:tcW w:w="5041" w:type="dxa"/>
            <w:tcBorders>
              <w:top w:val="nil"/>
              <w:left w:val="nil"/>
              <w:bottom w:val="nil"/>
              <w:right w:val="nil"/>
            </w:tcBorders>
            <w:hideMark/>
          </w:tcPr>
          <w:p w:rsidR="00082AEA" w:rsidRDefault="00082AEA">
            <w:pPr>
              <w:cnfStyle w:val="000000010000" w:firstRow="0" w:lastRow="0" w:firstColumn="0" w:lastColumn="0" w:oddVBand="0" w:evenVBand="0" w:oddHBand="0" w:evenHBand="1" w:firstRowFirstColumn="0" w:firstRowLastColumn="0" w:lastRowFirstColumn="0" w:lastRowLastColumn="0"/>
            </w:pPr>
            <w:r>
              <w:t>Australian Gas Networks</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ATO</w:t>
            </w:r>
          </w:p>
        </w:tc>
        <w:tc>
          <w:tcPr>
            <w:tcW w:w="5041" w:type="dxa"/>
            <w:tcBorders>
              <w:top w:val="nil"/>
              <w:left w:val="nil"/>
              <w:bottom w:val="nil"/>
              <w:right w:val="nil"/>
            </w:tcBorders>
            <w:hideMark/>
          </w:tcPr>
          <w:p w:rsidR="00082AEA" w:rsidRDefault="00082AEA">
            <w:pPr>
              <w:cnfStyle w:val="000000000000" w:firstRow="0" w:lastRow="0" w:firstColumn="0" w:lastColumn="0" w:oddVBand="0" w:evenVBand="0" w:oddHBand="0" w:evenHBand="0" w:firstRowFirstColumn="0" w:firstRowLastColumn="0" w:lastRowFirstColumn="0" w:lastRowLastColumn="0"/>
            </w:pPr>
            <w:r>
              <w:t>Australian Tax Office</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capex</w:t>
            </w:r>
          </w:p>
        </w:tc>
        <w:tc>
          <w:tcPr>
            <w:tcW w:w="5041" w:type="dxa"/>
            <w:tcBorders>
              <w:top w:val="nil"/>
              <w:left w:val="nil"/>
              <w:bottom w:val="nil"/>
              <w:right w:val="nil"/>
            </w:tcBorders>
            <w:hideMark/>
          </w:tcPr>
          <w:p w:rsidR="00082AEA" w:rsidRDefault="00082AEA" w:rsidP="00082AEA">
            <w:pPr>
              <w:numPr>
                <w:ilvl w:val="0"/>
                <w:numId w:val="28"/>
              </w:numPr>
              <w:cnfStyle w:val="000000010000" w:firstRow="0" w:lastRow="0" w:firstColumn="0" w:lastColumn="0" w:oddVBand="0" w:evenVBand="0" w:oddHBand="0" w:evenHBand="1" w:firstRowFirstColumn="0" w:firstRowLastColumn="0" w:lastRowFirstColumn="0" w:lastRowLastColumn="0"/>
            </w:pPr>
            <w:r>
              <w:t>capital expenditure</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CAPM</w:t>
            </w:r>
          </w:p>
        </w:tc>
        <w:tc>
          <w:tcPr>
            <w:tcW w:w="5041" w:type="dxa"/>
            <w:tcBorders>
              <w:top w:val="nil"/>
              <w:left w:val="nil"/>
              <w:bottom w:val="nil"/>
              <w:right w:val="nil"/>
            </w:tcBorders>
            <w:hideMark/>
          </w:tcPr>
          <w:p w:rsidR="00082AEA" w:rsidRDefault="00082AEA" w:rsidP="00082AEA">
            <w:pPr>
              <w:numPr>
                <w:ilvl w:val="0"/>
                <w:numId w:val="28"/>
              </w:numPr>
              <w:cnfStyle w:val="000000000000" w:firstRow="0" w:lastRow="0" w:firstColumn="0" w:lastColumn="0" w:oddVBand="0" w:evenVBand="0" w:oddHBand="0" w:evenHBand="0" w:firstRowFirstColumn="0" w:firstRowLastColumn="0" w:lastRowFirstColumn="0" w:lastRowLastColumn="0"/>
            </w:pPr>
            <w:r>
              <w:t>capital asset pricing model</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CCP</w:t>
            </w:r>
          </w:p>
        </w:tc>
        <w:tc>
          <w:tcPr>
            <w:tcW w:w="5041" w:type="dxa"/>
            <w:tcBorders>
              <w:top w:val="nil"/>
              <w:left w:val="nil"/>
              <w:bottom w:val="nil"/>
              <w:right w:val="nil"/>
            </w:tcBorders>
            <w:hideMark/>
          </w:tcPr>
          <w:p w:rsidR="00082AEA" w:rsidRDefault="00082AEA" w:rsidP="00082AEA">
            <w:pPr>
              <w:numPr>
                <w:ilvl w:val="0"/>
                <w:numId w:val="28"/>
              </w:numPr>
              <w:cnfStyle w:val="000000010000" w:firstRow="0" w:lastRow="0" w:firstColumn="0" w:lastColumn="0" w:oddVBand="0" w:evenVBand="0" w:oddHBand="0" w:evenHBand="1" w:firstRowFirstColumn="0" w:firstRowLastColumn="0" w:lastRowFirstColumn="0" w:lastRowLastColumn="0"/>
            </w:pPr>
            <w:r>
              <w:t>Consumer Challenge Panel</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CESS</w:t>
            </w:r>
          </w:p>
        </w:tc>
        <w:tc>
          <w:tcPr>
            <w:tcW w:w="5041" w:type="dxa"/>
            <w:tcBorders>
              <w:top w:val="nil"/>
              <w:left w:val="nil"/>
              <w:bottom w:val="nil"/>
              <w:right w:val="nil"/>
            </w:tcBorders>
            <w:hideMark/>
          </w:tcPr>
          <w:p w:rsidR="00082AEA" w:rsidRDefault="00082AEA" w:rsidP="00082AEA">
            <w:pPr>
              <w:numPr>
                <w:ilvl w:val="0"/>
                <w:numId w:val="28"/>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CPI</w:t>
            </w:r>
          </w:p>
        </w:tc>
        <w:tc>
          <w:tcPr>
            <w:tcW w:w="5041" w:type="dxa"/>
            <w:tcBorders>
              <w:top w:val="nil"/>
              <w:left w:val="nil"/>
              <w:bottom w:val="nil"/>
              <w:right w:val="nil"/>
            </w:tcBorders>
            <w:hideMark/>
          </w:tcPr>
          <w:p w:rsidR="00082AEA" w:rsidRDefault="00082AEA" w:rsidP="00082AEA">
            <w:pPr>
              <w:numPr>
                <w:ilvl w:val="0"/>
                <w:numId w:val="28"/>
              </w:numPr>
              <w:cnfStyle w:val="000000010000" w:firstRow="0" w:lastRow="0" w:firstColumn="0" w:lastColumn="0" w:oddVBand="0" w:evenVBand="0" w:oddHBand="0" w:evenHBand="1" w:firstRowFirstColumn="0" w:firstRowLastColumn="0" w:lastRowFirstColumn="0" w:lastRowLastColumn="0"/>
            </w:pPr>
            <w:r>
              <w:t>consumer price index</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CSIS</w:t>
            </w:r>
          </w:p>
        </w:tc>
        <w:tc>
          <w:tcPr>
            <w:tcW w:w="5041" w:type="dxa"/>
            <w:tcBorders>
              <w:top w:val="nil"/>
              <w:left w:val="nil"/>
              <w:bottom w:val="nil"/>
              <w:right w:val="nil"/>
            </w:tcBorders>
            <w:hideMark/>
          </w:tcPr>
          <w:p w:rsidR="00082AEA" w:rsidRDefault="00082AEA">
            <w:pPr>
              <w:cnfStyle w:val="000000000000" w:firstRow="0" w:lastRow="0" w:firstColumn="0" w:lastColumn="0" w:oddVBand="0" w:evenVBand="0" w:oddHBand="0" w:evenHBand="0" w:firstRowFirstColumn="0" w:firstRowLastColumn="0" w:lastRowFirstColumn="0" w:lastRowLastColumn="0"/>
            </w:pPr>
            <w:r>
              <w:t>Customer Service Incentive Scheme</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DRP</w:t>
            </w:r>
          </w:p>
        </w:tc>
        <w:tc>
          <w:tcPr>
            <w:tcW w:w="5041" w:type="dxa"/>
            <w:tcBorders>
              <w:top w:val="nil"/>
              <w:left w:val="nil"/>
              <w:bottom w:val="nil"/>
              <w:right w:val="nil"/>
            </w:tcBorders>
            <w:hideMark/>
          </w:tcPr>
          <w:p w:rsidR="00082AEA" w:rsidRDefault="00082AEA" w:rsidP="00082AEA">
            <w:pPr>
              <w:numPr>
                <w:ilvl w:val="0"/>
                <w:numId w:val="28"/>
              </w:numPr>
              <w:cnfStyle w:val="000000010000" w:firstRow="0" w:lastRow="0" w:firstColumn="0" w:lastColumn="0" w:oddVBand="0" w:evenVBand="0" w:oddHBand="0" w:evenHBand="1" w:firstRowFirstColumn="0" w:firstRowLastColumn="0" w:lastRowFirstColumn="0" w:lastRowLastColumn="0"/>
            </w:pPr>
            <w:r>
              <w:t>debt risk premium</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EBSS</w:t>
            </w:r>
          </w:p>
        </w:tc>
        <w:tc>
          <w:tcPr>
            <w:tcW w:w="5041" w:type="dxa"/>
            <w:tcBorders>
              <w:top w:val="nil"/>
              <w:left w:val="nil"/>
              <w:bottom w:val="nil"/>
              <w:right w:val="nil"/>
            </w:tcBorders>
            <w:hideMark/>
          </w:tcPr>
          <w:p w:rsidR="00082AEA" w:rsidRDefault="00082AEA">
            <w:pPr>
              <w:cnfStyle w:val="000000000000" w:firstRow="0" w:lastRow="0" w:firstColumn="0" w:lastColumn="0" w:oddVBand="0" w:evenVBand="0" w:oddHBand="0" w:evenHBand="0" w:firstRowFirstColumn="0" w:firstRowLastColumn="0" w:lastRowFirstColumn="0" w:lastRowLastColumn="0"/>
            </w:pPr>
            <w:r>
              <w:t>Efficiency Benefit Sharing Scheme</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ECM</w:t>
            </w:r>
          </w:p>
        </w:tc>
        <w:tc>
          <w:tcPr>
            <w:tcW w:w="5041" w:type="dxa"/>
            <w:tcBorders>
              <w:top w:val="nil"/>
              <w:left w:val="nil"/>
              <w:bottom w:val="nil"/>
              <w:right w:val="nil"/>
            </w:tcBorders>
            <w:hideMark/>
          </w:tcPr>
          <w:p w:rsidR="00082AEA" w:rsidRDefault="00082AEA">
            <w:pPr>
              <w:cnfStyle w:val="000000010000" w:firstRow="0" w:lastRow="0" w:firstColumn="0" w:lastColumn="0" w:oddVBand="0" w:evenVBand="0" w:oddHBand="0" w:evenHBand="1" w:firstRowFirstColumn="0" w:firstRowLastColumn="0" w:lastRowFirstColumn="0" w:lastRowLastColumn="0"/>
            </w:pPr>
            <w:r>
              <w:t>Efficiency Carryover Mechanism</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ERP</w:t>
            </w:r>
          </w:p>
        </w:tc>
        <w:tc>
          <w:tcPr>
            <w:tcW w:w="5041" w:type="dxa"/>
            <w:tcBorders>
              <w:top w:val="nil"/>
              <w:left w:val="nil"/>
              <w:bottom w:val="nil"/>
              <w:right w:val="nil"/>
            </w:tcBorders>
            <w:hideMark/>
          </w:tcPr>
          <w:p w:rsidR="00082AEA" w:rsidRDefault="00082AEA" w:rsidP="00082AEA">
            <w:pPr>
              <w:numPr>
                <w:ilvl w:val="0"/>
                <w:numId w:val="28"/>
              </w:numPr>
              <w:cnfStyle w:val="000000000000" w:firstRow="0" w:lastRow="0" w:firstColumn="0" w:lastColumn="0" w:oddVBand="0" w:evenVBand="0" w:oddHBand="0" w:evenHBand="0" w:firstRowFirstColumn="0" w:firstRowLastColumn="0" w:lastRowFirstColumn="0" w:lastRowLastColumn="0"/>
            </w:pPr>
            <w:r>
              <w:t>equity risk premium</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Expenditure Guideline</w:t>
            </w:r>
          </w:p>
        </w:tc>
        <w:tc>
          <w:tcPr>
            <w:tcW w:w="5041" w:type="dxa"/>
            <w:tcBorders>
              <w:top w:val="nil"/>
              <w:left w:val="nil"/>
              <w:bottom w:val="nil"/>
              <w:right w:val="nil"/>
            </w:tcBorders>
            <w:hideMark/>
          </w:tcPr>
          <w:p w:rsidR="00082AEA" w:rsidRDefault="00082AEA">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gamma</w:t>
            </w:r>
          </w:p>
        </w:tc>
        <w:tc>
          <w:tcPr>
            <w:tcW w:w="5041" w:type="dxa"/>
            <w:tcBorders>
              <w:top w:val="nil"/>
              <w:left w:val="nil"/>
              <w:bottom w:val="nil"/>
              <w:right w:val="nil"/>
            </w:tcBorders>
            <w:hideMark/>
          </w:tcPr>
          <w:p w:rsidR="00082AEA" w:rsidRDefault="00082AEA">
            <w:pPr>
              <w:cnfStyle w:val="000000000000" w:firstRow="0" w:lastRow="0" w:firstColumn="0" w:lastColumn="0" w:oddVBand="0" w:evenVBand="0" w:oddHBand="0" w:evenHBand="0" w:firstRowFirstColumn="0" w:firstRowLastColumn="0" w:lastRowFirstColumn="0" w:lastRowLastColumn="0"/>
            </w:pPr>
            <w:r>
              <w:t>value of imputation credits</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GSL</w:t>
            </w:r>
          </w:p>
        </w:tc>
        <w:tc>
          <w:tcPr>
            <w:tcW w:w="5041" w:type="dxa"/>
            <w:tcBorders>
              <w:top w:val="nil"/>
              <w:left w:val="nil"/>
              <w:bottom w:val="nil"/>
              <w:right w:val="nil"/>
            </w:tcBorders>
            <w:hideMark/>
          </w:tcPr>
          <w:p w:rsidR="00082AEA" w:rsidRDefault="00082AEA">
            <w:pPr>
              <w:cnfStyle w:val="000000010000" w:firstRow="0" w:lastRow="0" w:firstColumn="0" w:lastColumn="0" w:oddVBand="0" w:evenVBand="0" w:oddHBand="0" w:evenHBand="1" w:firstRowFirstColumn="0" w:firstRowLastColumn="0" w:lastRowFirstColumn="0" w:lastRowLastColumn="0"/>
            </w:pPr>
            <w:r>
              <w:t>Guaranteed Service Level</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MRP</w:t>
            </w:r>
          </w:p>
        </w:tc>
        <w:tc>
          <w:tcPr>
            <w:tcW w:w="5041" w:type="dxa"/>
            <w:tcBorders>
              <w:top w:val="nil"/>
              <w:left w:val="nil"/>
              <w:bottom w:val="nil"/>
              <w:right w:val="nil"/>
            </w:tcBorders>
            <w:hideMark/>
          </w:tcPr>
          <w:p w:rsidR="00082AEA" w:rsidRDefault="00082AEA" w:rsidP="00082AEA">
            <w:pPr>
              <w:numPr>
                <w:ilvl w:val="0"/>
                <w:numId w:val="28"/>
              </w:numPr>
              <w:cnfStyle w:val="000000000000" w:firstRow="0" w:lastRow="0" w:firstColumn="0" w:lastColumn="0" w:oddVBand="0" w:evenVBand="0" w:oddHBand="0" w:evenHBand="0" w:firstRowFirstColumn="0" w:firstRowLastColumn="0" w:lastRowFirstColumn="0" w:lastRowLastColumn="0"/>
            </w:pPr>
            <w:r>
              <w:t>market risk premium</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NECF</w:t>
            </w:r>
          </w:p>
        </w:tc>
        <w:tc>
          <w:tcPr>
            <w:tcW w:w="5041" w:type="dxa"/>
            <w:tcBorders>
              <w:top w:val="nil"/>
              <w:left w:val="nil"/>
              <w:bottom w:val="nil"/>
              <w:right w:val="nil"/>
            </w:tcBorders>
            <w:hideMark/>
          </w:tcPr>
          <w:p w:rsidR="00082AEA" w:rsidRDefault="00082AEA">
            <w:pPr>
              <w:cnfStyle w:val="000000010000" w:firstRow="0" w:lastRow="0" w:firstColumn="0" w:lastColumn="0" w:oddVBand="0" w:evenVBand="0" w:oddHBand="0" w:evenHBand="1" w:firstRowFirstColumn="0" w:firstRowLastColumn="0" w:lastRowFirstColumn="0" w:lastRowLastColumn="0"/>
            </w:pPr>
            <w:r>
              <w:t>National Energy Customer Framework</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NERL</w:t>
            </w:r>
          </w:p>
        </w:tc>
        <w:tc>
          <w:tcPr>
            <w:tcW w:w="5041" w:type="dxa"/>
            <w:tcBorders>
              <w:top w:val="nil"/>
              <w:left w:val="nil"/>
              <w:bottom w:val="nil"/>
              <w:right w:val="nil"/>
            </w:tcBorders>
            <w:hideMark/>
          </w:tcPr>
          <w:p w:rsidR="00082AEA" w:rsidRDefault="00082AEA">
            <w:pPr>
              <w:cnfStyle w:val="000000000000" w:firstRow="0" w:lastRow="0" w:firstColumn="0" w:lastColumn="0" w:oddVBand="0" w:evenVBand="0" w:oddHBand="0" w:evenHBand="0" w:firstRowFirstColumn="0" w:firstRowLastColumn="0" w:lastRowFirstColumn="0" w:lastRowLastColumn="0"/>
            </w:pPr>
            <w:r>
              <w:t>National Energy Retail Law</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NERR</w:t>
            </w:r>
          </w:p>
        </w:tc>
        <w:tc>
          <w:tcPr>
            <w:tcW w:w="5041" w:type="dxa"/>
            <w:tcBorders>
              <w:top w:val="nil"/>
              <w:left w:val="nil"/>
              <w:bottom w:val="nil"/>
              <w:right w:val="nil"/>
            </w:tcBorders>
            <w:hideMark/>
          </w:tcPr>
          <w:p w:rsidR="00082AEA" w:rsidRDefault="00082AEA" w:rsidP="00082AEA">
            <w:pPr>
              <w:numPr>
                <w:ilvl w:val="0"/>
                <w:numId w:val="28"/>
              </w:numPr>
              <w:cnfStyle w:val="000000010000" w:firstRow="0" w:lastRow="0" w:firstColumn="0" w:lastColumn="0" w:oddVBand="0" w:evenVBand="0" w:oddHBand="0" w:evenHBand="1" w:firstRowFirstColumn="0" w:firstRowLastColumn="0" w:lastRowFirstColumn="0" w:lastRowLastColumn="0"/>
            </w:pPr>
            <w:r>
              <w:t>National Energy Retail Rules</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NGL</w:t>
            </w:r>
          </w:p>
        </w:tc>
        <w:tc>
          <w:tcPr>
            <w:tcW w:w="5041" w:type="dxa"/>
            <w:tcBorders>
              <w:top w:val="nil"/>
              <w:left w:val="nil"/>
              <w:bottom w:val="nil"/>
              <w:right w:val="nil"/>
            </w:tcBorders>
            <w:hideMark/>
          </w:tcPr>
          <w:p w:rsidR="00082AEA" w:rsidRDefault="00082AEA" w:rsidP="00082AEA">
            <w:pPr>
              <w:numPr>
                <w:ilvl w:val="0"/>
                <w:numId w:val="28"/>
              </w:numPr>
              <w:cnfStyle w:val="000000000000" w:firstRow="0" w:lastRow="0" w:firstColumn="0" w:lastColumn="0" w:oddVBand="0" w:evenVBand="0" w:oddHBand="0" w:evenHBand="0" w:firstRowFirstColumn="0" w:firstRowLastColumn="0" w:lastRowFirstColumn="0" w:lastRowLastColumn="0"/>
            </w:pPr>
            <w:r>
              <w:t>National Gas Law</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NGO</w:t>
            </w:r>
          </w:p>
        </w:tc>
        <w:tc>
          <w:tcPr>
            <w:tcW w:w="5041" w:type="dxa"/>
            <w:tcBorders>
              <w:top w:val="nil"/>
              <w:left w:val="nil"/>
              <w:bottom w:val="nil"/>
              <w:right w:val="nil"/>
            </w:tcBorders>
            <w:hideMark/>
          </w:tcPr>
          <w:p w:rsidR="00082AEA" w:rsidRDefault="00082AEA" w:rsidP="00082AEA">
            <w:pPr>
              <w:numPr>
                <w:ilvl w:val="0"/>
                <w:numId w:val="28"/>
              </w:numPr>
              <w:cnfStyle w:val="000000010000" w:firstRow="0" w:lastRow="0" w:firstColumn="0" w:lastColumn="0" w:oddVBand="0" w:evenVBand="0" w:oddHBand="0" w:evenHBand="1" w:firstRowFirstColumn="0" w:firstRowLastColumn="0" w:lastRowFirstColumn="0" w:lastRowLastColumn="0"/>
            </w:pPr>
            <w:r>
              <w:t>National Gas Objective</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NGR</w:t>
            </w:r>
          </w:p>
        </w:tc>
        <w:tc>
          <w:tcPr>
            <w:tcW w:w="5041" w:type="dxa"/>
            <w:tcBorders>
              <w:top w:val="nil"/>
              <w:left w:val="nil"/>
              <w:bottom w:val="nil"/>
              <w:right w:val="nil"/>
            </w:tcBorders>
            <w:hideMark/>
          </w:tcPr>
          <w:p w:rsidR="00082AEA" w:rsidRDefault="00082AEA" w:rsidP="00082AEA">
            <w:pPr>
              <w:numPr>
                <w:ilvl w:val="0"/>
                <w:numId w:val="28"/>
              </w:numPr>
              <w:cnfStyle w:val="000000000000" w:firstRow="0" w:lastRow="0" w:firstColumn="0" w:lastColumn="0" w:oddVBand="0" w:evenVBand="0" w:oddHBand="0" w:evenHBand="0" w:firstRowFirstColumn="0" w:firstRowLastColumn="0" w:lastRowFirstColumn="0" w:lastRowLastColumn="0"/>
            </w:pPr>
            <w:r>
              <w:t>National Gas Rules</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NIS</w:t>
            </w:r>
          </w:p>
        </w:tc>
        <w:tc>
          <w:tcPr>
            <w:tcW w:w="5041" w:type="dxa"/>
            <w:tcBorders>
              <w:top w:val="nil"/>
              <w:left w:val="nil"/>
              <w:bottom w:val="nil"/>
              <w:right w:val="nil"/>
            </w:tcBorders>
            <w:hideMark/>
          </w:tcPr>
          <w:p w:rsidR="00082AEA" w:rsidRDefault="00082AEA">
            <w:pPr>
              <w:cnfStyle w:val="000000010000" w:firstRow="0" w:lastRow="0" w:firstColumn="0" w:lastColumn="0" w:oddVBand="0" w:evenVBand="0" w:oddHBand="0" w:evenHBand="1" w:firstRowFirstColumn="0" w:firstRowLastColumn="0" w:lastRowFirstColumn="0" w:lastRowLastColumn="0"/>
            </w:pPr>
            <w:r>
              <w:t>Network Incentive Scheme</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NPV</w:t>
            </w:r>
          </w:p>
        </w:tc>
        <w:tc>
          <w:tcPr>
            <w:tcW w:w="5041" w:type="dxa"/>
            <w:tcBorders>
              <w:top w:val="nil"/>
              <w:left w:val="nil"/>
              <w:bottom w:val="nil"/>
              <w:right w:val="nil"/>
            </w:tcBorders>
            <w:hideMark/>
          </w:tcPr>
          <w:p w:rsidR="00082AEA" w:rsidRDefault="00082AEA">
            <w:pPr>
              <w:cnfStyle w:val="000000000000" w:firstRow="0" w:lastRow="0" w:firstColumn="0" w:lastColumn="0" w:oddVBand="0" w:evenVBand="0" w:oddHBand="0" w:evenHBand="0" w:firstRowFirstColumn="0" w:firstRowLastColumn="0" w:lastRowFirstColumn="0" w:lastRowLastColumn="0"/>
            </w:pPr>
            <w:r>
              <w:t>net present value</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opex</w:t>
            </w:r>
          </w:p>
        </w:tc>
        <w:tc>
          <w:tcPr>
            <w:tcW w:w="5041" w:type="dxa"/>
            <w:tcBorders>
              <w:top w:val="nil"/>
              <w:left w:val="nil"/>
              <w:bottom w:val="nil"/>
              <w:right w:val="nil"/>
            </w:tcBorders>
            <w:hideMark/>
          </w:tcPr>
          <w:p w:rsidR="00082AEA" w:rsidRDefault="00082AEA" w:rsidP="00082AEA">
            <w:pPr>
              <w:numPr>
                <w:ilvl w:val="0"/>
                <w:numId w:val="28"/>
              </w:numPr>
              <w:cnfStyle w:val="000000010000" w:firstRow="0" w:lastRow="0" w:firstColumn="0" w:lastColumn="0" w:oddVBand="0" w:evenVBand="0" w:oddHBand="0" w:evenHBand="1" w:firstRowFirstColumn="0" w:firstRowLastColumn="0" w:lastRowFirstColumn="0" w:lastRowLastColumn="0"/>
            </w:pPr>
            <w:r>
              <w:t>operating expenditure</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PFP</w:t>
            </w:r>
          </w:p>
        </w:tc>
        <w:tc>
          <w:tcPr>
            <w:tcW w:w="5041" w:type="dxa"/>
            <w:tcBorders>
              <w:top w:val="nil"/>
              <w:left w:val="nil"/>
              <w:bottom w:val="nil"/>
              <w:right w:val="nil"/>
            </w:tcBorders>
            <w:hideMark/>
          </w:tcPr>
          <w:p w:rsidR="00082AEA" w:rsidRDefault="00082AEA">
            <w:pPr>
              <w:cnfStyle w:val="000000000000" w:firstRow="0" w:lastRow="0" w:firstColumn="0" w:lastColumn="0" w:oddVBand="0" w:evenVBand="0" w:oddHBand="0" w:evenHBand="0" w:firstRowFirstColumn="0" w:firstRowLastColumn="0" w:lastRowFirstColumn="0" w:lastRowLastColumn="0"/>
            </w:pPr>
            <w:r>
              <w:t>partial factor productivity</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PPI</w:t>
            </w:r>
          </w:p>
        </w:tc>
        <w:tc>
          <w:tcPr>
            <w:tcW w:w="5041" w:type="dxa"/>
            <w:tcBorders>
              <w:top w:val="nil"/>
              <w:left w:val="nil"/>
              <w:bottom w:val="nil"/>
              <w:right w:val="nil"/>
            </w:tcBorders>
            <w:hideMark/>
          </w:tcPr>
          <w:p w:rsidR="00082AEA" w:rsidRDefault="00082AEA" w:rsidP="00082AEA">
            <w:pPr>
              <w:numPr>
                <w:ilvl w:val="0"/>
                <w:numId w:val="28"/>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PTRM</w:t>
            </w:r>
          </w:p>
        </w:tc>
        <w:tc>
          <w:tcPr>
            <w:tcW w:w="5041" w:type="dxa"/>
            <w:tcBorders>
              <w:top w:val="nil"/>
              <w:left w:val="nil"/>
              <w:bottom w:val="nil"/>
              <w:right w:val="nil"/>
            </w:tcBorders>
            <w:hideMark/>
          </w:tcPr>
          <w:p w:rsidR="00082AEA" w:rsidRDefault="00082AEA" w:rsidP="00082AEA">
            <w:pPr>
              <w:numPr>
                <w:ilvl w:val="0"/>
                <w:numId w:val="28"/>
              </w:numPr>
              <w:cnfStyle w:val="000000000000" w:firstRow="0" w:lastRow="0" w:firstColumn="0" w:lastColumn="0" w:oddVBand="0" w:evenVBand="0" w:oddHBand="0" w:evenHBand="0" w:firstRowFirstColumn="0" w:firstRowLastColumn="0" w:lastRowFirstColumn="0" w:lastRowLastColumn="0"/>
            </w:pPr>
            <w:r>
              <w:t>post-tax revenue model</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RBA</w:t>
            </w:r>
          </w:p>
        </w:tc>
        <w:tc>
          <w:tcPr>
            <w:tcW w:w="5041" w:type="dxa"/>
            <w:tcBorders>
              <w:top w:val="nil"/>
              <w:left w:val="nil"/>
              <w:bottom w:val="nil"/>
              <w:right w:val="nil"/>
            </w:tcBorders>
            <w:hideMark/>
          </w:tcPr>
          <w:p w:rsidR="00082AEA" w:rsidRDefault="00082AEA" w:rsidP="00082AEA">
            <w:pPr>
              <w:numPr>
                <w:ilvl w:val="0"/>
                <w:numId w:val="28"/>
              </w:numPr>
              <w:cnfStyle w:val="000000010000" w:firstRow="0" w:lastRow="0" w:firstColumn="0" w:lastColumn="0" w:oddVBand="0" w:evenVBand="0" w:oddHBand="0" w:evenHBand="1" w:firstRowFirstColumn="0" w:firstRowLastColumn="0" w:lastRowFirstColumn="0" w:lastRowLastColumn="0"/>
            </w:pPr>
            <w:r>
              <w:t>Reserve Bank of Australia</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RFM</w:t>
            </w:r>
          </w:p>
        </w:tc>
        <w:tc>
          <w:tcPr>
            <w:tcW w:w="5041" w:type="dxa"/>
            <w:tcBorders>
              <w:top w:val="nil"/>
              <w:left w:val="nil"/>
              <w:bottom w:val="nil"/>
              <w:right w:val="nil"/>
            </w:tcBorders>
            <w:hideMark/>
          </w:tcPr>
          <w:p w:rsidR="00082AEA" w:rsidRDefault="00082AEA" w:rsidP="00082AEA">
            <w:pPr>
              <w:numPr>
                <w:ilvl w:val="0"/>
                <w:numId w:val="28"/>
              </w:numPr>
              <w:cnfStyle w:val="000000000000" w:firstRow="0" w:lastRow="0" w:firstColumn="0" w:lastColumn="0" w:oddVBand="0" w:evenVBand="0" w:oddHBand="0" w:evenHBand="0" w:firstRowFirstColumn="0" w:firstRowLastColumn="0" w:lastRowFirstColumn="0" w:lastRowLastColumn="0"/>
            </w:pPr>
            <w:r>
              <w:t>roll forward model</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RIN</w:t>
            </w:r>
          </w:p>
        </w:tc>
        <w:tc>
          <w:tcPr>
            <w:tcW w:w="5041" w:type="dxa"/>
            <w:tcBorders>
              <w:top w:val="nil"/>
              <w:left w:val="nil"/>
              <w:bottom w:val="nil"/>
              <w:right w:val="nil"/>
            </w:tcBorders>
            <w:hideMark/>
          </w:tcPr>
          <w:p w:rsidR="00082AEA" w:rsidRDefault="00082AEA" w:rsidP="00082AEA">
            <w:pPr>
              <w:numPr>
                <w:ilvl w:val="0"/>
                <w:numId w:val="28"/>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proofErr w:type="spellStart"/>
            <w:r>
              <w:t>RoLR</w:t>
            </w:r>
            <w:proofErr w:type="spellEnd"/>
          </w:p>
        </w:tc>
        <w:tc>
          <w:tcPr>
            <w:tcW w:w="5041" w:type="dxa"/>
            <w:tcBorders>
              <w:top w:val="nil"/>
              <w:left w:val="nil"/>
              <w:bottom w:val="nil"/>
              <w:right w:val="nil"/>
            </w:tcBorders>
            <w:hideMark/>
          </w:tcPr>
          <w:p w:rsidR="00082AEA" w:rsidRDefault="00082AEA">
            <w:pPr>
              <w:cnfStyle w:val="000000000000" w:firstRow="0" w:lastRow="0" w:firstColumn="0" w:lastColumn="0" w:oddVBand="0" w:evenVBand="0" w:oddHBand="0" w:evenHBand="0" w:firstRowFirstColumn="0" w:firstRowLastColumn="0" w:lastRowFirstColumn="0" w:lastRowLastColumn="0"/>
            </w:pPr>
            <w:r>
              <w:t>retailer of last resort</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RPP</w:t>
            </w:r>
          </w:p>
        </w:tc>
        <w:tc>
          <w:tcPr>
            <w:tcW w:w="5041" w:type="dxa"/>
            <w:tcBorders>
              <w:top w:val="nil"/>
              <w:left w:val="nil"/>
              <w:bottom w:val="nil"/>
              <w:right w:val="nil"/>
            </w:tcBorders>
            <w:hideMark/>
          </w:tcPr>
          <w:p w:rsidR="00082AEA" w:rsidRDefault="00082AEA" w:rsidP="00082AEA">
            <w:pPr>
              <w:numPr>
                <w:ilvl w:val="0"/>
                <w:numId w:val="28"/>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SLCAPM</w:t>
            </w:r>
          </w:p>
        </w:tc>
        <w:tc>
          <w:tcPr>
            <w:tcW w:w="5041" w:type="dxa"/>
            <w:tcBorders>
              <w:top w:val="nil"/>
              <w:left w:val="nil"/>
              <w:bottom w:val="nil"/>
              <w:right w:val="nil"/>
            </w:tcBorders>
            <w:hideMark/>
          </w:tcPr>
          <w:p w:rsidR="00082AEA" w:rsidRDefault="00082AEA" w:rsidP="00082AEA">
            <w:pPr>
              <w:numPr>
                <w:ilvl w:val="0"/>
                <w:numId w:val="28"/>
              </w:numPr>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STPIS</w:t>
            </w:r>
          </w:p>
        </w:tc>
        <w:tc>
          <w:tcPr>
            <w:tcW w:w="5041" w:type="dxa"/>
            <w:tcBorders>
              <w:top w:val="nil"/>
              <w:left w:val="nil"/>
              <w:bottom w:val="nil"/>
              <w:right w:val="nil"/>
            </w:tcBorders>
            <w:hideMark/>
          </w:tcPr>
          <w:p w:rsidR="00082AEA" w:rsidRDefault="00082AEA">
            <w:pP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TAB</w:t>
            </w:r>
          </w:p>
        </w:tc>
        <w:tc>
          <w:tcPr>
            <w:tcW w:w="5041" w:type="dxa"/>
            <w:tcBorders>
              <w:top w:val="nil"/>
              <w:left w:val="nil"/>
              <w:bottom w:val="nil"/>
              <w:right w:val="nil"/>
            </w:tcBorders>
            <w:hideMark/>
          </w:tcPr>
          <w:p w:rsidR="00082AEA" w:rsidRDefault="00082AEA">
            <w:pPr>
              <w:cnfStyle w:val="000000000000" w:firstRow="0" w:lastRow="0" w:firstColumn="0" w:lastColumn="0" w:oddVBand="0" w:evenVBand="0" w:oddHBand="0" w:evenHBand="0" w:firstRowFirstColumn="0" w:firstRowLastColumn="0" w:lastRowFirstColumn="0" w:lastRowLastColumn="0"/>
            </w:pPr>
            <w:r>
              <w:t>tax asset base</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UAFG</w:t>
            </w:r>
          </w:p>
        </w:tc>
        <w:tc>
          <w:tcPr>
            <w:tcW w:w="5041" w:type="dxa"/>
            <w:tcBorders>
              <w:top w:val="nil"/>
              <w:left w:val="nil"/>
              <w:bottom w:val="nil"/>
              <w:right w:val="nil"/>
            </w:tcBorders>
            <w:hideMark/>
          </w:tcPr>
          <w:p w:rsidR="00082AEA" w:rsidRDefault="00082AEA">
            <w:pPr>
              <w:cnfStyle w:val="000000010000" w:firstRow="0" w:lastRow="0" w:firstColumn="0" w:lastColumn="0" w:oddVBand="0" w:evenVBand="0" w:oddHBand="0" w:evenHBand="1" w:firstRowFirstColumn="0" w:firstRowLastColumn="0" w:lastRowFirstColumn="0" w:lastRowLastColumn="0"/>
            </w:pPr>
            <w:r>
              <w:t>unaccounted for gas</w:t>
            </w:r>
          </w:p>
        </w:tc>
      </w:tr>
      <w:tr w:rsidR="00082AEA" w:rsidTr="00082AEA">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nil"/>
              <w:right w:val="nil"/>
            </w:tcBorders>
            <w:hideMark/>
          </w:tcPr>
          <w:p w:rsidR="00082AEA" w:rsidRDefault="00082AEA" w:rsidP="00082AEA">
            <w:pPr>
              <w:numPr>
                <w:ilvl w:val="0"/>
                <w:numId w:val="28"/>
              </w:numPr>
            </w:pPr>
            <w:r>
              <w:t>WACC</w:t>
            </w:r>
          </w:p>
        </w:tc>
        <w:tc>
          <w:tcPr>
            <w:tcW w:w="5041" w:type="dxa"/>
            <w:tcBorders>
              <w:top w:val="nil"/>
              <w:left w:val="nil"/>
              <w:bottom w:val="nil"/>
              <w:right w:val="nil"/>
            </w:tcBorders>
            <w:hideMark/>
          </w:tcPr>
          <w:p w:rsidR="00082AEA" w:rsidRDefault="00082AEA" w:rsidP="00082AEA">
            <w:pPr>
              <w:numPr>
                <w:ilvl w:val="0"/>
                <w:numId w:val="28"/>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082AEA" w:rsidTr="00082A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Borders>
              <w:top w:val="nil"/>
              <w:left w:val="nil"/>
              <w:bottom w:val="single" w:sz="4" w:space="0" w:color="365F91"/>
              <w:right w:val="nil"/>
            </w:tcBorders>
            <w:hideMark/>
          </w:tcPr>
          <w:p w:rsidR="00082AEA" w:rsidRDefault="00082AEA" w:rsidP="00082AEA">
            <w:pPr>
              <w:numPr>
                <w:ilvl w:val="0"/>
                <w:numId w:val="28"/>
              </w:numPr>
            </w:pPr>
            <w:r>
              <w:t>WPI</w:t>
            </w:r>
          </w:p>
        </w:tc>
        <w:tc>
          <w:tcPr>
            <w:tcW w:w="5041" w:type="dxa"/>
            <w:tcBorders>
              <w:top w:val="nil"/>
              <w:left w:val="nil"/>
              <w:bottom w:val="single" w:sz="4" w:space="0" w:color="365F91"/>
              <w:right w:val="nil"/>
            </w:tcBorders>
            <w:hideMark/>
          </w:tcPr>
          <w:p w:rsidR="00082AEA" w:rsidRDefault="00082AEA">
            <w:pPr>
              <w:cnfStyle w:val="000000010000" w:firstRow="0" w:lastRow="0" w:firstColumn="0" w:lastColumn="0" w:oddVBand="0" w:evenVBand="0" w:oddHBand="0" w:evenHBand="1" w:firstRowFirstColumn="0" w:firstRowLastColumn="0" w:lastRowFirstColumn="0" w:lastRowLastColumn="0"/>
            </w:pPr>
            <w:r>
              <w:t>Wage Price Index</w:t>
            </w:r>
          </w:p>
        </w:tc>
      </w:tr>
    </w:tbl>
    <w:p w:rsidR="00082AEA" w:rsidRPr="00082AEA" w:rsidRDefault="00082AEA" w:rsidP="00082AEA"/>
    <w:p w:rsidR="00DE563D" w:rsidRDefault="00D41E80" w:rsidP="00D41E80">
      <w:pPr>
        <w:pStyle w:val="Heading1"/>
      </w:pPr>
      <w:bookmarkStart w:id="10" w:name="_Toc451527983"/>
      <w:r>
        <w:t>Non-tariff components</w:t>
      </w:r>
      <w:bookmarkEnd w:id="10"/>
    </w:p>
    <w:p w:rsidR="000221D6" w:rsidRDefault="000221D6" w:rsidP="000221D6">
      <w:bookmarkStart w:id="11" w:name="_Toc425928506"/>
      <w:bookmarkStart w:id="12" w:name="_Toc436055056"/>
      <w:r>
        <w:t>This attachment contains our decisions and reasons on the non-tariff components of AGN's revised access arrangement proposal.</w:t>
      </w:r>
    </w:p>
    <w:p w:rsidR="000221D6" w:rsidRDefault="000221D6" w:rsidP="000221D6">
      <w:r>
        <w:t>The non-tariff components are as follows:</w:t>
      </w:r>
    </w:p>
    <w:p w:rsidR="000221D6" w:rsidRDefault="000221D6" w:rsidP="000221D6">
      <w:pPr>
        <w:pStyle w:val="AERbulletlistfirststyle"/>
      </w:pPr>
      <w:r>
        <w:t xml:space="preserve">the </w:t>
      </w:r>
      <w:r w:rsidRPr="00F5072A">
        <w:t xml:space="preserve">terms and conditions </w:t>
      </w:r>
      <w:r>
        <w:t>on</w:t>
      </w:r>
      <w:r w:rsidRPr="00F5072A">
        <w:t xml:space="preserve"> which </w:t>
      </w:r>
      <w:r>
        <w:t>AGN</w:t>
      </w:r>
      <w:r w:rsidRPr="00F5072A">
        <w:t xml:space="preserve"> </w:t>
      </w:r>
      <w:r>
        <w:t xml:space="preserve">offers to </w:t>
      </w:r>
      <w:r w:rsidRPr="00F5072A">
        <w:t xml:space="preserve">supply </w:t>
      </w:r>
      <w:r>
        <w:t xml:space="preserve">reference services </w:t>
      </w:r>
    </w:p>
    <w:p w:rsidR="000221D6" w:rsidRPr="00D92B2B" w:rsidRDefault="000221D6" w:rsidP="000221D6">
      <w:pPr>
        <w:pStyle w:val="AERbulletlistfirststyle"/>
      </w:pPr>
      <w:r w:rsidRPr="000707C1">
        <w:t>queuing</w:t>
      </w:r>
      <w:r w:rsidRPr="00D92B2B">
        <w:t xml:space="preserve"> requirements—a process or mechanism for establishing an order of priority between</w:t>
      </w:r>
      <w:r>
        <w:t xml:space="preserve"> prospective users of spare </w:t>
      </w:r>
      <w:r w:rsidRPr="00D92B2B">
        <w:t xml:space="preserve">or developable capacity  </w:t>
      </w:r>
    </w:p>
    <w:p w:rsidR="000221D6" w:rsidRDefault="000221D6" w:rsidP="000221D6">
      <w:pPr>
        <w:pStyle w:val="AERbulletlistfirststyle"/>
      </w:pPr>
      <w:r w:rsidRPr="000707C1">
        <w:t>extension and expansion requirements—the method for determining whether an extension or exp</w:t>
      </w:r>
      <w:r w:rsidRPr="00D92B2B">
        <w:t>ansion is a part of the covered pipeline and the ef</w:t>
      </w:r>
      <w:r>
        <w:t>fect this will have on tariffs</w:t>
      </w:r>
    </w:p>
    <w:p w:rsidR="000221D6" w:rsidRPr="00D92B2B" w:rsidRDefault="000221D6" w:rsidP="000221D6">
      <w:pPr>
        <w:pStyle w:val="AERbulletlistfirststyle"/>
      </w:pPr>
      <w:r w:rsidRPr="000707C1">
        <w:t>capacity trading requirements—</w:t>
      </w:r>
      <w:r>
        <w:t>the arrangements for u</w:t>
      </w:r>
      <w:r w:rsidRPr="000707C1">
        <w:t xml:space="preserve">sers </w:t>
      </w:r>
      <w:r>
        <w:t xml:space="preserve">to </w:t>
      </w:r>
      <w:r w:rsidRPr="000707C1">
        <w:t xml:space="preserve">assign contracted capacity and change delivery and receipt points </w:t>
      </w:r>
    </w:p>
    <w:p w:rsidR="000221D6" w:rsidRPr="00D92B2B" w:rsidRDefault="000221D6" w:rsidP="000221D6">
      <w:pPr>
        <w:pStyle w:val="AERbulletlistfirststyle"/>
      </w:pPr>
      <w:r>
        <w:t>provisions for receipt and delivery point changes, and</w:t>
      </w:r>
    </w:p>
    <w:p w:rsidR="000221D6" w:rsidRPr="00D92B2B" w:rsidRDefault="000221D6" w:rsidP="000221D6">
      <w:pPr>
        <w:pStyle w:val="AERbulletlistfirststyle"/>
      </w:pPr>
      <w:proofErr w:type="gramStart"/>
      <w:r>
        <w:t>a</w:t>
      </w:r>
      <w:proofErr w:type="gramEnd"/>
      <w:r>
        <w:t xml:space="preserve"> </w:t>
      </w:r>
      <w:r w:rsidRPr="000707C1">
        <w:t>review</w:t>
      </w:r>
      <w:r w:rsidRPr="00D92B2B">
        <w:t xml:space="preserve"> submission date and </w:t>
      </w:r>
      <w:r>
        <w:t xml:space="preserve">a </w:t>
      </w:r>
      <w:r w:rsidRPr="00D92B2B">
        <w:t>revision commencement date.</w:t>
      </w:r>
    </w:p>
    <w:p w:rsidR="00787FE5" w:rsidRDefault="00787FE5" w:rsidP="008952FC">
      <w:pPr>
        <w:pStyle w:val="Heading2"/>
      </w:pPr>
      <w:bookmarkStart w:id="13" w:name="_Toc451527984"/>
      <w:r>
        <w:t>Decision</w:t>
      </w:r>
      <w:bookmarkEnd w:id="13"/>
    </w:p>
    <w:p w:rsidR="00787FE5" w:rsidRDefault="00787FE5" w:rsidP="00787FE5">
      <w:r>
        <w:t xml:space="preserve">We approve the non-tariff components of AGN’s revised access arrangement proposal except for clause 35.5 of Annexure G.  </w:t>
      </w:r>
    </w:p>
    <w:p w:rsidR="00787FE5" w:rsidRDefault="00787FE5" w:rsidP="00787FE5">
      <w:r>
        <w:t>We have revised the terms and conditions having regard to our reasons for refusing to approve AGN’s proposal and the further matters identified in the NGR section 64(2).</w:t>
      </w:r>
      <w:r>
        <w:rPr>
          <w:rStyle w:val="FootnoteReference"/>
        </w:rPr>
        <w:footnoteReference w:id="1"/>
      </w:r>
      <w:r>
        <w:t xml:space="preserve">  </w:t>
      </w:r>
    </w:p>
    <w:p w:rsidR="00787FE5" w:rsidRDefault="00787FE5" w:rsidP="00787FE5">
      <w:r>
        <w:t xml:space="preserve">Our revision is reflected in clause 35.5 of Annexure G of the Approved Access Arrangement </w:t>
      </w:r>
      <w:proofErr w:type="gramStart"/>
      <w:r>
        <w:t xml:space="preserve">for  </w:t>
      </w:r>
      <w:r w:rsidRPr="00E62D82">
        <w:t>Australian</w:t>
      </w:r>
      <w:proofErr w:type="gramEnd"/>
      <w:r w:rsidRPr="00E62D82">
        <w:t xml:space="preserve"> Gas Networks' South Australian distribution network for 2016–21</w:t>
      </w:r>
      <w:r>
        <w:t>, which gives effect to this decision.</w:t>
      </w:r>
      <w:r w:rsidRPr="00E62D82">
        <w:t xml:space="preserve"> </w:t>
      </w:r>
    </w:p>
    <w:p w:rsidR="00787FE5" w:rsidRPr="00787FE5" w:rsidRDefault="00787FE5" w:rsidP="007A732A"/>
    <w:p w:rsidR="008952FC" w:rsidRDefault="008952FC" w:rsidP="008952FC">
      <w:pPr>
        <w:pStyle w:val="Heading2"/>
      </w:pPr>
      <w:bookmarkStart w:id="14" w:name="_Toc451527985"/>
      <w:r w:rsidRPr="008952FC">
        <w:t>Terms and conditions</w:t>
      </w:r>
      <w:bookmarkEnd w:id="11"/>
      <w:bookmarkEnd w:id="12"/>
      <w:bookmarkEnd w:id="14"/>
    </w:p>
    <w:p w:rsidR="003448EE" w:rsidRDefault="003448EE" w:rsidP="003448EE">
      <w:bookmarkStart w:id="15" w:name="_Toc425928507"/>
      <w:bookmarkStart w:id="16" w:name="_Toc436055057"/>
      <w:r>
        <w:t>An access arrangement must specify the terms and conditions on which each reference services will be provided.</w:t>
      </w:r>
      <w:r>
        <w:rPr>
          <w:rStyle w:val="FootnoteReference"/>
        </w:rPr>
        <w:footnoteReference w:id="2"/>
      </w:r>
      <w:r>
        <w:t xml:space="preserve">  </w:t>
      </w:r>
    </w:p>
    <w:p w:rsidR="003448EE" w:rsidRDefault="003448EE" w:rsidP="003448EE">
      <w:r>
        <w:t>These do not exhaustively set out the contractual arrangements between a service provider and a user. The NGL permits the service provider and the user to agree on terms and conditions different to those specified in the applicable access arrangement.</w:t>
      </w:r>
      <w:r>
        <w:rPr>
          <w:rStyle w:val="FootnoteReference"/>
        </w:rPr>
        <w:footnoteReference w:id="3"/>
      </w:r>
      <w:r w:rsidRPr="008442C3">
        <w:t xml:space="preserve"> </w:t>
      </w:r>
      <w:r>
        <w:t>However</w:t>
      </w:r>
      <w:r w:rsidR="00BE4A4E">
        <w:t>,</w:t>
      </w:r>
      <w:r>
        <w:t xml:space="preserve"> if an access dispute arises and is referred for determination, the relevant regulator must</w:t>
      </w:r>
      <w:r w:rsidRPr="008442C3">
        <w:t xml:space="preserve"> give effect to </w:t>
      </w:r>
      <w:r>
        <w:t>the</w:t>
      </w:r>
      <w:r w:rsidRPr="008442C3">
        <w:t xml:space="preserve"> access arrangement</w:t>
      </w:r>
      <w:r>
        <w:t>.</w:t>
      </w:r>
      <w:r>
        <w:rPr>
          <w:rStyle w:val="FootnoteReference"/>
        </w:rPr>
        <w:footnoteReference w:id="4"/>
      </w:r>
      <w:r>
        <w:t xml:space="preserve"> </w:t>
      </w:r>
    </w:p>
    <w:p w:rsidR="008952FC" w:rsidRDefault="001D5DCD" w:rsidP="008952FC">
      <w:pPr>
        <w:pStyle w:val="Heading3"/>
      </w:pPr>
      <w:bookmarkStart w:id="17" w:name="_Toc451527986"/>
      <w:r>
        <w:t>Final</w:t>
      </w:r>
      <w:r w:rsidR="008952FC" w:rsidRPr="008952FC">
        <w:t xml:space="preserve"> decision</w:t>
      </w:r>
      <w:bookmarkEnd w:id="15"/>
      <w:bookmarkEnd w:id="16"/>
      <w:bookmarkEnd w:id="17"/>
    </w:p>
    <w:p w:rsidR="00E62D82" w:rsidRDefault="00A02C4B" w:rsidP="00D243DB">
      <w:r>
        <w:t>We</w:t>
      </w:r>
      <w:r w:rsidR="00D243DB">
        <w:t xml:space="preserve"> </w:t>
      </w:r>
      <w:r w:rsidR="003448EE">
        <w:t xml:space="preserve">approve the </w:t>
      </w:r>
      <w:r w:rsidR="00D243DB">
        <w:t>terms and conditions</w:t>
      </w:r>
      <w:r w:rsidR="003448EE">
        <w:t xml:space="preserve"> in AGN's revised access arrangement proposal</w:t>
      </w:r>
      <w:r w:rsidR="007C6B9F">
        <w:t xml:space="preserve"> </w:t>
      </w:r>
      <w:r w:rsidR="00482D12">
        <w:t>except for</w:t>
      </w:r>
      <w:r w:rsidR="007C6B9F">
        <w:t xml:space="preserve"> clause 35.5</w:t>
      </w:r>
      <w:r w:rsidR="0056337D">
        <w:t xml:space="preserve"> (which concerns liability for breach caused by failure to access premises)</w:t>
      </w:r>
      <w:r w:rsidR="00D243DB">
        <w:t>.</w:t>
      </w:r>
      <w:r w:rsidR="003448EE">
        <w:t xml:space="preserve">  </w:t>
      </w:r>
    </w:p>
    <w:p w:rsidR="008952FC" w:rsidRPr="0015429A" w:rsidRDefault="008952FC" w:rsidP="0015429A">
      <w:pPr>
        <w:pStyle w:val="Heading3"/>
        <w:rPr>
          <w:rStyle w:val="AERbody"/>
          <w:color w:val="70635A" w:themeColor="text2"/>
          <w:sz w:val="28"/>
        </w:rPr>
      </w:pPr>
      <w:bookmarkStart w:id="18" w:name="_Toc425928508"/>
      <w:bookmarkStart w:id="19" w:name="_Toc436055058"/>
      <w:bookmarkStart w:id="20" w:name="_Toc451527987"/>
      <w:r w:rsidRPr="0015429A">
        <w:rPr>
          <w:rStyle w:val="AERbody"/>
          <w:color w:val="70635A" w:themeColor="text2"/>
          <w:sz w:val="28"/>
        </w:rPr>
        <w:t xml:space="preserve">AGN's </w:t>
      </w:r>
      <w:r w:rsidR="00D243DB" w:rsidRPr="0015429A">
        <w:rPr>
          <w:rStyle w:val="AERbody"/>
          <w:color w:val="70635A" w:themeColor="text2"/>
          <w:sz w:val="28"/>
        </w:rPr>
        <w:t xml:space="preserve">revised </w:t>
      </w:r>
      <w:r w:rsidRPr="0015429A">
        <w:rPr>
          <w:rStyle w:val="AERbody"/>
          <w:color w:val="70635A" w:themeColor="text2"/>
          <w:sz w:val="28"/>
        </w:rPr>
        <w:t>proposal</w:t>
      </w:r>
      <w:bookmarkEnd w:id="18"/>
      <w:bookmarkEnd w:id="19"/>
      <w:bookmarkEnd w:id="20"/>
    </w:p>
    <w:p w:rsidR="00A40206" w:rsidRDefault="00A40206" w:rsidP="008B28C3">
      <w:pPr>
        <w:rPr>
          <w:rStyle w:val="AERbody"/>
        </w:rPr>
      </w:pPr>
      <w:r>
        <w:rPr>
          <w:rStyle w:val="AERbody"/>
        </w:rPr>
        <w:t xml:space="preserve">Our draft decision required eight revisions to the terms and conditions in </w:t>
      </w:r>
      <w:r w:rsidR="008B28C3" w:rsidRPr="00F96BD1">
        <w:rPr>
          <w:rStyle w:val="AERbody"/>
        </w:rPr>
        <w:t xml:space="preserve">AGN's </w:t>
      </w:r>
      <w:r>
        <w:rPr>
          <w:rStyle w:val="AERbody"/>
        </w:rPr>
        <w:t>access arrangement proposal. AGN accepted five of the required amendments and made further submissions on the remaining three issues, namely:</w:t>
      </w:r>
    </w:p>
    <w:p w:rsidR="00A40206" w:rsidRDefault="00CA6E1F" w:rsidP="00A40206">
      <w:pPr>
        <w:pStyle w:val="AERbulletlistfirststyle"/>
        <w:rPr>
          <w:rStyle w:val="AERbody"/>
        </w:rPr>
      </w:pPr>
      <w:r>
        <w:rPr>
          <w:rStyle w:val="AERbody"/>
        </w:rPr>
        <w:t xml:space="preserve">Clause 35.5 - </w:t>
      </w:r>
      <w:r w:rsidR="00A40206">
        <w:rPr>
          <w:rStyle w:val="AERbody"/>
        </w:rPr>
        <w:t>liability for breaches caused by failure to access premises</w:t>
      </w:r>
    </w:p>
    <w:p w:rsidR="00A40206" w:rsidRDefault="00CA6E1F" w:rsidP="00A40206">
      <w:pPr>
        <w:pStyle w:val="AERbulletlistfirststyle"/>
        <w:rPr>
          <w:rStyle w:val="AERbody"/>
        </w:rPr>
      </w:pPr>
      <w:r>
        <w:rPr>
          <w:rStyle w:val="AERbody"/>
        </w:rPr>
        <w:t xml:space="preserve">Clause </w:t>
      </w:r>
      <w:r w:rsidR="00A8193E">
        <w:rPr>
          <w:rStyle w:val="AERbody"/>
        </w:rPr>
        <w:t xml:space="preserve">20.2 - </w:t>
      </w:r>
      <w:r w:rsidR="00A40206">
        <w:rPr>
          <w:rStyle w:val="AERbody"/>
        </w:rPr>
        <w:t>recovery of charges where there is no shared customer,</w:t>
      </w:r>
      <w:r w:rsidR="00A40206" w:rsidRPr="00A40206">
        <w:rPr>
          <w:rStyle w:val="AERbody"/>
        </w:rPr>
        <w:t xml:space="preserve"> </w:t>
      </w:r>
      <w:r w:rsidR="00A40206">
        <w:rPr>
          <w:rStyle w:val="AERbody"/>
        </w:rPr>
        <w:t>and</w:t>
      </w:r>
    </w:p>
    <w:p w:rsidR="00A40206" w:rsidRDefault="00A8193E" w:rsidP="00A40206">
      <w:pPr>
        <w:pStyle w:val="AERbulletlistfirststyle"/>
        <w:rPr>
          <w:rStyle w:val="AERbody"/>
        </w:rPr>
      </w:pPr>
      <w:r>
        <w:rPr>
          <w:rStyle w:val="AERbody"/>
        </w:rPr>
        <w:t xml:space="preserve">Clause 15.1 - </w:t>
      </w:r>
      <w:r w:rsidR="00A40206">
        <w:rPr>
          <w:rStyle w:val="AERbody"/>
        </w:rPr>
        <w:t>possession and control of gas.</w:t>
      </w:r>
    </w:p>
    <w:p w:rsidR="00F96BD1" w:rsidRDefault="0093604B" w:rsidP="00DE4156">
      <w:pPr>
        <w:pStyle w:val="AERbulletlistfirststyle"/>
        <w:numPr>
          <w:ilvl w:val="0"/>
          <w:numId w:val="0"/>
        </w:numPr>
        <w:rPr>
          <w:rStyle w:val="AERbody"/>
        </w:rPr>
      </w:pPr>
      <w:r>
        <w:rPr>
          <w:rStyle w:val="AERbody"/>
        </w:rPr>
        <w:t xml:space="preserve">As discussed below we are not satisfied with AGN's response on the first of these issues, but we are satisfied </w:t>
      </w:r>
      <w:r w:rsidR="00D8012D">
        <w:rPr>
          <w:rStyle w:val="AERbody"/>
        </w:rPr>
        <w:t>on</w:t>
      </w:r>
      <w:r>
        <w:rPr>
          <w:rStyle w:val="AERbody"/>
        </w:rPr>
        <w:t xml:space="preserve"> the second and third. </w:t>
      </w:r>
      <w:r w:rsidR="0056337D">
        <w:rPr>
          <w:rStyle w:val="AERbody"/>
        </w:rPr>
        <w:t>The table below provides a</w:t>
      </w:r>
      <w:r w:rsidR="00E82A10">
        <w:rPr>
          <w:rStyle w:val="AERbody"/>
        </w:rPr>
        <w:t xml:space="preserve"> high level overview of AGN's response and our final decision on </w:t>
      </w:r>
      <w:r w:rsidR="00D8012D">
        <w:rPr>
          <w:rStyle w:val="AERbody"/>
        </w:rPr>
        <w:t>the amendments</w:t>
      </w:r>
      <w:r w:rsidR="0056337D">
        <w:rPr>
          <w:rStyle w:val="AERbody"/>
        </w:rPr>
        <w:t xml:space="preserve"> </w:t>
      </w:r>
      <w:r w:rsidR="00E82A10">
        <w:rPr>
          <w:rStyle w:val="AERbody"/>
        </w:rPr>
        <w:t>required in our draft decision</w:t>
      </w:r>
      <w:r w:rsidR="00DE4156">
        <w:rPr>
          <w:rStyle w:val="AERbody"/>
        </w:rPr>
        <w:t>.</w:t>
      </w:r>
    </w:p>
    <w:p w:rsidR="00CD5997" w:rsidRPr="007A732A" w:rsidRDefault="00CD5997" w:rsidP="00DE4156">
      <w:pPr>
        <w:pStyle w:val="AERbulletlistfirststyle"/>
        <w:numPr>
          <w:ilvl w:val="0"/>
          <w:numId w:val="0"/>
        </w:numPr>
        <w:rPr>
          <w:rStyle w:val="AERbody"/>
          <w:b/>
          <w:color w:val="0070C0"/>
        </w:rPr>
      </w:pPr>
      <w:r w:rsidRPr="007A732A">
        <w:rPr>
          <w:rStyle w:val="AERbody"/>
          <w:b/>
          <w:color w:val="0070C0"/>
        </w:rPr>
        <w:t xml:space="preserve">Table </w:t>
      </w:r>
      <w:proofErr w:type="gramStart"/>
      <w:r w:rsidRPr="007A732A">
        <w:rPr>
          <w:rStyle w:val="AERbody"/>
          <w:b/>
          <w:color w:val="0070C0"/>
        </w:rPr>
        <w:t>12.1</w:t>
      </w:r>
      <w:r w:rsidRPr="007A732A">
        <w:rPr>
          <w:rStyle w:val="AERbody"/>
          <w:b/>
          <w:color w:val="0070C0"/>
        </w:rPr>
        <w:tab/>
        <w:t>Overview –</w:t>
      </w:r>
      <w:proofErr w:type="gramEnd"/>
      <w:r w:rsidRPr="007A732A">
        <w:rPr>
          <w:rStyle w:val="AERbody"/>
          <w:b/>
          <w:color w:val="0070C0"/>
        </w:rPr>
        <w:t xml:space="preserve"> Final Decision on Terms and Conditions</w:t>
      </w:r>
    </w:p>
    <w:tbl>
      <w:tblPr>
        <w:tblStyle w:val="AERtable-numbers"/>
        <w:tblW w:w="0" w:type="auto"/>
        <w:tblLook w:val="04A0" w:firstRow="1" w:lastRow="0" w:firstColumn="1" w:lastColumn="0" w:noHBand="0" w:noVBand="1"/>
      </w:tblPr>
      <w:tblGrid>
        <w:gridCol w:w="2897"/>
        <w:gridCol w:w="2898"/>
        <w:gridCol w:w="2898"/>
      </w:tblGrid>
      <w:tr w:rsidR="00E82A10" w:rsidTr="007A73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E82A10" w:rsidRPr="007A732A" w:rsidRDefault="00E82A10" w:rsidP="00DE4156">
            <w:pPr>
              <w:pStyle w:val="AERbulletlistfirststyle"/>
              <w:numPr>
                <w:ilvl w:val="0"/>
                <w:numId w:val="0"/>
              </w:numPr>
              <w:rPr>
                <w:rStyle w:val="AERbody"/>
                <w:color w:val="FFFFFF" w:themeColor="background1"/>
              </w:rPr>
            </w:pPr>
            <w:r w:rsidRPr="007A732A">
              <w:rPr>
                <w:rStyle w:val="AERbody"/>
                <w:color w:val="FFFFFF" w:themeColor="background1"/>
              </w:rPr>
              <w:t>Draft decision</w:t>
            </w:r>
          </w:p>
        </w:tc>
        <w:tc>
          <w:tcPr>
            <w:tcW w:w="2898" w:type="dxa"/>
          </w:tcPr>
          <w:p w:rsidR="00E82A10" w:rsidRPr="007A732A" w:rsidRDefault="00E82A10" w:rsidP="00DE4156">
            <w:pPr>
              <w:pStyle w:val="AERbulletlistfirststyle"/>
              <w:numPr>
                <w:ilvl w:val="0"/>
                <w:numId w:val="0"/>
              </w:numPr>
              <w:cnfStyle w:val="100000000000" w:firstRow="1" w:lastRow="0" w:firstColumn="0" w:lastColumn="0" w:oddVBand="0" w:evenVBand="0" w:oddHBand="0" w:evenHBand="0" w:firstRowFirstColumn="0" w:firstRowLastColumn="0" w:lastRowFirstColumn="0" w:lastRowLastColumn="0"/>
              <w:rPr>
                <w:rStyle w:val="AERbody"/>
                <w:color w:val="FFFFFF" w:themeColor="background1"/>
              </w:rPr>
            </w:pPr>
            <w:r w:rsidRPr="007A732A">
              <w:rPr>
                <w:rStyle w:val="AERbody"/>
                <w:color w:val="FFFFFF" w:themeColor="background1"/>
              </w:rPr>
              <w:t>AGN response</w:t>
            </w:r>
          </w:p>
        </w:tc>
        <w:tc>
          <w:tcPr>
            <w:tcW w:w="2898" w:type="dxa"/>
          </w:tcPr>
          <w:p w:rsidR="00E82A10" w:rsidRPr="007A732A" w:rsidRDefault="00E82A10" w:rsidP="00DE4156">
            <w:pPr>
              <w:pStyle w:val="AERbulletlistfirststyle"/>
              <w:numPr>
                <w:ilvl w:val="0"/>
                <w:numId w:val="0"/>
              </w:numPr>
              <w:cnfStyle w:val="100000000000" w:firstRow="1" w:lastRow="0" w:firstColumn="0" w:lastColumn="0" w:oddVBand="0" w:evenVBand="0" w:oddHBand="0" w:evenHBand="0" w:firstRowFirstColumn="0" w:firstRowLastColumn="0" w:lastRowFirstColumn="0" w:lastRowLastColumn="0"/>
              <w:rPr>
                <w:rStyle w:val="AERbody"/>
                <w:color w:val="FFFFFF" w:themeColor="background1"/>
              </w:rPr>
            </w:pPr>
            <w:r w:rsidRPr="007A732A">
              <w:rPr>
                <w:rStyle w:val="AERbody"/>
                <w:color w:val="FFFFFF" w:themeColor="background1"/>
              </w:rPr>
              <w:t>Final decision</w:t>
            </w:r>
          </w:p>
        </w:tc>
      </w:tr>
      <w:tr w:rsidR="009005B9" w:rsidTr="007A732A">
        <w:tc>
          <w:tcPr>
            <w:cnfStyle w:val="001000000000" w:firstRow="0" w:lastRow="0" w:firstColumn="1" w:lastColumn="0" w:oddVBand="0" w:evenVBand="0" w:oddHBand="0" w:evenHBand="0" w:firstRowFirstColumn="0" w:firstRowLastColumn="0" w:lastRowFirstColumn="0" w:lastRowLastColumn="0"/>
            <w:tcW w:w="2897" w:type="dxa"/>
          </w:tcPr>
          <w:p w:rsidR="009005B9" w:rsidRDefault="009005B9" w:rsidP="00892232">
            <w:pPr>
              <w:pStyle w:val="AERbulletlistfirststyle"/>
              <w:numPr>
                <w:ilvl w:val="0"/>
                <w:numId w:val="0"/>
              </w:numPr>
              <w:rPr>
                <w:rStyle w:val="AERbody"/>
              </w:rPr>
            </w:pPr>
            <w:r>
              <w:rPr>
                <w:rStyle w:val="AERbody"/>
              </w:rPr>
              <w:t>Glossary - 'Claim'</w:t>
            </w:r>
          </w:p>
        </w:tc>
        <w:tc>
          <w:tcPr>
            <w:tcW w:w="2898" w:type="dxa"/>
          </w:tcPr>
          <w:p w:rsidR="009005B9" w:rsidRDefault="009005B9" w:rsidP="00892232">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rPr>
                <w:rStyle w:val="AERbody"/>
              </w:rPr>
            </w:pPr>
            <w:r>
              <w:rPr>
                <w:rStyle w:val="AERbody"/>
              </w:rPr>
              <w:t>Amended as required</w:t>
            </w:r>
          </w:p>
        </w:tc>
        <w:tc>
          <w:tcPr>
            <w:tcW w:w="2898" w:type="dxa"/>
          </w:tcPr>
          <w:p w:rsidR="009005B9" w:rsidRDefault="009005B9" w:rsidP="00892232">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rPr>
                <w:rStyle w:val="AERbody"/>
              </w:rPr>
            </w:pPr>
            <w:r>
              <w:rPr>
                <w:rStyle w:val="AERbody"/>
              </w:rPr>
              <w:t>Accept</w:t>
            </w:r>
          </w:p>
        </w:tc>
      </w:tr>
      <w:tr w:rsidR="00E82A10" w:rsidTr="00F130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E82A10" w:rsidRDefault="00E82A10" w:rsidP="00DE4156">
            <w:pPr>
              <w:pStyle w:val="AERbulletlistfirststyle"/>
              <w:numPr>
                <w:ilvl w:val="0"/>
                <w:numId w:val="0"/>
              </w:numPr>
              <w:rPr>
                <w:rStyle w:val="AERbody"/>
              </w:rPr>
            </w:pPr>
            <w:r>
              <w:rPr>
                <w:rStyle w:val="AERbody"/>
              </w:rPr>
              <w:t>Cl 3.3</w:t>
            </w:r>
            <w:r w:rsidR="00F130C5">
              <w:rPr>
                <w:rStyle w:val="FootnoteReference"/>
                <w:sz w:val="22"/>
              </w:rPr>
              <w:footnoteReference w:id="5"/>
            </w:r>
            <w:r>
              <w:rPr>
                <w:rStyle w:val="AERbody"/>
              </w:rPr>
              <w:t xml:space="preserve"> - Fixed component of haulage charge</w:t>
            </w:r>
          </w:p>
        </w:tc>
        <w:tc>
          <w:tcPr>
            <w:tcW w:w="2898" w:type="dxa"/>
          </w:tcPr>
          <w:p w:rsidR="00E82A10" w:rsidRDefault="00E82A10" w:rsidP="00DE4156">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rPr>
                <w:rStyle w:val="AERbody"/>
              </w:rPr>
            </w:pPr>
            <w:r>
              <w:rPr>
                <w:rStyle w:val="AERbody"/>
              </w:rPr>
              <w:t>Amended as required</w:t>
            </w:r>
          </w:p>
        </w:tc>
        <w:tc>
          <w:tcPr>
            <w:tcW w:w="2898" w:type="dxa"/>
          </w:tcPr>
          <w:p w:rsidR="00E82A10" w:rsidRDefault="00E82A10" w:rsidP="00DE4156">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rPr>
                <w:rStyle w:val="AERbody"/>
              </w:rPr>
            </w:pPr>
            <w:r>
              <w:rPr>
                <w:rStyle w:val="AERbody"/>
              </w:rPr>
              <w:t>Accept</w:t>
            </w:r>
          </w:p>
        </w:tc>
      </w:tr>
      <w:tr w:rsidR="00E82A10" w:rsidTr="007A732A">
        <w:tc>
          <w:tcPr>
            <w:cnfStyle w:val="001000000000" w:firstRow="0" w:lastRow="0" w:firstColumn="1" w:lastColumn="0" w:oddVBand="0" w:evenVBand="0" w:oddHBand="0" w:evenHBand="0" w:firstRowFirstColumn="0" w:firstRowLastColumn="0" w:lastRowFirstColumn="0" w:lastRowLastColumn="0"/>
            <w:tcW w:w="2897" w:type="dxa"/>
          </w:tcPr>
          <w:p w:rsidR="00E82A10" w:rsidRDefault="00E82A10" w:rsidP="00DE4156">
            <w:pPr>
              <w:pStyle w:val="AERbulletlistfirststyle"/>
              <w:numPr>
                <w:ilvl w:val="0"/>
                <w:numId w:val="0"/>
              </w:numPr>
              <w:rPr>
                <w:rStyle w:val="AERbody"/>
              </w:rPr>
            </w:pPr>
            <w:r>
              <w:rPr>
                <w:rStyle w:val="AERbody"/>
              </w:rPr>
              <w:t>Cl 20.2 - Liability for charges</w:t>
            </w:r>
          </w:p>
        </w:tc>
        <w:tc>
          <w:tcPr>
            <w:tcW w:w="2898" w:type="dxa"/>
          </w:tcPr>
          <w:p w:rsidR="00E82A10" w:rsidRDefault="0022236B" w:rsidP="0022236B">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rPr>
                <w:rStyle w:val="AERbody"/>
              </w:rPr>
            </w:pPr>
            <w:r>
              <w:rPr>
                <w:rStyle w:val="AERbody"/>
              </w:rPr>
              <w:t xml:space="preserve">Required amendments made and further </w:t>
            </w:r>
            <w:r w:rsidR="007C6B9F">
              <w:rPr>
                <w:rStyle w:val="AERbody"/>
              </w:rPr>
              <w:t>provisions</w:t>
            </w:r>
            <w:r>
              <w:rPr>
                <w:rStyle w:val="AERbody"/>
              </w:rPr>
              <w:t xml:space="preserve"> added</w:t>
            </w:r>
            <w:r w:rsidR="007C6B9F">
              <w:rPr>
                <w:rStyle w:val="AERbody"/>
              </w:rPr>
              <w:t xml:space="preserve"> </w:t>
            </w:r>
          </w:p>
        </w:tc>
        <w:tc>
          <w:tcPr>
            <w:tcW w:w="2898" w:type="dxa"/>
          </w:tcPr>
          <w:p w:rsidR="00E82A10" w:rsidRDefault="007C6B9F" w:rsidP="00DE4156">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rPr>
                <w:rStyle w:val="AERbody"/>
              </w:rPr>
            </w:pPr>
            <w:r>
              <w:rPr>
                <w:rStyle w:val="AERbody"/>
              </w:rPr>
              <w:t>Accept</w:t>
            </w:r>
          </w:p>
        </w:tc>
      </w:tr>
      <w:tr w:rsidR="00E82A10" w:rsidTr="007A7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E82A10" w:rsidRDefault="007C6B9F" w:rsidP="007C6B9F">
            <w:pPr>
              <w:pStyle w:val="AERbulletlistfirststyle"/>
              <w:numPr>
                <w:ilvl w:val="0"/>
                <w:numId w:val="0"/>
              </w:numPr>
              <w:rPr>
                <w:rStyle w:val="AERbody"/>
              </w:rPr>
            </w:pPr>
            <w:r>
              <w:rPr>
                <w:rStyle w:val="AERbody"/>
              </w:rPr>
              <w:t>Cl 35.4 - Obligations re access to premises</w:t>
            </w:r>
          </w:p>
        </w:tc>
        <w:tc>
          <w:tcPr>
            <w:tcW w:w="2898" w:type="dxa"/>
          </w:tcPr>
          <w:p w:rsidR="00E82A10" w:rsidRDefault="007C6B9F" w:rsidP="00DE4156">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rPr>
                <w:rStyle w:val="AERbody"/>
              </w:rPr>
            </w:pPr>
            <w:r>
              <w:rPr>
                <w:rStyle w:val="AERbody"/>
              </w:rPr>
              <w:t>Amended as required</w:t>
            </w:r>
          </w:p>
        </w:tc>
        <w:tc>
          <w:tcPr>
            <w:tcW w:w="2898" w:type="dxa"/>
          </w:tcPr>
          <w:p w:rsidR="00E82A10" w:rsidRDefault="007C6B9F" w:rsidP="00DE4156">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rPr>
                <w:rStyle w:val="AERbody"/>
              </w:rPr>
            </w:pPr>
            <w:r>
              <w:rPr>
                <w:rStyle w:val="AERbody"/>
              </w:rPr>
              <w:t>Accept</w:t>
            </w:r>
          </w:p>
        </w:tc>
      </w:tr>
      <w:tr w:rsidR="00E82A10" w:rsidTr="007A732A">
        <w:tc>
          <w:tcPr>
            <w:cnfStyle w:val="001000000000" w:firstRow="0" w:lastRow="0" w:firstColumn="1" w:lastColumn="0" w:oddVBand="0" w:evenVBand="0" w:oddHBand="0" w:evenHBand="0" w:firstRowFirstColumn="0" w:firstRowLastColumn="0" w:lastRowFirstColumn="0" w:lastRowLastColumn="0"/>
            <w:tcW w:w="2897" w:type="dxa"/>
          </w:tcPr>
          <w:p w:rsidR="00E82A10" w:rsidRDefault="00F130C5" w:rsidP="007C6B9F">
            <w:pPr>
              <w:pStyle w:val="AERbulletlistfirststyle"/>
              <w:numPr>
                <w:ilvl w:val="0"/>
                <w:numId w:val="0"/>
              </w:numPr>
              <w:rPr>
                <w:rStyle w:val="AERbody"/>
              </w:rPr>
            </w:pPr>
            <w:r>
              <w:rPr>
                <w:rStyle w:val="AERbody"/>
              </w:rPr>
              <w:t xml:space="preserve">Cl </w:t>
            </w:r>
            <w:r w:rsidR="007C6B9F">
              <w:rPr>
                <w:rStyle w:val="AERbody"/>
              </w:rPr>
              <w:t>35.5 - Liability re access to premises</w:t>
            </w:r>
          </w:p>
        </w:tc>
        <w:tc>
          <w:tcPr>
            <w:tcW w:w="2898" w:type="dxa"/>
          </w:tcPr>
          <w:p w:rsidR="00E82A10" w:rsidRDefault="007C6B9F" w:rsidP="00DE4156">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rPr>
                <w:rStyle w:val="AERbody"/>
              </w:rPr>
            </w:pPr>
            <w:r>
              <w:rPr>
                <w:rStyle w:val="AERbody"/>
              </w:rPr>
              <w:t>Not amended</w:t>
            </w:r>
          </w:p>
        </w:tc>
        <w:tc>
          <w:tcPr>
            <w:tcW w:w="2898" w:type="dxa"/>
          </w:tcPr>
          <w:p w:rsidR="00E82A10" w:rsidRDefault="00482D12" w:rsidP="00DE4156">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rPr>
                <w:rStyle w:val="AERbody"/>
              </w:rPr>
            </w:pPr>
            <w:r>
              <w:rPr>
                <w:rStyle w:val="AERbody"/>
              </w:rPr>
              <w:t>Not accept</w:t>
            </w:r>
          </w:p>
        </w:tc>
      </w:tr>
      <w:tr w:rsidR="00E82A10" w:rsidTr="007A73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E82A10" w:rsidRDefault="007C6B9F" w:rsidP="00DE4156">
            <w:pPr>
              <w:pStyle w:val="AERbulletlistfirststyle"/>
              <w:numPr>
                <w:ilvl w:val="0"/>
                <w:numId w:val="0"/>
              </w:numPr>
              <w:rPr>
                <w:rStyle w:val="AERbody"/>
              </w:rPr>
            </w:pPr>
            <w:r>
              <w:rPr>
                <w:rStyle w:val="AERbody"/>
              </w:rPr>
              <w:t xml:space="preserve">Cl 28.2 &amp; </w:t>
            </w:r>
            <w:r w:rsidR="008E1995">
              <w:rPr>
                <w:rStyle w:val="AERbody"/>
              </w:rPr>
              <w:t>28.</w:t>
            </w:r>
            <w:r>
              <w:rPr>
                <w:rStyle w:val="AERbody"/>
              </w:rPr>
              <w:t>4 - Termination</w:t>
            </w:r>
          </w:p>
        </w:tc>
        <w:tc>
          <w:tcPr>
            <w:tcW w:w="2898" w:type="dxa"/>
          </w:tcPr>
          <w:p w:rsidR="00E82A10" w:rsidRDefault="007C6B9F" w:rsidP="00DE4156">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rPr>
                <w:rStyle w:val="AERbody"/>
              </w:rPr>
            </w:pPr>
            <w:r>
              <w:rPr>
                <w:rStyle w:val="AERbody"/>
              </w:rPr>
              <w:t xml:space="preserve">Amended as required </w:t>
            </w:r>
          </w:p>
        </w:tc>
        <w:tc>
          <w:tcPr>
            <w:tcW w:w="2898" w:type="dxa"/>
          </w:tcPr>
          <w:p w:rsidR="00E82A10" w:rsidRDefault="007C6B9F" w:rsidP="00DE4156">
            <w:pPr>
              <w:pStyle w:val="AERbulletlistfirststyle"/>
              <w:numPr>
                <w:ilvl w:val="0"/>
                <w:numId w:val="0"/>
              </w:numPr>
              <w:cnfStyle w:val="000000010000" w:firstRow="0" w:lastRow="0" w:firstColumn="0" w:lastColumn="0" w:oddVBand="0" w:evenVBand="0" w:oddHBand="0" w:evenHBand="1" w:firstRowFirstColumn="0" w:firstRowLastColumn="0" w:lastRowFirstColumn="0" w:lastRowLastColumn="0"/>
              <w:rPr>
                <w:rStyle w:val="AERbody"/>
              </w:rPr>
            </w:pPr>
            <w:r>
              <w:rPr>
                <w:rStyle w:val="AERbody"/>
              </w:rPr>
              <w:t>Accept</w:t>
            </w:r>
          </w:p>
        </w:tc>
      </w:tr>
      <w:tr w:rsidR="00E82A10" w:rsidTr="007A732A">
        <w:tc>
          <w:tcPr>
            <w:cnfStyle w:val="001000000000" w:firstRow="0" w:lastRow="0" w:firstColumn="1" w:lastColumn="0" w:oddVBand="0" w:evenVBand="0" w:oddHBand="0" w:evenHBand="0" w:firstRowFirstColumn="0" w:firstRowLastColumn="0" w:lastRowFirstColumn="0" w:lastRowLastColumn="0"/>
            <w:tcW w:w="2897" w:type="dxa"/>
          </w:tcPr>
          <w:p w:rsidR="00E82A10" w:rsidRDefault="007C6B9F" w:rsidP="00DE4156">
            <w:pPr>
              <w:pStyle w:val="AERbulletlistfirststyle"/>
              <w:numPr>
                <w:ilvl w:val="0"/>
                <w:numId w:val="0"/>
              </w:numPr>
              <w:rPr>
                <w:rStyle w:val="AERbody"/>
              </w:rPr>
            </w:pPr>
            <w:r>
              <w:rPr>
                <w:rStyle w:val="AERbody"/>
              </w:rPr>
              <w:t>Cl 15.1 - Possession and control of gas</w:t>
            </w:r>
          </w:p>
        </w:tc>
        <w:tc>
          <w:tcPr>
            <w:tcW w:w="2898" w:type="dxa"/>
          </w:tcPr>
          <w:p w:rsidR="00E82A10" w:rsidRDefault="007C6B9F" w:rsidP="007C6B9F">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rPr>
                <w:rStyle w:val="AERbody"/>
              </w:rPr>
            </w:pPr>
            <w:r>
              <w:rPr>
                <w:rStyle w:val="AERbody"/>
              </w:rPr>
              <w:t>Not amended</w:t>
            </w:r>
          </w:p>
        </w:tc>
        <w:tc>
          <w:tcPr>
            <w:tcW w:w="2898" w:type="dxa"/>
          </w:tcPr>
          <w:p w:rsidR="00E82A10" w:rsidRDefault="007C6B9F" w:rsidP="00DE4156">
            <w:pPr>
              <w:pStyle w:val="AERbulletlistfirststyle"/>
              <w:numPr>
                <w:ilvl w:val="0"/>
                <w:numId w:val="0"/>
              </w:numPr>
              <w:cnfStyle w:val="000000000000" w:firstRow="0" w:lastRow="0" w:firstColumn="0" w:lastColumn="0" w:oddVBand="0" w:evenVBand="0" w:oddHBand="0" w:evenHBand="0" w:firstRowFirstColumn="0" w:firstRowLastColumn="0" w:lastRowFirstColumn="0" w:lastRowLastColumn="0"/>
              <w:rPr>
                <w:rStyle w:val="AERbody"/>
              </w:rPr>
            </w:pPr>
            <w:r>
              <w:rPr>
                <w:rStyle w:val="AERbody"/>
              </w:rPr>
              <w:t>Accept</w:t>
            </w:r>
          </w:p>
        </w:tc>
      </w:tr>
    </w:tbl>
    <w:p w:rsidR="00E82A10" w:rsidRPr="00F96BD1" w:rsidRDefault="00E82A10" w:rsidP="00DE4156">
      <w:pPr>
        <w:pStyle w:val="AERbulletlistfirststyle"/>
        <w:numPr>
          <w:ilvl w:val="0"/>
          <w:numId w:val="0"/>
        </w:numPr>
        <w:rPr>
          <w:rStyle w:val="AERbody"/>
        </w:rPr>
      </w:pPr>
    </w:p>
    <w:p w:rsidR="008952FC" w:rsidRPr="008952FC" w:rsidRDefault="008952FC" w:rsidP="008952FC">
      <w:pPr>
        <w:pStyle w:val="Heading3"/>
      </w:pPr>
      <w:bookmarkStart w:id="21" w:name="_Toc425928509"/>
      <w:bookmarkStart w:id="22" w:name="_Ref430614854"/>
      <w:bookmarkStart w:id="23" w:name="_Toc436055059"/>
      <w:bookmarkStart w:id="24" w:name="_Toc451527988"/>
      <w:r w:rsidRPr="008952FC">
        <w:t>AER’s assessment approach</w:t>
      </w:r>
      <w:bookmarkEnd w:id="21"/>
      <w:bookmarkEnd w:id="22"/>
      <w:bookmarkEnd w:id="23"/>
      <w:bookmarkEnd w:id="24"/>
    </w:p>
    <w:p w:rsidR="00473F1E" w:rsidRDefault="00473F1E" w:rsidP="00473F1E">
      <w:r>
        <w:t>The NGR requires us to assess the terms and conditions in the proposed access arrangement for consistency with the NGO and the relevant procedures.</w:t>
      </w:r>
      <w:r>
        <w:rPr>
          <w:rStyle w:val="FootnoteReference"/>
        </w:rPr>
        <w:footnoteReference w:id="6"/>
      </w:r>
      <w:r>
        <w:t xml:space="preserve"> </w:t>
      </w:r>
      <w:proofErr w:type="gramStart"/>
      <w:r>
        <w:t>The NGO states that the objective of the NGL is to promote efficient investment in</w:t>
      </w:r>
      <w:r w:rsidR="008E1995">
        <w:t>,</w:t>
      </w:r>
      <w:r>
        <w:t xml:space="preserve"> and </w:t>
      </w:r>
      <w:r w:rsidR="008E1995">
        <w:t xml:space="preserve">efficient </w:t>
      </w:r>
      <w:r>
        <w:t>operation and use of</w:t>
      </w:r>
      <w:r w:rsidR="008E1995">
        <w:t>,</w:t>
      </w:r>
      <w:r>
        <w:t xml:space="preserve"> natural gas services for the long term interest</w:t>
      </w:r>
      <w:r w:rsidR="00D25F2C">
        <w:t>s</w:t>
      </w:r>
      <w:r>
        <w:t xml:space="preserve"> of consumers</w:t>
      </w:r>
      <w:r w:rsidR="008E1995">
        <w:t xml:space="preserve"> of natural gas with respect to price, quality, safety, reliability and security of supply of natural gas</w:t>
      </w:r>
      <w:r>
        <w:t>.</w:t>
      </w:r>
      <w:proofErr w:type="gramEnd"/>
      <w:r>
        <w:t xml:space="preserve"> The relevant procedures include the retail market procedures applying in South Australia.</w:t>
      </w:r>
      <w:r>
        <w:rPr>
          <w:rStyle w:val="FootnoteReference"/>
        </w:rPr>
        <w:footnoteReference w:id="7"/>
      </w:r>
    </w:p>
    <w:p w:rsidR="008952FC" w:rsidRDefault="00473F1E" w:rsidP="008952FC">
      <w:r>
        <w:t>The NGR gives us discretion to withhold our approval of the non-price terms and conditions proposed in an access arrangement if we consider a preferable alternative exists which complies with the NGL and is consiste</w:t>
      </w:r>
      <w:r w:rsidR="00037C0C">
        <w:t>nt with the applicable criteria</w:t>
      </w:r>
      <w:r w:rsidR="008952FC" w:rsidRPr="008952FC">
        <w:t>.</w:t>
      </w:r>
      <w:r w:rsidR="008952FC" w:rsidRPr="008952FC">
        <w:rPr>
          <w:rStyle w:val="FootnoteReference"/>
        </w:rPr>
        <w:footnoteReference w:id="8"/>
      </w:r>
    </w:p>
    <w:p w:rsidR="00F360CE" w:rsidRPr="008952FC" w:rsidRDefault="00037C0C" w:rsidP="008952FC">
      <w:r>
        <w:t xml:space="preserve">Our draft </w:t>
      </w:r>
      <w:r w:rsidR="00F360CE">
        <w:t xml:space="preserve">decision </w:t>
      </w:r>
      <w:r>
        <w:t xml:space="preserve">details </w:t>
      </w:r>
      <w:r w:rsidR="00F360CE">
        <w:t xml:space="preserve">our approach to </w:t>
      </w:r>
      <w:r>
        <w:t xml:space="preserve">assessing </w:t>
      </w:r>
      <w:r w:rsidR="00F360CE">
        <w:t>AGN's terms and conditions.</w:t>
      </w:r>
      <w:r w:rsidR="00F360CE">
        <w:rPr>
          <w:rStyle w:val="FootnoteReference"/>
        </w:rPr>
        <w:footnoteReference w:id="9"/>
      </w:r>
      <w:r w:rsidR="00F360CE">
        <w:t xml:space="preserve"> We have used the same approach in this final decision.</w:t>
      </w:r>
    </w:p>
    <w:p w:rsidR="008952FC" w:rsidRDefault="008952FC" w:rsidP="008952FC">
      <w:pPr>
        <w:pStyle w:val="Heading3"/>
      </w:pPr>
      <w:bookmarkStart w:id="25" w:name="_Toc425928511"/>
      <w:bookmarkStart w:id="26" w:name="_Toc436055060"/>
      <w:bookmarkStart w:id="27" w:name="_Toc451527989"/>
      <w:r w:rsidRPr="008952FC">
        <w:t xml:space="preserve">Reasons for </w:t>
      </w:r>
      <w:r w:rsidR="001D5DCD">
        <w:t>final</w:t>
      </w:r>
      <w:r w:rsidRPr="008952FC">
        <w:t xml:space="preserve"> decision</w:t>
      </w:r>
      <w:bookmarkEnd w:id="25"/>
      <w:bookmarkEnd w:id="26"/>
      <w:bookmarkEnd w:id="27"/>
      <w:r w:rsidRPr="008952FC">
        <w:t xml:space="preserve"> </w:t>
      </w:r>
    </w:p>
    <w:p w:rsidR="0022236B" w:rsidRDefault="00380CB5" w:rsidP="00D96DAE">
      <w:r>
        <w:t>AGN incorporated our revisions to the following clauses in its revised access arrangement proposal:</w:t>
      </w:r>
      <w:r w:rsidR="00D96DAE">
        <w:t xml:space="preserve"> </w:t>
      </w:r>
    </w:p>
    <w:p w:rsidR="0022236B" w:rsidRDefault="0022236B" w:rsidP="00381C9B">
      <w:pPr>
        <w:pStyle w:val="AERbulletlistfirststyle"/>
      </w:pPr>
      <w:r>
        <w:t>Clauses 28.2 and</w:t>
      </w:r>
      <w:r w:rsidR="00380CB5">
        <w:t xml:space="preserve"> </w:t>
      </w:r>
      <w:r w:rsidR="008E1995">
        <w:t>28.</w:t>
      </w:r>
      <w:r w:rsidR="00380CB5">
        <w:t>4 - no termination for dispute about charges, and</w:t>
      </w:r>
    </w:p>
    <w:p w:rsidR="0022236B" w:rsidRDefault="0022236B" w:rsidP="00381C9B">
      <w:pPr>
        <w:pStyle w:val="AERbulletlistfirststyle"/>
      </w:pPr>
      <w:r>
        <w:t>Glossary</w:t>
      </w:r>
      <w:r w:rsidR="00380CB5">
        <w:t xml:space="preserve"> - add definition of 'claim'.</w:t>
      </w:r>
    </w:p>
    <w:p w:rsidR="00E41AAE" w:rsidRDefault="00E41AAE" w:rsidP="0080609E">
      <w:r>
        <w:t>We received no submissions on these issues, and for the reasons set out in our draft decision we maintain our decision to approve these amendments in this final decision.</w:t>
      </w:r>
    </w:p>
    <w:p w:rsidR="00E41AAE" w:rsidRDefault="00C74C06" w:rsidP="0080609E">
      <w:r>
        <w:t>The following paragraphs set out our reasons on the</w:t>
      </w:r>
      <w:r w:rsidR="00380CB5">
        <w:t xml:space="preserve"> remaining issues</w:t>
      </w:r>
      <w:r>
        <w:t>.</w:t>
      </w:r>
    </w:p>
    <w:p w:rsidR="0068328D" w:rsidRDefault="0068328D" w:rsidP="0068328D">
      <w:pPr>
        <w:pStyle w:val="HeadingBoldItalic"/>
      </w:pPr>
      <w:r>
        <w:t>Access to premises</w:t>
      </w:r>
    </w:p>
    <w:p w:rsidR="00380CB5" w:rsidRDefault="00380CB5" w:rsidP="0068328D">
      <w:pPr>
        <w:rPr>
          <w:rStyle w:val="AERbody"/>
        </w:rPr>
      </w:pPr>
      <w:r>
        <w:rPr>
          <w:rStyle w:val="AERbody"/>
        </w:rPr>
        <w:t xml:space="preserve">Two amendments </w:t>
      </w:r>
      <w:r w:rsidR="00381C9B">
        <w:rPr>
          <w:rStyle w:val="AERbody"/>
        </w:rPr>
        <w:t xml:space="preserve">required </w:t>
      </w:r>
      <w:r w:rsidR="001101DC">
        <w:rPr>
          <w:rStyle w:val="AERbody"/>
        </w:rPr>
        <w:t>by</w:t>
      </w:r>
      <w:r w:rsidR="00381C9B">
        <w:rPr>
          <w:rStyle w:val="AERbody"/>
        </w:rPr>
        <w:t xml:space="preserve"> our draft decision </w:t>
      </w:r>
      <w:r>
        <w:rPr>
          <w:rStyle w:val="AERbody"/>
        </w:rPr>
        <w:t>concerned access by AGN to the premises of a shared customer:</w:t>
      </w:r>
    </w:p>
    <w:p w:rsidR="00380CB5" w:rsidRDefault="00380CB5" w:rsidP="00381C9B">
      <w:pPr>
        <w:pStyle w:val="AERbulletlistfirststyle"/>
        <w:rPr>
          <w:rStyle w:val="AERbody"/>
        </w:rPr>
      </w:pPr>
      <w:r>
        <w:rPr>
          <w:rStyle w:val="AERbody"/>
        </w:rPr>
        <w:t>Clause 35.4 - user to give reasonable assistance to ensure AGN access, and</w:t>
      </w:r>
    </w:p>
    <w:p w:rsidR="00380CB5" w:rsidRDefault="00380CB5" w:rsidP="00381C9B">
      <w:pPr>
        <w:pStyle w:val="AERbulletlistfirststyle"/>
        <w:rPr>
          <w:rStyle w:val="AERbody"/>
        </w:rPr>
      </w:pPr>
      <w:r>
        <w:rPr>
          <w:rStyle w:val="AERbody"/>
        </w:rPr>
        <w:t>Clause 35.5 - AGN liability for failure to perform agreement due to failure to access premises despite reasonable endeavours.</w:t>
      </w:r>
    </w:p>
    <w:p w:rsidR="0068328D" w:rsidRDefault="0068328D" w:rsidP="0068328D">
      <w:pPr>
        <w:rPr>
          <w:rStyle w:val="AERbody"/>
        </w:rPr>
      </w:pPr>
      <w:r>
        <w:rPr>
          <w:rStyle w:val="AERbody"/>
        </w:rPr>
        <w:t xml:space="preserve">AGN's revised </w:t>
      </w:r>
      <w:r w:rsidR="00F50956">
        <w:rPr>
          <w:rStyle w:val="AERbody"/>
        </w:rPr>
        <w:t>proposal</w:t>
      </w:r>
      <w:r>
        <w:rPr>
          <w:rStyle w:val="AERbody"/>
        </w:rPr>
        <w:t xml:space="preserve"> incorporated </w:t>
      </w:r>
      <w:r w:rsidR="00811EE2">
        <w:rPr>
          <w:rStyle w:val="AERbody"/>
        </w:rPr>
        <w:t xml:space="preserve">the </w:t>
      </w:r>
      <w:r>
        <w:rPr>
          <w:rStyle w:val="AERbody"/>
        </w:rPr>
        <w:t>required amendment to sub-clause 35.4.</w:t>
      </w:r>
      <w:r w:rsidR="00F50956">
        <w:rPr>
          <w:rStyle w:val="AERbody"/>
        </w:rPr>
        <w:t xml:space="preserve"> We did not receive any submissions on this amendment, and for the reasons set out in our draft decision we maintain our decision to approve the amended clause 35.4 in this final decision.</w:t>
      </w:r>
    </w:p>
    <w:p w:rsidR="00C74C06" w:rsidRDefault="00811EE2" w:rsidP="0068328D">
      <w:pPr>
        <w:rPr>
          <w:rStyle w:val="AERbody"/>
        </w:rPr>
      </w:pPr>
      <w:r>
        <w:rPr>
          <w:rStyle w:val="AERbody"/>
        </w:rPr>
        <w:t xml:space="preserve">The </w:t>
      </w:r>
      <w:r w:rsidR="0068328D">
        <w:rPr>
          <w:rStyle w:val="AERbody"/>
        </w:rPr>
        <w:t xml:space="preserve">draft decision required AGN to delete clause 35.5, which </w:t>
      </w:r>
      <w:r w:rsidR="00C74C06">
        <w:rPr>
          <w:rStyle w:val="AERbody"/>
        </w:rPr>
        <w:t>provides in part:</w:t>
      </w:r>
    </w:p>
    <w:p w:rsidR="00C74C06" w:rsidRDefault="00C74C06" w:rsidP="00EF0B95">
      <w:pPr>
        <w:pStyle w:val="AERquote"/>
        <w:rPr>
          <w:rStyle w:val="AERbody"/>
        </w:rPr>
      </w:pPr>
      <w:r>
        <w:rPr>
          <w:rStyle w:val="AERbody"/>
        </w:rPr>
        <w:t>AGN will have no liability to the Network User for any failure to perform the Agreement to the extent that AGN is unable to perform the Agreement because it could not obtain safe, reasonable and unhindered access to any premises or place at the time or times required, after exercising its reasonable endeavours to do so […]</w:t>
      </w:r>
      <w:r w:rsidR="0068328D">
        <w:rPr>
          <w:rStyle w:val="AERbody"/>
        </w:rPr>
        <w:t xml:space="preserve"> </w:t>
      </w:r>
    </w:p>
    <w:p w:rsidR="002C262E" w:rsidRDefault="00811EE2" w:rsidP="0068328D">
      <w:pPr>
        <w:rPr>
          <w:rStyle w:val="AERbody"/>
        </w:rPr>
      </w:pPr>
      <w:r>
        <w:rPr>
          <w:rStyle w:val="AERbody"/>
        </w:rPr>
        <w:t>The</w:t>
      </w:r>
      <w:r w:rsidR="002C262E">
        <w:rPr>
          <w:rStyle w:val="AERbody"/>
        </w:rPr>
        <w:t xml:space="preserve"> draft decision</w:t>
      </w:r>
      <w:r w:rsidR="00C21F5A">
        <w:rPr>
          <w:rStyle w:val="AERbody"/>
        </w:rPr>
        <w:t xml:space="preserve"> expressed our view that </w:t>
      </w:r>
      <w:r w:rsidR="002A0DD0">
        <w:rPr>
          <w:rStyle w:val="AERbody"/>
        </w:rPr>
        <w:t xml:space="preserve">AGN should not be </w:t>
      </w:r>
      <w:r w:rsidR="001101DC">
        <w:rPr>
          <w:rStyle w:val="AERbody"/>
        </w:rPr>
        <w:t xml:space="preserve">completely </w:t>
      </w:r>
      <w:r>
        <w:rPr>
          <w:rStyle w:val="AERbody"/>
        </w:rPr>
        <w:t>relieved</w:t>
      </w:r>
      <w:r w:rsidR="002A0DD0">
        <w:rPr>
          <w:rStyle w:val="AERbody"/>
        </w:rPr>
        <w:t xml:space="preserve"> of responsibility where it is unable to gain access to a shared customer</w:t>
      </w:r>
      <w:r w:rsidR="00623FD6">
        <w:rPr>
          <w:rStyle w:val="AERbody"/>
        </w:rPr>
        <w:t>'</w:t>
      </w:r>
      <w:r w:rsidR="002A0DD0">
        <w:rPr>
          <w:rStyle w:val="AERbody"/>
        </w:rPr>
        <w:t>s premises since, under the NECF, both AGN and users have a direct relationship with the shared customers.</w:t>
      </w:r>
      <w:r w:rsidR="00D652A9">
        <w:rPr>
          <w:rStyle w:val="FootnoteReference"/>
        </w:rPr>
        <w:footnoteReference w:id="10"/>
      </w:r>
      <w:r w:rsidR="002A0DD0">
        <w:rPr>
          <w:rStyle w:val="AERbody"/>
        </w:rPr>
        <w:t xml:space="preserve">  We </w:t>
      </w:r>
      <w:r w:rsidR="002C262E">
        <w:rPr>
          <w:rStyle w:val="AERbody"/>
        </w:rPr>
        <w:t xml:space="preserve">noted the submission from </w:t>
      </w:r>
      <w:r w:rsidR="002A0DD0">
        <w:rPr>
          <w:rStyle w:val="AERbody"/>
        </w:rPr>
        <w:t>a</w:t>
      </w:r>
      <w:r w:rsidR="002C262E">
        <w:rPr>
          <w:rStyle w:val="AERbody"/>
        </w:rPr>
        <w:t xml:space="preserve"> network user</w:t>
      </w:r>
      <w:r w:rsidR="002A0DD0">
        <w:rPr>
          <w:rStyle w:val="AERbody"/>
        </w:rPr>
        <w:t>, that</w:t>
      </w:r>
      <w:r w:rsidR="002C262E">
        <w:rPr>
          <w:rStyle w:val="AERbody"/>
        </w:rPr>
        <w:t>:</w:t>
      </w:r>
      <w:r w:rsidR="002C262E">
        <w:rPr>
          <w:rStyle w:val="FootnoteReference"/>
        </w:rPr>
        <w:footnoteReference w:id="11"/>
      </w:r>
    </w:p>
    <w:p w:rsidR="002C262E" w:rsidRPr="002C262E" w:rsidRDefault="002C262E" w:rsidP="00EF0B95">
      <w:pPr>
        <w:pStyle w:val="AERquote"/>
      </w:pPr>
      <w:r w:rsidRPr="002C262E">
        <w:t xml:space="preserve">AGL disagrees that AGN should have no liability when they are unable to gain access to a meter. With the introduction of NECF there is now a joint responsibility between the retailer and the network. </w:t>
      </w:r>
    </w:p>
    <w:p w:rsidR="002C262E" w:rsidRPr="002C262E" w:rsidRDefault="002C262E" w:rsidP="00EF0B95">
      <w:pPr>
        <w:pStyle w:val="AERquote"/>
      </w:pPr>
      <w:r w:rsidRPr="002C262E">
        <w:t xml:space="preserve">It is no longer the duty of the retailer to provide access but to provide reasonable </w:t>
      </w:r>
      <w:proofErr w:type="gramStart"/>
      <w:r w:rsidRPr="002C262E">
        <w:t>assistance,</w:t>
      </w:r>
      <w:proofErr w:type="gramEnd"/>
      <w:r w:rsidRPr="002C262E">
        <w:t xml:space="preserve"> it is unreasonable for AGN to have no liability to the Network User. </w:t>
      </w:r>
    </w:p>
    <w:p w:rsidR="002C262E" w:rsidRPr="002C262E" w:rsidRDefault="002C262E" w:rsidP="00EF0B95">
      <w:pPr>
        <w:pStyle w:val="AERquote"/>
      </w:pPr>
      <w:r w:rsidRPr="002C262E">
        <w:t xml:space="preserve">Furthermore the meter is the asset of AGN and AGN should take an element of responsibility for its own property. </w:t>
      </w:r>
    </w:p>
    <w:p w:rsidR="002C262E" w:rsidRDefault="002C262E" w:rsidP="00EF0B95">
      <w:pPr>
        <w:pStyle w:val="AERquote"/>
        <w:rPr>
          <w:rStyle w:val="AERbody"/>
        </w:rPr>
      </w:pPr>
      <w:r w:rsidRPr="002C262E">
        <w:t xml:space="preserve">This clause should be deleted. </w:t>
      </w:r>
    </w:p>
    <w:p w:rsidR="00623FD6" w:rsidRDefault="0068328D" w:rsidP="0068328D">
      <w:r>
        <w:rPr>
          <w:rStyle w:val="AERbody"/>
        </w:rPr>
        <w:t>AGN did not delete the clause</w:t>
      </w:r>
      <w:r w:rsidR="00BF05DC">
        <w:rPr>
          <w:rStyle w:val="AERbody"/>
        </w:rPr>
        <w:t xml:space="preserve"> as required by </w:t>
      </w:r>
      <w:r w:rsidR="00811EE2">
        <w:rPr>
          <w:rStyle w:val="AERbody"/>
        </w:rPr>
        <w:t>the</w:t>
      </w:r>
      <w:r w:rsidR="00BF05DC">
        <w:rPr>
          <w:rStyle w:val="AERbody"/>
        </w:rPr>
        <w:t xml:space="preserve"> draft decision</w:t>
      </w:r>
      <w:r>
        <w:rPr>
          <w:rStyle w:val="AERbody"/>
        </w:rPr>
        <w:t>, arguing that the reference to 'reasonable endeavours' means sub-clause 35.5 strikes a reasonable and appropriate balance between the interests of AGN and users.</w:t>
      </w:r>
      <w:r>
        <w:rPr>
          <w:rStyle w:val="FootnoteReference"/>
        </w:rPr>
        <w:footnoteReference w:id="12"/>
      </w:r>
      <w:r>
        <w:rPr>
          <w:rStyle w:val="AERbody"/>
        </w:rPr>
        <w:t xml:space="preserve">  </w:t>
      </w:r>
      <w:r>
        <w:t xml:space="preserve">We </w:t>
      </w:r>
      <w:r w:rsidRPr="0068328D">
        <w:t>do not agree</w:t>
      </w:r>
      <w:r w:rsidR="00623FD6">
        <w:t xml:space="preserve"> with AGN on this issue.  As noted in our draft decision, the NERL and the NERR create a triangular relationship whereby both service provider and retailer each have a contract with a shared customer providing for access to premises</w:t>
      </w:r>
      <w:r w:rsidR="00A8643F">
        <w:t>.</w:t>
      </w:r>
      <w:r w:rsidR="00EF0B95">
        <w:rPr>
          <w:rStyle w:val="FootnoteReference"/>
        </w:rPr>
        <w:footnoteReference w:id="13"/>
      </w:r>
      <w:r w:rsidR="00A8643F">
        <w:t xml:space="preserve">  </w:t>
      </w:r>
      <w:r w:rsidR="00811EE2">
        <w:t>AGN's</w:t>
      </w:r>
      <w:r w:rsidR="00A8643F">
        <w:t xml:space="preserve"> terms for deemed standard connection contracts </w:t>
      </w:r>
      <w:r w:rsidR="00811EE2">
        <w:t>with shared customers provide</w:t>
      </w:r>
      <w:r w:rsidR="00A8643F">
        <w:t>:</w:t>
      </w:r>
      <w:r w:rsidR="00160FDC">
        <w:rPr>
          <w:rStyle w:val="FootnoteReference"/>
        </w:rPr>
        <w:footnoteReference w:id="14"/>
      </w:r>
      <w:r w:rsidR="00BF05DC">
        <w:t xml:space="preserve">  </w:t>
      </w:r>
    </w:p>
    <w:p w:rsidR="00BF05DC" w:rsidRPr="00BF05DC" w:rsidRDefault="00BF05DC" w:rsidP="00EF0B95">
      <w:pPr>
        <w:pStyle w:val="AERquote"/>
      </w:pPr>
      <w:r w:rsidRPr="00BF05DC">
        <w:t xml:space="preserve">Under the energy laws, you must provide us </w:t>
      </w:r>
      <w:r w:rsidR="00964173">
        <w:t xml:space="preserve">[i.e. AGN] </w:t>
      </w:r>
      <w:r w:rsidRPr="00BF05DC">
        <w:t>and our authorised representatives (together with all necessary equipment) safe and unhindered access to the premises, including taking appropriate action to prevent menacing or attack by animals at the premises, at any reasonable time to allow us to:</w:t>
      </w:r>
    </w:p>
    <w:p w:rsidR="00BF05DC" w:rsidRPr="00BF05DC" w:rsidRDefault="00BF05DC" w:rsidP="00EF0B95">
      <w:pPr>
        <w:pStyle w:val="AERquote"/>
      </w:pPr>
      <w:r w:rsidRPr="00BF05DC">
        <w:t xml:space="preserve">(a) </w:t>
      </w:r>
      <w:r w:rsidRPr="00BF05DC">
        <w:tab/>
      </w:r>
      <w:proofErr w:type="gramStart"/>
      <w:r w:rsidRPr="00BF05DC">
        <w:t>read</w:t>
      </w:r>
      <w:proofErr w:type="gramEnd"/>
      <w:r w:rsidRPr="00BF05DC">
        <w:t>, test, maintain, inspect or alter any metering installation at the premises; and</w:t>
      </w:r>
    </w:p>
    <w:p w:rsidR="00BF05DC" w:rsidRPr="00BF05DC" w:rsidRDefault="00BF05DC" w:rsidP="00EF0B95">
      <w:pPr>
        <w:pStyle w:val="AERquote"/>
      </w:pPr>
      <w:r w:rsidRPr="00BF05DC">
        <w:t xml:space="preserve">(b) </w:t>
      </w:r>
      <w:r w:rsidRPr="00BF05DC">
        <w:tab/>
      </w:r>
      <w:proofErr w:type="gramStart"/>
      <w:r w:rsidRPr="00BF05DC">
        <w:t>calculate</w:t>
      </w:r>
      <w:proofErr w:type="gramEnd"/>
      <w:r w:rsidRPr="00BF05DC">
        <w:t xml:space="preserve"> or measure energy supplied or taken at the premises; and</w:t>
      </w:r>
    </w:p>
    <w:p w:rsidR="00BF05DC" w:rsidRPr="00BF05DC" w:rsidRDefault="00BF05DC" w:rsidP="00EF0B95">
      <w:pPr>
        <w:pStyle w:val="AERquote"/>
      </w:pPr>
      <w:r w:rsidRPr="00BF05DC">
        <w:t xml:space="preserve">(c) </w:t>
      </w:r>
      <w:r w:rsidRPr="00BF05DC">
        <w:tab/>
      </w:r>
      <w:proofErr w:type="gramStart"/>
      <w:r w:rsidRPr="00BF05DC">
        <w:t>check</w:t>
      </w:r>
      <w:proofErr w:type="gramEnd"/>
      <w:r w:rsidRPr="00BF05DC">
        <w:t xml:space="preserve"> the accuracy of metered consumption at the premises; and</w:t>
      </w:r>
    </w:p>
    <w:p w:rsidR="00BF05DC" w:rsidRPr="00BF05DC" w:rsidRDefault="00BF05DC" w:rsidP="00EF0B95">
      <w:pPr>
        <w:pStyle w:val="AERquote"/>
      </w:pPr>
      <w:r w:rsidRPr="00BF05DC">
        <w:t xml:space="preserve">(d) </w:t>
      </w:r>
      <w:r w:rsidRPr="00BF05DC">
        <w:tab/>
      </w:r>
      <w:proofErr w:type="gramStart"/>
      <w:r w:rsidRPr="00BF05DC">
        <w:t>replace</w:t>
      </w:r>
      <w:proofErr w:type="gramEnd"/>
      <w:r w:rsidRPr="00BF05DC">
        <w:t xml:space="preserve"> meters, control apparatus and other energy equipment of ours; and</w:t>
      </w:r>
    </w:p>
    <w:p w:rsidR="00BF05DC" w:rsidRPr="00BF05DC" w:rsidRDefault="00BF05DC" w:rsidP="00EF0B95">
      <w:pPr>
        <w:pStyle w:val="AERquote"/>
      </w:pPr>
      <w:r w:rsidRPr="00BF05DC">
        <w:t xml:space="preserve">(e) </w:t>
      </w:r>
      <w:r w:rsidRPr="00BF05DC">
        <w:tab/>
      </w:r>
      <w:proofErr w:type="gramStart"/>
      <w:r w:rsidRPr="00BF05DC">
        <w:t>connect</w:t>
      </w:r>
      <w:proofErr w:type="gramEnd"/>
      <w:r w:rsidRPr="00BF05DC">
        <w:t xml:space="preserve"> or disconnect the premises; and</w:t>
      </w:r>
    </w:p>
    <w:p w:rsidR="00BF05DC" w:rsidRPr="00BF05DC" w:rsidRDefault="00BF05DC" w:rsidP="00EF0B95">
      <w:pPr>
        <w:pStyle w:val="AERquote"/>
      </w:pPr>
      <w:r w:rsidRPr="00BF05DC">
        <w:t xml:space="preserve">(f) </w:t>
      </w:r>
      <w:r w:rsidRPr="00BF05DC">
        <w:tab/>
      </w:r>
      <w:proofErr w:type="gramStart"/>
      <w:r w:rsidRPr="00BF05DC">
        <w:t>examine</w:t>
      </w:r>
      <w:proofErr w:type="gramEnd"/>
      <w:r w:rsidRPr="00BF05DC">
        <w:t xml:space="preserve"> or inspect an energy installation at the premises; and</w:t>
      </w:r>
    </w:p>
    <w:p w:rsidR="00BF05DC" w:rsidRPr="00BF05DC" w:rsidRDefault="00BF05DC" w:rsidP="00EF0B95">
      <w:pPr>
        <w:pStyle w:val="AERquote"/>
      </w:pPr>
      <w:r w:rsidRPr="00BF05DC">
        <w:t xml:space="preserve">(g) </w:t>
      </w:r>
      <w:r w:rsidRPr="00BF05DC">
        <w:tab/>
      </w:r>
      <w:proofErr w:type="gramStart"/>
      <w:r w:rsidRPr="00BF05DC">
        <w:t>inspect</w:t>
      </w:r>
      <w:proofErr w:type="gramEnd"/>
      <w:r w:rsidRPr="00BF05DC">
        <w:t>, make safe, operate, change, maintain, remove, repair or replace any of our works at the premises; and</w:t>
      </w:r>
    </w:p>
    <w:p w:rsidR="00BF05DC" w:rsidRPr="00BF05DC" w:rsidRDefault="00BF05DC" w:rsidP="00EF0B95">
      <w:pPr>
        <w:pStyle w:val="AERquote"/>
      </w:pPr>
      <w:r w:rsidRPr="00BF05DC">
        <w:t xml:space="preserve">(h) </w:t>
      </w:r>
      <w:r w:rsidRPr="00BF05DC">
        <w:tab/>
      </w:r>
      <w:proofErr w:type="gramStart"/>
      <w:r w:rsidRPr="00BF05DC">
        <w:t>undertake</w:t>
      </w:r>
      <w:proofErr w:type="gramEnd"/>
      <w:r w:rsidRPr="00BF05DC">
        <w:t xml:space="preserve"> repairs, testing or maintenance of the distribution system; and</w:t>
      </w:r>
    </w:p>
    <w:p w:rsidR="00BF05DC" w:rsidRPr="00BF05DC" w:rsidRDefault="00BF05DC" w:rsidP="00EF0B95">
      <w:pPr>
        <w:pStyle w:val="AERquote"/>
      </w:pPr>
      <w:r w:rsidRPr="00BF05DC">
        <w:t>(</w:t>
      </w:r>
      <w:proofErr w:type="spellStart"/>
      <w:r w:rsidRPr="00BF05DC">
        <w:t>i</w:t>
      </w:r>
      <w:proofErr w:type="spellEnd"/>
      <w:r w:rsidRPr="00BF05DC">
        <w:t xml:space="preserve">) </w:t>
      </w:r>
      <w:r w:rsidRPr="00BF05DC">
        <w:tab/>
      </w:r>
      <w:proofErr w:type="gramStart"/>
      <w:r w:rsidRPr="00BF05DC">
        <w:t>clear</w:t>
      </w:r>
      <w:proofErr w:type="gramEnd"/>
      <w:r w:rsidRPr="00BF05DC">
        <w:t xml:space="preserve"> vegetation from the distribution system including any equipment owned by us; and</w:t>
      </w:r>
    </w:p>
    <w:p w:rsidR="00BF05DC" w:rsidRPr="00BF05DC" w:rsidRDefault="00BF05DC" w:rsidP="00EF0B95">
      <w:pPr>
        <w:pStyle w:val="AERquote"/>
      </w:pPr>
      <w:r w:rsidRPr="00BF05DC">
        <w:t xml:space="preserve">(j) </w:t>
      </w:r>
      <w:r w:rsidRPr="00BF05DC">
        <w:tab/>
      </w:r>
      <w:proofErr w:type="gramStart"/>
      <w:r w:rsidRPr="00BF05DC">
        <w:t>take</w:t>
      </w:r>
      <w:proofErr w:type="gramEnd"/>
      <w:r w:rsidRPr="00BF05DC">
        <w:t xml:space="preserve"> action to determine the appropriate tariff or charging category for the premises; and</w:t>
      </w:r>
    </w:p>
    <w:p w:rsidR="00BF05DC" w:rsidRPr="00BF05DC" w:rsidRDefault="00BF05DC" w:rsidP="00EF0B95">
      <w:pPr>
        <w:pStyle w:val="AERquote"/>
      </w:pPr>
      <w:r w:rsidRPr="00BF05DC">
        <w:t xml:space="preserve">(k) </w:t>
      </w:r>
      <w:r w:rsidRPr="00BF05DC">
        <w:tab/>
      </w:r>
      <w:proofErr w:type="gramStart"/>
      <w:r w:rsidRPr="00BF05DC">
        <w:t>perform</w:t>
      </w:r>
      <w:proofErr w:type="gramEnd"/>
      <w:r w:rsidRPr="00BF05DC">
        <w:t xml:space="preserve"> services requested by you or your retailer.</w:t>
      </w:r>
    </w:p>
    <w:p w:rsidR="0068328D" w:rsidRPr="0068328D" w:rsidRDefault="00A8643F" w:rsidP="0068328D">
      <w:r>
        <w:t xml:space="preserve">Thus shared customers have an obligation directly to </w:t>
      </w:r>
      <w:r w:rsidR="00284462">
        <w:t>AGN</w:t>
      </w:r>
      <w:r>
        <w:t xml:space="preserve"> </w:t>
      </w:r>
      <w:r w:rsidR="009E52C4">
        <w:t>to provide access, which</w:t>
      </w:r>
      <w:r>
        <w:t xml:space="preserve"> </w:t>
      </w:r>
      <w:r w:rsidR="009E52C4">
        <w:t xml:space="preserve">obligation </w:t>
      </w:r>
      <w:r w:rsidR="00284462">
        <w:t>AGN</w:t>
      </w:r>
      <w:r>
        <w:t xml:space="preserve"> </w:t>
      </w:r>
      <w:r w:rsidR="009E52C4">
        <w:t xml:space="preserve">can enforce </w:t>
      </w:r>
      <w:r>
        <w:t xml:space="preserve">directly against the shared customer.  </w:t>
      </w:r>
      <w:r w:rsidR="00284462">
        <w:t xml:space="preserve">Where AGN has not done so, </w:t>
      </w:r>
      <w:r w:rsidR="001101DC">
        <w:t xml:space="preserve">we do not accept there is justification to </w:t>
      </w:r>
      <w:r w:rsidR="001B7658">
        <w:t xml:space="preserve">displace the right of users to pursue AGN for failure to perform the agreement </w:t>
      </w:r>
      <w:r w:rsidR="001101DC">
        <w:t xml:space="preserve">because </w:t>
      </w:r>
      <w:r w:rsidR="001B7658">
        <w:t>of failure to access premises</w:t>
      </w:r>
      <w:r w:rsidR="001101DC">
        <w:t xml:space="preserve">. </w:t>
      </w:r>
      <w:r w:rsidR="0068328D" w:rsidRPr="0068328D">
        <w:t xml:space="preserve">Accordingly </w:t>
      </w:r>
      <w:r w:rsidR="0089369E">
        <w:t xml:space="preserve">our </w:t>
      </w:r>
      <w:r w:rsidR="0068328D" w:rsidRPr="0068328D">
        <w:t>approved access arrangement does not include clause 35.5.</w:t>
      </w:r>
    </w:p>
    <w:p w:rsidR="0080609E" w:rsidRDefault="0080609E" w:rsidP="0080609E">
      <w:pPr>
        <w:pStyle w:val="HeadingBoldItalic"/>
      </w:pPr>
      <w:r>
        <w:t>Recovery of charges</w:t>
      </w:r>
    </w:p>
    <w:p w:rsidR="00D5458D" w:rsidRDefault="00156560" w:rsidP="00D67553">
      <w:r>
        <w:t>Our draft decision required ame</w:t>
      </w:r>
      <w:r w:rsidR="006531A6">
        <w:t xml:space="preserve">ndments to </w:t>
      </w:r>
      <w:r w:rsidR="00203C50">
        <w:t>clause</w:t>
      </w:r>
      <w:r w:rsidR="0089369E">
        <w:t>s 3.3 and</w:t>
      </w:r>
      <w:r w:rsidR="00203C50">
        <w:t xml:space="preserve"> 20.2</w:t>
      </w:r>
      <w:r w:rsidR="00D5458D">
        <w:t>,</w:t>
      </w:r>
      <w:r w:rsidR="006531A6">
        <w:t xml:space="preserve"> which </w:t>
      </w:r>
      <w:r w:rsidR="00883723">
        <w:t>deal with</w:t>
      </w:r>
      <w:r w:rsidR="00D67553">
        <w:t xml:space="preserve"> the</w:t>
      </w:r>
      <w:r w:rsidR="006531A6">
        <w:t xml:space="preserve"> </w:t>
      </w:r>
      <w:r w:rsidR="00883723">
        <w:t xml:space="preserve">user's liability for </w:t>
      </w:r>
      <w:r w:rsidR="00D5458D">
        <w:t>certain charges</w:t>
      </w:r>
      <w:r w:rsidR="00883723">
        <w:t xml:space="preserve"> while it is listed as the current user for a delivery point</w:t>
      </w:r>
      <w:r w:rsidR="00D5458D">
        <w:t>.  The clauses contemplate AGN recovering charges from retailers in circumstances where there is no shared customer</w:t>
      </w:r>
      <w:r w:rsidR="00203C50">
        <w:t xml:space="preserve"> and thus no party from whom the retailer might recover the charges</w:t>
      </w:r>
      <w:r w:rsidR="00D5458D">
        <w:t xml:space="preserve">. In our draft decision we expressed concern that the clauses </w:t>
      </w:r>
      <w:r w:rsidR="00787CE2">
        <w:t xml:space="preserve">could be perceived to seek to override </w:t>
      </w:r>
      <w:r w:rsidR="00A059E8">
        <w:t>NGR rule 508(1),</w:t>
      </w:r>
      <w:r w:rsidR="00E7548F">
        <w:rPr>
          <w:rStyle w:val="FootnoteReference"/>
        </w:rPr>
        <w:footnoteReference w:id="15"/>
      </w:r>
      <w:r w:rsidR="00D67553">
        <w:t xml:space="preserve"> </w:t>
      </w:r>
      <w:r w:rsidR="00A059E8">
        <w:t>which provides</w:t>
      </w:r>
      <w:r w:rsidR="00D5458D">
        <w:t>:</w:t>
      </w:r>
    </w:p>
    <w:p w:rsidR="00D67553" w:rsidRDefault="00D5458D" w:rsidP="00D5458D">
      <w:pPr>
        <w:pStyle w:val="AERquote"/>
      </w:pPr>
      <w:r>
        <w:t xml:space="preserve">If a </w:t>
      </w:r>
      <w:r w:rsidR="00D67553">
        <w:t>retailer is not permitted to recover distribution service charges from a shared customer under the NERL or the NERR then neither is the distributor permitted to recover those charges from a retailer</w:t>
      </w:r>
      <w:r>
        <w:t>.</w:t>
      </w:r>
      <w:r w:rsidR="00D67553">
        <w:t xml:space="preserve"> </w:t>
      </w:r>
    </w:p>
    <w:p w:rsidR="00A059E8" w:rsidRDefault="00156560" w:rsidP="002539E6">
      <w:r>
        <w:t xml:space="preserve">AGN </w:t>
      </w:r>
      <w:r w:rsidR="005333E1">
        <w:t xml:space="preserve">made the required amendment </w:t>
      </w:r>
      <w:r w:rsidR="0089369E">
        <w:t>to clause 3.3.  We received no submissions on this amendment, and for the reasons set out in our draft decision we approve the revised clause 3.3 in this final decision.  AGN</w:t>
      </w:r>
      <w:r w:rsidR="005569B3">
        <w:t xml:space="preserve"> also</w:t>
      </w:r>
      <w:r w:rsidR="0089369E">
        <w:t xml:space="preserve"> incorporated our amendment to clause 20.2</w:t>
      </w:r>
      <w:r w:rsidR="005569B3">
        <w:t>, but</w:t>
      </w:r>
      <w:r w:rsidR="0089369E">
        <w:t xml:space="preserve"> </w:t>
      </w:r>
      <w:r w:rsidR="005569B3">
        <w:t xml:space="preserve">added </w:t>
      </w:r>
      <w:r w:rsidR="0089369E">
        <w:t xml:space="preserve">provisions </w:t>
      </w:r>
      <w:r w:rsidR="00580F99">
        <w:t xml:space="preserve">to clarify how the clause </w:t>
      </w:r>
      <w:r w:rsidR="0089369E">
        <w:t xml:space="preserve">as a whole </w:t>
      </w:r>
      <w:r w:rsidR="00580F99">
        <w:t xml:space="preserve">is intended to </w:t>
      </w:r>
      <w:r w:rsidR="00B77873">
        <w:t xml:space="preserve">operate in light of </w:t>
      </w:r>
      <w:r w:rsidR="00883723">
        <w:t>rule 508(1)</w:t>
      </w:r>
      <w:r w:rsidR="00B77873">
        <w:t>. The effect of AGN's proposal is</w:t>
      </w:r>
      <w:r w:rsidR="00A059E8">
        <w:t>:</w:t>
      </w:r>
    </w:p>
    <w:p w:rsidR="00A059E8" w:rsidRDefault="00A02C4B" w:rsidP="00A059E8">
      <w:pPr>
        <w:pStyle w:val="AERbulletlistfirststyle"/>
      </w:pPr>
      <w:r>
        <w:t>w</w:t>
      </w:r>
      <w:r w:rsidR="00A059E8">
        <w:t>here there is no shared customer for a delivery point, the user is liable for any distribution service charges which accrue in relation to the delivery point</w:t>
      </w:r>
    </w:p>
    <w:p w:rsidR="00A059E8" w:rsidRDefault="00A02C4B" w:rsidP="00A059E8">
      <w:pPr>
        <w:pStyle w:val="AERbulletlistfirststyle"/>
      </w:pPr>
      <w:r>
        <w:t>i</w:t>
      </w:r>
      <w:r w:rsidR="00A059E8">
        <w:t>f there is a shared customer</w:t>
      </w:r>
      <w:r w:rsidR="0029158A">
        <w:t>,</w:t>
      </w:r>
      <w:r w:rsidR="00601650">
        <w:t xml:space="preserve"> and</w:t>
      </w:r>
      <w:r w:rsidR="00A059E8">
        <w:t xml:space="preserve"> the user is not permitted to recover the charges </w:t>
      </w:r>
      <w:r w:rsidR="00601650">
        <w:t>from that customer under the NERL or NERR, AGN is not permitted to recover those charges from the user</w:t>
      </w:r>
    </w:p>
    <w:p w:rsidR="00601650" w:rsidRDefault="00A02C4B" w:rsidP="00A059E8">
      <w:pPr>
        <w:pStyle w:val="AERbulletlistfirststyle"/>
      </w:pPr>
      <w:proofErr w:type="gramStart"/>
      <w:r>
        <w:t>i</w:t>
      </w:r>
      <w:r w:rsidR="00601650">
        <w:t>n</w:t>
      </w:r>
      <w:proofErr w:type="gramEnd"/>
      <w:r w:rsidR="00601650">
        <w:t xml:space="preserve"> all other cases where there is a shared customer</w:t>
      </w:r>
      <w:r w:rsidR="0029158A">
        <w:t>,</w:t>
      </w:r>
      <w:r w:rsidR="00601650">
        <w:t xml:space="preserve"> the user is liable for the charges in respect of the delivery point even if the customer does not pay those charges to the user.</w:t>
      </w:r>
      <w:r w:rsidR="0029158A" w:rsidRPr="0029158A">
        <w:rPr>
          <w:rStyle w:val="FootnoteReference"/>
        </w:rPr>
        <w:t xml:space="preserve"> </w:t>
      </w:r>
      <w:r w:rsidR="0029158A">
        <w:rPr>
          <w:rStyle w:val="FootnoteReference"/>
        </w:rPr>
        <w:footnoteReference w:id="16"/>
      </w:r>
      <w:r w:rsidR="0029158A">
        <w:t xml:space="preserve">  </w:t>
      </w:r>
    </w:p>
    <w:p w:rsidR="00B74439" w:rsidRDefault="00883723" w:rsidP="00B74439">
      <w:r>
        <w:t xml:space="preserve">This follows from </w:t>
      </w:r>
      <w:r w:rsidR="00775A72">
        <w:t>the</w:t>
      </w:r>
      <w:r>
        <w:t xml:space="preserve"> view, set out in </w:t>
      </w:r>
      <w:r w:rsidR="00775A72">
        <w:t xml:space="preserve">AGN's </w:t>
      </w:r>
      <w:r>
        <w:t xml:space="preserve">response to our draft decision, that </w:t>
      </w:r>
      <w:r w:rsidR="003E5A0A">
        <w:t xml:space="preserve">rule </w:t>
      </w:r>
      <w:r w:rsidR="00AD2FCE">
        <w:t>508</w:t>
      </w:r>
      <w:r w:rsidR="003E5A0A">
        <w:t>(1)</w:t>
      </w:r>
      <w:r w:rsidR="00AD2FCE">
        <w:t xml:space="preserve"> </w:t>
      </w:r>
      <w:r w:rsidR="00052E37">
        <w:t>appl</w:t>
      </w:r>
      <w:r w:rsidR="00580F99">
        <w:t xml:space="preserve">ies to situations </w:t>
      </w:r>
      <w:r w:rsidR="00AD2FCE">
        <w:t>wh</w:t>
      </w:r>
      <w:r>
        <w:t xml:space="preserve">ere there is </w:t>
      </w:r>
      <w:r w:rsidR="00580F99">
        <w:t xml:space="preserve">a </w:t>
      </w:r>
      <w:r>
        <w:t>shared customer</w:t>
      </w:r>
      <w:r w:rsidR="00580F99">
        <w:t xml:space="preserve"> and not where there is </w:t>
      </w:r>
      <w:proofErr w:type="gramStart"/>
      <w:r w:rsidR="00580F99">
        <w:t>no</w:t>
      </w:r>
      <w:proofErr w:type="gramEnd"/>
      <w:r w:rsidR="00580F99">
        <w:t xml:space="preserve"> shared customer</w:t>
      </w:r>
      <w:r>
        <w:t xml:space="preserve">. This situation </w:t>
      </w:r>
      <w:r w:rsidR="00787E95">
        <w:t xml:space="preserve">might </w:t>
      </w:r>
      <w:r>
        <w:t>arise</w:t>
      </w:r>
      <w:r w:rsidR="00787E95">
        <w:t xml:space="preserve"> </w:t>
      </w:r>
      <w:r>
        <w:t>where a retailer is registered as the current u</w:t>
      </w:r>
      <w:r w:rsidR="00787E95">
        <w:t>ser of a delivery point in respect of which the relevant house or business premises is unoccupied. A</w:t>
      </w:r>
      <w:r>
        <w:t xml:space="preserve"> </w:t>
      </w:r>
      <w:r w:rsidR="00787E95">
        <w:t>base charge would continue to accrue</w:t>
      </w:r>
      <w:r>
        <w:t xml:space="preserve"> daily regardless of throughput</w:t>
      </w:r>
      <w:r w:rsidR="00787E95">
        <w:t>, and under AGN's proposal it would recover this charge from the user.</w:t>
      </w:r>
      <w:r w:rsidR="00775A72">
        <w:t xml:space="preserve"> </w:t>
      </w:r>
      <w:r w:rsidR="00B74439">
        <w:t>AGN submitted that retailers could escape such charges by requesting decommissioning of disused delivery points.</w:t>
      </w:r>
      <w:r w:rsidR="00B74439">
        <w:rPr>
          <w:rStyle w:val="FootnoteReference"/>
        </w:rPr>
        <w:footnoteReference w:id="17"/>
      </w:r>
    </w:p>
    <w:p w:rsidR="00052E37" w:rsidRDefault="00B74439" w:rsidP="00E7548F">
      <w:r>
        <w:t xml:space="preserve">AGL </w:t>
      </w:r>
      <w:r w:rsidR="00052E37">
        <w:t>disagree</w:t>
      </w:r>
      <w:r w:rsidR="00580F99">
        <w:t>d</w:t>
      </w:r>
      <w:r w:rsidR="00052E37">
        <w:t xml:space="preserve"> with </w:t>
      </w:r>
      <w:r w:rsidR="000A39FC">
        <w:t>this</w:t>
      </w:r>
      <w:r w:rsidR="00052E37">
        <w:t xml:space="preserve"> interpretation of rule 508(1</w:t>
      </w:r>
      <w:r w:rsidR="00E113D9">
        <w:t>) submitting that</w:t>
      </w:r>
      <w:r w:rsidR="00052E37">
        <w:t>:</w:t>
      </w:r>
    </w:p>
    <w:p w:rsidR="00052E37" w:rsidRDefault="00052E37" w:rsidP="00052E37">
      <w:pPr>
        <w:pStyle w:val="AERquote"/>
      </w:pPr>
      <w:r>
        <w:t>A more sensible interpretation would be that if there is no shared customer then the distributor is not allowed to recover charges from the retailer due to there being no customer and no ability for the retailer to recover those charges on behalf of the distributor.</w:t>
      </w:r>
      <w:r w:rsidR="007B37EC">
        <w:rPr>
          <w:rStyle w:val="FootnoteReference"/>
        </w:rPr>
        <w:footnoteReference w:id="18"/>
      </w:r>
    </w:p>
    <w:p w:rsidR="00116EF6" w:rsidRDefault="00116EF6" w:rsidP="00E7548F">
      <w:r>
        <w:t>AGL further submitted that the proposed amendment is inconsistent with the NGR and the NERL on the basis that:</w:t>
      </w:r>
    </w:p>
    <w:p w:rsidR="00116EF6" w:rsidRDefault="00502F52" w:rsidP="00502F52">
      <w:pPr>
        <w:pStyle w:val="AERbulletlistfirststyle"/>
      </w:pPr>
      <w:r>
        <w:t>the NGR rule 503 requires a retailer to pay a distributor the charges payable in respect of each shared customer but does not oblige payment where there is no shared customer, and</w:t>
      </w:r>
    </w:p>
    <w:p w:rsidR="00502F52" w:rsidRDefault="00502F52" w:rsidP="00502F52">
      <w:pPr>
        <w:pStyle w:val="AERbulletlistfirststyle"/>
      </w:pPr>
      <w:r>
        <w:t>the NERL defines gas 'network charges' as charges a distributor is entitled to charge for customer connection services under the access arrangement, Part 12 and Part 12A of the NGR</w:t>
      </w:r>
      <w:r w:rsidR="00303D96">
        <w:t>, the latter two of which do not contemplate that these charges should be paid by the retailer where there are no customers.</w:t>
      </w:r>
      <w:r w:rsidR="00AF3DCF">
        <w:rPr>
          <w:rStyle w:val="FootnoteReference"/>
        </w:rPr>
        <w:footnoteReference w:id="19"/>
      </w:r>
    </w:p>
    <w:p w:rsidR="005569B3" w:rsidRPr="005569B3" w:rsidRDefault="005569B3" w:rsidP="00246109">
      <w:r w:rsidRPr="005569B3">
        <w:t xml:space="preserve">We </w:t>
      </w:r>
      <w:r w:rsidR="00580F99">
        <w:t>do not agree with AGL's submission on this issue. Part 21 of the NGR (which includes rule</w:t>
      </w:r>
      <w:r w:rsidR="00D92BDA">
        <w:t>s</w:t>
      </w:r>
      <w:r w:rsidR="00580F99">
        <w:t xml:space="preserve"> 503</w:t>
      </w:r>
      <w:r w:rsidR="00D92BDA">
        <w:t xml:space="preserve"> and 508</w:t>
      </w:r>
      <w:r w:rsidR="00580F99">
        <w:t xml:space="preserve">) applies </w:t>
      </w:r>
      <w:r w:rsidR="004C2E58">
        <w:t>where</w:t>
      </w:r>
      <w:r w:rsidR="00580F99">
        <w:t xml:space="preserve"> a distributor and a retailer have shared customers.  Part 12 or Part 12A of the NGR</w:t>
      </w:r>
      <w:r w:rsidR="00D92BDA">
        <w:t>, which concern access disputes and connections for retail customers, do not provide guidance on the intended operation of rule 508</w:t>
      </w:r>
      <w:r w:rsidR="00580F99" w:rsidRPr="00B77873">
        <w:rPr>
          <w:rStyle w:val="AERbody"/>
        </w:rPr>
        <w:t xml:space="preserve">. </w:t>
      </w:r>
      <w:r w:rsidRPr="005569B3">
        <w:t xml:space="preserve">It follows that we do not believe AGN's additions to clause 20.2 are inconsistent with rule 508(1).  </w:t>
      </w:r>
    </w:p>
    <w:p w:rsidR="00126685" w:rsidRDefault="002547D6" w:rsidP="003D4CA7">
      <w:pPr>
        <w:pStyle w:val="HeadingBoldItalic"/>
      </w:pPr>
      <w:r>
        <w:t>Possession and control of gas</w:t>
      </w:r>
    </w:p>
    <w:p w:rsidR="00C81988" w:rsidRDefault="00A07D29" w:rsidP="00C81988">
      <w:pPr>
        <w:pStyle w:val="ListContinue"/>
        <w:ind w:left="0"/>
        <w:rPr>
          <w:rStyle w:val="AERbody"/>
        </w:rPr>
      </w:pPr>
      <w:r>
        <w:rPr>
          <w:rStyle w:val="AERbody"/>
        </w:rPr>
        <w:t>Clause 15.1</w:t>
      </w:r>
      <w:r w:rsidR="00DD3279">
        <w:rPr>
          <w:rStyle w:val="AERbody"/>
        </w:rPr>
        <w:t xml:space="preserve"> describes </w:t>
      </w:r>
      <w:r w:rsidR="00903FFF">
        <w:rPr>
          <w:rStyle w:val="AERbody"/>
        </w:rPr>
        <w:t xml:space="preserve">when each </w:t>
      </w:r>
      <w:r w:rsidR="00DD3279">
        <w:rPr>
          <w:rStyle w:val="AERbody"/>
        </w:rPr>
        <w:t xml:space="preserve">party </w:t>
      </w:r>
      <w:r w:rsidR="00903FFF">
        <w:rPr>
          <w:rStyle w:val="AERbody"/>
        </w:rPr>
        <w:t xml:space="preserve">is in </w:t>
      </w:r>
      <w:r w:rsidR="00DD3279">
        <w:rPr>
          <w:rStyle w:val="AERbody"/>
        </w:rPr>
        <w:t>possession and control of gas.</w:t>
      </w:r>
      <w:r w:rsidR="00903FFF">
        <w:rPr>
          <w:rStyle w:val="AERbody"/>
        </w:rPr>
        <w:t xml:space="preserve"> </w:t>
      </w:r>
      <w:r w:rsidR="00275380">
        <w:rPr>
          <w:rStyle w:val="AERbody"/>
        </w:rPr>
        <w:t>Our draft decision</w:t>
      </w:r>
      <w:r w:rsidR="00903FFF">
        <w:rPr>
          <w:rStyle w:val="AERbody"/>
        </w:rPr>
        <w:t xml:space="preserve"> required AGN to </w:t>
      </w:r>
      <w:r w:rsidR="00275380">
        <w:rPr>
          <w:rStyle w:val="AERbody"/>
        </w:rPr>
        <w:t xml:space="preserve">restore </w:t>
      </w:r>
      <w:r w:rsidR="00903FFF">
        <w:rPr>
          <w:rStyle w:val="AERbody"/>
        </w:rPr>
        <w:t xml:space="preserve">the version of this clause </w:t>
      </w:r>
      <w:r w:rsidR="00275380">
        <w:rPr>
          <w:rStyle w:val="AERbody"/>
        </w:rPr>
        <w:t xml:space="preserve">used in </w:t>
      </w:r>
      <w:r w:rsidR="009619DE">
        <w:rPr>
          <w:rStyle w:val="AERbody"/>
        </w:rPr>
        <w:t>the 2011-2016</w:t>
      </w:r>
      <w:r w:rsidR="00275380">
        <w:rPr>
          <w:rStyle w:val="AERbody"/>
        </w:rPr>
        <w:t xml:space="preserve"> access arrangement</w:t>
      </w:r>
      <w:r w:rsidR="00903FFF">
        <w:rPr>
          <w:rStyle w:val="AERbody"/>
        </w:rPr>
        <w:t xml:space="preserve"> which we considered clearer.</w:t>
      </w:r>
      <w:r w:rsidR="00275380">
        <w:rPr>
          <w:rStyle w:val="AERbody"/>
        </w:rPr>
        <w:t xml:space="preserve"> </w:t>
      </w:r>
      <w:r w:rsidR="0044164C">
        <w:rPr>
          <w:rStyle w:val="AERbody"/>
        </w:rPr>
        <w:t>AGN did</w:t>
      </w:r>
      <w:r w:rsidR="0074315F">
        <w:rPr>
          <w:rStyle w:val="AERbody"/>
        </w:rPr>
        <w:t xml:space="preserve"> not amend clause 15.1</w:t>
      </w:r>
      <w:r w:rsidR="00275380">
        <w:rPr>
          <w:rStyle w:val="AERbody"/>
        </w:rPr>
        <w:t xml:space="preserve">, submitting that </w:t>
      </w:r>
      <w:r w:rsidR="00EE1DA1">
        <w:rPr>
          <w:rStyle w:val="AERbody"/>
        </w:rPr>
        <w:t>its preferred approach</w:t>
      </w:r>
      <w:r w:rsidR="00275380">
        <w:rPr>
          <w:rStyle w:val="AERbody"/>
        </w:rPr>
        <w:t xml:space="preserve"> of defining </w:t>
      </w:r>
      <w:r w:rsidR="00EE1DA1">
        <w:rPr>
          <w:rStyle w:val="AERbody"/>
        </w:rPr>
        <w:t xml:space="preserve">the person in possession or control after </w:t>
      </w:r>
      <w:r w:rsidR="005F3099">
        <w:rPr>
          <w:rStyle w:val="AERbody"/>
        </w:rPr>
        <w:t>delivery</w:t>
      </w:r>
      <w:r w:rsidR="00EE1DA1">
        <w:rPr>
          <w:rStyle w:val="AERbody"/>
        </w:rPr>
        <w:t xml:space="preserve"> by reference to the user delivery point is unambiguous, as only one user will be registered as the current user for a delivery point at a given time.</w:t>
      </w:r>
      <w:r w:rsidR="00C81988">
        <w:rPr>
          <w:rStyle w:val="FootnoteReference"/>
        </w:rPr>
        <w:footnoteReference w:id="20"/>
      </w:r>
      <w:r w:rsidR="005F3099">
        <w:rPr>
          <w:rStyle w:val="AERbody"/>
        </w:rPr>
        <w:t xml:space="preserve">  </w:t>
      </w:r>
    </w:p>
    <w:p w:rsidR="00DD3279" w:rsidRDefault="00C81988" w:rsidP="00DD3279">
      <w:pPr>
        <w:pStyle w:val="ListContinue"/>
        <w:ind w:left="0"/>
        <w:rPr>
          <w:rStyle w:val="AERbody"/>
        </w:rPr>
      </w:pPr>
      <w:r>
        <w:rPr>
          <w:rStyle w:val="AERbody"/>
        </w:rPr>
        <w:t xml:space="preserve">We are satisfied with AGN's response to our draft decision and </w:t>
      </w:r>
      <w:r w:rsidR="00275380">
        <w:rPr>
          <w:rStyle w:val="AERbody"/>
        </w:rPr>
        <w:t xml:space="preserve">we have incorporated its preferred </w:t>
      </w:r>
      <w:r>
        <w:rPr>
          <w:rStyle w:val="AERbody"/>
        </w:rPr>
        <w:t>version of clause 15.1</w:t>
      </w:r>
      <w:r w:rsidR="00275380">
        <w:rPr>
          <w:rStyle w:val="AERbody"/>
        </w:rPr>
        <w:t xml:space="preserve"> in the approved access arrangement</w:t>
      </w:r>
      <w:r>
        <w:rPr>
          <w:rStyle w:val="AERbody"/>
        </w:rPr>
        <w:t>.</w:t>
      </w:r>
    </w:p>
    <w:p w:rsidR="005D10C5" w:rsidRPr="005D10C5" w:rsidRDefault="005D10C5" w:rsidP="005D10C5">
      <w:pPr>
        <w:pStyle w:val="Heading2"/>
      </w:pPr>
      <w:bookmarkStart w:id="28" w:name="_Ref433879052"/>
      <w:bookmarkStart w:id="29" w:name="_Toc436055076"/>
      <w:bookmarkStart w:id="30" w:name="_Ref431907799"/>
      <w:bookmarkStart w:id="31" w:name="_Ref431914979"/>
      <w:bookmarkStart w:id="32" w:name="_Toc436055061"/>
      <w:bookmarkStart w:id="33" w:name="_Toc451527990"/>
      <w:r w:rsidRPr="005D10C5">
        <w:t>Changing receipt or delivery points</w:t>
      </w:r>
      <w:bookmarkEnd w:id="28"/>
      <w:bookmarkEnd w:id="29"/>
      <w:bookmarkEnd w:id="33"/>
    </w:p>
    <w:p w:rsidR="00BC71BF" w:rsidRDefault="00BC71BF" w:rsidP="005D10C5">
      <w:r>
        <w:t xml:space="preserve">We approve the provisions for the change of receipt or delivery points in AGN's revised access arrangement proposal. </w:t>
      </w:r>
    </w:p>
    <w:p w:rsidR="00BC71BF" w:rsidRPr="0090774C" w:rsidRDefault="00BC71BF" w:rsidP="00BC71BF">
      <w:r>
        <w:t>Our assessment approach is set out in our draft decision.</w:t>
      </w:r>
      <w:r>
        <w:rPr>
          <w:rStyle w:val="FootnoteReference"/>
        </w:rPr>
        <w:footnoteReference w:id="21"/>
      </w:r>
      <w:r>
        <w:t xml:space="preserve"> We have used the same approach in this final decision.</w:t>
      </w:r>
    </w:p>
    <w:p w:rsidR="007757C2" w:rsidRDefault="007757C2" w:rsidP="007757C2">
      <w:r>
        <w:t xml:space="preserve">Our draft decision required AGN to restore clauses from </w:t>
      </w:r>
      <w:r w:rsidR="009619DE">
        <w:t>the</w:t>
      </w:r>
      <w:r>
        <w:t xml:space="preserve"> 2011</w:t>
      </w:r>
      <w:r w:rsidR="00A63B4E">
        <w:t>–</w:t>
      </w:r>
      <w:r>
        <w:t>2016 access arrangement setting out the procedure for changes to delivery or receipt points. In response, AGN did not incorporate the required amendment but included the following alternative:</w:t>
      </w:r>
      <w:r>
        <w:rPr>
          <w:rStyle w:val="FootnoteReference"/>
        </w:rPr>
        <w:footnoteReference w:id="22"/>
      </w:r>
      <w:r>
        <w:t xml:space="preserve"> </w:t>
      </w:r>
    </w:p>
    <w:p w:rsidR="007757C2" w:rsidRDefault="007757C2" w:rsidP="007757C2">
      <w:pPr>
        <w:pStyle w:val="AERquoteindent1"/>
      </w:pPr>
      <w:r>
        <w:t>In accordance with rule 106 of the NGR, a Network User may change a Delivery Point and/or Receipt Point.</w:t>
      </w:r>
    </w:p>
    <w:p w:rsidR="007757C2" w:rsidRDefault="007757C2" w:rsidP="007757C2">
      <w:pPr>
        <w:pStyle w:val="AERquoteindent1"/>
      </w:pPr>
      <w:r>
        <w:t>(a) Change of Delivery Points. If a Network User wishes to change Delivery Points, the Network User should refer to the Retail Market Procedures (South Australia), which detail how Network Users become registered as "current users" of Delivery Points. Part 3.3 of the Retail Market Procedures provides details of the procedures which Network Users should follow to transfer Delivery Points and the circumstances in, and grounds on which, AGN may object to a transfer request.</w:t>
      </w:r>
    </w:p>
    <w:p w:rsidR="007757C2" w:rsidRDefault="007757C2" w:rsidP="007757C2">
      <w:pPr>
        <w:pStyle w:val="AERquoteindent1"/>
      </w:pPr>
      <w:r>
        <w:t>(b) Change of Receipt Points. If a Network User wishes to change Receipt Points, the Network User should submit a written request to AGN, setting out the application details. A fee of $100, payable at the time of the request, will apply to each request. On receipt of the written request and the fee, AGN will complete an analysis to determine whether the request is technically and commercial feasible and reasonable.</w:t>
      </w:r>
    </w:p>
    <w:p w:rsidR="00BC71BF" w:rsidRDefault="007757C2" w:rsidP="005D10C5">
      <w:r>
        <w:t xml:space="preserve">We are </w:t>
      </w:r>
      <w:r w:rsidR="007960CA">
        <w:t xml:space="preserve">satisfied </w:t>
      </w:r>
      <w:r>
        <w:t xml:space="preserve">with AGN's proposed clause. We consider the opening words, 'in accordance with rule 106' ensure that the procedures set out in the rest of the clause are to operate subject to the principles in rule 106, in particular: </w:t>
      </w:r>
    </w:p>
    <w:p w:rsidR="00BC71BF" w:rsidRPr="00BC71BF" w:rsidRDefault="007757C2" w:rsidP="007757C2">
      <w:pPr>
        <w:pStyle w:val="AERbulletlistfirststyle"/>
      </w:pPr>
      <w:r w:rsidRPr="00BC71BF">
        <w:t xml:space="preserve"> </w:t>
      </w:r>
      <w:r w:rsidR="00BC71BF" w:rsidRPr="00BC71BF">
        <w:t>a user may, with the service provider's consent, change the user's receipt or delivery point</w:t>
      </w:r>
      <w:r>
        <w:t>, and</w:t>
      </w:r>
    </w:p>
    <w:p w:rsidR="00BC71BF" w:rsidRDefault="00BC71BF" w:rsidP="007757C2">
      <w:pPr>
        <w:pStyle w:val="AERbulletlistfirststyle"/>
      </w:pPr>
      <w:proofErr w:type="gramStart"/>
      <w:r w:rsidRPr="00BC71BF">
        <w:t>the</w:t>
      </w:r>
      <w:proofErr w:type="gramEnd"/>
      <w:r w:rsidRPr="00BC71BF">
        <w:t xml:space="preserve"> service provider must not withhold its consent unless it has reasonable </w:t>
      </w:r>
      <w:r w:rsidR="005A7815" w:rsidRPr="00BC71BF">
        <w:t xml:space="preserve">technical or commercial </w:t>
      </w:r>
      <w:r w:rsidRPr="00BC71BF">
        <w:t xml:space="preserve">for doing so. </w:t>
      </w:r>
    </w:p>
    <w:p w:rsidR="00EF2E98" w:rsidRDefault="00EF2E98" w:rsidP="00A20A7E">
      <w:pPr>
        <w:pStyle w:val="Heading2"/>
      </w:pPr>
      <w:bookmarkStart w:id="34" w:name="_Toc451527991"/>
      <w:r>
        <w:t>Capacity trading requirements</w:t>
      </w:r>
      <w:bookmarkEnd w:id="34"/>
    </w:p>
    <w:p w:rsidR="00EF2E98" w:rsidRDefault="00EF2E98" w:rsidP="00A20A7E">
      <w:r>
        <w:t>AGN</w:t>
      </w:r>
      <w:r w:rsidR="00A64E00">
        <w:t>'s</w:t>
      </w:r>
      <w:r>
        <w:t xml:space="preserve"> access arrangement proposal deals with capacity trading as follows:</w:t>
      </w:r>
    </w:p>
    <w:p w:rsidR="004239E6" w:rsidRPr="004239E6" w:rsidRDefault="004239E6" w:rsidP="00A20A7E">
      <w:pPr>
        <w:pStyle w:val="AERquoteindent1"/>
      </w:pPr>
      <w:r w:rsidRPr="004239E6">
        <w:t xml:space="preserve">7.1 Transactions subject to Retail Market Procedures </w:t>
      </w:r>
    </w:p>
    <w:p w:rsidR="004239E6" w:rsidRPr="004239E6" w:rsidRDefault="004239E6" w:rsidP="00A20A7E">
      <w:pPr>
        <w:pStyle w:val="AERquoteindent1"/>
      </w:pPr>
      <w:r w:rsidRPr="004239E6">
        <w:t xml:space="preserve">Transfers of Contracted Capacity will be undertaken: </w:t>
      </w:r>
    </w:p>
    <w:p w:rsidR="004239E6" w:rsidRPr="004239E6" w:rsidRDefault="004239E6" w:rsidP="00A20A7E">
      <w:pPr>
        <w:pStyle w:val="AERquoteindent1"/>
      </w:pPr>
      <w:r w:rsidRPr="004239E6">
        <w:t xml:space="preserve">(a) </w:t>
      </w:r>
      <w:proofErr w:type="gramStart"/>
      <w:r w:rsidRPr="004239E6">
        <w:t>where</w:t>
      </w:r>
      <w:proofErr w:type="gramEnd"/>
      <w:r w:rsidRPr="004239E6">
        <w:t xml:space="preserve"> AGN is registered as a participant in a gas market that includes the Network - in accordance with the rules or procedures governing that gas market; or </w:t>
      </w:r>
    </w:p>
    <w:p w:rsidR="004239E6" w:rsidRPr="004239E6" w:rsidRDefault="004239E6" w:rsidP="00A20A7E">
      <w:pPr>
        <w:pStyle w:val="AERquoteindent1"/>
      </w:pPr>
      <w:r w:rsidRPr="004239E6">
        <w:t xml:space="preserve">(b) </w:t>
      </w:r>
      <w:proofErr w:type="gramStart"/>
      <w:r w:rsidRPr="004239E6">
        <w:t>if</w:t>
      </w:r>
      <w:proofErr w:type="gramEnd"/>
      <w:r w:rsidRPr="004239E6">
        <w:t xml:space="preserve"> AGN is not so registered - in accordance with rule 105 of the NGR, and this part 7. </w:t>
      </w:r>
    </w:p>
    <w:p w:rsidR="004239E6" w:rsidRPr="004239E6" w:rsidRDefault="004239E6" w:rsidP="00A20A7E">
      <w:pPr>
        <w:pStyle w:val="AERquoteindent1"/>
      </w:pPr>
      <w:r w:rsidRPr="004239E6">
        <w:t xml:space="preserve">As at the date of this Access Arrangement, the Network is the subject of the retail gas market of South Australia and, as the holder of a gas distribution licence under the Gas Act 1997 (SA), AGN is registered as a participant in that market in accordance with sub-rule 135AB(3)(a) of the NGR. </w:t>
      </w:r>
    </w:p>
    <w:p w:rsidR="004239E6" w:rsidRDefault="004239E6" w:rsidP="00A20A7E">
      <w:pPr>
        <w:pStyle w:val="AERquoteindent1"/>
      </w:pPr>
      <w:r w:rsidRPr="004239E6">
        <w:t xml:space="preserve">As at the date of this Access Arrangement, the rules or Procedures which govern the South Australian retail gas market are the Retail Market Procedures for South Australia. A copy of the Retail Market Procedures is available at </w:t>
      </w:r>
      <w:hyperlink r:id="rId12" w:history="1">
        <w:r w:rsidRPr="00101E6A">
          <w:rPr>
            <w:rStyle w:val="Hyperlink"/>
            <w:sz w:val="20"/>
          </w:rPr>
          <w:t>www.aemo.com.au</w:t>
        </w:r>
      </w:hyperlink>
      <w:r w:rsidRPr="004239E6">
        <w:t>.</w:t>
      </w:r>
    </w:p>
    <w:p w:rsidR="004239E6" w:rsidRPr="00D22F46" w:rsidRDefault="00A20A7E" w:rsidP="00A20A7E">
      <w:r>
        <w:t>The</w:t>
      </w:r>
      <w:r w:rsidR="004239E6" w:rsidRPr="00A20A7E">
        <w:t xml:space="preserve"> previous access a</w:t>
      </w:r>
      <w:r>
        <w:t>rrangement (for the 2011 to 2016</w:t>
      </w:r>
      <w:r w:rsidR="004239E6" w:rsidRPr="00A20A7E">
        <w:t xml:space="preserve"> access arrangement period) had additional provisions </w:t>
      </w:r>
      <w:r w:rsidR="00CE0942" w:rsidRPr="00A20A7E">
        <w:t>setting out in detail</w:t>
      </w:r>
      <w:r w:rsidR="004239E6" w:rsidRPr="00A20A7E">
        <w:t xml:space="preserve"> the processes for various types of capacity transfers</w:t>
      </w:r>
      <w:r w:rsidR="00E26AD4" w:rsidRPr="00A20A7E">
        <w:t>.  AGN did not include these in its proposal for the 2016 to 2021 access arrangement.  Our draft decision required amendments to make clear to users the requirements for any transfer of capacity.</w:t>
      </w:r>
      <w:r w:rsidR="00E26AD4" w:rsidRPr="00D22F46">
        <w:rPr>
          <w:rStyle w:val="FootnoteReference"/>
        </w:rPr>
        <w:footnoteReference w:id="23"/>
      </w:r>
      <w:r w:rsidR="00E26AD4" w:rsidRPr="00A20A7E">
        <w:t xml:space="preserve"> </w:t>
      </w:r>
      <w:r w:rsidR="00CE0942" w:rsidRPr="00A20A7E">
        <w:t>AGN did not make this amendment, on the basis that</w:t>
      </w:r>
      <w:r w:rsidR="003218AB" w:rsidRPr="00A20A7E">
        <w:t xml:space="preserve"> its preferred clause is simpler and</w:t>
      </w:r>
      <w:r w:rsidR="00CE0942" w:rsidRPr="00A20A7E">
        <w:t xml:space="preserve"> the SA market procedures deal appropriately with capacity trading in the operating context of the SA distribution network.  </w:t>
      </w:r>
      <w:r w:rsidR="004A7BDE">
        <w:t>Having considered AGN's submissions, we</w:t>
      </w:r>
      <w:r w:rsidR="00B41630" w:rsidRPr="00A20A7E">
        <w:t xml:space="preserve"> are satisfied that </w:t>
      </w:r>
      <w:r w:rsidR="003218AB" w:rsidRPr="00A20A7E">
        <w:t>leaving out the additional capacity transfer processes would not affect the services provided or the operation of the network</w:t>
      </w:r>
      <w:r w:rsidR="00B41630" w:rsidRPr="00A20A7E">
        <w:t xml:space="preserve">, and on that basis we </w:t>
      </w:r>
      <w:r w:rsidR="003218AB" w:rsidRPr="00A20A7E">
        <w:t xml:space="preserve">approve the capacity trading requirements in </w:t>
      </w:r>
      <w:r w:rsidR="00B41630" w:rsidRPr="00A20A7E">
        <w:t>AGN's</w:t>
      </w:r>
      <w:r w:rsidR="003218AB" w:rsidRPr="00A20A7E">
        <w:t xml:space="preserve"> revised access arrangement proposal. </w:t>
      </w:r>
    </w:p>
    <w:p w:rsidR="008952FC" w:rsidRDefault="005D10C5" w:rsidP="008952FC">
      <w:pPr>
        <w:pStyle w:val="Heading2"/>
      </w:pPr>
      <w:bookmarkStart w:id="35" w:name="_Toc451527992"/>
      <w:r>
        <w:t>Other non-tariff components</w:t>
      </w:r>
      <w:bookmarkEnd w:id="35"/>
      <w:r>
        <w:t xml:space="preserve"> </w:t>
      </w:r>
      <w:bookmarkEnd w:id="30"/>
      <w:bookmarkEnd w:id="31"/>
      <w:bookmarkEnd w:id="32"/>
    </w:p>
    <w:p w:rsidR="00BF1426" w:rsidRPr="00AA6990" w:rsidRDefault="00BF1426" w:rsidP="00BF1426">
      <w:r>
        <w:t xml:space="preserve">We accept the clauses in AGN's revised access arrangement proposal concerning the review submission date and revision </w:t>
      </w:r>
      <w:r w:rsidR="0032324E">
        <w:t xml:space="preserve">commencement date. Our draft decision required amendments to these clauses to </w:t>
      </w:r>
      <w:r>
        <w:t xml:space="preserve">specify single </w:t>
      </w:r>
      <w:r w:rsidR="0032324E">
        <w:t xml:space="preserve">fixed </w:t>
      </w:r>
      <w:r>
        <w:t>dates. AGN's revised proposal incorporates this</w:t>
      </w:r>
      <w:r w:rsidR="0032324E">
        <w:t xml:space="preserve"> change</w:t>
      </w:r>
      <w:r>
        <w:t xml:space="preserve">.  </w:t>
      </w:r>
    </w:p>
    <w:p w:rsidR="00AA6990" w:rsidRPr="00AA6990" w:rsidRDefault="00AA6990" w:rsidP="00AA6990">
      <w:r>
        <w:t xml:space="preserve">AGN's </w:t>
      </w:r>
      <w:r w:rsidRPr="00AA6990">
        <w:t>revised proposal restated without revision its original proposals on the following non-tariff components:</w:t>
      </w:r>
    </w:p>
    <w:p w:rsidR="00AA6990" w:rsidRPr="00AA6990" w:rsidRDefault="00BF1426" w:rsidP="00AA6990">
      <w:pPr>
        <w:pStyle w:val="AERbulletlistfirststyle"/>
      </w:pPr>
      <w:r>
        <w:t>queuing requirements</w:t>
      </w:r>
    </w:p>
    <w:p w:rsidR="00AA6990" w:rsidRDefault="00AA6990" w:rsidP="00AA6990">
      <w:pPr>
        <w:pStyle w:val="AERbulletlistfirststyle"/>
      </w:pPr>
      <w:r>
        <w:t xml:space="preserve">extension and expansion requirements </w:t>
      </w:r>
    </w:p>
    <w:p w:rsidR="00AA6990" w:rsidRPr="00AA6990" w:rsidRDefault="00AA6990" w:rsidP="00AA6990">
      <w:r w:rsidRPr="00AA6990">
        <w:t xml:space="preserve">Our draft decision approved </w:t>
      </w:r>
      <w:r>
        <w:t>AGN's</w:t>
      </w:r>
      <w:r w:rsidRPr="00AA6990">
        <w:t xml:space="preserve"> proposals on these components. Our assessment approach is set out in Attachment 12 of our draft decision, and we have used the same approach in this final submission.</w:t>
      </w:r>
    </w:p>
    <w:p w:rsidR="005D10C5" w:rsidRPr="005D10C5" w:rsidRDefault="00AA6990" w:rsidP="005D10C5">
      <w:r w:rsidRPr="00AA6990">
        <w:t>We did not receive any submissions on these components</w:t>
      </w:r>
      <w:r w:rsidR="00A20A7E">
        <w:t xml:space="preserve">, and for the reasons set out in our draft </w:t>
      </w:r>
      <w:r w:rsidR="00546151">
        <w:t>decision</w:t>
      </w:r>
      <w:r w:rsidR="00A20A7E">
        <w:t xml:space="preserve"> we maintain our position to approve </w:t>
      </w:r>
      <w:r>
        <w:t>AGN's</w:t>
      </w:r>
      <w:r w:rsidRPr="00AA6990">
        <w:t xml:space="preserve"> </w:t>
      </w:r>
      <w:r w:rsidR="00A20A7E">
        <w:t xml:space="preserve">proposals in this final </w:t>
      </w:r>
      <w:r w:rsidR="00546151">
        <w:t>decision</w:t>
      </w:r>
      <w:r w:rsidRPr="00AA6990">
        <w:t>.</w:t>
      </w:r>
    </w:p>
    <w:sectPr w:rsidR="005D10C5" w:rsidRPr="005D10C5" w:rsidSect="00B757A6">
      <w:headerReference w:type="even" r:id="rId13"/>
      <w:footerReference w:type="even" r:id="rId14"/>
      <w:footerReference w:type="default" r:id="rId15"/>
      <w:headerReference w:type="first" r:id="rId16"/>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7C2" w:rsidRPr="00290C63" w:rsidRDefault="007757C2" w:rsidP="00290C63">
      <w:r>
        <w:separator/>
      </w:r>
    </w:p>
    <w:p w:rsidR="007757C2" w:rsidRDefault="007757C2"/>
  </w:endnote>
  <w:endnote w:type="continuationSeparator" w:id="0">
    <w:p w:rsidR="007757C2" w:rsidRPr="00290C63" w:rsidRDefault="007757C2" w:rsidP="00290C63">
      <w:r>
        <w:continuationSeparator/>
      </w:r>
    </w:p>
    <w:p w:rsidR="007757C2" w:rsidRDefault="00775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C2" w:rsidRDefault="007757C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7757C2" w:rsidRDefault="007757C2">
    <w:pPr>
      <w:pStyle w:val="Footer"/>
    </w:pPr>
  </w:p>
  <w:p w:rsidR="007757C2" w:rsidRDefault="007757C2">
    <w:pPr>
      <w:pStyle w:val="Footer"/>
    </w:pPr>
    <w:r>
      <w:fldChar w:fldCharType="begin"/>
    </w:r>
    <w:r>
      <w:instrText xml:space="preserve"> DOCPROPERTY DocumentID \* MERGEFORMAT </w:instrText>
    </w:r>
    <w:r>
      <w:fldChar w:fldCharType="separate"/>
    </w:r>
    <w:r w:rsidR="006561D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7757C2" w:rsidRPr="00CA52A2" w:rsidRDefault="007757C2" w:rsidP="00CA52A2">
        <w:pPr>
          <w:pStyle w:val="Footer"/>
        </w:pPr>
        <w:r w:rsidRPr="00CA52A2">
          <w:fldChar w:fldCharType="begin"/>
        </w:r>
        <w:r>
          <w:instrText xml:space="preserve"> PAGE   \* MERGEFORMAT </w:instrText>
        </w:r>
        <w:r w:rsidRPr="00CA52A2">
          <w:fldChar w:fldCharType="separate"/>
        </w:r>
        <w:r w:rsidR="0096414B">
          <w:rPr>
            <w:noProof/>
          </w:rPr>
          <w:t>12-3</w:t>
        </w:r>
        <w:r w:rsidRPr="00CA52A2">
          <w:fldChar w:fldCharType="end"/>
        </w:r>
        <w:r w:rsidRPr="00CA52A2">
          <w:t xml:space="preserve">          Attachment </w:t>
        </w:r>
        <w:r>
          <w:t xml:space="preserve">12 </w:t>
        </w:r>
        <w:r w:rsidRPr="00CA52A2">
          <w:t xml:space="preserve">– </w:t>
        </w:r>
        <w:r>
          <w:t xml:space="preserve">Non-tariff components </w:t>
        </w:r>
        <w:r w:rsidRPr="00CA52A2">
          <w:t xml:space="preserve">| </w:t>
        </w:r>
        <w:r>
          <w:t>Final decision: Australian Gas Networks Access Arrangement 2016</w:t>
        </w:r>
        <w:r w:rsidRPr="00CA52A2">
          <w:t>–</w:t>
        </w:r>
        <w:r>
          <w:t>21</w:t>
        </w:r>
      </w:p>
    </w:sdtContent>
  </w:sdt>
  <w:p w:rsidR="007757C2" w:rsidRDefault="007757C2">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7C2" w:rsidRPr="00290C63" w:rsidRDefault="007757C2" w:rsidP="00290C63">
      <w:r>
        <w:separator/>
      </w:r>
    </w:p>
    <w:p w:rsidR="007757C2" w:rsidRDefault="007757C2"/>
  </w:footnote>
  <w:footnote w:type="continuationSeparator" w:id="0">
    <w:p w:rsidR="007757C2" w:rsidRPr="00290C63" w:rsidRDefault="007757C2" w:rsidP="00290C63">
      <w:r>
        <w:continuationSeparator/>
      </w:r>
    </w:p>
    <w:p w:rsidR="007757C2" w:rsidRDefault="007757C2"/>
  </w:footnote>
  <w:footnote w:id="1">
    <w:p w:rsidR="00787FE5" w:rsidRDefault="00787FE5" w:rsidP="00787FE5">
      <w:pPr>
        <w:pStyle w:val="FootnoteText"/>
      </w:pPr>
      <w:r>
        <w:rPr>
          <w:rStyle w:val="FootnoteReference"/>
        </w:rPr>
        <w:footnoteRef/>
      </w:r>
      <w:r>
        <w:t xml:space="preserve"> </w:t>
      </w:r>
      <w:r>
        <w:tab/>
        <w:t>Rule 64(2) provides that the AER's proposal for an access arrangement or revisions is to be formulated with regard to (a) the matters the Law requires an access arrangement to include, the service provider's access arrangement proposal, and the AER's reasons for refusing to approve that proposal.</w:t>
      </w:r>
    </w:p>
  </w:footnote>
  <w:footnote w:id="2">
    <w:p w:rsidR="007757C2" w:rsidRDefault="007757C2" w:rsidP="003448EE">
      <w:pPr>
        <w:pStyle w:val="FootnoteText"/>
      </w:pPr>
      <w:r>
        <w:rPr>
          <w:rStyle w:val="FootnoteReference"/>
        </w:rPr>
        <w:footnoteRef/>
      </w:r>
      <w:r>
        <w:t xml:space="preserve"> </w:t>
      </w:r>
      <w:r>
        <w:tab/>
        <w:t>NGR, r. 48(1</w:t>
      </w:r>
      <w:proofErr w:type="gramStart"/>
      <w:r>
        <w:t>)(</w:t>
      </w:r>
      <w:proofErr w:type="gramEnd"/>
      <w:r>
        <w:t>d)(ii).</w:t>
      </w:r>
    </w:p>
  </w:footnote>
  <w:footnote w:id="3">
    <w:p w:rsidR="007757C2" w:rsidRDefault="007757C2" w:rsidP="003448EE">
      <w:pPr>
        <w:pStyle w:val="FootnoteText"/>
      </w:pPr>
      <w:r>
        <w:rPr>
          <w:rStyle w:val="FootnoteReference"/>
        </w:rPr>
        <w:footnoteRef/>
      </w:r>
      <w:r>
        <w:t xml:space="preserve"> </w:t>
      </w:r>
      <w:r>
        <w:tab/>
        <w:t>With the exception that a service provider must comply with the queuing requirements in an applicable access arrangement: NGL, ss</w:t>
      </w:r>
      <w:r w:rsidR="00D22F46">
        <w:t>.</w:t>
      </w:r>
      <w:r>
        <w:t xml:space="preserve"> 135 and 3</w:t>
      </w:r>
      <w:r w:rsidR="0054765D">
        <w:t>2</w:t>
      </w:r>
      <w:r>
        <w:t>2.</w:t>
      </w:r>
    </w:p>
  </w:footnote>
  <w:footnote w:id="4">
    <w:p w:rsidR="007757C2" w:rsidRDefault="007757C2" w:rsidP="003448EE">
      <w:pPr>
        <w:pStyle w:val="FootnoteText"/>
      </w:pPr>
      <w:r>
        <w:rPr>
          <w:rStyle w:val="FootnoteReference"/>
        </w:rPr>
        <w:footnoteRef/>
      </w:r>
      <w:r>
        <w:t xml:space="preserve"> </w:t>
      </w:r>
      <w:r>
        <w:tab/>
      </w:r>
      <w:proofErr w:type="gramStart"/>
      <w:r>
        <w:t>NGL</w:t>
      </w:r>
      <w:r w:rsidR="00C90A03">
        <w:t>,</w:t>
      </w:r>
      <w:r>
        <w:t xml:space="preserve"> s</w:t>
      </w:r>
      <w:r w:rsidR="00C90A03">
        <w:t>.</w:t>
      </w:r>
      <w:r>
        <w:t xml:space="preserve"> 189.</w:t>
      </w:r>
      <w:proofErr w:type="gramEnd"/>
    </w:p>
  </w:footnote>
  <w:footnote w:id="5">
    <w:p w:rsidR="00F130C5" w:rsidRDefault="00F130C5">
      <w:pPr>
        <w:pStyle w:val="FootnoteText"/>
      </w:pPr>
      <w:r>
        <w:rPr>
          <w:rStyle w:val="FootnoteReference"/>
        </w:rPr>
        <w:footnoteRef/>
      </w:r>
      <w:r>
        <w:t xml:space="preserve"> </w:t>
      </w:r>
      <w:r>
        <w:tab/>
      </w:r>
      <w:r w:rsidR="004F47A4">
        <w:t>This reference and all subsequent references</w:t>
      </w:r>
      <w:r>
        <w:t xml:space="preserve"> in this table are to AGN, </w:t>
      </w:r>
      <w:r w:rsidRPr="00F130C5">
        <w:rPr>
          <w:rStyle w:val="AERtextitalic"/>
        </w:rPr>
        <w:t>SA Access Arrangement Annexure G – General Terms and Conditions,</w:t>
      </w:r>
      <w:r>
        <w:t xml:space="preserve"> January 2016.</w:t>
      </w:r>
    </w:p>
  </w:footnote>
  <w:footnote w:id="6">
    <w:p w:rsidR="007757C2" w:rsidRDefault="007757C2" w:rsidP="00473F1E">
      <w:pPr>
        <w:pStyle w:val="FootnoteText"/>
      </w:pPr>
      <w:r>
        <w:rPr>
          <w:rStyle w:val="FootnoteReference"/>
        </w:rPr>
        <w:footnoteRef/>
      </w:r>
      <w:r>
        <w:t xml:space="preserve"> </w:t>
      </w:r>
      <w:r>
        <w:tab/>
      </w:r>
      <w:proofErr w:type="gramStart"/>
      <w:r>
        <w:t>NGR, r.</w:t>
      </w:r>
      <w:r w:rsidR="00BB1090">
        <w:t xml:space="preserve"> </w:t>
      </w:r>
      <w:r>
        <w:t>100.</w:t>
      </w:r>
      <w:proofErr w:type="gramEnd"/>
    </w:p>
  </w:footnote>
  <w:footnote w:id="7">
    <w:p w:rsidR="007757C2" w:rsidRDefault="007757C2">
      <w:pPr>
        <w:pStyle w:val="FootnoteText"/>
      </w:pPr>
      <w:r>
        <w:rPr>
          <w:rStyle w:val="FootnoteReference"/>
        </w:rPr>
        <w:footnoteRef/>
      </w:r>
      <w:r>
        <w:t xml:space="preserve"> </w:t>
      </w:r>
      <w:r>
        <w:tab/>
        <w:t xml:space="preserve">AEMO, </w:t>
      </w:r>
      <w:r w:rsidRPr="001101DC">
        <w:rPr>
          <w:rStyle w:val="AERtextitalic"/>
        </w:rPr>
        <w:t>Retail Market Procedures (South Australia</w:t>
      </w:r>
      <w:proofErr w:type="gramStart"/>
      <w:r w:rsidRPr="001101DC">
        <w:rPr>
          <w:rStyle w:val="AERtextitalic"/>
        </w:rPr>
        <w:t>) ,</w:t>
      </w:r>
      <w:proofErr w:type="gramEnd"/>
      <w:r w:rsidRPr="001101DC">
        <w:rPr>
          <w:rStyle w:val="AERtextitalic"/>
        </w:rPr>
        <w:t xml:space="preserve"> version 8,</w:t>
      </w:r>
      <w:r>
        <w:t xml:space="preserve"> 14 September 2015.</w:t>
      </w:r>
    </w:p>
  </w:footnote>
  <w:footnote w:id="8">
    <w:p w:rsidR="007757C2" w:rsidRDefault="007757C2" w:rsidP="008952FC">
      <w:pPr>
        <w:pStyle w:val="FootnoteText"/>
      </w:pPr>
      <w:r>
        <w:rPr>
          <w:rStyle w:val="FootnoteReference"/>
        </w:rPr>
        <w:footnoteRef/>
      </w:r>
      <w:r>
        <w:t xml:space="preserve"> </w:t>
      </w:r>
      <w:r>
        <w:tab/>
      </w:r>
      <w:proofErr w:type="gramStart"/>
      <w:r>
        <w:t>NGR, r. 40(3).</w:t>
      </w:r>
      <w:proofErr w:type="gramEnd"/>
    </w:p>
  </w:footnote>
  <w:footnote w:id="9">
    <w:p w:rsidR="007757C2" w:rsidRDefault="007757C2">
      <w:pPr>
        <w:pStyle w:val="FootnoteText"/>
      </w:pPr>
      <w:r>
        <w:rPr>
          <w:rStyle w:val="FootnoteReference"/>
        </w:rPr>
        <w:footnoteRef/>
      </w:r>
      <w:r>
        <w:t xml:space="preserve"> </w:t>
      </w:r>
      <w:r>
        <w:tab/>
        <w:t xml:space="preserve">AER, </w:t>
      </w:r>
      <w:r w:rsidRPr="001101DC">
        <w:rPr>
          <w:rStyle w:val="AERtextitalic"/>
        </w:rPr>
        <w:t>Draft Decision, Australian Gas Networks Access Arrangement 2016 to 2021, Attachment 12 - Non-tariff components</w:t>
      </w:r>
      <w:r>
        <w:t>, November 2015, p. 12</w:t>
      </w:r>
      <w:r w:rsidR="00BB1090">
        <w:t>-</w:t>
      </w:r>
      <w:r>
        <w:t>8.</w:t>
      </w:r>
    </w:p>
  </w:footnote>
  <w:footnote w:id="10">
    <w:p w:rsidR="00D652A9" w:rsidRDefault="00D652A9">
      <w:pPr>
        <w:pStyle w:val="FootnoteText"/>
      </w:pPr>
      <w:r>
        <w:rPr>
          <w:rStyle w:val="FootnoteReference"/>
        </w:rPr>
        <w:footnoteRef/>
      </w:r>
      <w:r>
        <w:t xml:space="preserve"> </w:t>
      </w:r>
      <w:r>
        <w:tab/>
        <w:t xml:space="preserve">AER, </w:t>
      </w:r>
      <w:r w:rsidRPr="00D652A9">
        <w:rPr>
          <w:rStyle w:val="AERtextitalic"/>
        </w:rPr>
        <w:t>Draft Decision - Australian Gas Networks (South Australia) Access Arrangement Proposal 2016 - 21</w:t>
      </w:r>
      <w:r>
        <w:t xml:space="preserve">, </w:t>
      </w:r>
      <w:r w:rsidR="00CD5997">
        <w:t xml:space="preserve">November 2015, </w:t>
      </w:r>
      <w:r>
        <w:t>p. 12-13.</w:t>
      </w:r>
    </w:p>
  </w:footnote>
  <w:footnote w:id="11">
    <w:p w:rsidR="002C262E" w:rsidRDefault="002C262E">
      <w:pPr>
        <w:pStyle w:val="FootnoteText"/>
      </w:pPr>
      <w:r>
        <w:rPr>
          <w:rStyle w:val="FootnoteReference"/>
        </w:rPr>
        <w:footnoteRef/>
      </w:r>
      <w:r>
        <w:t xml:space="preserve"> </w:t>
      </w:r>
      <w:r>
        <w:tab/>
        <w:t xml:space="preserve">AGL, </w:t>
      </w:r>
      <w:r w:rsidRPr="001101DC">
        <w:rPr>
          <w:rStyle w:val="AERtextitalic"/>
        </w:rPr>
        <w:t>Submission on Australian Gas Networks (South Australia) Access Arrangement Proposal 2016-21,</w:t>
      </w:r>
      <w:r>
        <w:t xml:space="preserve"> 11 August 2015, p. 6.</w:t>
      </w:r>
    </w:p>
  </w:footnote>
  <w:footnote w:id="12">
    <w:p w:rsidR="007757C2" w:rsidRDefault="007757C2" w:rsidP="0068328D">
      <w:pPr>
        <w:pStyle w:val="FootnoteText"/>
      </w:pPr>
      <w:r>
        <w:rPr>
          <w:rStyle w:val="FootnoteReference"/>
        </w:rPr>
        <w:footnoteRef/>
      </w:r>
      <w:r>
        <w:t xml:space="preserve"> </w:t>
      </w:r>
      <w:r>
        <w:tab/>
      </w:r>
      <w:r w:rsidRPr="00A83FAE">
        <w:t xml:space="preserve">AGN, </w:t>
      </w:r>
      <w:r w:rsidRPr="00EF0B95">
        <w:rPr>
          <w:rStyle w:val="AERtextitalic"/>
        </w:rPr>
        <w:t>Attachment 17.3, Response to Draft Decision: Non-Tariff Components, 2016/17 to 2020/21 Access Arrangement Information Response to Draft Decision</w:t>
      </w:r>
      <w:r>
        <w:t xml:space="preserve">, </w:t>
      </w:r>
      <w:r w:rsidR="00CD5997">
        <w:t xml:space="preserve">January 2016, </w:t>
      </w:r>
      <w:r>
        <w:t>p. 6</w:t>
      </w:r>
      <w:r w:rsidRPr="00A83FAE">
        <w:t>.</w:t>
      </w:r>
    </w:p>
  </w:footnote>
  <w:footnote w:id="13">
    <w:p w:rsidR="00EF0B95" w:rsidRDefault="00EF0B95">
      <w:pPr>
        <w:pStyle w:val="FootnoteText"/>
      </w:pPr>
      <w:r>
        <w:rPr>
          <w:rStyle w:val="FootnoteReference"/>
        </w:rPr>
        <w:footnoteRef/>
      </w:r>
      <w:r>
        <w:t xml:space="preserve"> </w:t>
      </w:r>
      <w:r>
        <w:tab/>
      </w:r>
      <w:r w:rsidRPr="00EF0B95">
        <w:t xml:space="preserve">AER, </w:t>
      </w:r>
      <w:r w:rsidRPr="007A732A">
        <w:rPr>
          <w:i/>
        </w:rPr>
        <w:t>Draft Decision - Australian Gas Networks (South Australia) Access Arrangement Proposal 2016 - 21</w:t>
      </w:r>
      <w:r w:rsidRPr="00EF0B95">
        <w:t xml:space="preserve">, </w:t>
      </w:r>
      <w:r w:rsidR="005B6E13">
        <w:t xml:space="preserve">November 2015, </w:t>
      </w:r>
      <w:r w:rsidRPr="00EF0B95">
        <w:t>p. 12-13.</w:t>
      </w:r>
    </w:p>
  </w:footnote>
  <w:footnote w:id="14">
    <w:p w:rsidR="00160FDC" w:rsidRDefault="00160FDC">
      <w:pPr>
        <w:pStyle w:val="FootnoteText"/>
      </w:pPr>
      <w:r>
        <w:rPr>
          <w:rStyle w:val="FootnoteReference"/>
        </w:rPr>
        <w:footnoteRef/>
      </w:r>
      <w:r>
        <w:t xml:space="preserve"> </w:t>
      </w:r>
      <w:r>
        <w:tab/>
      </w:r>
      <w:proofErr w:type="gramStart"/>
      <w:r w:rsidR="008A0460">
        <w:t xml:space="preserve">AGN </w:t>
      </w:r>
      <w:r w:rsidR="008A0460" w:rsidRPr="009619DE">
        <w:rPr>
          <w:rStyle w:val="AERtextitalic"/>
        </w:rPr>
        <w:t>Deemed Standard Connection Contract version 2.0</w:t>
      </w:r>
      <w:r w:rsidR="008A0460">
        <w:t xml:space="preserve"> November 2011 clause 9, which picks up the model term in </w:t>
      </w:r>
      <w:r>
        <w:t>NERR Schedule 2 Clause 9</w:t>
      </w:r>
      <w:r w:rsidR="00BB1090">
        <w:t>.</w:t>
      </w:r>
      <w:proofErr w:type="gramEnd"/>
    </w:p>
  </w:footnote>
  <w:footnote w:id="15">
    <w:p w:rsidR="007757C2" w:rsidRDefault="007757C2">
      <w:pPr>
        <w:pStyle w:val="FootnoteText"/>
      </w:pPr>
      <w:r>
        <w:rPr>
          <w:rStyle w:val="FootnoteReference"/>
        </w:rPr>
        <w:footnoteRef/>
      </w:r>
      <w:r>
        <w:t xml:space="preserve"> </w:t>
      </w:r>
      <w:r>
        <w:tab/>
      </w:r>
      <w:proofErr w:type="gramStart"/>
      <w:r>
        <w:t>NGR</w:t>
      </w:r>
      <w:r w:rsidR="00C90A03">
        <w:t>,</w:t>
      </w:r>
      <w:r>
        <w:t xml:space="preserve"> r. 508.</w:t>
      </w:r>
      <w:proofErr w:type="gramEnd"/>
      <w:r>
        <w:t xml:space="preserve"> The requirements of the NECF as they apply to AGN are in the NERL, the NERR and Parts 12A and 21 of the NGR.</w:t>
      </w:r>
    </w:p>
  </w:footnote>
  <w:footnote w:id="16">
    <w:p w:rsidR="007757C2" w:rsidRDefault="007757C2" w:rsidP="0029158A">
      <w:pPr>
        <w:pStyle w:val="FootnoteText"/>
      </w:pPr>
      <w:r>
        <w:rPr>
          <w:rStyle w:val="FootnoteReference"/>
        </w:rPr>
        <w:footnoteRef/>
      </w:r>
      <w:r>
        <w:t xml:space="preserve"> </w:t>
      </w:r>
      <w:r>
        <w:tab/>
        <w:t xml:space="preserve">AGN, </w:t>
      </w:r>
      <w:r w:rsidRPr="009619DE">
        <w:rPr>
          <w:rStyle w:val="AERtextitalic"/>
        </w:rPr>
        <w:t>Attachment 17.3, Response to Draft Decision: Non-Tariff Components, 2016/17 to 2020/21 Access Arrangement Information Response to Draft Decision</w:t>
      </w:r>
      <w:r>
        <w:t xml:space="preserve">, </w:t>
      </w:r>
      <w:r w:rsidR="00CD5997">
        <w:t xml:space="preserve">January 2016, </w:t>
      </w:r>
      <w:r>
        <w:t>p. 4.</w:t>
      </w:r>
    </w:p>
  </w:footnote>
  <w:footnote w:id="17">
    <w:p w:rsidR="007757C2" w:rsidRDefault="007757C2" w:rsidP="00B74439">
      <w:pPr>
        <w:pStyle w:val="FootnoteText"/>
      </w:pPr>
      <w:r>
        <w:rPr>
          <w:rStyle w:val="FootnoteReference"/>
        </w:rPr>
        <w:footnoteRef/>
      </w:r>
      <w:r>
        <w:t xml:space="preserve"> </w:t>
      </w:r>
      <w:r>
        <w:tab/>
        <w:t xml:space="preserve">AGN, </w:t>
      </w:r>
      <w:r w:rsidRPr="009619DE">
        <w:rPr>
          <w:rStyle w:val="AERtextitalic"/>
        </w:rPr>
        <w:t>Attachment 17.3, Response to Draft Decision: Non-Tariff Components, 2016/17 to 2020/21 Access Arrangement Information Response to Draft Decision</w:t>
      </w:r>
      <w:r>
        <w:t xml:space="preserve">, </w:t>
      </w:r>
      <w:r w:rsidR="00CD5997">
        <w:t xml:space="preserve">January 2016, </w:t>
      </w:r>
      <w:r>
        <w:t>p. 5.</w:t>
      </w:r>
    </w:p>
  </w:footnote>
  <w:footnote w:id="18">
    <w:p w:rsidR="007757C2" w:rsidRDefault="007757C2" w:rsidP="007B37EC">
      <w:pPr>
        <w:pStyle w:val="FootnoteText"/>
      </w:pPr>
      <w:r>
        <w:rPr>
          <w:rStyle w:val="FootnoteReference"/>
        </w:rPr>
        <w:footnoteRef/>
      </w:r>
      <w:r>
        <w:t xml:space="preserve"> </w:t>
      </w:r>
      <w:r>
        <w:tab/>
        <w:t xml:space="preserve">AGL, </w:t>
      </w:r>
      <w:r w:rsidRPr="00A20A7E">
        <w:rPr>
          <w:rStyle w:val="AERtextitalic"/>
        </w:rPr>
        <w:t>Re: AER Draft Decision on the Australian Gas Networks (South Australia) - Access Arrangement 2016</w:t>
      </w:r>
      <w:r w:rsidR="00A63B4E" w:rsidRPr="00A20A7E">
        <w:rPr>
          <w:rStyle w:val="AERtextitalic"/>
        </w:rPr>
        <w:t>–</w:t>
      </w:r>
      <w:r w:rsidRPr="00A20A7E">
        <w:rPr>
          <w:rStyle w:val="AERtextitalic"/>
        </w:rPr>
        <w:t>21</w:t>
      </w:r>
      <w:r>
        <w:t>, 4 February 2016</w:t>
      </w:r>
    </w:p>
  </w:footnote>
  <w:footnote w:id="19">
    <w:p w:rsidR="007757C2" w:rsidRDefault="007757C2">
      <w:pPr>
        <w:pStyle w:val="FootnoteText"/>
      </w:pPr>
      <w:r>
        <w:rPr>
          <w:rStyle w:val="FootnoteReference"/>
        </w:rPr>
        <w:footnoteRef/>
      </w:r>
      <w:r>
        <w:t xml:space="preserve"> </w:t>
      </w:r>
      <w:r>
        <w:tab/>
        <w:t xml:space="preserve">AGL, </w:t>
      </w:r>
      <w:r w:rsidRPr="00A20A7E">
        <w:rPr>
          <w:rStyle w:val="AERtextitalic"/>
        </w:rPr>
        <w:t>Re: AER Draft Decision on the Australian Gas Networks (South Australia) - Access Arrangement 2016</w:t>
      </w:r>
      <w:r w:rsidR="00A63B4E" w:rsidRPr="00A20A7E">
        <w:rPr>
          <w:rStyle w:val="AERtextitalic"/>
        </w:rPr>
        <w:t>–</w:t>
      </w:r>
      <w:r w:rsidRPr="00A20A7E">
        <w:rPr>
          <w:rStyle w:val="AERtextitalic"/>
        </w:rPr>
        <w:t>21</w:t>
      </w:r>
      <w:r>
        <w:t>, 4 February 2016</w:t>
      </w:r>
    </w:p>
  </w:footnote>
  <w:footnote w:id="20">
    <w:p w:rsidR="007757C2" w:rsidRDefault="007757C2">
      <w:pPr>
        <w:pStyle w:val="FootnoteText"/>
      </w:pPr>
      <w:r>
        <w:rPr>
          <w:rStyle w:val="FootnoteReference"/>
        </w:rPr>
        <w:footnoteRef/>
      </w:r>
      <w:r>
        <w:t xml:space="preserve"> </w:t>
      </w:r>
      <w:r>
        <w:tab/>
        <w:t>A</w:t>
      </w:r>
      <w:r w:rsidRPr="00C81988">
        <w:t xml:space="preserve">GN, </w:t>
      </w:r>
      <w:r w:rsidRPr="00A20A7E">
        <w:rPr>
          <w:rStyle w:val="AERtextitalic"/>
        </w:rPr>
        <w:t>Attachment 17.3, Response to Draft Decision: Non-Tariff Components, 2016/17 to 2020/21 Access Arrangement Information Response to Draft Decision</w:t>
      </w:r>
      <w:r>
        <w:t xml:space="preserve">, </w:t>
      </w:r>
      <w:r w:rsidR="00CD5997">
        <w:t xml:space="preserve">January 2016, </w:t>
      </w:r>
      <w:r>
        <w:t>pp. 8</w:t>
      </w:r>
      <w:r w:rsidR="00BB1090">
        <w:t>–</w:t>
      </w:r>
      <w:r>
        <w:t>9.</w:t>
      </w:r>
    </w:p>
  </w:footnote>
  <w:footnote w:id="21">
    <w:p w:rsidR="007757C2" w:rsidRDefault="007757C2" w:rsidP="00BC71BF">
      <w:pPr>
        <w:pStyle w:val="FootnoteText"/>
      </w:pPr>
      <w:r>
        <w:rPr>
          <w:rStyle w:val="FootnoteReference"/>
        </w:rPr>
        <w:footnoteRef/>
      </w:r>
      <w:r>
        <w:t xml:space="preserve"> </w:t>
      </w:r>
      <w:r>
        <w:tab/>
      </w:r>
      <w:r w:rsidRPr="00DF0414">
        <w:t xml:space="preserve">AER, </w:t>
      </w:r>
      <w:r w:rsidRPr="00A20A7E">
        <w:rPr>
          <w:rStyle w:val="AERtextitalic"/>
        </w:rPr>
        <w:t>Draft Decision, Australian Gas Networks Access Arrangement 2016 to 2021, Attachment 12 - Non-tariff components</w:t>
      </w:r>
      <w:r w:rsidRPr="00DF0414">
        <w:t>, November 2015, p. 12</w:t>
      </w:r>
      <w:r>
        <w:t>.27.</w:t>
      </w:r>
    </w:p>
  </w:footnote>
  <w:footnote w:id="22">
    <w:p w:rsidR="007757C2" w:rsidRDefault="007757C2" w:rsidP="007757C2">
      <w:pPr>
        <w:pStyle w:val="FootnoteText"/>
      </w:pPr>
      <w:r>
        <w:rPr>
          <w:rStyle w:val="FootnoteReference"/>
        </w:rPr>
        <w:footnoteRef/>
      </w:r>
      <w:r>
        <w:t xml:space="preserve"> </w:t>
      </w:r>
      <w:r>
        <w:tab/>
      </w:r>
      <w:proofErr w:type="gramStart"/>
      <w:r>
        <w:t xml:space="preserve">AGN, </w:t>
      </w:r>
      <w:r w:rsidRPr="00A20A7E">
        <w:rPr>
          <w:rStyle w:val="AERtextitalic"/>
        </w:rPr>
        <w:t>Access Arrangement for AGN's South Australian Distribution Network 1 July 2016</w:t>
      </w:r>
      <w:r w:rsidR="00A63B4E" w:rsidRPr="00A20A7E">
        <w:rPr>
          <w:rStyle w:val="AERtextitalic"/>
        </w:rPr>
        <w:t>–</w:t>
      </w:r>
      <w:r w:rsidRPr="00A20A7E">
        <w:rPr>
          <w:rStyle w:val="AERtextitalic"/>
        </w:rPr>
        <w:t xml:space="preserve">30 June 2021, </w:t>
      </w:r>
      <w:r w:rsidRPr="005B6E13">
        <w:rPr>
          <w:rStyle w:val="AERtextitalic"/>
          <w:i w:val="0"/>
        </w:rPr>
        <w:t>January 2016</w:t>
      </w:r>
      <w:r>
        <w:t>, cl. 7.2.</w:t>
      </w:r>
      <w:proofErr w:type="gramEnd"/>
    </w:p>
  </w:footnote>
  <w:footnote w:id="23">
    <w:p w:rsidR="00E26AD4" w:rsidRDefault="00E26AD4">
      <w:pPr>
        <w:pStyle w:val="FootnoteText"/>
      </w:pPr>
      <w:r>
        <w:rPr>
          <w:rStyle w:val="FootnoteReference"/>
        </w:rPr>
        <w:footnoteRef/>
      </w:r>
      <w:r>
        <w:t xml:space="preserve"> </w:t>
      </w:r>
      <w:r>
        <w:tab/>
      </w:r>
      <w:r w:rsidR="00623878" w:rsidRPr="00623878">
        <w:t xml:space="preserve">AER, </w:t>
      </w:r>
      <w:r w:rsidR="00623878" w:rsidRPr="00A20A7E">
        <w:rPr>
          <w:rStyle w:val="AERtextitalic"/>
        </w:rPr>
        <w:t>Draft Decision, Australian Gas Networks Access Arrangement 2016 to 2021, Attachment 12 - Non-tariff components</w:t>
      </w:r>
      <w:r w:rsidR="00623878" w:rsidRPr="00623878">
        <w:t>, November 2015</w:t>
      </w:r>
      <w:r w:rsidR="00623878">
        <w:t xml:space="preserve">, p. </w:t>
      </w:r>
      <w:r>
        <w:t>12-27.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C2" w:rsidRDefault="0086488B">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7757C2">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C2" w:rsidRDefault="0086488B">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3BE5884"/>
    <w:multiLevelType w:val="hybridMultilevel"/>
    <w:tmpl w:val="2C006FB6"/>
    <w:lvl w:ilvl="0" w:tplc="4D203816">
      <w:start w:val="2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5BC0EB3"/>
    <w:multiLevelType w:val="hybridMultilevel"/>
    <w:tmpl w:val="31EA32C6"/>
    <w:lvl w:ilvl="0" w:tplc="148EC7EC">
      <w:start w:val="7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4E9F6DE1"/>
    <w:multiLevelType w:val="hybridMultilevel"/>
    <w:tmpl w:val="F71A5540"/>
    <w:lvl w:ilvl="0" w:tplc="EDA46A3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9B37CB2"/>
    <w:multiLevelType w:val="hybridMultilevel"/>
    <w:tmpl w:val="29D8957E"/>
    <w:lvl w:ilvl="0" w:tplc="6AB061F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ECE4384"/>
    <w:multiLevelType w:val="multilevel"/>
    <w:tmpl w:val="619AC9DE"/>
    <w:lvl w:ilvl="0">
      <w:start w:val="1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5F58056B"/>
    <w:multiLevelType w:val="hybridMultilevel"/>
    <w:tmpl w:val="80B41EB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8"/>
  </w:num>
  <w:num w:numId="14">
    <w:abstractNumId w:val="10"/>
  </w:num>
  <w:num w:numId="15">
    <w:abstractNumId w:val="12"/>
  </w:num>
  <w:num w:numId="16">
    <w:abstractNumId w:val="21"/>
  </w:num>
  <w:num w:numId="17">
    <w:abstractNumId w:val="9"/>
  </w:num>
  <w:num w:numId="18">
    <w:abstractNumId w:val="15"/>
  </w:num>
  <w:num w:numId="19">
    <w:abstractNumId w:val="22"/>
  </w:num>
  <w:num w:numId="20">
    <w:abstractNumId w:val="31"/>
  </w:num>
  <w:num w:numId="21">
    <w:abstractNumId w:val="26"/>
  </w:num>
  <w:num w:numId="22">
    <w:abstractNumId w:val="23"/>
  </w:num>
  <w:num w:numId="23">
    <w:abstractNumId w:val="16"/>
  </w:num>
  <w:num w:numId="24">
    <w:abstractNumId w:val="25"/>
  </w:num>
  <w:num w:numId="25">
    <w:abstractNumId w:val="28"/>
  </w:num>
  <w:num w:numId="26">
    <w:abstractNumId w:val="17"/>
  </w:num>
  <w:num w:numId="27">
    <w:abstractNumId w:val="1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9"/>
  </w:num>
  <w:num w:numId="31">
    <w:abstractNumId w:val="20"/>
  </w:num>
  <w:num w:numId="32">
    <w:abstractNumId w:val="24"/>
  </w:num>
  <w:num w:numId="33">
    <w:abstractNumId w:val="27"/>
  </w:num>
  <w:num w:numId="34">
    <w:abstractNumId w:val="13"/>
  </w:num>
  <w:num w:numId="35">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612\AER15 4321  AER - Final decision Amadeus Gas Pipeline Access Arrangement - Attachment 12 - Non-tariff components - April 2016.DOCX"/>
  </w:docVars>
  <w:rsids>
    <w:rsidRoot w:val="00961A4A"/>
    <w:rsid w:val="00004633"/>
    <w:rsid w:val="00010286"/>
    <w:rsid w:val="00021202"/>
    <w:rsid w:val="00021C2B"/>
    <w:rsid w:val="000221D6"/>
    <w:rsid w:val="000250BB"/>
    <w:rsid w:val="0002517F"/>
    <w:rsid w:val="00026495"/>
    <w:rsid w:val="0003578C"/>
    <w:rsid w:val="00037C0C"/>
    <w:rsid w:val="000401AF"/>
    <w:rsid w:val="00041DDA"/>
    <w:rsid w:val="00052E37"/>
    <w:rsid w:val="00063247"/>
    <w:rsid w:val="00063A92"/>
    <w:rsid w:val="00070F9F"/>
    <w:rsid w:val="0007137B"/>
    <w:rsid w:val="00082AEA"/>
    <w:rsid w:val="00084533"/>
    <w:rsid w:val="00085663"/>
    <w:rsid w:val="00085EBF"/>
    <w:rsid w:val="00085F93"/>
    <w:rsid w:val="00091B15"/>
    <w:rsid w:val="000A1E7C"/>
    <w:rsid w:val="000A3020"/>
    <w:rsid w:val="000A39FC"/>
    <w:rsid w:val="000A6C7B"/>
    <w:rsid w:val="000B0360"/>
    <w:rsid w:val="000B1EB1"/>
    <w:rsid w:val="000B500C"/>
    <w:rsid w:val="000C2B40"/>
    <w:rsid w:val="000D01F4"/>
    <w:rsid w:val="000D06C1"/>
    <w:rsid w:val="000D122C"/>
    <w:rsid w:val="000D2929"/>
    <w:rsid w:val="000D3016"/>
    <w:rsid w:val="000D64F2"/>
    <w:rsid w:val="000D7F32"/>
    <w:rsid w:val="000E1819"/>
    <w:rsid w:val="000E4821"/>
    <w:rsid w:val="000E6C72"/>
    <w:rsid w:val="000F0B2B"/>
    <w:rsid w:val="000F3E72"/>
    <w:rsid w:val="000F456F"/>
    <w:rsid w:val="000F48B1"/>
    <w:rsid w:val="000F723D"/>
    <w:rsid w:val="00103A67"/>
    <w:rsid w:val="001101DC"/>
    <w:rsid w:val="00116EB2"/>
    <w:rsid w:val="00116EF6"/>
    <w:rsid w:val="00124609"/>
    <w:rsid w:val="001252A5"/>
    <w:rsid w:val="00126685"/>
    <w:rsid w:val="00126A4C"/>
    <w:rsid w:val="001323C3"/>
    <w:rsid w:val="00134DED"/>
    <w:rsid w:val="00142AB6"/>
    <w:rsid w:val="0014573B"/>
    <w:rsid w:val="00147E70"/>
    <w:rsid w:val="0015429A"/>
    <w:rsid w:val="00156560"/>
    <w:rsid w:val="00156DCC"/>
    <w:rsid w:val="001573E4"/>
    <w:rsid w:val="00160756"/>
    <w:rsid w:val="00160FDC"/>
    <w:rsid w:val="0016691F"/>
    <w:rsid w:val="00171DD5"/>
    <w:rsid w:val="0017232E"/>
    <w:rsid w:val="00173EAE"/>
    <w:rsid w:val="00174102"/>
    <w:rsid w:val="0017480F"/>
    <w:rsid w:val="001754EE"/>
    <w:rsid w:val="001772D8"/>
    <w:rsid w:val="00180157"/>
    <w:rsid w:val="00181482"/>
    <w:rsid w:val="00182467"/>
    <w:rsid w:val="00185CB9"/>
    <w:rsid w:val="00186F77"/>
    <w:rsid w:val="001926A4"/>
    <w:rsid w:val="00192AD5"/>
    <w:rsid w:val="001A7110"/>
    <w:rsid w:val="001B3F62"/>
    <w:rsid w:val="001B45A0"/>
    <w:rsid w:val="001B45C0"/>
    <w:rsid w:val="001B4EE5"/>
    <w:rsid w:val="001B6F2E"/>
    <w:rsid w:val="001B7658"/>
    <w:rsid w:val="001B7D00"/>
    <w:rsid w:val="001C17E7"/>
    <w:rsid w:val="001D055E"/>
    <w:rsid w:val="001D228B"/>
    <w:rsid w:val="001D57E7"/>
    <w:rsid w:val="001D5DCD"/>
    <w:rsid w:val="001E009C"/>
    <w:rsid w:val="001E2057"/>
    <w:rsid w:val="001E5FE2"/>
    <w:rsid w:val="001F05A4"/>
    <w:rsid w:val="001F492E"/>
    <w:rsid w:val="001F6DA3"/>
    <w:rsid w:val="002010BC"/>
    <w:rsid w:val="002016E7"/>
    <w:rsid w:val="00201F98"/>
    <w:rsid w:val="00202E03"/>
    <w:rsid w:val="00202FD4"/>
    <w:rsid w:val="00203C50"/>
    <w:rsid w:val="0020478D"/>
    <w:rsid w:val="0020492C"/>
    <w:rsid w:val="00205A33"/>
    <w:rsid w:val="002079AC"/>
    <w:rsid w:val="0022236B"/>
    <w:rsid w:val="0022444D"/>
    <w:rsid w:val="00224DB9"/>
    <w:rsid w:val="00227DCE"/>
    <w:rsid w:val="002313AD"/>
    <w:rsid w:val="0023276C"/>
    <w:rsid w:val="00232D8F"/>
    <w:rsid w:val="00233775"/>
    <w:rsid w:val="00246109"/>
    <w:rsid w:val="00250125"/>
    <w:rsid w:val="00250DCC"/>
    <w:rsid w:val="002510E6"/>
    <w:rsid w:val="00251745"/>
    <w:rsid w:val="002539E6"/>
    <w:rsid w:val="002547D6"/>
    <w:rsid w:val="00263AC0"/>
    <w:rsid w:val="00264264"/>
    <w:rsid w:val="00264D12"/>
    <w:rsid w:val="0026772D"/>
    <w:rsid w:val="00275380"/>
    <w:rsid w:val="00277554"/>
    <w:rsid w:val="00284462"/>
    <w:rsid w:val="00286874"/>
    <w:rsid w:val="00290C63"/>
    <w:rsid w:val="0029158A"/>
    <w:rsid w:val="00296B65"/>
    <w:rsid w:val="0029724D"/>
    <w:rsid w:val="002A0DD0"/>
    <w:rsid w:val="002A3A1A"/>
    <w:rsid w:val="002A54B0"/>
    <w:rsid w:val="002A5B41"/>
    <w:rsid w:val="002A6688"/>
    <w:rsid w:val="002A7DEF"/>
    <w:rsid w:val="002B1003"/>
    <w:rsid w:val="002B573C"/>
    <w:rsid w:val="002C233C"/>
    <w:rsid w:val="002C262E"/>
    <w:rsid w:val="002C4036"/>
    <w:rsid w:val="002D72E8"/>
    <w:rsid w:val="002E67DA"/>
    <w:rsid w:val="002E7B22"/>
    <w:rsid w:val="002F695F"/>
    <w:rsid w:val="002F7986"/>
    <w:rsid w:val="00301B40"/>
    <w:rsid w:val="003029A5"/>
    <w:rsid w:val="003029EE"/>
    <w:rsid w:val="0030370B"/>
    <w:rsid w:val="00303D96"/>
    <w:rsid w:val="00305CC8"/>
    <w:rsid w:val="00307F6D"/>
    <w:rsid w:val="003130C9"/>
    <w:rsid w:val="00314F60"/>
    <w:rsid w:val="003177A2"/>
    <w:rsid w:val="00320869"/>
    <w:rsid w:val="003218AB"/>
    <w:rsid w:val="0032324E"/>
    <w:rsid w:val="00326B1D"/>
    <w:rsid w:val="003271B5"/>
    <w:rsid w:val="00327A1E"/>
    <w:rsid w:val="00331264"/>
    <w:rsid w:val="003338A2"/>
    <w:rsid w:val="00334C8D"/>
    <w:rsid w:val="0033548E"/>
    <w:rsid w:val="00343A18"/>
    <w:rsid w:val="00344473"/>
    <w:rsid w:val="003448EE"/>
    <w:rsid w:val="00344D08"/>
    <w:rsid w:val="003457F9"/>
    <w:rsid w:val="00347114"/>
    <w:rsid w:val="003518B3"/>
    <w:rsid w:val="003578CD"/>
    <w:rsid w:val="003666F2"/>
    <w:rsid w:val="00367324"/>
    <w:rsid w:val="003706F1"/>
    <w:rsid w:val="003717D8"/>
    <w:rsid w:val="0037542E"/>
    <w:rsid w:val="00380CB5"/>
    <w:rsid w:val="00381C9B"/>
    <w:rsid w:val="003846F1"/>
    <w:rsid w:val="003873CD"/>
    <w:rsid w:val="003903D4"/>
    <w:rsid w:val="00391BF0"/>
    <w:rsid w:val="003931A7"/>
    <w:rsid w:val="00393646"/>
    <w:rsid w:val="003A511C"/>
    <w:rsid w:val="003B1D97"/>
    <w:rsid w:val="003B484F"/>
    <w:rsid w:val="003B7FBA"/>
    <w:rsid w:val="003C14DF"/>
    <w:rsid w:val="003D4CA7"/>
    <w:rsid w:val="003E5A0A"/>
    <w:rsid w:val="003E5A6D"/>
    <w:rsid w:val="003F174D"/>
    <w:rsid w:val="003F572D"/>
    <w:rsid w:val="003F7442"/>
    <w:rsid w:val="00415F31"/>
    <w:rsid w:val="0042205D"/>
    <w:rsid w:val="004239E6"/>
    <w:rsid w:val="00423A77"/>
    <w:rsid w:val="00436ECD"/>
    <w:rsid w:val="0044164C"/>
    <w:rsid w:val="00452473"/>
    <w:rsid w:val="004536AA"/>
    <w:rsid w:val="0045777E"/>
    <w:rsid w:val="00461B0F"/>
    <w:rsid w:val="00461C29"/>
    <w:rsid w:val="00473F1E"/>
    <w:rsid w:val="00474EC7"/>
    <w:rsid w:val="00480B4B"/>
    <w:rsid w:val="00482D12"/>
    <w:rsid w:val="00485DC4"/>
    <w:rsid w:val="004A0A5E"/>
    <w:rsid w:val="004A34FF"/>
    <w:rsid w:val="004A43D1"/>
    <w:rsid w:val="004A7BDE"/>
    <w:rsid w:val="004B355D"/>
    <w:rsid w:val="004B4412"/>
    <w:rsid w:val="004B723F"/>
    <w:rsid w:val="004C0C43"/>
    <w:rsid w:val="004C2E58"/>
    <w:rsid w:val="004C348C"/>
    <w:rsid w:val="004C6A30"/>
    <w:rsid w:val="004D1A96"/>
    <w:rsid w:val="004D55BA"/>
    <w:rsid w:val="004E22EC"/>
    <w:rsid w:val="004E2A4C"/>
    <w:rsid w:val="004F47A4"/>
    <w:rsid w:val="004F6A0E"/>
    <w:rsid w:val="00502517"/>
    <w:rsid w:val="00502F52"/>
    <w:rsid w:val="00530128"/>
    <w:rsid w:val="00532467"/>
    <w:rsid w:val="005333E1"/>
    <w:rsid w:val="00537FD6"/>
    <w:rsid w:val="00546151"/>
    <w:rsid w:val="00546DB7"/>
    <w:rsid w:val="0054765D"/>
    <w:rsid w:val="005569B3"/>
    <w:rsid w:val="0056337D"/>
    <w:rsid w:val="00564A4D"/>
    <w:rsid w:val="0056588A"/>
    <w:rsid w:val="00567BA5"/>
    <w:rsid w:val="00571B35"/>
    <w:rsid w:val="00571D57"/>
    <w:rsid w:val="00571DC7"/>
    <w:rsid w:val="00575258"/>
    <w:rsid w:val="00577A09"/>
    <w:rsid w:val="00580F99"/>
    <w:rsid w:val="005829C2"/>
    <w:rsid w:val="00584D8F"/>
    <w:rsid w:val="00585A4E"/>
    <w:rsid w:val="00586819"/>
    <w:rsid w:val="0059704C"/>
    <w:rsid w:val="005A404D"/>
    <w:rsid w:val="005A7815"/>
    <w:rsid w:val="005B1E3C"/>
    <w:rsid w:val="005B3FB7"/>
    <w:rsid w:val="005B4D33"/>
    <w:rsid w:val="005B6E13"/>
    <w:rsid w:val="005B704A"/>
    <w:rsid w:val="005C0A7F"/>
    <w:rsid w:val="005C26CC"/>
    <w:rsid w:val="005C4C9C"/>
    <w:rsid w:val="005C6218"/>
    <w:rsid w:val="005D0A6A"/>
    <w:rsid w:val="005D10C5"/>
    <w:rsid w:val="005D71F3"/>
    <w:rsid w:val="005D7BA2"/>
    <w:rsid w:val="005E36C2"/>
    <w:rsid w:val="005F0183"/>
    <w:rsid w:val="005F3099"/>
    <w:rsid w:val="005F727F"/>
    <w:rsid w:val="006007DE"/>
    <w:rsid w:val="00601638"/>
    <w:rsid w:val="00601650"/>
    <w:rsid w:val="00601F32"/>
    <w:rsid w:val="00610EF9"/>
    <w:rsid w:val="00612F4F"/>
    <w:rsid w:val="00615C6B"/>
    <w:rsid w:val="00620DC3"/>
    <w:rsid w:val="00621DCE"/>
    <w:rsid w:val="00623878"/>
    <w:rsid w:val="00623FD6"/>
    <w:rsid w:val="00632D6D"/>
    <w:rsid w:val="006362DE"/>
    <w:rsid w:val="00640805"/>
    <w:rsid w:val="00640812"/>
    <w:rsid w:val="00642C3E"/>
    <w:rsid w:val="00651C3A"/>
    <w:rsid w:val="00651CB2"/>
    <w:rsid w:val="006531A6"/>
    <w:rsid w:val="0065423E"/>
    <w:rsid w:val="006560CA"/>
    <w:rsid w:val="006561D4"/>
    <w:rsid w:val="0066104A"/>
    <w:rsid w:val="00663DAD"/>
    <w:rsid w:val="00665649"/>
    <w:rsid w:val="00666E20"/>
    <w:rsid w:val="006672AA"/>
    <w:rsid w:val="00675E20"/>
    <w:rsid w:val="00676679"/>
    <w:rsid w:val="006812E7"/>
    <w:rsid w:val="0068328D"/>
    <w:rsid w:val="00683C89"/>
    <w:rsid w:val="00684C16"/>
    <w:rsid w:val="006919D9"/>
    <w:rsid w:val="00691D9A"/>
    <w:rsid w:val="00694B83"/>
    <w:rsid w:val="00697000"/>
    <w:rsid w:val="006A7CB9"/>
    <w:rsid w:val="006A7D76"/>
    <w:rsid w:val="006B2395"/>
    <w:rsid w:val="006B4027"/>
    <w:rsid w:val="006B45A4"/>
    <w:rsid w:val="006B4CF9"/>
    <w:rsid w:val="006B785B"/>
    <w:rsid w:val="006B7AC8"/>
    <w:rsid w:val="006C1736"/>
    <w:rsid w:val="006C4798"/>
    <w:rsid w:val="006C774D"/>
    <w:rsid w:val="006D22F2"/>
    <w:rsid w:val="006D550F"/>
    <w:rsid w:val="006D69F4"/>
    <w:rsid w:val="006E35FA"/>
    <w:rsid w:val="006E3F76"/>
    <w:rsid w:val="006E3F9D"/>
    <w:rsid w:val="006F1F83"/>
    <w:rsid w:val="006F3AD1"/>
    <w:rsid w:val="006F3FC8"/>
    <w:rsid w:val="006F6183"/>
    <w:rsid w:val="0070011E"/>
    <w:rsid w:val="00701CAB"/>
    <w:rsid w:val="00707563"/>
    <w:rsid w:val="007119F0"/>
    <w:rsid w:val="00712950"/>
    <w:rsid w:val="0072348C"/>
    <w:rsid w:val="00724A37"/>
    <w:rsid w:val="007303C3"/>
    <w:rsid w:val="00741C46"/>
    <w:rsid w:val="00741E23"/>
    <w:rsid w:val="007429BE"/>
    <w:rsid w:val="0074315F"/>
    <w:rsid w:val="00743223"/>
    <w:rsid w:val="00746E01"/>
    <w:rsid w:val="00747EEA"/>
    <w:rsid w:val="00752C8D"/>
    <w:rsid w:val="00757364"/>
    <w:rsid w:val="00757BDF"/>
    <w:rsid w:val="007609D0"/>
    <w:rsid w:val="00763618"/>
    <w:rsid w:val="00763E5D"/>
    <w:rsid w:val="00765587"/>
    <w:rsid w:val="00767740"/>
    <w:rsid w:val="007757C2"/>
    <w:rsid w:val="00775A72"/>
    <w:rsid w:val="00777EE6"/>
    <w:rsid w:val="00782EEA"/>
    <w:rsid w:val="00786B85"/>
    <w:rsid w:val="00787CE2"/>
    <w:rsid w:val="00787E95"/>
    <w:rsid w:val="00787FE5"/>
    <w:rsid w:val="007960CA"/>
    <w:rsid w:val="007A1844"/>
    <w:rsid w:val="007A353F"/>
    <w:rsid w:val="007A5EDD"/>
    <w:rsid w:val="007A6423"/>
    <w:rsid w:val="007A7002"/>
    <w:rsid w:val="007A7136"/>
    <w:rsid w:val="007A732A"/>
    <w:rsid w:val="007A7F63"/>
    <w:rsid w:val="007B011C"/>
    <w:rsid w:val="007B186E"/>
    <w:rsid w:val="007B2C72"/>
    <w:rsid w:val="007B37EC"/>
    <w:rsid w:val="007B6C52"/>
    <w:rsid w:val="007B7C1B"/>
    <w:rsid w:val="007C1C53"/>
    <w:rsid w:val="007C212D"/>
    <w:rsid w:val="007C6B9F"/>
    <w:rsid w:val="007C74BB"/>
    <w:rsid w:val="007D456E"/>
    <w:rsid w:val="007E42F4"/>
    <w:rsid w:val="007E4904"/>
    <w:rsid w:val="007E4CB5"/>
    <w:rsid w:val="007F066B"/>
    <w:rsid w:val="007F213A"/>
    <w:rsid w:val="007F317D"/>
    <w:rsid w:val="007F3FE8"/>
    <w:rsid w:val="007F75C4"/>
    <w:rsid w:val="008033C4"/>
    <w:rsid w:val="008057DE"/>
    <w:rsid w:val="0080609E"/>
    <w:rsid w:val="00806C88"/>
    <w:rsid w:val="00810070"/>
    <w:rsid w:val="0081034E"/>
    <w:rsid w:val="00811EE2"/>
    <w:rsid w:val="00812B03"/>
    <w:rsid w:val="00814A52"/>
    <w:rsid w:val="00815CAC"/>
    <w:rsid w:val="008168E7"/>
    <w:rsid w:val="00821004"/>
    <w:rsid w:val="008221F2"/>
    <w:rsid w:val="00822FA6"/>
    <w:rsid w:val="00825985"/>
    <w:rsid w:val="008301A7"/>
    <w:rsid w:val="008301B2"/>
    <w:rsid w:val="00832611"/>
    <w:rsid w:val="008344F6"/>
    <w:rsid w:val="00834BD4"/>
    <w:rsid w:val="0083510F"/>
    <w:rsid w:val="008408C5"/>
    <w:rsid w:val="008414FC"/>
    <w:rsid w:val="00847887"/>
    <w:rsid w:val="00851209"/>
    <w:rsid w:val="00852CFB"/>
    <w:rsid w:val="0085722A"/>
    <w:rsid w:val="00862B19"/>
    <w:rsid w:val="0086488B"/>
    <w:rsid w:val="00864B35"/>
    <w:rsid w:val="00866D99"/>
    <w:rsid w:val="00867CF6"/>
    <w:rsid w:val="008749E0"/>
    <w:rsid w:val="00874CD0"/>
    <w:rsid w:val="00875D02"/>
    <w:rsid w:val="008801B4"/>
    <w:rsid w:val="00882481"/>
    <w:rsid w:val="00883723"/>
    <w:rsid w:val="008837AC"/>
    <w:rsid w:val="0089369E"/>
    <w:rsid w:val="008952FC"/>
    <w:rsid w:val="0089627E"/>
    <w:rsid w:val="008A0460"/>
    <w:rsid w:val="008A2363"/>
    <w:rsid w:val="008A587D"/>
    <w:rsid w:val="008B28C3"/>
    <w:rsid w:val="008B35CD"/>
    <w:rsid w:val="008B5FCC"/>
    <w:rsid w:val="008B7544"/>
    <w:rsid w:val="008C3374"/>
    <w:rsid w:val="008C39F0"/>
    <w:rsid w:val="008C5486"/>
    <w:rsid w:val="008C63DF"/>
    <w:rsid w:val="008C708B"/>
    <w:rsid w:val="008D1661"/>
    <w:rsid w:val="008D6800"/>
    <w:rsid w:val="008E1995"/>
    <w:rsid w:val="008E7031"/>
    <w:rsid w:val="008E77DE"/>
    <w:rsid w:val="008F07A3"/>
    <w:rsid w:val="008F16B3"/>
    <w:rsid w:val="008F34DD"/>
    <w:rsid w:val="008F634C"/>
    <w:rsid w:val="008F7095"/>
    <w:rsid w:val="009001B6"/>
    <w:rsid w:val="009005B9"/>
    <w:rsid w:val="00900E1B"/>
    <w:rsid w:val="00901C3C"/>
    <w:rsid w:val="009038ED"/>
    <w:rsid w:val="00903FFF"/>
    <w:rsid w:val="0090774C"/>
    <w:rsid w:val="009233EE"/>
    <w:rsid w:val="00923CFC"/>
    <w:rsid w:val="00923FA9"/>
    <w:rsid w:val="009272AD"/>
    <w:rsid w:val="009277DC"/>
    <w:rsid w:val="00930624"/>
    <w:rsid w:val="009322CC"/>
    <w:rsid w:val="0093604B"/>
    <w:rsid w:val="009460AA"/>
    <w:rsid w:val="0094635B"/>
    <w:rsid w:val="0094641C"/>
    <w:rsid w:val="00951978"/>
    <w:rsid w:val="00955386"/>
    <w:rsid w:val="00961115"/>
    <w:rsid w:val="009619DE"/>
    <w:rsid w:val="00961A4A"/>
    <w:rsid w:val="0096414B"/>
    <w:rsid w:val="00964173"/>
    <w:rsid w:val="009661DE"/>
    <w:rsid w:val="00972C14"/>
    <w:rsid w:val="00983C25"/>
    <w:rsid w:val="009856B7"/>
    <w:rsid w:val="00985C86"/>
    <w:rsid w:val="00993FAF"/>
    <w:rsid w:val="00994459"/>
    <w:rsid w:val="00996BAF"/>
    <w:rsid w:val="009972D8"/>
    <w:rsid w:val="009A4FAA"/>
    <w:rsid w:val="009A5113"/>
    <w:rsid w:val="009A539D"/>
    <w:rsid w:val="009A58A5"/>
    <w:rsid w:val="009A5FC3"/>
    <w:rsid w:val="009A6CA7"/>
    <w:rsid w:val="009B5DC8"/>
    <w:rsid w:val="009B6F84"/>
    <w:rsid w:val="009B7343"/>
    <w:rsid w:val="009B74B0"/>
    <w:rsid w:val="009C691D"/>
    <w:rsid w:val="009D3906"/>
    <w:rsid w:val="009D6B46"/>
    <w:rsid w:val="009E347A"/>
    <w:rsid w:val="009E4B2D"/>
    <w:rsid w:val="009E52C4"/>
    <w:rsid w:val="009F4940"/>
    <w:rsid w:val="009F5BA1"/>
    <w:rsid w:val="009F6219"/>
    <w:rsid w:val="009F6A51"/>
    <w:rsid w:val="00A02A88"/>
    <w:rsid w:val="00A02C4B"/>
    <w:rsid w:val="00A0562E"/>
    <w:rsid w:val="00A059E8"/>
    <w:rsid w:val="00A06085"/>
    <w:rsid w:val="00A0726D"/>
    <w:rsid w:val="00A07D29"/>
    <w:rsid w:val="00A16596"/>
    <w:rsid w:val="00A20A7E"/>
    <w:rsid w:val="00A2303E"/>
    <w:rsid w:val="00A24608"/>
    <w:rsid w:val="00A32FBB"/>
    <w:rsid w:val="00A40206"/>
    <w:rsid w:val="00A428EE"/>
    <w:rsid w:val="00A4478A"/>
    <w:rsid w:val="00A44852"/>
    <w:rsid w:val="00A4650A"/>
    <w:rsid w:val="00A50502"/>
    <w:rsid w:val="00A52F6A"/>
    <w:rsid w:val="00A57D04"/>
    <w:rsid w:val="00A60A26"/>
    <w:rsid w:val="00A61598"/>
    <w:rsid w:val="00A63B4E"/>
    <w:rsid w:val="00A63BE8"/>
    <w:rsid w:val="00A64E00"/>
    <w:rsid w:val="00A8193E"/>
    <w:rsid w:val="00A83FAE"/>
    <w:rsid w:val="00A84A99"/>
    <w:rsid w:val="00A84F46"/>
    <w:rsid w:val="00A8643F"/>
    <w:rsid w:val="00A871F4"/>
    <w:rsid w:val="00A90AA4"/>
    <w:rsid w:val="00A923BF"/>
    <w:rsid w:val="00A92CD5"/>
    <w:rsid w:val="00AA6990"/>
    <w:rsid w:val="00AB3450"/>
    <w:rsid w:val="00AB47E1"/>
    <w:rsid w:val="00AC0B56"/>
    <w:rsid w:val="00AC1B2C"/>
    <w:rsid w:val="00AC3264"/>
    <w:rsid w:val="00AD2FCE"/>
    <w:rsid w:val="00AD3884"/>
    <w:rsid w:val="00AD7B56"/>
    <w:rsid w:val="00AE1BF1"/>
    <w:rsid w:val="00AF0DD2"/>
    <w:rsid w:val="00AF15C8"/>
    <w:rsid w:val="00AF3DCF"/>
    <w:rsid w:val="00B0209D"/>
    <w:rsid w:val="00B02961"/>
    <w:rsid w:val="00B04908"/>
    <w:rsid w:val="00B04B4C"/>
    <w:rsid w:val="00B07CEA"/>
    <w:rsid w:val="00B10FC1"/>
    <w:rsid w:val="00B13048"/>
    <w:rsid w:val="00B1716D"/>
    <w:rsid w:val="00B17A1D"/>
    <w:rsid w:val="00B207A0"/>
    <w:rsid w:val="00B26AE3"/>
    <w:rsid w:val="00B37886"/>
    <w:rsid w:val="00B40CAA"/>
    <w:rsid w:val="00B41630"/>
    <w:rsid w:val="00B514DD"/>
    <w:rsid w:val="00B51F3F"/>
    <w:rsid w:val="00B52AF0"/>
    <w:rsid w:val="00B561BD"/>
    <w:rsid w:val="00B56E03"/>
    <w:rsid w:val="00B61EDF"/>
    <w:rsid w:val="00B63783"/>
    <w:rsid w:val="00B74439"/>
    <w:rsid w:val="00B74AC5"/>
    <w:rsid w:val="00B757A6"/>
    <w:rsid w:val="00B77873"/>
    <w:rsid w:val="00B8080B"/>
    <w:rsid w:val="00B82223"/>
    <w:rsid w:val="00B87BA5"/>
    <w:rsid w:val="00B87C39"/>
    <w:rsid w:val="00B90A99"/>
    <w:rsid w:val="00B9562D"/>
    <w:rsid w:val="00BA0731"/>
    <w:rsid w:val="00BA4665"/>
    <w:rsid w:val="00BA47EE"/>
    <w:rsid w:val="00BB07E2"/>
    <w:rsid w:val="00BB1090"/>
    <w:rsid w:val="00BB2FB2"/>
    <w:rsid w:val="00BB3304"/>
    <w:rsid w:val="00BB3FD7"/>
    <w:rsid w:val="00BB46D8"/>
    <w:rsid w:val="00BB6848"/>
    <w:rsid w:val="00BB7528"/>
    <w:rsid w:val="00BC18DE"/>
    <w:rsid w:val="00BC27BB"/>
    <w:rsid w:val="00BC2FAF"/>
    <w:rsid w:val="00BC42EF"/>
    <w:rsid w:val="00BC71BF"/>
    <w:rsid w:val="00BD0920"/>
    <w:rsid w:val="00BD0C45"/>
    <w:rsid w:val="00BD310B"/>
    <w:rsid w:val="00BD3446"/>
    <w:rsid w:val="00BD479E"/>
    <w:rsid w:val="00BE1F1B"/>
    <w:rsid w:val="00BE47B5"/>
    <w:rsid w:val="00BE4A4E"/>
    <w:rsid w:val="00BF05DC"/>
    <w:rsid w:val="00BF0C8F"/>
    <w:rsid w:val="00BF0CD7"/>
    <w:rsid w:val="00BF1426"/>
    <w:rsid w:val="00BF4AC1"/>
    <w:rsid w:val="00BF6571"/>
    <w:rsid w:val="00C03F2D"/>
    <w:rsid w:val="00C04223"/>
    <w:rsid w:val="00C14AF1"/>
    <w:rsid w:val="00C21F5A"/>
    <w:rsid w:val="00C25FA6"/>
    <w:rsid w:val="00C275C4"/>
    <w:rsid w:val="00C30637"/>
    <w:rsid w:val="00C36F19"/>
    <w:rsid w:val="00C40E6F"/>
    <w:rsid w:val="00C42ACA"/>
    <w:rsid w:val="00C45C97"/>
    <w:rsid w:val="00C50F21"/>
    <w:rsid w:val="00C5122C"/>
    <w:rsid w:val="00C5125C"/>
    <w:rsid w:val="00C538A9"/>
    <w:rsid w:val="00C53B5A"/>
    <w:rsid w:val="00C54F5A"/>
    <w:rsid w:val="00C569B4"/>
    <w:rsid w:val="00C56A01"/>
    <w:rsid w:val="00C56A3E"/>
    <w:rsid w:val="00C67A92"/>
    <w:rsid w:val="00C7497E"/>
    <w:rsid w:val="00C74C06"/>
    <w:rsid w:val="00C74D43"/>
    <w:rsid w:val="00C81568"/>
    <w:rsid w:val="00C81988"/>
    <w:rsid w:val="00C84560"/>
    <w:rsid w:val="00C84F52"/>
    <w:rsid w:val="00C85622"/>
    <w:rsid w:val="00C86679"/>
    <w:rsid w:val="00C871DE"/>
    <w:rsid w:val="00C90A03"/>
    <w:rsid w:val="00C97CDF"/>
    <w:rsid w:val="00CA1872"/>
    <w:rsid w:val="00CA2ABF"/>
    <w:rsid w:val="00CA2C1D"/>
    <w:rsid w:val="00CA489E"/>
    <w:rsid w:val="00CA52A2"/>
    <w:rsid w:val="00CA6E1F"/>
    <w:rsid w:val="00CB0279"/>
    <w:rsid w:val="00CB666B"/>
    <w:rsid w:val="00CB7469"/>
    <w:rsid w:val="00CB7B6F"/>
    <w:rsid w:val="00CC7F1D"/>
    <w:rsid w:val="00CD19EE"/>
    <w:rsid w:val="00CD5997"/>
    <w:rsid w:val="00CE0942"/>
    <w:rsid w:val="00CE484B"/>
    <w:rsid w:val="00CE4900"/>
    <w:rsid w:val="00CF0DEE"/>
    <w:rsid w:val="00CF2C05"/>
    <w:rsid w:val="00CF31D7"/>
    <w:rsid w:val="00CF6CED"/>
    <w:rsid w:val="00CF6EDE"/>
    <w:rsid w:val="00D00309"/>
    <w:rsid w:val="00D006AE"/>
    <w:rsid w:val="00D01CF0"/>
    <w:rsid w:val="00D01ED7"/>
    <w:rsid w:val="00D01EFD"/>
    <w:rsid w:val="00D0442A"/>
    <w:rsid w:val="00D06055"/>
    <w:rsid w:val="00D066B7"/>
    <w:rsid w:val="00D1179A"/>
    <w:rsid w:val="00D17683"/>
    <w:rsid w:val="00D22F46"/>
    <w:rsid w:val="00D243DB"/>
    <w:rsid w:val="00D25F2C"/>
    <w:rsid w:val="00D3658A"/>
    <w:rsid w:val="00D36FCC"/>
    <w:rsid w:val="00D40F5F"/>
    <w:rsid w:val="00D41E80"/>
    <w:rsid w:val="00D41E99"/>
    <w:rsid w:val="00D45694"/>
    <w:rsid w:val="00D5458D"/>
    <w:rsid w:val="00D55912"/>
    <w:rsid w:val="00D608F6"/>
    <w:rsid w:val="00D60EFF"/>
    <w:rsid w:val="00D61388"/>
    <w:rsid w:val="00D61A54"/>
    <w:rsid w:val="00D64275"/>
    <w:rsid w:val="00D64DEA"/>
    <w:rsid w:val="00D652A9"/>
    <w:rsid w:val="00D663AA"/>
    <w:rsid w:val="00D67553"/>
    <w:rsid w:val="00D7168E"/>
    <w:rsid w:val="00D71E57"/>
    <w:rsid w:val="00D75AA2"/>
    <w:rsid w:val="00D7645E"/>
    <w:rsid w:val="00D8012D"/>
    <w:rsid w:val="00D80893"/>
    <w:rsid w:val="00D84854"/>
    <w:rsid w:val="00D848B4"/>
    <w:rsid w:val="00D92BDA"/>
    <w:rsid w:val="00D92CF1"/>
    <w:rsid w:val="00D92D38"/>
    <w:rsid w:val="00D950F5"/>
    <w:rsid w:val="00D962DE"/>
    <w:rsid w:val="00D96DAE"/>
    <w:rsid w:val="00DA0BCC"/>
    <w:rsid w:val="00DA4752"/>
    <w:rsid w:val="00DA61F3"/>
    <w:rsid w:val="00DA6B93"/>
    <w:rsid w:val="00DA6F94"/>
    <w:rsid w:val="00DA7A9D"/>
    <w:rsid w:val="00DB0F93"/>
    <w:rsid w:val="00DB1A67"/>
    <w:rsid w:val="00DB5074"/>
    <w:rsid w:val="00DB51A0"/>
    <w:rsid w:val="00DB5B21"/>
    <w:rsid w:val="00DC24D8"/>
    <w:rsid w:val="00DC7981"/>
    <w:rsid w:val="00DD1C15"/>
    <w:rsid w:val="00DD2EC2"/>
    <w:rsid w:val="00DD3279"/>
    <w:rsid w:val="00DE1093"/>
    <w:rsid w:val="00DE4156"/>
    <w:rsid w:val="00DE4EFA"/>
    <w:rsid w:val="00DE5520"/>
    <w:rsid w:val="00DE563D"/>
    <w:rsid w:val="00DE5E2E"/>
    <w:rsid w:val="00DE772C"/>
    <w:rsid w:val="00DF0414"/>
    <w:rsid w:val="00DF1D9A"/>
    <w:rsid w:val="00DF312A"/>
    <w:rsid w:val="00E04818"/>
    <w:rsid w:val="00E06442"/>
    <w:rsid w:val="00E06BCF"/>
    <w:rsid w:val="00E1001C"/>
    <w:rsid w:val="00E113D9"/>
    <w:rsid w:val="00E23993"/>
    <w:rsid w:val="00E257D6"/>
    <w:rsid w:val="00E25B8C"/>
    <w:rsid w:val="00E26AD4"/>
    <w:rsid w:val="00E334A4"/>
    <w:rsid w:val="00E3532C"/>
    <w:rsid w:val="00E3544F"/>
    <w:rsid w:val="00E36988"/>
    <w:rsid w:val="00E41AAE"/>
    <w:rsid w:val="00E51D65"/>
    <w:rsid w:val="00E6200B"/>
    <w:rsid w:val="00E62D82"/>
    <w:rsid w:val="00E65C85"/>
    <w:rsid w:val="00E66199"/>
    <w:rsid w:val="00E66F60"/>
    <w:rsid w:val="00E711C7"/>
    <w:rsid w:val="00E7494F"/>
    <w:rsid w:val="00E7548F"/>
    <w:rsid w:val="00E755EC"/>
    <w:rsid w:val="00E7624D"/>
    <w:rsid w:val="00E77484"/>
    <w:rsid w:val="00E82A10"/>
    <w:rsid w:val="00E92A25"/>
    <w:rsid w:val="00E97242"/>
    <w:rsid w:val="00EA38F3"/>
    <w:rsid w:val="00EA3D42"/>
    <w:rsid w:val="00EA6B1B"/>
    <w:rsid w:val="00EB5BC8"/>
    <w:rsid w:val="00EB606C"/>
    <w:rsid w:val="00EC04F1"/>
    <w:rsid w:val="00EC1B2B"/>
    <w:rsid w:val="00EC32E5"/>
    <w:rsid w:val="00ED0EC2"/>
    <w:rsid w:val="00ED3023"/>
    <w:rsid w:val="00ED3474"/>
    <w:rsid w:val="00ED70B4"/>
    <w:rsid w:val="00ED7323"/>
    <w:rsid w:val="00EE1DA1"/>
    <w:rsid w:val="00EE28F3"/>
    <w:rsid w:val="00EE50D1"/>
    <w:rsid w:val="00EE77FA"/>
    <w:rsid w:val="00EE7A83"/>
    <w:rsid w:val="00EF0B95"/>
    <w:rsid w:val="00EF1B7A"/>
    <w:rsid w:val="00EF2E98"/>
    <w:rsid w:val="00EF5110"/>
    <w:rsid w:val="00F0334E"/>
    <w:rsid w:val="00F045BF"/>
    <w:rsid w:val="00F07967"/>
    <w:rsid w:val="00F10411"/>
    <w:rsid w:val="00F130C5"/>
    <w:rsid w:val="00F15882"/>
    <w:rsid w:val="00F171E0"/>
    <w:rsid w:val="00F20BD3"/>
    <w:rsid w:val="00F221DB"/>
    <w:rsid w:val="00F2526A"/>
    <w:rsid w:val="00F35081"/>
    <w:rsid w:val="00F360CE"/>
    <w:rsid w:val="00F373A5"/>
    <w:rsid w:val="00F42E08"/>
    <w:rsid w:val="00F47559"/>
    <w:rsid w:val="00F50956"/>
    <w:rsid w:val="00F57907"/>
    <w:rsid w:val="00F61176"/>
    <w:rsid w:val="00F62A30"/>
    <w:rsid w:val="00F64C7B"/>
    <w:rsid w:val="00F65B25"/>
    <w:rsid w:val="00F676DD"/>
    <w:rsid w:val="00F71667"/>
    <w:rsid w:val="00F73895"/>
    <w:rsid w:val="00F7476A"/>
    <w:rsid w:val="00F75A26"/>
    <w:rsid w:val="00F76706"/>
    <w:rsid w:val="00F768C8"/>
    <w:rsid w:val="00F77E5C"/>
    <w:rsid w:val="00F81B8D"/>
    <w:rsid w:val="00F83FAD"/>
    <w:rsid w:val="00F845EE"/>
    <w:rsid w:val="00F8653A"/>
    <w:rsid w:val="00F91F55"/>
    <w:rsid w:val="00F92349"/>
    <w:rsid w:val="00F93B21"/>
    <w:rsid w:val="00F952A0"/>
    <w:rsid w:val="00F96BD1"/>
    <w:rsid w:val="00FA3C7F"/>
    <w:rsid w:val="00FB0D7E"/>
    <w:rsid w:val="00FB1BF3"/>
    <w:rsid w:val="00FB4402"/>
    <w:rsid w:val="00FB59D9"/>
    <w:rsid w:val="00FB60FE"/>
    <w:rsid w:val="00FB63AF"/>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0"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75074129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aemo.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26850F-460B-4D5B-8EF3-CEE4C7881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259C7A24</Template>
  <TotalTime>0</TotalTime>
  <Pages>15</Pages>
  <Words>3379</Words>
  <Characters>19266</Characters>
  <Application>Microsoft Office Word</Application>
  <DocSecurity>0</DocSecurity>
  <Lines>160</Lines>
  <Paragraphs>45</Paragraphs>
  <ScaleCrop>false</ScaleCrop>
  <Company/>
  <LinksUpToDate>false</LinksUpToDate>
  <CharactersWithSpaces>22600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2016-05-20T07:17:00Z</dcterms:created>
  <dcterms:modified xsi:type="dcterms:W3CDTF">2016-05-20T07:17:00Z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8575727</vt:lpwstr>
  </property>
</Properties>
</file>