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78185E4" wp14:editId="2EFA503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A80748" w:rsidRDefault="00A80748" w:rsidP="008F07A3">
          <w:pPr>
            <w:pStyle w:val="ReportSubtitle"/>
          </w:pPr>
          <w:r>
            <w:t>Australian Gas Networks</w:t>
          </w:r>
        </w:p>
        <w:p w:rsidR="00415F31" w:rsidRDefault="00CF2C05" w:rsidP="008F07A3">
          <w:pPr>
            <w:pStyle w:val="ReportSubtitle"/>
          </w:pPr>
          <w: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13</w:t>
          </w:r>
          <w:r w:rsidR="00DA4752">
            <w:t xml:space="preserve"> </w:t>
          </w:r>
          <w:r w:rsidR="00415F31">
            <w:rPr>
              <w:rFonts w:cs="Arial"/>
            </w:rPr>
            <w:t>–</w:t>
          </w:r>
          <w:r w:rsidR="00DA4752">
            <w:t xml:space="preserve"> </w:t>
          </w:r>
          <w:r w:rsidR="00A06085">
            <w:t>Demand</w:t>
          </w:r>
        </w:p>
        <w:p w:rsidR="000A6C7B" w:rsidRPr="00327A1E" w:rsidRDefault="00EE5AF6" w:rsidP="00327A1E">
          <w:pPr>
            <w:pStyle w:val="ReportDate"/>
          </w:pPr>
          <w:r>
            <w:t xml:space="preserve">May </w:t>
          </w:r>
          <w:r w:rsidR="00A2303E">
            <w:t>2016</w:t>
          </w:r>
        </w:p>
      </w:sdtContent>
    </w:sdt>
    <w:p w:rsidR="00327A1E" w:rsidRPr="00290C63" w:rsidRDefault="00327A1E" w:rsidP="00290C63">
      <w:r>
        <w:br w:type="page"/>
      </w:r>
    </w:p>
    <w:p w:rsidR="000A6C7B" w:rsidRDefault="00C40433"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51528030"/>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28002F" w:rsidRPr="0028002F" w:rsidRDefault="0028002F" w:rsidP="0028002F">
      <w:r w:rsidRPr="0028002F">
        <w:t>This attachment forms part of the AER's final decision on the access arrangement for Australian Gas Networks</w:t>
      </w:r>
      <w:r w:rsidR="0003353A">
        <w:t>'</w:t>
      </w:r>
      <w:r w:rsidRPr="0028002F">
        <w:t xml:space="preserve"> South Australian distribution network for 2016–21. It should be read with all other parts of the final decision.</w:t>
      </w:r>
    </w:p>
    <w:p w:rsidR="00415F31" w:rsidRDefault="00415F31" w:rsidP="0028002F">
      <w:r>
        <w:t xml:space="preserve">The </w:t>
      </w:r>
      <w:r w:rsidR="00A2303E">
        <w:t>final</w:t>
      </w:r>
      <w:r w:rsidR="005C0A7F">
        <w:t xml:space="preserve"> </w:t>
      </w:r>
      <w:r>
        <w:t>decision includes the following documents:</w:t>
      </w:r>
    </w:p>
    <w:p w:rsidR="00415F31" w:rsidRDefault="00415F31" w:rsidP="0028002F">
      <w:r>
        <w:t>Overview</w:t>
      </w:r>
    </w:p>
    <w:p w:rsidR="0070011E" w:rsidRDefault="0070011E" w:rsidP="0028002F">
      <w:r>
        <w:t xml:space="preserve">Attachment 1 - </w:t>
      </w:r>
      <w:r w:rsidR="00EE77FA">
        <w:t>Services covered by the access arrangement</w:t>
      </w:r>
    </w:p>
    <w:p w:rsidR="0070011E" w:rsidRDefault="0070011E" w:rsidP="0028002F">
      <w:r>
        <w:t xml:space="preserve">Attachment 2 - </w:t>
      </w:r>
      <w:r w:rsidR="00EE77FA">
        <w:t>Capital base</w:t>
      </w:r>
    </w:p>
    <w:p w:rsidR="0070011E" w:rsidRDefault="0070011E" w:rsidP="0028002F">
      <w:r>
        <w:t xml:space="preserve">Attachment 3 - </w:t>
      </w:r>
      <w:r w:rsidR="00EE77FA">
        <w:t>R</w:t>
      </w:r>
      <w:r>
        <w:t>ate of return</w:t>
      </w:r>
    </w:p>
    <w:p w:rsidR="0070011E" w:rsidRDefault="0070011E" w:rsidP="0028002F">
      <w:r>
        <w:t>Attachment 4 - Value of imputation credits</w:t>
      </w:r>
    </w:p>
    <w:p w:rsidR="0070011E" w:rsidRDefault="0070011E" w:rsidP="0028002F">
      <w:r>
        <w:t>Attachment 5 - Regulatory depreciation</w:t>
      </w:r>
    </w:p>
    <w:p w:rsidR="0070011E" w:rsidRDefault="0070011E" w:rsidP="0028002F">
      <w:r>
        <w:t xml:space="preserve">Attachment 6 - Capital expenditure </w:t>
      </w:r>
    </w:p>
    <w:p w:rsidR="0070011E" w:rsidRDefault="0070011E" w:rsidP="0028002F">
      <w:r>
        <w:t>Attachment 7 - Operating expenditure</w:t>
      </w:r>
    </w:p>
    <w:p w:rsidR="0070011E" w:rsidRDefault="0070011E" w:rsidP="0028002F">
      <w:r>
        <w:t>Attachment 8 - Corporate income tax</w:t>
      </w:r>
    </w:p>
    <w:p w:rsidR="0070011E" w:rsidRDefault="0070011E" w:rsidP="0028002F">
      <w:r>
        <w:t xml:space="preserve">Attachment 9 - Efficiency </w:t>
      </w:r>
      <w:r w:rsidR="00EE77FA">
        <w:t>carryover mechanism</w:t>
      </w:r>
    </w:p>
    <w:p w:rsidR="0070011E" w:rsidRDefault="0070011E" w:rsidP="0028002F">
      <w:r>
        <w:t xml:space="preserve">Attachment 10 - </w:t>
      </w:r>
      <w:r w:rsidR="00EE77FA">
        <w:t>Reference tariff setting</w:t>
      </w:r>
    </w:p>
    <w:p w:rsidR="0070011E" w:rsidRDefault="0070011E" w:rsidP="0028002F">
      <w:r>
        <w:t xml:space="preserve">Attachment 11 - </w:t>
      </w:r>
      <w:r w:rsidR="00EE77FA">
        <w:t>Reference tariff variation mechanism</w:t>
      </w:r>
    </w:p>
    <w:p w:rsidR="0070011E" w:rsidRDefault="0070011E" w:rsidP="0028002F">
      <w:r>
        <w:t xml:space="preserve">Attachment 12 - </w:t>
      </w:r>
      <w:r w:rsidR="00EE77FA">
        <w:t>Non-tariff components</w:t>
      </w:r>
    </w:p>
    <w:p w:rsidR="0070011E" w:rsidRDefault="0070011E" w:rsidP="0028002F">
      <w:r>
        <w:t xml:space="preserve">Attachment 13 - </w:t>
      </w:r>
      <w:r w:rsidR="00EE77FA">
        <w:t>Demand</w:t>
      </w:r>
    </w:p>
    <w:p w:rsidR="00A80748" w:rsidRDefault="00A80748" w:rsidP="0028002F">
      <w:r>
        <w:t>Attachment 14 - Other incentive schemes</w:t>
      </w:r>
    </w:p>
    <w:p w:rsidR="00DE563D" w:rsidRPr="00A72B34" w:rsidRDefault="00DE563D" w:rsidP="00DE772C">
      <w:pPr>
        <w:pStyle w:val="UnnumberedHeading"/>
        <w:numPr>
          <w:ilvl w:val="0"/>
          <w:numId w:val="23"/>
        </w:numPr>
      </w:pPr>
      <w:bookmarkStart w:id="6" w:name="_Toc403144133"/>
      <w:bookmarkStart w:id="7" w:name="_Toc45152803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D097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28030" w:history="1">
            <w:r w:rsidR="004D0978" w:rsidRPr="009A231E">
              <w:rPr>
                <w:rStyle w:val="Hyperlink"/>
              </w:rPr>
              <w:t>Note</w:t>
            </w:r>
            <w:r w:rsidR="004D0978">
              <w:rPr>
                <w:webHidden/>
              </w:rPr>
              <w:tab/>
            </w:r>
            <w:r w:rsidR="004D0978">
              <w:rPr>
                <w:webHidden/>
              </w:rPr>
              <w:fldChar w:fldCharType="begin"/>
            </w:r>
            <w:r w:rsidR="004D0978">
              <w:rPr>
                <w:webHidden/>
              </w:rPr>
              <w:instrText xml:space="preserve"> PAGEREF _Toc451528030 \h </w:instrText>
            </w:r>
            <w:r w:rsidR="004D0978">
              <w:rPr>
                <w:webHidden/>
              </w:rPr>
            </w:r>
            <w:r w:rsidR="004D0978">
              <w:rPr>
                <w:webHidden/>
              </w:rPr>
              <w:fldChar w:fldCharType="separate"/>
            </w:r>
            <w:r w:rsidR="004D0978">
              <w:rPr>
                <w:webHidden/>
              </w:rPr>
              <w:t>13-2</w:t>
            </w:r>
            <w:r w:rsidR="004D0978">
              <w:rPr>
                <w:webHidden/>
              </w:rPr>
              <w:fldChar w:fldCharType="end"/>
            </w:r>
          </w:hyperlink>
        </w:p>
        <w:p w:rsidR="004D0978" w:rsidRDefault="00816C85">
          <w:pPr>
            <w:pStyle w:val="TOC1"/>
            <w:rPr>
              <w:rFonts w:asciiTheme="minorHAnsi" w:eastAsiaTheme="minorEastAsia" w:hAnsiTheme="minorHAnsi"/>
              <w:b w:val="0"/>
              <w:color w:val="auto"/>
              <w:sz w:val="22"/>
              <w:lang w:val="en-AU" w:eastAsia="en-AU"/>
            </w:rPr>
          </w:pPr>
          <w:hyperlink w:anchor="_Toc451528031" w:history="1">
            <w:r w:rsidR="004D0978" w:rsidRPr="009A231E">
              <w:rPr>
                <w:rStyle w:val="Hyperlink"/>
              </w:rPr>
              <w:t>Contents</w:t>
            </w:r>
            <w:r w:rsidR="004D0978">
              <w:rPr>
                <w:webHidden/>
              </w:rPr>
              <w:tab/>
            </w:r>
            <w:r w:rsidR="004D0978">
              <w:rPr>
                <w:webHidden/>
              </w:rPr>
              <w:fldChar w:fldCharType="begin"/>
            </w:r>
            <w:r w:rsidR="004D0978">
              <w:rPr>
                <w:webHidden/>
              </w:rPr>
              <w:instrText xml:space="preserve"> PAGEREF _Toc451528031 \h </w:instrText>
            </w:r>
            <w:r w:rsidR="004D0978">
              <w:rPr>
                <w:webHidden/>
              </w:rPr>
            </w:r>
            <w:r w:rsidR="004D0978">
              <w:rPr>
                <w:webHidden/>
              </w:rPr>
              <w:fldChar w:fldCharType="separate"/>
            </w:r>
            <w:r w:rsidR="004D0978">
              <w:rPr>
                <w:webHidden/>
              </w:rPr>
              <w:t>13-3</w:t>
            </w:r>
            <w:r w:rsidR="004D0978">
              <w:rPr>
                <w:webHidden/>
              </w:rPr>
              <w:fldChar w:fldCharType="end"/>
            </w:r>
          </w:hyperlink>
        </w:p>
        <w:p w:rsidR="004D0978" w:rsidRDefault="00816C85">
          <w:pPr>
            <w:pStyle w:val="TOC1"/>
            <w:rPr>
              <w:rFonts w:asciiTheme="minorHAnsi" w:eastAsiaTheme="minorEastAsia" w:hAnsiTheme="minorHAnsi"/>
              <w:b w:val="0"/>
              <w:color w:val="auto"/>
              <w:sz w:val="22"/>
              <w:lang w:val="en-AU" w:eastAsia="en-AU"/>
            </w:rPr>
          </w:pPr>
          <w:hyperlink w:anchor="_Toc451528032" w:history="1">
            <w:r w:rsidR="004D0978" w:rsidRPr="009A231E">
              <w:rPr>
                <w:rStyle w:val="Hyperlink"/>
              </w:rPr>
              <w:t>Shortened forms</w:t>
            </w:r>
            <w:r w:rsidR="004D0978">
              <w:rPr>
                <w:webHidden/>
              </w:rPr>
              <w:tab/>
            </w:r>
            <w:r w:rsidR="004D0978">
              <w:rPr>
                <w:webHidden/>
              </w:rPr>
              <w:fldChar w:fldCharType="begin"/>
            </w:r>
            <w:r w:rsidR="004D0978">
              <w:rPr>
                <w:webHidden/>
              </w:rPr>
              <w:instrText xml:space="preserve"> PAGEREF _Toc451528032 \h </w:instrText>
            </w:r>
            <w:r w:rsidR="004D0978">
              <w:rPr>
                <w:webHidden/>
              </w:rPr>
            </w:r>
            <w:r w:rsidR="004D0978">
              <w:rPr>
                <w:webHidden/>
              </w:rPr>
              <w:fldChar w:fldCharType="separate"/>
            </w:r>
            <w:r w:rsidR="004D0978">
              <w:rPr>
                <w:webHidden/>
              </w:rPr>
              <w:t>13-4</w:t>
            </w:r>
            <w:r w:rsidR="004D0978">
              <w:rPr>
                <w:webHidden/>
              </w:rPr>
              <w:fldChar w:fldCharType="end"/>
            </w:r>
          </w:hyperlink>
        </w:p>
        <w:p w:rsidR="004D0978" w:rsidRDefault="00816C85">
          <w:pPr>
            <w:pStyle w:val="TOC1"/>
            <w:rPr>
              <w:rFonts w:asciiTheme="minorHAnsi" w:eastAsiaTheme="minorEastAsia" w:hAnsiTheme="minorHAnsi"/>
              <w:b w:val="0"/>
              <w:color w:val="auto"/>
              <w:sz w:val="22"/>
              <w:lang w:val="en-AU" w:eastAsia="en-AU"/>
            </w:rPr>
          </w:pPr>
          <w:hyperlink w:anchor="_Toc451528033" w:history="1">
            <w:r w:rsidR="004D0978" w:rsidRPr="009A231E">
              <w:rPr>
                <w:rStyle w:val="Hyperlink"/>
              </w:rPr>
              <w:t>13</w:t>
            </w:r>
            <w:r w:rsidR="004D0978">
              <w:rPr>
                <w:rFonts w:asciiTheme="minorHAnsi" w:eastAsiaTheme="minorEastAsia" w:hAnsiTheme="minorHAnsi"/>
                <w:b w:val="0"/>
                <w:color w:val="auto"/>
                <w:sz w:val="22"/>
                <w:lang w:val="en-AU" w:eastAsia="en-AU"/>
              </w:rPr>
              <w:tab/>
            </w:r>
            <w:r w:rsidR="004D0978" w:rsidRPr="009A231E">
              <w:rPr>
                <w:rStyle w:val="Hyperlink"/>
              </w:rPr>
              <w:t>Demand</w:t>
            </w:r>
            <w:r w:rsidR="004D0978">
              <w:rPr>
                <w:webHidden/>
              </w:rPr>
              <w:tab/>
            </w:r>
            <w:r w:rsidR="004D0978">
              <w:rPr>
                <w:webHidden/>
              </w:rPr>
              <w:fldChar w:fldCharType="begin"/>
            </w:r>
            <w:r w:rsidR="004D0978">
              <w:rPr>
                <w:webHidden/>
              </w:rPr>
              <w:instrText xml:space="preserve"> PAGEREF _Toc451528033 \h </w:instrText>
            </w:r>
            <w:r w:rsidR="004D0978">
              <w:rPr>
                <w:webHidden/>
              </w:rPr>
            </w:r>
            <w:r w:rsidR="004D0978">
              <w:rPr>
                <w:webHidden/>
              </w:rPr>
              <w:fldChar w:fldCharType="separate"/>
            </w:r>
            <w:r w:rsidR="004D0978">
              <w:rPr>
                <w:webHidden/>
              </w:rPr>
              <w:t>13-6</w:t>
            </w:r>
            <w:r w:rsidR="004D0978">
              <w:rPr>
                <w:webHidden/>
              </w:rPr>
              <w:fldChar w:fldCharType="end"/>
            </w:r>
          </w:hyperlink>
        </w:p>
        <w:p w:rsidR="004D0978" w:rsidRDefault="00816C85">
          <w:pPr>
            <w:pStyle w:val="TOC2"/>
            <w:tabs>
              <w:tab w:val="left" w:pos="1276"/>
            </w:tabs>
            <w:rPr>
              <w:rFonts w:asciiTheme="minorHAnsi" w:eastAsiaTheme="minorEastAsia" w:hAnsiTheme="minorHAnsi"/>
              <w:b w:val="0"/>
              <w:color w:val="auto"/>
              <w:sz w:val="22"/>
              <w:lang w:eastAsia="en-AU"/>
            </w:rPr>
          </w:pPr>
          <w:hyperlink w:anchor="_Toc451528034" w:history="1">
            <w:r w:rsidR="004D0978" w:rsidRPr="009A231E">
              <w:rPr>
                <w:rStyle w:val="Hyperlink"/>
              </w:rPr>
              <w:t>13.1</w:t>
            </w:r>
            <w:r w:rsidR="004D0978">
              <w:rPr>
                <w:rFonts w:asciiTheme="minorHAnsi" w:eastAsiaTheme="minorEastAsia" w:hAnsiTheme="minorHAnsi"/>
                <w:b w:val="0"/>
                <w:color w:val="auto"/>
                <w:sz w:val="22"/>
                <w:lang w:eastAsia="en-AU"/>
              </w:rPr>
              <w:tab/>
            </w:r>
            <w:r w:rsidR="004D0978" w:rsidRPr="009A231E">
              <w:rPr>
                <w:rStyle w:val="Hyperlink"/>
              </w:rPr>
              <w:t>Final decision</w:t>
            </w:r>
            <w:r w:rsidR="004D0978">
              <w:rPr>
                <w:webHidden/>
              </w:rPr>
              <w:tab/>
            </w:r>
            <w:r w:rsidR="004D0978">
              <w:rPr>
                <w:webHidden/>
              </w:rPr>
              <w:fldChar w:fldCharType="begin"/>
            </w:r>
            <w:r w:rsidR="004D0978">
              <w:rPr>
                <w:webHidden/>
              </w:rPr>
              <w:instrText xml:space="preserve"> PAGEREF _Toc451528034 \h </w:instrText>
            </w:r>
            <w:r w:rsidR="004D0978">
              <w:rPr>
                <w:webHidden/>
              </w:rPr>
            </w:r>
            <w:r w:rsidR="004D0978">
              <w:rPr>
                <w:webHidden/>
              </w:rPr>
              <w:fldChar w:fldCharType="separate"/>
            </w:r>
            <w:r w:rsidR="004D0978">
              <w:rPr>
                <w:webHidden/>
              </w:rPr>
              <w:t>13-6</w:t>
            </w:r>
            <w:r w:rsidR="004D0978">
              <w:rPr>
                <w:webHidden/>
              </w:rPr>
              <w:fldChar w:fldCharType="end"/>
            </w:r>
          </w:hyperlink>
        </w:p>
        <w:p w:rsidR="004D0978" w:rsidRDefault="00816C85">
          <w:pPr>
            <w:pStyle w:val="TOC2"/>
            <w:tabs>
              <w:tab w:val="left" w:pos="1276"/>
            </w:tabs>
            <w:rPr>
              <w:rFonts w:asciiTheme="minorHAnsi" w:eastAsiaTheme="minorEastAsia" w:hAnsiTheme="minorHAnsi"/>
              <w:b w:val="0"/>
              <w:color w:val="auto"/>
              <w:sz w:val="22"/>
              <w:lang w:eastAsia="en-AU"/>
            </w:rPr>
          </w:pPr>
          <w:hyperlink w:anchor="_Toc451528035" w:history="1">
            <w:r w:rsidR="004D0978" w:rsidRPr="009A231E">
              <w:rPr>
                <w:rStyle w:val="Hyperlink"/>
              </w:rPr>
              <w:t>13.2</w:t>
            </w:r>
            <w:r w:rsidR="004D0978">
              <w:rPr>
                <w:rFonts w:asciiTheme="minorHAnsi" w:eastAsiaTheme="minorEastAsia" w:hAnsiTheme="minorHAnsi"/>
                <w:b w:val="0"/>
                <w:color w:val="auto"/>
                <w:sz w:val="22"/>
                <w:lang w:eastAsia="en-AU"/>
              </w:rPr>
              <w:tab/>
            </w:r>
            <w:r w:rsidR="004D0978" w:rsidRPr="009A231E">
              <w:rPr>
                <w:rStyle w:val="Hyperlink"/>
              </w:rPr>
              <w:t>AGN's revised proposal</w:t>
            </w:r>
            <w:r w:rsidR="004D0978">
              <w:rPr>
                <w:webHidden/>
              </w:rPr>
              <w:tab/>
            </w:r>
            <w:r w:rsidR="004D0978">
              <w:rPr>
                <w:webHidden/>
              </w:rPr>
              <w:fldChar w:fldCharType="begin"/>
            </w:r>
            <w:r w:rsidR="004D0978">
              <w:rPr>
                <w:webHidden/>
              </w:rPr>
              <w:instrText xml:space="preserve"> PAGEREF _Toc451528035 \h </w:instrText>
            </w:r>
            <w:r w:rsidR="004D0978">
              <w:rPr>
                <w:webHidden/>
              </w:rPr>
            </w:r>
            <w:r w:rsidR="004D0978">
              <w:rPr>
                <w:webHidden/>
              </w:rPr>
              <w:fldChar w:fldCharType="separate"/>
            </w:r>
            <w:r w:rsidR="004D0978">
              <w:rPr>
                <w:webHidden/>
              </w:rPr>
              <w:t>13-6</w:t>
            </w:r>
            <w:r w:rsidR="004D0978">
              <w:rPr>
                <w:webHidden/>
              </w:rPr>
              <w:fldChar w:fldCharType="end"/>
            </w:r>
          </w:hyperlink>
        </w:p>
        <w:p w:rsidR="004D0978" w:rsidRDefault="00816C85">
          <w:pPr>
            <w:pStyle w:val="TOC2"/>
            <w:tabs>
              <w:tab w:val="left" w:pos="1276"/>
            </w:tabs>
            <w:rPr>
              <w:rFonts w:asciiTheme="minorHAnsi" w:eastAsiaTheme="minorEastAsia" w:hAnsiTheme="minorHAnsi"/>
              <w:b w:val="0"/>
              <w:color w:val="auto"/>
              <w:sz w:val="22"/>
              <w:lang w:eastAsia="en-AU"/>
            </w:rPr>
          </w:pPr>
          <w:hyperlink w:anchor="_Toc451528036" w:history="1">
            <w:r w:rsidR="004D0978" w:rsidRPr="009A231E">
              <w:rPr>
                <w:rStyle w:val="Hyperlink"/>
              </w:rPr>
              <w:t>13.3</w:t>
            </w:r>
            <w:r w:rsidR="004D0978">
              <w:rPr>
                <w:rFonts w:asciiTheme="minorHAnsi" w:eastAsiaTheme="minorEastAsia" w:hAnsiTheme="minorHAnsi"/>
                <w:b w:val="0"/>
                <w:color w:val="auto"/>
                <w:sz w:val="22"/>
                <w:lang w:eastAsia="en-AU"/>
              </w:rPr>
              <w:tab/>
            </w:r>
            <w:r w:rsidR="004D0978" w:rsidRPr="009A231E">
              <w:rPr>
                <w:rStyle w:val="Hyperlink"/>
              </w:rPr>
              <w:t>AER’s assessment approach</w:t>
            </w:r>
            <w:r w:rsidR="004D0978">
              <w:rPr>
                <w:webHidden/>
              </w:rPr>
              <w:tab/>
            </w:r>
            <w:r w:rsidR="004D0978">
              <w:rPr>
                <w:webHidden/>
              </w:rPr>
              <w:fldChar w:fldCharType="begin"/>
            </w:r>
            <w:r w:rsidR="004D0978">
              <w:rPr>
                <w:webHidden/>
              </w:rPr>
              <w:instrText xml:space="preserve"> PAGEREF _Toc451528036 \h </w:instrText>
            </w:r>
            <w:r w:rsidR="004D0978">
              <w:rPr>
                <w:webHidden/>
              </w:rPr>
            </w:r>
            <w:r w:rsidR="004D0978">
              <w:rPr>
                <w:webHidden/>
              </w:rPr>
              <w:fldChar w:fldCharType="separate"/>
            </w:r>
            <w:r w:rsidR="004D0978">
              <w:rPr>
                <w:webHidden/>
              </w:rPr>
              <w:t>13-6</w:t>
            </w:r>
            <w:r w:rsidR="004D0978">
              <w:rPr>
                <w:webHidden/>
              </w:rPr>
              <w:fldChar w:fldCharType="end"/>
            </w:r>
          </w:hyperlink>
        </w:p>
        <w:p w:rsidR="004D0978" w:rsidRDefault="00816C85">
          <w:pPr>
            <w:pStyle w:val="TOC3"/>
            <w:rPr>
              <w:rFonts w:asciiTheme="minorHAnsi" w:eastAsiaTheme="minorEastAsia" w:hAnsiTheme="minorHAnsi"/>
              <w:lang w:eastAsia="en-AU"/>
            </w:rPr>
          </w:pPr>
          <w:hyperlink w:anchor="_Toc451528037" w:history="1">
            <w:r w:rsidR="004D0978" w:rsidRPr="009A231E">
              <w:rPr>
                <w:rStyle w:val="Hyperlink"/>
              </w:rPr>
              <w:t>13.3.1</w:t>
            </w:r>
            <w:r w:rsidR="004D0978">
              <w:rPr>
                <w:rFonts w:asciiTheme="minorHAnsi" w:eastAsiaTheme="minorEastAsia" w:hAnsiTheme="minorHAnsi"/>
                <w:lang w:eastAsia="en-AU"/>
              </w:rPr>
              <w:tab/>
            </w:r>
            <w:r w:rsidR="004D0978" w:rsidRPr="009A231E">
              <w:rPr>
                <w:rStyle w:val="Hyperlink"/>
              </w:rPr>
              <w:t>Interrelationships</w:t>
            </w:r>
            <w:r w:rsidR="004D0978">
              <w:rPr>
                <w:webHidden/>
              </w:rPr>
              <w:tab/>
            </w:r>
            <w:r w:rsidR="004D0978">
              <w:rPr>
                <w:webHidden/>
              </w:rPr>
              <w:fldChar w:fldCharType="begin"/>
            </w:r>
            <w:r w:rsidR="004D0978">
              <w:rPr>
                <w:webHidden/>
              </w:rPr>
              <w:instrText xml:space="preserve"> PAGEREF _Toc451528037 \h </w:instrText>
            </w:r>
            <w:r w:rsidR="004D0978">
              <w:rPr>
                <w:webHidden/>
              </w:rPr>
            </w:r>
            <w:r w:rsidR="004D0978">
              <w:rPr>
                <w:webHidden/>
              </w:rPr>
              <w:fldChar w:fldCharType="separate"/>
            </w:r>
            <w:r w:rsidR="004D0978">
              <w:rPr>
                <w:webHidden/>
              </w:rPr>
              <w:t>13-6</w:t>
            </w:r>
            <w:r w:rsidR="004D0978">
              <w:rPr>
                <w:webHidden/>
              </w:rPr>
              <w:fldChar w:fldCharType="end"/>
            </w:r>
          </w:hyperlink>
        </w:p>
        <w:p w:rsidR="004D0978" w:rsidRDefault="00816C85">
          <w:pPr>
            <w:pStyle w:val="TOC3"/>
            <w:rPr>
              <w:rFonts w:asciiTheme="minorHAnsi" w:eastAsiaTheme="minorEastAsia" w:hAnsiTheme="minorHAnsi"/>
              <w:lang w:eastAsia="en-AU"/>
            </w:rPr>
          </w:pPr>
          <w:hyperlink w:anchor="_Toc451528038" w:history="1">
            <w:r w:rsidR="004D0978" w:rsidRPr="009A231E">
              <w:rPr>
                <w:rStyle w:val="Hyperlink"/>
              </w:rPr>
              <w:t>13.3.2</w:t>
            </w:r>
            <w:r w:rsidR="004D0978">
              <w:rPr>
                <w:rFonts w:asciiTheme="minorHAnsi" w:eastAsiaTheme="minorEastAsia" w:hAnsiTheme="minorHAnsi"/>
                <w:lang w:eastAsia="en-AU"/>
              </w:rPr>
              <w:tab/>
            </w:r>
            <w:r w:rsidR="004D0978" w:rsidRPr="009A231E">
              <w:rPr>
                <w:rStyle w:val="Hyperlink"/>
              </w:rPr>
              <w:t>Minimum, maximum and average demand</w:t>
            </w:r>
            <w:r w:rsidR="004D0978">
              <w:rPr>
                <w:webHidden/>
              </w:rPr>
              <w:tab/>
            </w:r>
            <w:r w:rsidR="004D0978">
              <w:rPr>
                <w:webHidden/>
              </w:rPr>
              <w:fldChar w:fldCharType="begin"/>
            </w:r>
            <w:r w:rsidR="004D0978">
              <w:rPr>
                <w:webHidden/>
              </w:rPr>
              <w:instrText xml:space="preserve"> PAGEREF _Toc451528038 \h </w:instrText>
            </w:r>
            <w:r w:rsidR="004D0978">
              <w:rPr>
                <w:webHidden/>
              </w:rPr>
            </w:r>
            <w:r w:rsidR="004D0978">
              <w:rPr>
                <w:webHidden/>
              </w:rPr>
              <w:fldChar w:fldCharType="separate"/>
            </w:r>
            <w:r w:rsidR="004D0978">
              <w:rPr>
                <w:webHidden/>
              </w:rPr>
              <w:t>13-7</w:t>
            </w:r>
            <w:r w:rsidR="004D0978">
              <w:rPr>
                <w:webHidden/>
              </w:rPr>
              <w:fldChar w:fldCharType="end"/>
            </w:r>
          </w:hyperlink>
        </w:p>
        <w:p w:rsidR="004D0978" w:rsidRDefault="00816C85">
          <w:pPr>
            <w:pStyle w:val="TOC3"/>
            <w:rPr>
              <w:rFonts w:asciiTheme="minorHAnsi" w:eastAsiaTheme="minorEastAsia" w:hAnsiTheme="minorHAnsi"/>
              <w:lang w:eastAsia="en-AU"/>
            </w:rPr>
          </w:pPr>
          <w:hyperlink w:anchor="_Toc451528039" w:history="1">
            <w:r w:rsidR="004D0978" w:rsidRPr="009A231E">
              <w:rPr>
                <w:rStyle w:val="Hyperlink"/>
              </w:rPr>
              <w:t>13.3.3</w:t>
            </w:r>
            <w:r w:rsidR="004D0978">
              <w:rPr>
                <w:rFonts w:asciiTheme="minorHAnsi" w:eastAsiaTheme="minorEastAsia" w:hAnsiTheme="minorHAnsi"/>
                <w:lang w:eastAsia="en-AU"/>
              </w:rPr>
              <w:tab/>
            </w:r>
            <w:r w:rsidR="004D0978" w:rsidRPr="009A231E">
              <w:rPr>
                <w:rStyle w:val="Hyperlink"/>
              </w:rPr>
              <w:t>Forecast pipeline capacity and utilisation</w:t>
            </w:r>
            <w:r w:rsidR="004D0978">
              <w:rPr>
                <w:webHidden/>
              </w:rPr>
              <w:tab/>
            </w:r>
            <w:r w:rsidR="004D0978">
              <w:rPr>
                <w:webHidden/>
              </w:rPr>
              <w:fldChar w:fldCharType="begin"/>
            </w:r>
            <w:r w:rsidR="004D0978">
              <w:rPr>
                <w:webHidden/>
              </w:rPr>
              <w:instrText xml:space="preserve"> PAGEREF _Toc451528039 \h </w:instrText>
            </w:r>
            <w:r w:rsidR="004D0978">
              <w:rPr>
                <w:webHidden/>
              </w:rPr>
            </w:r>
            <w:r w:rsidR="004D0978">
              <w:rPr>
                <w:webHidden/>
              </w:rPr>
              <w:fldChar w:fldCharType="separate"/>
            </w:r>
            <w:r w:rsidR="004D0978">
              <w:rPr>
                <w:webHidden/>
              </w:rPr>
              <w:t>13-7</w:t>
            </w:r>
            <w:r w:rsidR="004D0978">
              <w:rPr>
                <w:webHidden/>
              </w:rPr>
              <w:fldChar w:fldCharType="end"/>
            </w:r>
          </w:hyperlink>
        </w:p>
        <w:p w:rsidR="004D0978" w:rsidRDefault="00816C85">
          <w:pPr>
            <w:pStyle w:val="TOC2"/>
            <w:tabs>
              <w:tab w:val="left" w:pos="1276"/>
            </w:tabs>
            <w:rPr>
              <w:rFonts w:asciiTheme="minorHAnsi" w:eastAsiaTheme="minorEastAsia" w:hAnsiTheme="minorHAnsi"/>
              <w:b w:val="0"/>
              <w:color w:val="auto"/>
              <w:sz w:val="22"/>
              <w:lang w:eastAsia="en-AU"/>
            </w:rPr>
          </w:pPr>
          <w:hyperlink w:anchor="_Toc451528040" w:history="1">
            <w:r w:rsidR="004D0978" w:rsidRPr="009A231E">
              <w:rPr>
                <w:rStyle w:val="Hyperlink"/>
              </w:rPr>
              <w:t>13.4</w:t>
            </w:r>
            <w:r w:rsidR="004D0978">
              <w:rPr>
                <w:rFonts w:asciiTheme="minorHAnsi" w:eastAsiaTheme="minorEastAsia" w:hAnsiTheme="minorHAnsi"/>
                <w:b w:val="0"/>
                <w:color w:val="auto"/>
                <w:sz w:val="22"/>
                <w:lang w:eastAsia="en-AU"/>
              </w:rPr>
              <w:tab/>
            </w:r>
            <w:r w:rsidR="004D0978" w:rsidRPr="009A231E">
              <w:rPr>
                <w:rStyle w:val="Hyperlink"/>
              </w:rPr>
              <w:t>Reasons for final decision</w:t>
            </w:r>
            <w:r w:rsidR="004D0978">
              <w:rPr>
                <w:webHidden/>
              </w:rPr>
              <w:tab/>
            </w:r>
            <w:r w:rsidR="004D0978">
              <w:rPr>
                <w:webHidden/>
              </w:rPr>
              <w:fldChar w:fldCharType="begin"/>
            </w:r>
            <w:r w:rsidR="004D0978">
              <w:rPr>
                <w:webHidden/>
              </w:rPr>
              <w:instrText xml:space="preserve"> PAGEREF _Toc451528040 \h </w:instrText>
            </w:r>
            <w:r w:rsidR="004D0978">
              <w:rPr>
                <w:webHidden/>
              </w:rPr>
            </w:r>
            <w:r w:rsidR="004D0978">
              <w:rPr>
                <w:webHidden/>
              </w:rPr>
              <w:fldChar w:fldCharType="separate"/>
            </w:r>
            <w:r w:rsidR="004D0978">
              <w:rPr>
                <w:webHidden/>
              </w:rPr>
              <w:t>13-7</w:t>
            </w:r>
            <w:r w:rsidR="004D0978">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28032"/>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E34AF5" w:rsidTr="00E34A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Shortened form</w:t>
            </w:r>
          </w:p>
        </w:tc>
        <w:tc>
          <w:tcPr>
            <w:tcW w:w="5041" w:type="dxa"/>
            <w:tcBorders>
              <w:top w:val="nil"/>
              <w:left w:val="nil"/>
              <w:bottom w:val="nil"/>
              <w:right w:val="nil"/>
            </w:tcBorders>
            <w:hideMark/>
          </w:tcPr>
          <w:p w:rsidR="00E34AF5" w:rsidRPr="00E34AF5" w:rsidRDefault="00E34AF5" w:rsidP="00E34AF5">
            <w:pPr>
              <w:numPr>
                <w:ilvl w:val="0"/>
                <w:numId w:val="24"/>
              </w:numPr>
              <w:cnfStyle w:val="100000000000" w:firstRow="1" w:lastRow="0" w:firstColumn="0" w:lastColumn="0" w:oddVBand="0" w:evenVBand="0" w:oddHBand="0" w:evenHBand="0" w:firstRowFirstColumn="0" w:firstRowLastColumn="0" w:lastRowFirstColumn="0" w:lastRowLastColumn="0"/>
            </w:pPr>
            <w:r w:rsidRPr="00E34AF5">
              <w:t>Extended form</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AA</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Access Arrangement</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AAI</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Access Arrangement Information</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AER</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Australian Energy Regulator</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AGN</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Australian Gas Networks</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ATO</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Australian Tax Office</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capex</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capital expenditure</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CAPM</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capital asset pricing model</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CCP</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Consumer Challenge Panel</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CESS</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Capital Expenditure Sharing Scheme</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CPI</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consumer price index</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CSIS</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Customer Service Incentive Scheme</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DRP</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debt risk premium</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EBSS</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Efficiency Benefit Sharing Scheme</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ECM</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Efficiency Carryover Mechanism</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ERP</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equity risk premium</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Expenditure Guideline</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Expenditure Forecast Assessment Guideline</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gamma</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value of imputation credits</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GSL</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Guaranteed Service Level</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MRP</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market risk premium</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NECF</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National Energy Customer Framework</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NERL</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National Energy Retail Law</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NERR</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National Energy Retail Rules</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NGL</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National Gas Law</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NGO</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National Gas Objective</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NGR</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National Gas Rules</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NIS</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Network Incentive Scheme</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NPV</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net present value</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opex</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operating expenditure</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PFP</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partial factor productivity</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PPI</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partial performance indicators</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PTRM</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post-tax revenue model</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RBA</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Reserve Bank of Australia</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RFM</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roll forward model</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RIN</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regulatory information notice</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RoLR</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retailer of last resort</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RPP</w:t>
            </w:r>
          </w:p>
        </w:tc>
        <w:tc>
          <w:tcPr>
            <w:tcW w:w="5041" w:type="dxa"/>
            <w:tcBorders>
              <w:top w:val="nil"/>
              <w:left w:val="nil"/>
              <w:bottom w:val="nil"/>
              <w:right w:val="nil"/>
            </w:tcBorders>
            <w:hideMark/>
          </w:tcPr>
          <w:p w:rsidR="00E34AF5" w:rsidRPr="00E34AF5" w:rsidRDefault="00E34AF5" w:rsidP="00E34AF5">
            <w:pPr>
              <w:numPr>
                <w:ilvl w:val="0"/>
                <w:numId w:val="24"/>
              </w:numPr>
              <w:cnfStyle w:val="000000010000" w:firstRow="0" w:lastRow="0" w:firstColumn="0" w:lastColumn="0" w:oddVBand="0" w:evenVBand="0" w:oddHBand="0" w:evenHBand="1" w:firstRowFirstColumn="0" w:firstRowLastColumn="0" w:lastRowFirstColumn="0" w:lastRowLastColumn="0"/>
            </w:pPr>
            <w:r w:rsidRPr="00E34AF5">
              <w:t>revenue and pricing principles</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SLCAPM</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Sharpe-Lintner capital asset pricing model</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STPIS</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Service Target Performance Incentive Scheme</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TAB</w:t>
            </w:r>
          </w:p>
        </w:tc>
        <w:tc>
          <w:tcPr>
            <w:tcW w:w="5041" w:type="dxa"/>
            <w:tcBorders>
              <w:top w:val="nil"/>
              <w:left w:val="nil"/>
              <w:bottom w:val="nil"/>
              <w:right w:val="nil"/>
            </w:tcBorders>
            <w:hideMark/>
          </w:tcPr>
          <w:p w:rsidR="00E34AF5" w:rsidRPr="00E34AF5" w:rsidRDefault="00E34AF5" w:rsidP="00E34AF5">
            <w:pPr>
              <w:cnfStyle w:val="000000000000" w:firstRow="0" w:lastRow="0" w:firstColumn="0" w:lastColumn="0" w:oddVBand="0" w:evenVBand="0" w:oddHBand="0" w:evenHBand="0" w:firstRowFirstColumn="0" w:firstRowLastColumn="0" w:lastRowFirstColumn="0" w:lastRowLastColumn="0"/>
            </w:pPr>
            <w:r w:rsidRPr="00E34AF5">
              <w:t>tax asset base</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UAFG</w:t>
            </w:r>
          </w:p>
        </w:tc>
        <w:tc>
          <w:tcPr>
            <w:tcW w:w="5041" w:type="dxa"/>
            <w:tcBorders>
              <w:top w:val="nil"/>
              <w:left w:val="nil"/>
              <w:bottom w:val="nil"/>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unaccounted for gas</w:t>
            </w:r>
          </w:p>
        </w:tc>
      </w:tr>
      <w:tr w:rsidR="00E34AF5" w:rsidTr="00E34AF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34AF5" w:rsidRPr="00E34AF5" w:rsidRDefault="00E34AF5" w:rsidP="00E34AF5">
            <w:pPr>
              <w:numPr>
                <w:ilvl w:val="0"/>
                <w:numId w:val="24"/>
              </w:numPr>
            </w:pPr>
            <w:r w:rsidRPr="00E34AF5">
              <w:t>WACC</w:t>
            </w:r>
          </w:p>
        </w:tc>
        <w:tc>
          <w:tcPr>
            <w:tcW w:w="5041" w:type="dxa"/>
            <w:tcBorders>
              <w:top w:val="nil"/>
              <w:left w:val="nil"/>
              <w:bottom w:val="nil"/>
              <w:right w:val="nil"/>
            </w:tcBorders>
            <w:hideMark/>
          </w:tcPr>
          <w:p w:rsidR="00E34AF5" w:rsidRPr="00E34AF5" w:rsidRDefault="00E34AF5" w:rsidP="00E34AF5">
            <w:pPr>
              <w:numPr>
                <w:ilvl w:val="0"/>
                <w:numId w:val="24"/>
              </w:numPr>
              <w:cnfStyle w:val="000000000000" w:firstRow="0" w:lastRow="0" w:firstColumn="0" w:lastColumn="0" w:oddVBand="0" w:evenVBand="0" w:oddHBand="0" w:evenHBand="0" w:firstRowFirstColumn="0" w:firstRowLastColumn="0" w:lastRowFirstColumn="0" w:lastRowLastColumn="0"/>
            </w:pPr>
            <w:r w:rsidRPr="00E34AF5">
              <w:t>weighted average cost of capital</w:t>
            </w:r>
          </w:p>
        </w:tc>
      </w:tr>
      <w:tr w:rsidR="00E34AF5" w:rsidTr="00E34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E34AF5" w:rsidRPr="00E34AF5" w:rsidRDefault="00E34AF5" w:rsidP="00E34AF5">
            <w:pPr>
              <w:numPr>
                <w:ilvl w:val="0"/>
                <w:numId w:val="24"/>
              </w:numPr>
            </w:pPr>
            <w:r w:rsidRPr="00E34AF5">
              <w:t>WPI</w:t>
            </w:r>
          </w:p>
        </w:tc>
        <w:tc>
          <w:tcPr>
            <w:tcW w:w="5041" w:type="dxa"/>
            <w:tcBorders>
              <w:top w:val="nil"/>
              <w:left w:val="nil"/>
              <w:bottom w:val="single" w:sz="4" w:space="0" w:color="365F91"/>
              <w:right w:val="nil"/>
            </w:tcBorders>
            <w:hideMark/>
          </w:tcPr>
          <w:p w:rsidR="00E34AF5" w:rsidRPr="00E34AF5" w:rsidRDefault="00E34AF5" w:rsidP="00E34AF5">
            <w:pPr>
              <w:cnfStyle w:val="000000010000" w:firstRow="0" w:lastRow="0" w:firstColumn="0" w:lastColumn="0" w:oddVBand="0" w:evenVBand="0" w:oddHBand="0" w:evenHBand="1" w:firstRowFirstColumn="0" w:firstRowLastColumn="0" w:lastRowFirstColumn="0" w:lastRowLastColumn="0"/>
            </w:pPr>
            <w:r w:rsidRPr="00E34AF5">
              <w:t>Wage Price Index</w:t>
            </w:r>
          </w:p>
        </w:tc>
      </w:tr>
    </w:tbl>
    <w:p w:rsidR="00EE5AF6" w:rsidRPr="00EE5AF6" w:rsidRDefault="00EE5AF6" w:rsidP="00EE5AF6"/>
    <w:p w:rsidR="00DE563D" w:rsidRDefault="00205A33" w:rsidP="00EE77FA">
      <w:pPr>
        <w:pStyle w:val="Heading1"/>
      </w:pPr>
      <w:bookmarkStart w:id="10" w:name="_Toc451528033"/>
      <w:r>
        <w:t>Demand</w:t>
      </w:r>
      <w:bookmarkEnd w:id="10"/>
    </w:p>
    <w:p w:rsidR="00BF6639" w:rsidRPr="00BF6639" w:rsidRDefault="00BF6639" w:rsidP="00BF6639">
      <w:r w:rsidRPr="00BF6639">
        <w:t>This attachment sets out our assessment of the demand forecasts for AGN for the 2016–21 access arrangement</w:t>
      </w:r>
      <w:r w:rsidR="007549A6">
        <w:t xml:space="preserve"> </w:t>
      </w:r>
      <w:r w:rsidRPr="00BF6639">
        <w:t>period. Demand is an important input into the derivation of AGN’s reference tariffs. It also affects operating expenditure (opex) and capital expenditure (capex) linked to network growth (new connections).</w:t>
      </w:r>
      <w:r w:rsidRPr="00BF6639">
        <w:rPr>
          <w:rStyle w:val="FootnoteReference"/>
        </w:rPr>
        <w:footnoteReference w:id="1"/>
      </w:r>
    </w:p>
    <w:p w:rsidR="00A2303E" w:rsidRDefault="00A2303E" w:rsidP="00A2303E">
      <w:pPr>
        <w:pStyle w:val="Heading2"/>
      </w:pPr>
      <w:bookmarkStart w:id="11" w:name="_Toc408404320"/>
      <w:bookmarkStart w:id="12" w:name="_Toc419366913"/>
      <w:bookmarkStart w:id="13" w:name="_Toc451528034"/>
      <w:r>
        <w:t>Final</w:t>
      </w:r>
      <w:r w:rsidRPr="0074565D">
        <w:t xml:space="preserve"> decision</w:t>
      </w:r>
      <w:bookmarkEnd w:id="11"/>
      <w:bookmarkEnd w:id="12"/>
      <w:bookmarkEnd w:id="13"/>
    </w:p>
    <w:p w:rsidR="007549A6" w:rsidRPr="007549A6" w:rsidRDefault="007549A6" w:rsidP="007549A6">
      <w:r w:rsidRPr="00C24C64">
        <w:t xml:space="preserve">We are satisfied that </w:t>
      </w:r>
      <w:r>
        <w:t>AGN's</w:t>
      </w:r>
      <w:r w:rsidRPr="00C24C64">
        <w:t xml:space="preserve"> proposed demand forecasts comply with rule 74(2) of the National Gas Rules (NGR).</w:t>
      </w:r>
    </w:p>
    <w:p w:rsidR="00A2303E" w:rsidRDefault="00A80748" w:rsidP="00A2303E">
      <w:pPr>
        <w:pStyle w:val="Heading2"/>
      </w:pPr>
      <w:bookmarkStart w:id="14" w:name="_Toc419366914"/>
      <w:bookmarkStart w:id="15" w:name="_Toc451528035"/>
      <w:r>
        <w:t>AGN's</w:t>
      </w:r>
      <w:r w:rsidR="00C40433">
        <w:t xml:space="preserve"> revised</w:t>
      </w:r>
      <w:r w:rsidR="00A2303E">
        <w:t xml:space="preserve"> proposal</w:t>
      </w:r>
      <w:bookmarkEnd w:id="14"/>
      <w:bookmarkEnd w:id="15"/>
    </w:p>
    <w:p w:rsidR="007549A6" w:rsidRDefault="007549A6" w:rsidP="007549A6">
      <w:r>
        <w:t>AGN</w:t>
      </w:r>
      <w:r w:rsidR="00D67CF0">
        <w:t>'s revised proposal incorporate</w:t>
      </w:r>
      <w:r w:rsidR="00EE5AF6">
        <w:t>d</w:t>
      </w:r>
      <w:r w:rsidR="00D67CF0">
        <w:t xml:space="preserve"> the revisions to its demand forecasts required by our</w:t>
      </w:r>
      <w:r>
        <w:t xml:space="preserve"> draft decision.</w:t>
      </w:r>
      <w:r w:rsidR="005531B5">
        <w:rPr>
          <w:rStyle w:val="FootnoteReference"/>
        </w:rPr>
        <w:footnoteReference w:id="2"/>
      </w:r>
      <w:r>
        <w:t xml:space="preserve">  </w:t>
      </w:r>
    </w:p>
    <w:p w:rsidR="007549A6" w:rsidRPr="007549A6" w:rsidRDefault="007549A6" w:rsidP="007549A6">
      <w:r>
        <w:t>In our draft decision, we accepted AGN's forecast connection numbers for Tariff V residential and commercial customers and for Tariff D customers. We also accepted AGN's forecast for Tariff D MDQ. We did not accept AGN's forecast consumption per connection for Tariff V residential and commercial customers.</w:t>
      </w:r>
      <w:r w:rsidR="005531B5">
        <w:rPr>
          <w:rStyle w:val="FootnoteReference"/>
        </w:rPr>
        <w:footnoteReference w:id="3"/>
      </w:r>
    </w:p>
    <w:p w:rsidR="00A2303E" w:rsidRDefault="00A2303E" w:rsidP="00A2303E">
      <w:pPr>
        <w:pStyle w:val="Heading2"/>
      </w:pPr>
      <w:bookmarkStart w:id="16" w:name="_Toc408404322"/>
      <w:bookmarkStart w:id="17" w:name="_Toc419366915"/>
      <w:bookmarkStart w:id="18" w:name="_Toc451528036"/>
      <w:r w:rsidRPr="0074565D">
        <w:t>AER’s assessment approach</w:t>
      </w:r>
      <w:bookmarkEnd w:id="16"/>
      <w:bookmarkEnd w:id="17"/>
      <w:bookmarkEnd w:id="18"/>
    </w:p>
    <w:p w:rsidR="005531B5" w:rsidRPr="005531B5" w:rsidRDefault="005531B5" w:rsidP="005531B5">
      <w:r>
        <w:t>Our assessment approach is the same as the draft decision.</w:t>
      </w:r>
      <w:r>
        <w:rPr>
          <w:rStyle w:val="FootnoteReference"/>
        </w:rPr>
        <w:footnoteReference w:id="4"/>
      </w:r>
    </w:p>
    <w:p w:rsidR="00BF6639" w:rsidRPr="00BF6639" w:rsidRDefault="00BF6639" w:rsidP="00BF6639">
      <w:pPr>
        <w:pStyle w:val="Heading3"/>
      </w:pPr>
      <w:bookmarkStart w:id="19" w:name="_Toc436055510"/>
      <w:bookmarkStart w:id="20" w:name="_Toc451528037"/>
      <w:r w:rsidRPr="00BF6639">
        <w:t>Interrelationships</w:t>
      </w:r>
      <w:bookmarkEnd w:id="19"/>
      <w:bookmarkEnd w:id="20"/>
    </w:p>
    <w:p w:rsidR="00BF6639" w:rsidRPr="00BF6639" w:rsidRDefault="00BF6639" w:rsidP="00BF6639">
      <w:bookmarkStart w:id="21" w:name="_Toc420069980"/>
      <w:r w:rsidRPr="00BF6639">
        <w:t>We have considered the relevant interrelationships between different components of AGN's access arrangement as part of our analysis.</w:t>
      </w:r>
    </w:p>
    <w:p w:rsidR="00BF6639" w:rsidRPr="00BF6639" w:rsidRDefault="00BF6639" w:rsidP="00BF6639">
      <w:r w:rsidRPr="00BF6639">
        <w:t>Several interrelationships exist. This includes the effect of forecast demand on the efficient amount of capex and opex and tariffs in the 2016–21 access arrangement period. In particular, the demand forecasts impact:</w:t>
      </w:r>
    </w:p>
    <w:p w:rsidR="00BF6639" w:rsidRDefault="00BF6639" w:rsidP="00BF6639">
      <w:pPr>
        <w:pStyle w:val="AERbulletlistfirststyle"/>
      </w:pPr>
      <w:r w:rsidRPr="00BF6639">
        <w:t xml:space="preserve">approved </w:t>
      </w:r>
      <w:r w:rsidR="001B75FA">
        <w:t>T</w:t>
      </w:r>
      <w:r w:rsidRPr="00BF6639">
        <w:t>ariff V connections capex, given the number of new connections affects the amount of approved connections capex</w:t>
      </w:r>
    </w:p>
    <w:p w:rsidR="00BF6639" w:rsidRPr="00BF6639" w:rsidRDefault="00BF6639" w:rsidP="005531B5">
      <w:pPr>
        <w:pStyle w:val="AERbulletlistfirststyle"/>
      </w:pPr>
      <w:r w:rsidRPr="00BF6639">
        <w:t xml:space="preserve">approved opex, given the forecast total connections numbers and total consumption (output growth) </w:t>
      </w:r>
      <w:r w:rsidR="001B75FA">
        <w:t>are</w:t>
      </w:r>
      <w:r w:rsidR="001B75FA" w:rsidRPr="00BF6639">
        <w:t xml:space="preserve"> </w:t>
      </w:r>
      <w:r w:rsidRPr="00BF6639">
        <w:t>used in deriving the additional opex required to service the larger network</w:t>
      </w:r>
    </w:p>
    <w:p w:rsidR="00BF6639" w:rsidRPr="00BF6639" w:rsidRDefault="00BF6639" w:rsidP="00BF6639">
      <w:pPr>
        <w:pStyle w:val="AERbulletlistfirststyle"/>
      </w:pPr>
      <w:r w:rsidRPr="00BF6639">
        <w:t>tariff prices, given they depend on forecast consumption (demand) per connection. Changes in these forecasts will change tariff prices. In simple terms, tariff prices are determined by cost divided by quantity (where quantity is measured by demand per connection). This means that an increase in forecast quantity has the effect of reducing the tariff price.</w:t>
      </w:r>
    </w:p>
    <w:p w:rsidR="00BF6639" w:rsidRPr="00BF6639" w:rsidRDefault="00BF6639" w:rsidP="00BF6639">
      <w:pPr>
        <w:pStyle w:val="Heading3"/>
      </w:pPr>
      <w:bookmarkStart w:id="22" w:name="_Toc436055511"/>
      <w:bookmarkStart w:id="23" w:name="_Toc451528038"/>
      <w:r w:rsidRPr="00BF6639">
        <w:t>Minimum, maximum and average demand</w:t>
      </w:r>
      <w:bookmarkEnd w:id="21"/>
      <w:bookmarkEnd w:id="22"/>
      <w:bookmarkEnd w:id="23"/>
    </w:p>
    <w:p w:rsidR="00BF6639" w:rsidRPr="00BF6639" w:rsidRDefault="00BF6639" w:rsidP="00BF6639">
      <w:r w:rsidRPr="00BF6639">
        <w:t>Under the NGR, AGN’s access arrangement information must include minimum, maximum and average demand for the earlier access arrangement period.</w:t>
      </w:r>
      <w:r w:rsidRPr="00BF6639">
        <w:rPr>
          <w:rStyle w:val="FootnoteReference"/>
        </w:rPr>
        <w:footnoteReference w:id="5"/>
      </w:r>
      <w:r w:rsidRPr="00BF6639">
        <w:t xml:space="preserve"> </w:t>
      </w:r>
    </w:p>
    <w:p w:rsidR="00BF6639" w:rsidRPr="00BF6639" w:rsidRDefault="00BF6639" w:rsidP="00BF6639">
      <w:r w:rsidRPr="00BF6639">
        <w:t>We consider that AGN’s access arrangement information satisfies the requirement of rule 72(1)(a)(iii) of the NGR.</w:t>
      </w:r>
      <w:r w:rsidRPr="00BF6639">
        <w:rPr>
          <w:rStyle w:val="FootnoteReference"/>
        </w:rPr>
        <w:footnoteReference w:id="6"/>
      </w:r>
      <w:r w:rsidRPr="00BF6639">
        <w:t xml:space="preserve"> </w:t>
      </w:r>
    </w:p>
    <w:p w:rsidR="00BF6639" w:rsidRPr="00BF6639" w:rsidRDefault="00BF6639" w:rsidP="00BF6639">
      <w:pPr>
        <w:pStyle w:val="Heading3"/>
      </w:pPr>
      <w:bookmarkStart w:id="24" w:name="_Toc420069981"/>
      <w:bookmarkStart w:id="25" w:name="_Toc436055512"/>
      <w:bookmarkStart w:id="26" w:name="_Toc451528039"/>
      <w:r w:rsidRPr="00BF6639">
        <w:t>Forecast pipeline capacity and utilisation</w:t>
      </w:r>
      <w:bookmarkEnd w:id="24"/>
      <w:bookmarkEnd w:id="25"/>
      <w:bookmarkEnd w:id="26"/>
    </w:p>
    <w:p w:rsidR="00BF6639" w:rsidRPr="00BF6639" w:rsidRDefault="00BF6639" w:rsidP="00BF6639">
      <w:r w:rsidRPr="00BF6639">
        <w:t xml:space="preserve">The NGR require that to the extent practicable, the </w:t>
      </w:r>
      <w:r w:rsidR="00D67CF0" w:rsidRPr="00BF6639">
        <w:t>access arrangement information</w:t>
      </w:r>
      <w:r w:rsidRPr="00BF6639">
        <w:t xml:space="preserve"> should include forecast pipeline capacity and utilisation of pipeline capacity over the access arrangement period.</w:t>
      </w:r>
      <w:r w:rsidRPr="00BF6639">
        <w:rPr>
          <w:rStyle w:val="FootnoteReference"/>
        </w:rPr>
        <w:footnoteReference w:id="7"/>
      </w:r>
      <w:r w:rsidRPr="00BF6639">
        <w:t xml:space="preserve"> AGN did not provide information and submitted that:</w:t>
      </w:r>
      <w:r w:rsidRPr="00BF6639">
        <w:rPr>
          <w:rStyle w:val="FootnoteReference"/>
        </w:rPr>
        <w:footnoteReference w:id="8"/>
      </w:r>
    </w:p>
    <w:p w:rsidR="00BF6639" w:rsidRPr="00BF6639" w:rsidRDefault="00BF6639" w:rsidP="00BF6639">
      <w:pPr>
        <w:pStyle w:val="AERquoteindent1"/>
      </w:pPr>
      <w:r w:rsidRPr="00BF6639">
        <w:t xml:space="preserve">Rule 72 of the National Gas Rules (NGR) requires AGN, to the extent it is practicable, to provide a forecast of pipeline capacity and utilisation over the next (2016/17 to 2020/21) AA period. As previously indicated to the Australian Energy Regulator (AER), such parameters are not relevant or have no meaning in the context of a natural gas distribution network. This reflects that the Network consists of a variety of inter-linked pipe materials, each with a different capacity (unlike natural gas transmission pipelines). </w:t>
      </w:r>
    </w:p>
    <w:p w:rsidR="00BF6639" w:rsidRDefault="00BF6639" w:rsidP="00BF6639">
      <w:r w:rsidRPr="00BF6639">
        <w:t>We recognise there are practical considerations which mean that calculating capacity is not straightforward.</w:t>
      </w:r>
    </w:p>
    <w:p w:rsidR="005531B5" w:rsidRDefault="005531B5" w:rsidP="005531B5">
      <w:pPr>
        <w:pStyle w:val="Heading2"/>
      </w:pPr>
      <w:bookmarkStart w:id="27" w:name="_Toc451528040"/>
      <w:r w:rsidRPr="0074565D">
        <w:t xml:space="preserve">Reasons for </w:t>
      </w:r>
      <w:r>
        <w:t>final</w:t>
      </w:r>
      <w:r w:rsidRPr="0074565D">
        <w:t xml:space="preserve"> decision</w:t>
      </w:r>
      <w:bookmarkEnd w:id="27"/>
    </w:p>
    <w:p w:rsidR="00C4032F" w:rsidRDefault="00C4032F" w:rsidP="005531B5">
      <w:pPr>
        <w:rPr>
          <w:rStyle w:val="AERbody"/>
        </w:rPr>
      </w:pPr>
      <w:r>
        <w:t>In our draft decision, having regard to advice from our consultant ACIL Allen,</w:t>
      </w:r>
      <w:r>
        <w:rPr>
          <w:rStyle w:val="FootnoteReference"/>
        </w:rPr>
        <w:footnoteReference w:id="9"/>
      </w:r>
      <w:r>
        <w:t xml:space="preserve"> </w:t>
      </w:r>
      <w:r w:rsidR="005531B5" w:rsidRPr="001A3C58">
        <w:t>we accepted</w:t>
      </w:r>
      <w:r>
        <w:t xml:space="preserve"> AGN's</w:t>
      </w:r>
      <w:r w:rsidR="005531B5" w:rsidRPr="001A3C58">
        <w:t xml:space="preserve"> </w:t>
      </w:r>
      <w:r>
        <w:t>forecast Tariff V connection numbers for residential and commercial customers, as well as AGN's forecast Tariff D MDQ.</w:t>
      </w:r>
      <w:r w:rsidRPr="00C4032F">
        <w:t xml:space="preserve"> </w:t>
      </w:r>
      <w:r>
        <w:t xml:space="preserve"> We are satisfied that these demand forecasts are consistent with rule 74(2) of the NGR.</w:t>
      </w:r>
      <w:r w:rsidRPr="000B5499">
        <w:rPr>
          <w:rStyle w:val="AERbody"/>
        </w:rPr>
        <w:t xml:space="preserve"> </w:t>
      </w:r>
    </w:p>
    <w:p w:rsidR="00C4032F" w:rsidRDefault="00C4032F" w:rsidP="005531B5">
      <w:r>
        <w:rPr>
          <w:rStyle w:val="AERbody"/>
        </w:rPr>
        <w:t xml:space="preserve">However, we did not accept AGN's forecasts for </w:t>
      </w:r>
      <w:r>
        <w:t xml:space="preserve">Tariff V residential and commercial consumption per connection.  </w:t>
      </w:r>
      <w:r>
        <w:rPr>
          <w:rStyle w:val="AERbody"/>
        </w:rPr>
        <w:t>We agreed with</w:t>
      </w:r>
      <w:r w:rsidR="00D67CF0">
        <w:rPr>
          <w:rStyle w:val="AERbody"/>
        </w:rPr>
        <w:t xml:space="preserve"> our consultants,</w:t>
      </w:r>
      <w:r>
        <w:rPr>
          <w:rStyle w:val="AERbody"/>
        </w:rPr>
        <w:t xml:space="preserve"> ACIL Allen</w:t>
      </w:r>
      <w:r w:rsidR="00D67CF0">
        <w:rPr>
          <w:rStyle w:val="AERbody"/>
        </w:rPr>
        <w:t>,</w:t>
      </w:r>
      <w:r>
        <w:rPr>
          <w:rStyle w:val="AERbody"/>
        </w:rPr>
        <w:t xml:space="preserve"> </w:t>
      </w:r>
      <w:r>
        <w:t>that an error exist</w:t>
      </w:r>
      <w:r w:rsidR="00D67CF0">
        <w:t>ed</w:t>
      </w:r>
      <w:r>
        <w:t xml:space="preserve"> with the method Core Energy (AGN's consultant) used to forecast Tariff V residential and commercial consumption per connection.  We therefore consider</w:t>
      </w:r>
      <w:r w:rsidR="00D67CF0">
        <w:t>ed</w:t>
      </w:r>
      <w:r>
        <w:t xml:space="preserve"> that AGN’s forecasts for Tariff V residential and business consumption per connection</w:t>
      </w:r>
      <w:r w:rsidR="006F4FB6">
        <w:t xml:space="preserve"> ha</w:t>
      </w:r>
      <w:r w:rsidR="00D67CF0">
        <w:t>d</w:t>
      </w:r>
      <w:r w:rsidR="006F4FB6">
        <w:t xml:space="preserve"> not been </w:t>
      </w:r>
      <w:r>
        <w:t xml:space="preserve">arrived at on a reasonable basis and </w:t>
      </w:r>
      <w:r w:rsidR="00D67CF0">
        <w:t xml:space="preserve">did </w:t>
      </w:r>
      <w:r w:rsidR="006F4FB6">
        <w:t>not r</w:t>
      </w:r>
      <w:r>
        <w:t xml:space="preserve">epresent the </w:t>
      </w:r>
      <w:r w:rsidRPr="00F22F02">
        <w:t>best estimate</w:t>
      </w:r>
      <w:r>
        <w:t>s</w:t>
      </w:r>
      <w:r w:rsidRPr="00F22F02">
        <w:t xml:space="preserve"> in the circumstances.</w:t>
      </w:r>
    </w:p>
    <w:p w:rsidR="00D67CF0" w:rsidRDefault="00D67CF0" w:rsidP="00D67CF0">
      <w:r>
        <w:t>AGN's revised proposal incorporate</w:t>
      </w:r>
      <w:r w:rsidR="00EE5AF6">
        <w:t>d</w:t>
      </w:r>
      <w:r>
        <w:t xml:space="preserve"> the revisions to its demand forecasts required by our draft decision.</w:t>
      </w:r>
      <w:r>
        <w:rPr>
          <w:rStyle w:val="FootnoteReference"/>
        </w:rPr>
        <w:footnoteReference w:id="10"/>
      </w:r>
      <w:r>
        <w:t xml:space="preserve">  </w:t>
      </w:r>
    </w:p>
    <w:p w:rsidR="005531B5" w:rsidRPr="001A3C58" w:rsidRDefault="005531B5" w:rsidP="005531B5">
      <w:r>
        <w:t>On the basis that we have not identified any new information</w:t>
      </w:r>
      <w:r w:rsidRPr="00DF7C79">
        <w:t xml:space="preserve"> which impact</w:t>
      </w:r>
      <w:r>
        <w:t>s</w:t>
      </w:r>
      <w:r w:rsidRPr="00DF7C79">
        <w:t xml:space="preserve"> upon our reasoning as set out in the draft decision</w:t>
      </w:r>
      <w:r w:rsidR="00D67CF0">
        <w:t>,</w:t>
      </w:r>
      <w:r>
        <w:t xml:space="preserve"> we</w:t>
      </w:r>
      <w:r w:rsidRPr="001A3C58">
        <w:t xml:space="preserve"> are satisfied that </w:t>
      </w:r>
      <w:r w:rsidR="00D67CF0">
        <w:t>the</w:t>
      </w:r>
      <w:r w:rsidR="00D67CF0" w:rsidRPr="001A3C58">
        <w:t xml:space="preserve"> </w:t>
      </w:r>
      <w:r w:rsidRPr="001A3C58">
        <w:t>demand forecasts</w:t>
      </w:r>
      <w:r w:rsidR="006F4FB6">
        <w:t xml:space="preserve"> in </w:t>
      </w:r>
      <w:r w:rsidR="00D67CF0">
        <w:t xml:space="preserve">AGN's </w:t>
      </w:r>
      <w:r w:rsidR="006F4FB6">
        <w:t>revised proposal</w:t>
      </w:r>
      <w:r>
        <w:t xml:space="preserve">, including </w:t>
      </w:r>
      <w:r w:rsidR="00D67CF0">
        <w:t xml:space="preserve">its </w:t>
      </w:r>
      <w:r w:rsidRPr="001A3C58">
        <w:t>forecast</w:t>
      </w:r>
      <w:r>
        <w:t>s</w:t>
      </w:r>
      <w:r w:rsidRPr="001A3C58">
        <w:t xml:space="preserve"> for capacity utilisation</w:t>
      </w:r>
      <w:r>
        <w:t>,</w:t>
      </w:r>
      <w:r w:rsidRPr="001A3C58">
        <w:t xml:space="preserve"> are arrived at on a reasonable basis</w:t>
      </w:r>
      <w:r w:rsidR="00D67CF0">
        <w:t xml:space="preserve"> and</w:t>
      </w:r>
      <w:r w:rsidRPr="001A3C58">
        <w:t xml:space="preserve"> represent the best estimate possible in the circumstances.</w:t>
      </w:r>
      <w:r w:rsidRPr="001A3C58">
        <w:rPr>
          <w:rStyle w:val="FootnoteReference"/>
        </w:rPr>
        <w:footnoteReference w:id="11"/>
      </w:r>
      <w:r w:rsidRPr="001A3C58">
        <w:t xml:space="preserve"> This conclusion must be read in conjunction with our draft decision, which details our analysis of A</w:t>
      </w:r>
      <w:r w:rsidR="006F4FB6">
        <w:t>GN</w:t>
      </w:r>
      <w:r w:rsidRPr="001A3C58">
        <w:t>'s demand forecasts.</w:t>
      </w:r>
      <w:r>
        <w:rPr>
          <w:rStyle w:val="FootnoteReference"/>
        </w:rPr>
        <w:footnoteReference w:id="12"/>
      </w:r>
    </w:p>
    <w:p w:rsidR="005531B5" w:rsidRPr="00546678" w:rsidRDefault="005531B5" w:rsidP="005531B5"/>
    <w:p w:rsidR="005531B5" w:rsidRPr="00BF6639" w:rsidRDefault="005531B5" w:rsidP="00BF6639"/>
    <w:p w:rsidR="00BF6639" w:rsidRPr="00005EBE" w:rsidRDefault="00BF6639" w:rsidP="00005EBE"/>
    <w:sectPr w:rsidR="00BF6639" w:rsidRPr="00005EBE" w:rsidSect="00B757A6">
      <w:headerReference w:type="even" r:id="rId11"/>
      <w:footerReference w:type="even" r:id="rId12"/>
      <w:footerReference w:type="default" r:id="rId13"/>
      <w:headerReference w:type="first" r:id="rId14"/>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BC2B14">
          <w:rPr>
            <w:noProof/>
          </w:rPr>
          <w:t>13-8</w:t>
        </w:r>
        <w:r w:rsidRPr="00CA52A2">
          <w:fldChar w:fldCharType="end"/>
        </w:r>
        <w:r w:rsidRPr="00CA52A2">
          <w:t xml:space="preserve">          Attachment </w:t>
        </w:r>
        <w:r>
          <w:t xml:space="preserve">13 </w:t>
        </w:r>
        <w:r w:rsidRPr="00CA52A2">
          <w:t xml:space="preserve">– </w:t>
        </w:r>
        <w:r>
          <w:t xml:space="preserve">Demand </w:t>
        </w:r>
        <w:r w:rsidRPr="00CA52A2">
          <w:t xml:space="preserve">| </w:t>
        </w:r>
        <w:r w:rsidR="00D32CE0">
          <w:t>Final</w:t>
        </w:r>
        <w:r>
          <w:t xml:space="preserve"> decision: </w:t>
        </w:r>
        <w:r w:rsidR="00A80748">
          <w:t>Australian Gas Networks</w:t>
        </w:r>
        <w:r>
          <w:t xml:space="preserve"> Access Arrangement 2016</w:t>
        </w:r>
        <w:r w:rsidRPr="00CA52A2">
          <w:t>–</w:t>
        </w:r>
        <w:r>
          <w:t>21</w:t>
        </w:r>
      </w:p>
    </w:sdtContent>
  </w:sdt>
  <w:p w:rsidR="00393646" w:rsidRDefault="0039364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BF6639" w:rsidRDefault="00BF6639" w:rsidP="00BF6639">
      <w:pPr>
        <w:pStyle w:val="FootnoteText"/>
      </w:pPr>
      <w:r>
        <w:rPr>
          <w:rStyle w:val="FootnoteReference"/>
        </w:rPr>
        <w:footnoteRef/>
      </w:r>
      <w:r>
        <w:t xml:space="preserve"> </w:t>
      </w:r>
      <w:r>
        <w:tab/>
        <w:t xml:space="preserve">Our </w:t>
      </w:r>
      <w:r w:rsidR="005531B5">
        <w:t>final</w:t>
      </w:r>
      <w:r>
        <w:t xml:space="preserve"> decisions on AGN’s capex and opex are set out</w:t>
      </w:r>
      <w:r w:rsidR="005531B5">
        <w:t xml:space="preserve"> in attachments 6 and 7 of this </w:t>
      </w:r>
      <w:r>
        <w:t>decision.</w:t>
      </w:r>
    </w:p>
  </w:footnote>
  <w:footnote w:id="2">
    <w:p w:rsidR="005531B5" w:rsidRDefault="005531B5">
      <w:pPr>
        <w:pStyle w:val="FootnoteText"/>
      </w:pPr>
      <w:r>
        <w:rPr>
          <w:rStyle w:val="FootnoteReference"/>
        </w:rPr>
        <w:footnoteRef/>
      </w:r>
      <w:r>
        <w:t xml:space="preserve"> </w:t>
      </w:r>
      <w:r>
        <w:tab/>
      </w:r>
      <w:r w:rsidR="00D67CF0" w:rsidRPr="00D67CF0">
        <w:t>AGN</w:t>
      </w:r>
      <w:r w:rsidR="00D67CF0">
        <w:t xml:space="preserve">, </w:t>
      </w:r>
      <w:r w:rsidR="00D67CF0" w:rsidRPr="009864CD">
        <w:rPr>
          <w:rStyle w:val="AERtextitalic"/>
        </w:rPr>
        <w:t>Revised Access Arrangement Information for AGN's SA Natural Gas Distribution Network, January 2016 - Attachment 14.5 Demand</w:t>
      </w:r>
      <w:r w:rsidR="00D67CF0" w:rsidRPr="00D67CF0">
        <w:t xml:space="preserve"> </w:t>
      </w:r>
      <w:r>
        <w:t>, p. 1.</w:t>
      </w:r>
    </w:p>
  </w:footnote>
  <w:footnote w:id="3">
    <w:p w:rsidR="005531B5" w:rsidRDefault="005531B5">
      <w:pPr>
        <w:pStyle w:val="FootnoteText"/>
      </w:pPr>
      <w:r>
        <w:rPr>
          <w:rStyle w:val="FootnoteReference"/>
        </w:rPr>
        <w:footnoteRef/>
      </w:r>
      <w:r>
        <w:t xml:space="preserve"> </w:t>
      </w:r>
      <w:r>
        <w:tab/>
      </w:r>
      <w:r w:rsidR="00D67CF0" w:rsidRPr="00D67CF0">
        <w:t>AER</w:t>
      </w:r>
      <w:r w:rsidR="00D67CF0">
        <w:t>,</w:t>
      </w:r>
      <w:r w:rsidR="00D67CF0" w:rsidRPr="00D67CF0">
        <w:t xml:space="preserve"> </w:t>
      </w:r>
      <w:r w:rsidR="00D67CF0" w:rsidRPr="009864CD">
        <w:rPr>
          <w:rStyle w:val="AERtextitalic"/>
        </w:rPr>
        <w:t>Draft decision Australian Gas Networks access arrangement - Attachment 13 - Demand</w:t>
      </w:r>
      <w:r w:rsidR="00D67CF0">
        <w:t>,</w:t>
      </w:r>
      <w:r w:rsidR="00D67CF0" w:rsidRPr="00D67CF0">
        <w:t xml:space="preserve"> November 2015</w:t>
      </w:r>
      <w:r>
        <w:t>, p</w:t>
      </w:r>
      <w:r w:rsidR="00D67CF0">
        <w:t xml:space="preserve">p. </w:t>
      </w:r>
      <w:r>
        <w:t>13-12</w:t>
      </w:r>
      <w:r w:rsidR="001B75FA">
        <w:t xml:space="preserve"> to 13</w:t>
      </w:r>
      <w:r>
        <w:t>-16.</w:t>
      </w:r>
    </w:p>
  </w:footnote>
  <w:footnote w:id="4">
    <w:p w:rsidR="005531B5" w:rsidRDefault="005531B5">
      <w:pPr>
        <w:pStyle w:val="FootnoteText"/>
      </w:pPr>
      <w:r>
        <w:rPr>
          <w:rStyle w:val="FootnoteReference"/>
        </w:rPr>
        <w:footnoteRef/>
      </w:r>
      <w:r>
        <w:t xml:space="preserve"> </w:t>
      </w:r>
      <w:r>
        <w:tab/>
      </w:r>
      <w:r w:rsidR="00D67CF0" w:rsidRPr="00D67CF0">
        <w:t xml:space="preserve">AER, </w:t>
      </w:r>
      <w:r w:rsidR="00D67CF0" w:rsidRPr="00D67CF0">
        <w:rPr>
          <w:rStyle w:val="AERtextitalic"/>
        </w:rPr>
        <w:t>Draft decision Australian Gas Networks access arrangement - Attachment 13 - Demand</w:t>
      </w:r>
      <w:r w:rsidR="00D67CF0" w:rsidRPr="00D67CF0">
        <w:t>, November 2015</w:t>
      </w:r>
      <w:r>
        <w:t>, p</w:t>
      </w:r>
      <w:r w:rsidR="00D67CF0">
        <w:t xml:space="preserve">p. </w:t>
      </w:r>
      <w:r>
        <w:t>13-8</w:t>
      </w:r>
      <w:r w:rsidR="001B75FA">
        <w:t xml:space="preserve"> to 13</w:t>
      </w:r>
      <w:r>
        <w:t>-10.</w:t>
      </w:r>
    </w:p>
  </w:footnote>
  <w:footnote w:id="5">
    <w:p w:rsidR="00BF6639" w:rsidRDefault="00BF6639" w:rsidP="00BF6639">
      <w:pPr>
        <w:pStyle w:val="FootnoteText"/>
      </w:pPr>
      <w:r>
        <w:rPr>
          <w:rStyle w:val="FootnoteReference"/>
        </w:rPr>
        <w:footnoteRef/>
      </w:r>
      <w:r>
        <w:t xml:space="preserve"> </w:t>
      </w:r>
      <w:r>
        <w:tab/>
      </w:r>
      <w:r>
        <w:rPr>
          <w:rFonts w:cs="Arial"/>
          <w:szCs w:val="16"/>
        </w:rPr>
        <w:t>NGR, r. 72(1)(a)(iii)(A).</w:t>
      </w:r>
    </w:p>
  </w:footnote>
  <w:footnote w:id="6">
    <w:p w:rsidR="00BF6639" w:rsidRDefault="00BF6639" w:rsidP="00BF6639">
      <w:pPr>
        <w:pStyle w:val="FootnoteText"/>
      </w:pPr>
      <w:r>
        <w:rPr>
          <w:rStyle w:val="FootnoteReference"/>
        </w:rPr>
        <w:footnoteRef/>
      </w:r>
      <w:r>
        <w:t xml:space="preserve"> </w:t>
      </w:r>
      <w:r>
        <w:tab/>
      </w:r>
      <w:r>
        <w:rPr>
          <w:rFonts w:cs="Arial"/>
          <w:szCs w:val="16"/>
        </w:rPr>
        <w:t xml:space="preserve">AGN, </w:t>
      </w:r>
      <w:r w:rsidRPr="00F12A3F">
        <w:rPr>
          <w:rFonts w:cs="Arial"/>
          <w:i/>
          <w:szCs w:val="16"/>
        </w:rPr>
        <w:t xml:space="preserve">Access Arrangement </w:t>
      </w:r>
      <w:r w:rsidR="00EE5AF6" w:rsidRPr="00F12A3F">
        <w:rPr>
          <w:rFonts w:cs="Arial"/>
          <w:i/>
          <w:szCs w:val="16"/>
        </w:rPr>
        <w:t>Information</w:t>
      </w:r>
      <w:r w:rsidR="00EE5AF6">
        <w:t xml:space="preserve"> </w:t>
      </w:r>
      <w:r w:rsidR="00EE5AF6" w:rsidRPr="009864CD">
        <w:rPr>
          <w:rStyle w:val="AERtextitalic"/>
        </w:rPr>
        <w:t>for</w:t>
      </w:r>
      <w:r w:rsidR="00D67CF0" w:rsidRPr="009864CD">
        <w:rPr>
          <w:rStyle w:val="AERtextitalic"/>
        </w:rPr>
        <w:t xml:space="preserve"> AGN's South Australian Natural Gas Distribution Network</w:t>
      </w:r>
      <w:r w:rsidRPr="00F12A3F">
        <w:rPr>
          <w:rFonts w:cs="Arial"/>
          <w:i/>
          <w:szCs w:val="16"/>
        </w:rPr>
        <w:t xml:space="preserve">, </w:t>
      </w:r>
      <w:r w:rsidRPr="002C31FE">
        <w:rPr>
          <w:rFonts w:cs="Arial"/>
          <w:szCs w:val="16"/>
        </w:rPr>
        <w:t xml:space="preserve">July </w:t>
      </w:r>
      <w:r>
        <w:rPr>
          <w:rFonts w:cs="Arial"/>
          <w:szCs w:val="16"/>
        </w:rPr>
        <w:t xml:space="preserve">2015, </w:t>
      </w:r>
      <w:r>
        <w:rPr>
          <w:rStyle w:val="AERtextsize8"/>
        </w:rPr>
        <w:t>p. 79–81</w:t>
      </w:r>
      <w:r>
        <w:t>.</w:t>
      </w:r>
    </w:p>
  </w:footnote>
  <w:footnote w:id="7">
    <w:p w:rsidR="00BF6639" w:rsidRDefault="00BF6639" w:rsidP="00BF6639">
      <w:pPr>
        <w:pStyle w:val="FootnoteText"/>
      </w:pPr>
      <w:r>
        <w:rPr>
          <w:rStyle w:val="FootnoteReference"/>
        </w:rPr>
        <w:footnoteRef/>
      </w:r>
      <w:r>
        <w:t xml:space="preserve"> </w:t>
      </w:r>
      <w:r>
        <w:tab/>
        <w:t xml:space="preserve">NGR, r. </w:t>
      </w:r>
      <w:r w:rsidRPr="00C85EC6">
        <w:t>72(1)(d)</w:t>
      </w:r>
      <w:r>
        <w:t>.</w:t>
      </w:r>
    </w:p>
  </w:footnote>
  <w:footnote w:id="8">
    <w:p w:rsidR="00BF6639" w:rsidRDefault="00BF6639" w:rsidP="00BF6639">
      <w:pPr>
        <w:pStyle w:val="FootnoteText"/>
      </w:pPr>
      <w:r>
        <w:rPr>
          <w:rStyle w:val="FootnoteReference"/>
        </w:rPr>
        <w:footnoteRef/>
      </w:r>
      <w:r>
        <w:t xml:space="preserve"> </w:t>
      </w:r>
      <w:r>
        <w:tab/>
      </w:r>
      <w:r>
        <w:rPr>
          <w:rFonts w:cs="Arial"/>
          <w:szCs w:val="16"/>
        </w:rPr>
        <w:t xml:space="preserve">AGN, </w:t>
      </w:r>
      <w:r w:rsidR="00EE5AF6" w:rsidRPr="00EE5AF6">
        <w:t xml:space="preserve">Access Arrangement Information </w:t>
      </w:r>
      <w:r w:rsidR="00EE5AF6" w:rsidRPr="00EE5AF6">
        <w:rPr>
          <w:rStyle w:val="AERtextitalic"/>
        </w:rPr>
        <w:t>for AGN's South Australian Natural Gas Distribution Network</w:t>
      </w:r>
      <w:r w:rsidRPr="00F12A3F">
        <w:rPr>
          <w:rFonts w:cs="Arial"/>
          <w:i/>
          <w:szCs w:val="16"/>
        </w:rPr>
        <w:t xml:space="preserve">, </w:t>
      </w:r>
      <w:r w:rsidRPr="002C31FE">
        <w:rPr>
          <w:rFonts w:cs="Arial"/>
          <w:szCs w:val="16"/>
        </w:rPr>
        <w:t xml:space="preserve">July </w:t>
      </w:r>
      <w:r>
        <w:rPr>
          <w:rFonts w:cs="Arial"/>
          <w:szCs w:val="16"/>
        </w:rPr>
        <w:t xml:space="preserve">2015, </w:t>
      </w:r>
      <w:r>
        <w:rPr>
          <w:rStyle w:val="AERtextsize8"/>
        </w:rPr>
        <w:t>p. 31.</w:t>
      </w:r>
    </w:p>
  </w:footnote>
  <w:footnote w:id="9">
    <w:p w:rsidR="00C4032F" w:rsidRDefault="00C4032F">
      <w:pPr>
        <w:pStyle w:val="FootnoteText"/>
      </w:pPr>
      <w:r>
        <w:rPr>
          <w:rStyle w:val="FootnoteReference"/>
        </w:rPr>
        <w:footnoteRef/>
      </w:r>
      <w:r>
        <w:t xml:space="preserve"> </w:t>
      </w:r>
      <w:r w:rsidR="006F4FB6">
        <w:tab/>
        <w:t xml:space="preserve">ACIL Allen, </w:t>
      </w:r>
      <w:r w:rsidR="006F4FB6" w:rsidRPr="004D0978">
        <w:rPr>
          <w:rStyle w:val="Emphasis"/>
        </w:rPr>
        <w:t>Review of Demand Forecasts for the AGN South Australian Gas Networks</w:t>
      </w:r>
      <w:r w:rsidR="006F4FB6">
        <w:t>, 11 November 2015.</w:t>
      </w:r>
    </w:p>
  </w:footnote>
  <w:footnote w:id="10">
    <w:p w:rsidR="00D67CF0" w:rsidRDefault="00D67CF0" w:rsidP="00D67CF0">
      <w:pPr>
        <w:pStyle w:val="FootnoteText"/>
      </w:pPr>
      <w:r>
        <w:rPr>
          <w:rStyle w:val="FootnoteReference"/>
        </w:rPr>
        <w:footnoteRef/>
      </w:r>
      <w:r>
        <w:t xml:space="preserve"> </w:t>
      </w:r>
      <w:r>
        <w:tab/>
      </w:r>
      <w:r w:rsidRPr="00D67CF0">
        <w:t xml:space="preserve">AGN, </w:t>
      </w:r>
      <w:r w:rsidRPr="00D67CF0">
        <w:rPr>
          <w:rStyle w:val="AERtextitalic"/>
        </w:rPr>
        <w:t>Revised Access Arrangement Information for AGN's SA Natural Gas Distribution Network, January 2016 - Attachment 14.5 Demand</w:t>
      </w:r>
      <w:r>
        <w:t>, p. 1.</w:t>
      </w:r>
    </w:p>
  </w:footnote>
  <w:footnote w:id="11">
    <w:p w:rsidR="005531B5" w:rsidRDefault="005531B5" w:rsidP="005531B5">
      <w:pPr>
        <w:pStyle w:val="FootnoteText"/>
      </w:pPr>
      <w:r>
        <w:rPr>
          <w:rStyle w:val="FootnoteReference"/>
        </w:rPr>
        <w:footnoteRef/>
      </w:r>
      <w:r>
        <w:t xml:space="preserve"> </w:t>
      </w:r>
      <w:r>
        <w:tab/>
        <w:t>NGR, r. 74(2)</w:t>
      </w:r>
      <w:r w:rsidR="00D67CF0">
        <w:t>.</w:t>
      </w:r>
    </w:p>
  </w:footnote>
  <w:footnote w:id="12">
    <w:p w:rsidR="005531B5" w:rsidRDefault="005531B5" w:rsidP="009864CD">
      <w:pPr>
        <w:pStyle w:val="FootnoteText"/>
      </w:pPr>
      <w:r>
        <w:rPr>
          <w:rStyle w:val="FootnoteReference"/>
        </w:rPr>
        <w:footnoteRef/>
      </w:r>
      <w:r>
        <w:t xml:space="preserve"> </w:t>
      </w:r>
      <w:r>
        <w:tab/>
      </w:r>
      <w:r w:rsidR="00D67CF0" w:rsidRPr="00D67CF0">
        <w:t xml:space="preserve">AER, </w:t>
      </w:r>
      <w:r w:rsidR="00D67CF0" w:rsidRPr="00D67CF0">
        <w:rPr>
          <w:rStyle w:val="AERtextitalic"/>
        </w:rPr>
        <w:t>Draft decision Australian Gas Networks access arrangement - Attachment 13 - Demand</w:t>
      </w:r>
      <w:r w:rsidR="00D67CF0" w:rsidRPr="00D67CF0">
        <w:t>, November 2015</w:t>
      </w:r>
      <w:r w:rsidR="006F4FB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816C8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816C8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3104E6F2"/>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VxexIhufcl1saQk6hBQaG2Uz7AkAMWm4ej0yaGnXcs=" w:saltValue="39mqpkJa+uIFv52J7xFwN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868\AER15 4320  AER - Final decision Amadeus Gas Pipeline Access Arrangement - Attachment 13 - Demand - April 2016.DOCX"/>
  </w:docVars>
  <w:rsids>
    <w:rsidRoot w:val="00961A4A"/>
    <w:rsid w:val="00004633"/>
    <w:rsid w:val="00005EBE"/>
    <w:rsid w:val="00010286"/>
    <w:rsid w:val="00021202"/>
    <w:rsid w:val="00021C2B"/>
    <w:rsid w:val="0002517F"/>
    <w:rsid w:val="00026495"/>
    <w:rsid w:val="0003353A"/>
    <w:rsid w:val="0003578C"/>
    <w:rsid w:val="000401AF"/>
    <w:rsid w:val="00041DDA"/>
    <w:rsid w:val="00063247"/>
    <w:rsid w:val="00063A92"/>
    <w:rsid w:val="00070F9F"/>
    <w:rsid w:val="0007137B"/>
    <w:rsid w:val="00085663"/>
    <w:rsid w:val="00085EBF"/>
    <w:rsid w:val="00085F93"/>
    <w:rsid w:val="00091B15"/>
    <w:rsid w:val="000A1E7C"/>
    <w:rsid w:val="000A3020"/>
    <w:rsid w:val="000A6C7B"/>
    <w:rsid w:val="000B0360"/>
    <w:rsid w:val="000C2B40"/>
    <w:rsid w:val="000D01F4"/>
    <w:rsid w:val="000D06C1"/>
    <w:rsid w:val="000D122C"/>
    <w:rsid w:val="000D3016"/>
    <w:rsid w:val="000D44B6"/>
    <w:rsid w:val="000D64F2"/>
    <w:rsid w:val="000D7F32"/>
    <w:rsid w:val="000E1819"/>
    <w:rsid w:val="000E4821"/>
    <w:rsid w:val="000E6C72"/>
    <w:rsid w:val="000F0B2B"/>
    <w:rsid w:val="000F3E72"/>
    <w:rsid w:val="000F48B1"/>
    <w:rsid w:val="000F723D"/>
    <w:rsid w:val="00103A67"/>
    <w:rsid w:val="00116EB2"/>
    <w:rsid w:val="00124609"/>
    <w:rsid w:val="00126A4C"/>
    <w:rsid w:val="00142AB6"/>
    <w:rsid w:val="0014573B"/>
    <w:rsid w:val="00147E70"/>
    <w:rsid w:val="00156DCC"/>
    <w:rsid w:val="001573E4"/>
    <w:rsid w:val="00160756"/>
    <w:rsid w:val="0017232E"/>
    <w:rsid w:val="00174102"/>
    <w:rsid w:val="0017480F"/>
    <w:rsid w:val="001754EE"/>
    <w:rsid w:val="00180157"/>
    <w:rsid w:val="00182467"/>
    <w:rsid w:val="00185CB9"/>
    <w:rsid w:val="00186F77"/>
    <w:rsid w:val="001926A4"/>
    <w:rsid w:val="00192AD5"/>
    <w:rsid w:val="001B3F62"/>
    <w:rsid w:val="001B45A0"/>
    <w:rsid w:val="001B45C0"/>
    <w:rsid w:val="001B6F2E"/>
    <w:rsid w:val="001B75FA"/>
    <w:rsid w:val="001B7D00"/>
    <w:rsid w:val="001C17E7"/>
    <w:rsid w:val="001D055E"/>
    <w:rsid w:val="001E009C"/>
    <w:rsid w:val="001E5FE2"/>
    <w:rsid w:val="001F05A4"/>
    <w:rsid w:val="001F492E"/>
    <w:rsid w:val="001F6DA3"/>
    <w:rsid w:val="002010BC"/>
    <w:rsid w:val="002016E7"/>
    <w:rsid w:val="00201F98"/>
    <w:rsid w:val="00202E03"/>
    <w:rsid w:val="0020478D"/>
    <w:rsid w:val="0020492C"/>
    <w:rsid w:val="00205A33"/>
    <w:rsid w:val="0022444D"/>
    <w:rsid w:val="00224DB9"/>
    <w:rsid w:val="00227DCE"/>
    <w:rsid w:val="0023276C"/>
    <w:rsid w:val="00233775"/>
    <w:rsid w:val="00251745"/>
    <w:rsid w:val="00263AC0"/>
    <w:rsid w:val="00264264"/>
    <w:rsid w:val="0026772D"/>
    <w:rsid w:val="00277554"/>
    <w:rsid w:val="0028002F"/>
    <w:rsid w:val="00286874"/>
    <w:rsid w:val="00290C63"/>
    <w:rsid w:val="00296B65"/>
    <w:rsid w:val="0029724D"/>
    <w:rsid w:val="002A6688"/>
    <w:rsid w:val="002A7DEF"/>
    <w:rsid w:val="002B1003"/>
    <w:rsid w:val="002B573C"/>
    <w:rsid w:val="002C233C"/>
    <w:rsid w:val="002D72E8"/>
    <w:rsid w:val="002E7B22"/>
    <w:rsid w:val="002F7986"/>
    <w:rsid w:val="00301B40"/>
    <w:rsid w:val="003029A5"/>
    <w:rsid w:val="003029EE"/>
    <w:rsid w:val="0030370B"/>
    <w:rsid w:val="00305CC8"/>
    <w:rsid w:val="00307F6D"/>
    <w:rsid w:val="003130C9"/>
    <w:rsid w:val="003177A2"/>
    <w:rsid w:val="00317A31"/>
    <w:rsid w:val="00320869"/>
    <w:rsid w:val="003271B5"/>
    <w:rsid w:val="00327A1E"/>
    <w:rsid w:val="00331264"/>
    <w:rsid w:val="003338A2"/>
    <w:rsid w:val="00334C8D"/>
    <w:rsid w:val="0033548E"/>
    <w:rsid w:val="00343A18"/>
    <w:rsid w:val="00344473"/>
    <w:rsid w:val="00344D08"/>
    <w:rsid w:val="003457F9"/>
    <w:rsid w:val="00347114"/>
    <w:rsid w:val="003518B3"/>
    <w:rsid w:val="003578CD"/>
    <w:rsid w:val="003666F2"/>
    <w:rsid w:val="003717D8"/>
    <w:rsid w:val="003846F1"/>
    <w:rsid w:val="003903D4"/>
    <w:rsid w:val="00391BF0"/>
    <w:rsid w:val="003931A7"/>
    <w:rsid w:val="00393646"/>
    <w:rsid w:val="003B484F"/>
    <w:rsid w:val="003B7FBA"/>
    <w:rsid w:val="003F174D"/>
    <w:rsid w:val="003F572D"/>
    <w:rsid w:val="003F7442"/>
    <w:rsid w:val="00415F31"/>
    <w:rsid w:val="0042205D"/>
    <w:rsid w:val="00423A77"/>
    <w:rsid w:val="00436ECD"/>
    <w:rsid w:val="00452473"/>
    <w:rsid w:val="0045777E"/>
    <w:rsid w:val="00461B0F"/>
    <w:rsid w:val="00461C29"/>
    <w:rsid w:val="00474EC7"/>
    <w:rsid w:val="00480B4B"/>
    <w:rsid w:val="00485DC4"/>
    <w:rsid w:val="004A0A5E"/>
    <w:rsid w:val="004A43D1"/>
    <w:rsid w:val="004B355D"/>
    <w:rsid w:val="004B4412"/>
    <w:rsid w:val="004C0C43"/>
    <w:rsid w:val="004C348C"/>
    <w:rsid w:val="004C6A30"/>
    <w:rsid w:val="004D0978"/>
    <w:rsid w:val="004D1A96"/>
    <w:rsid w:val="004D55BA"/>
    <w:rsid w:val="004E22EC"/>
    <w:rsid w:val="004E2A4C"/>
    <w:rsid w:val="004F6A0E"/>
    <w:rsid w:val="00530128"/>
    <w:rsid w:val="00532467"/>
    <w:rsid w:val="00537FD6"/>
    <w:rsid w:val="005531B5"/>
    <w:rsid w:val="00564A4D"/>
    <w:rsid w:val="0056588A"/>
    <w:rsid w:val="00567BA5"/>
    <w:rsid w:val="00571B35"/>
    <w:rsid w:val="00571D57"/>
    <w:rsid w:val="00577A09"/>
    <w:rsid w:val="005829C2"/>
    <w:rsid w:val="00584D8F"/>
    <w:rsid w:val="00585A4E"/>
    <w:rsid w:val="00586819"/>
    <w:rsid w:val="0059704C"/>
    <w:rsid w:val="005A404D"/>
    <w:rsid w:val="005B1E3C"/>
    <w:rsid w:val="005B3FB7"/>
    <w:rsid w:val="005B4D33"/>
    <w:rsid w:val="005B704A"/>
    <w:rsid w:val="005C0A7F"/>
    <w:rsid w:val="005C26CC"/>
    <w:rsid w:val="005C4C9C"/>
    <w:rsid w:val="005C6218"/>
    <w:rsid w:val="005D7BA2"/>
    <w:rsid w:val="005E36C2"/>
    <w:rsid w:val="005F0183"/>
    <w:rsid w:val="005F727F"/>
    <w:rsid w:val="006007DE"/>
    <w:rsid w:val="00601638"/>
    <w:rsid w:val="00610EF9"/>
    <w:rsid w:val="00612F4F"/>
    <w:rsid w:val="00615C6B"/>
    <w:rsid w:val="00620DC3"/>
    <w:rsid w:val="00621DCE"/>
    <w:rsid w:val="00632D6D"/>
    <w:rsid w:val="00640812"/>
    <w:rsid w:val="00642C3E"/>
    <w:rsid w:val="00651C3A"/>
    <w:rsid w:val="00651CB2"/>
    <w:rsid w:val="006560CA"/>
    <w:rsid w:val="0066104A"/>
    <w:rsid w:val="00663DAD"/>
    <w:rsid w:val="00665649"/>
    <w:rsid w:val="00666E20"/>
    <w:rsid w:val="006672AA"/>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4798"/>
    <w:rsid w:val="006C774D"/>
    <w:rsid w:val="006D22F2"/>
    <w:rsid w:val="006D550F"/>
    <w:rsid w:val="006E3F76"/>
    <w:rsid w:val="006F1F83"/>
    <w:rsid w:val="006F3AD1"/>
    <w:rsid w:val="006F3FC8"/>
    <w:rsid w:val="006F4FB6"/>
    <w:rsid w:val="006F6183"/>
    <w:rsid w:val="0070011E"/>
    <w:rsid w:val="00701CAB"/>
    <w:rsid w:val="00707563"/>
    <w:rsid w:val="0072348C"/>
    <w:rsid w:val="00724A37"/>
    <w:rsid w:val="007303C3"/>
    <w:rsid w:val="00741C46"/>
    <w:rsid w:val="00741E23"/>
    <w:rsid w:val="007429BE"/>
    <w:rsid w:val="00743223"/>
    <w:rsid w:val="00746E01"/>
    <w:rsid w:val="00747EEA"/>
    <w:rsid w:val="00752C8D"/>
    <w:rsid w:val="007549A6"/>
    <w:rsid w:val="00757364"/>
    <w:rsid w:val="00757BDF"/>
    <w:rsid w:val="007609D0"/>
    <w:rsid w:val="00763618"/>
    <w:rsid w:val="00763E5D"/>
    <w:rsid w:val="00767740"/>
    <w:rsid w:val="00777EE6"/>
    <w:rsid w:val="00782EEA"/>
    <w:rsid w:val="007A7002"/>
    <w:rsid w:val="007A7136"/>
    <w:rsid w:val="007A7F63"/>
    <w:rsid w:val="007B011C"/>
    <w:rsid w:val="007B186E"/>
    <w:rsid w:val="007B2C72"/>
    <w:rsid w:val="007B6C52"/>
    <w:rsid w:val="007C1C53"/>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16C85"/>
    <w:rsid w:val="00821004"/>
    <w:rsid w:val="008221F2"/>
    <w:rsid w:val="00825985"/>
    <w:rsid w:val="008301A7"/>
    <w:rsid w:val="008301B2"/>
    <w:rsid w:val="008344F6"/>
    <w:rsid w:val="0083510F"/>
    <w:rsid w:val="008408C5"/>
    <w:rsid w:val="008414FC"/>
    <w:rsid w:val="00847887"/>
    <w:rsid w:val="00851209"/>
    <w:rsid w:val="0085722A"/>
    <w:rsid w:val="00862B19"/>
    <w:rsid w:val="00864B35"/>
    <w:rsid w:val="00866D99"/>
    <w:rsid w:val="00867CF6"/>
    <w:rsid w:val="008737CF"/>
    <w:rsid w:val="008749E0"/>
    <w:rsid w:val="00874CD0"/>
    <w:rsid w:val="00882481"/>
    <w:rsid w:val="008837AC"/>
    <w:rsid w:val="008A587D"/>
    <w:rsid w:val="008B35CD"/>
    <w:rsid w:val="008B5FCC"/>
    <w:rsid w:val="008B7544"/>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460AA"/>
    <w:rsid w:val="0094641C"/>
    <w:rsid w:val="00951978"/>
    <w:rsid w:val="00961115"/>
    <w:rsid w:val="00961A4A"/>
    <w:rsid w:val="009661DE"/>
    <w:rsid w:val="00983C25"/>
    <w:rsid w:val="009856B7"/>
    <w:rsid w:val="00985C86"/>
    <w:rsid w:val="009864CD"/>
    <w:rsid w:val="00996BAF"/>
    <w:rsid w:val="009972D8"/>
    <w:rsid w:val="009A4FAA"/>
    <w:rsid w:val="009A5113"/>
    <w:rsid w:val="009A539D"/>
    <w:rsid w:val="009A5FC3"/>
    <w:rsid w:val="009B5DC8"/>
    <w:rsid w:val="009B6F84"/>
    <w:rsid w:val="009B7343"/>
    <w:rsid w:val="009B74B0"/>
    <w:rsid w:val="009C691D"/>
    <w:rsid w:val="009D3906"/>
    <w:rsid w:val="009D6B46"/>
    <w:rsid w:val="009F4940"/>
    <w:rsid w:val="009F5BA1"/>
    <w:rsid w:val="00A02A88"/>
    <w:rsid w:val="00A0562E"/>
    <w:rsid w:val="00A06085"/>
    <w:rsid w:val="00A0726D"/>
    <w:rsid w:val="00A16596"/>
    <w:rsid w:val="00A2303E"/>
    <w:rsid w:val="00A32FBB"/>
    <w:rsid w:val="00A428EE"/>
    <w:rsid w:val="00A4478A"/>
    <w:rsid w:val="00A44852"/>
    <w:rsid w:val="00A4650A"/>
    <w:rsid w:val="00A50502"/>
    <w:rsid w:val="00A57D04"/>
    <w:rsid w:val="00A60A26"/>
    <w:rsid w:val="00A61598"/>
    <w:rsid w:val="00A80748"/>
    <w:rsid w:val="00A84A99"/>
    <w:rsid w:val="00A84F46"/>
    <w:rsid w:val="00A871F4"/>
    <w:rsid w:val="00A90AA4"/>
    <w:rsid w:val="00A923BF"/>
    <w:rsid w:val="00AB47E1"/>
    <w:rsid w:val="00AC1B2C"/>
    <w:rsid w:val="00AC3264"/>
    <w:rsid w:val="00AD3884"/>
    <w:rsid w:val="00AD7B56"/>
    <w:rsid w:val="00AE1BF1"/>
    <w:rsid w:val="00AF0DD2"/>
    <w:rsid w:val="00B0209D"/>
    <w:rsid w:val="00B02961"/>
    <w:rsid w:val="00B04908"/>
    <w:rsid w:val="00B04B4C"/>
    <w:rsid w:val="00B07CEA"/>
    <w:rsid w:val="00B13048"/>
    <w:rsid w:val="00B1716D"/>
    <w:rsid w:val="00B17A1D"/>
    <w:rsid w:val="00B207A0"/>
    <w:rsid w:val="00B40CAA"/>
    <w:rsid w:val="00B514DD"/>
    <w:rsid w:val="00B51F3F"/>
    <w:rsid w:val="00B52AF0"/>
    <w:rsid w:val="00B561BD"/>
    <w:rsid w:val="00B56E03"/>
    <w:rsid w:val="00B61EDF"/>
    <w:rsid w:val="00B74644"/>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B14"/>
    <w:rsid w:val="00BC2FAF"/>
    <w:rsid w:val="00BC42EF"/>
    <w:rsid w:val="00BD0920"/>
    <w:rsid w:val="00BD0C45"/>
    <w:rsid w:val="00BD310B"/>
    <w:rsid w:val="00BD3446"/>
    <w:rsid w:val="00BE1F1B"/>
    <w:rsid w:val="00BE47B5"/>
    <w:rsid w:val="00BF0C8F"/>
    <w:rsid w:val="00BF0CD7"/>
    <w:rsid w:val="00BF6639"/>
    <w:rsid w:val="00C04223"/>
    <w:rsid w:val="00C25FA6"/>
    <w:rsid w:val="00C275C4"/>
    <w:rsid w:val="00C30637"/>
    <w:rsid w:val="00C36F19"/>
    <w:rsid w:val="00C4032F"/>
    <w:rsid w:val="00C40433"/>
    <w:rsid w:val="00C42ACA"/>
    <w:rsid w:val="00C5122C"/>
    <w:rsid w:val="00C538A9"/>
    <w:rsid w:val="00C53B5A"/>
    <w:rsid w:val="00C54F5A"/>
    <w:rsid w:val="00C569B4"/>
    <w:rsid w:val="00C56A01"/>
    <w:rsid w:val="00C56A3E"/>
    <w:rsid w:val="00C67A92"/>
    <w:rsid w:val="00C7497E"/>
    <w:rsid w:val="00C74D43"/>
    <w:rsid w:val="00C81568"/>
    <w:rsid w:val="00C84560"/>
    <w:rsid w:val="00C84F52"/>
    <w:rsid w:val="00C86679"/>
    <w:rsid w:val="00C97CDF"/>
    <w:rsid w:val="00CA2ABF"/>
    <w:rsid w:val="00CA2C1D"/>
    <w:rsid w:val="00CA489E"/>
    <w:rsid w:val="00CA52A2"/>
    <w:rsid w:val="00CB0279"/>
    <w:rsid w:val="00CB666B"/>
    <w:rsid w:val="00CC7F1D"/>
    <w:rsid w:val="00CD19EE"/>
    <w:rsid w:val="00CE484B"/>
    <w:rsid w:val="00CE4900"/>
    <w:rsid w:val="00CF0DEE"/>
    <w:rsid w:val="00CF2C05"/>
    <w:rsid w:val="00CF6EDE"/>
    <w:rsid w:val="00D006AE"/>
    <w:rsid w:val="00D01CF0"/>
    <w:rsid w:val="00D01EFD"/>
    <w:rsid w:val="00D0442A"/>
    <w:rsid w:val="00D06055"/>
    <w:rsid w:val="00D066B7"/>
    <w:rsid w:val="00D17683"/>
    <w:rsid w:val="00D32CE0"/>
    <w:rsid w:val="00D36FCC"/>
    <w:rsid w:val="00D45694"/>
    <w:rsid w:val="00D608F6"/>
    <w:rsid w:val="00D60EFF"/>
    <w:rsid w:val="00D61388"/>
    <w:rsid w:val="00D61A54"/>
    <w:rsid w:val="00D64275"/>
    <w:rsid w:val="00D64DEA"/>
    <w:rsid w:val="00D67CF0"/>
    <w:rsid w:val="00D7168E"/>
    <w:rsid w:val="00D71E57"/>
    <w:rsid w:val="00D75AA2"/>
    <w:rsid w:val="00D7645E"/>
    <w:rsid w:val="00D80893"/>
    <w:rsid w:val="00D84854"/>
    <w:rsid w:val="00D848B4"/>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4EFA"/>
    <w:rsid w:val="00DE5520"/>
    <w:rsid w:val="00DE563D"/>
    <w:rsid w:val="00DE5E2E"/>
    <w:rsid w:val="00DE772C"/>
    <w:rsid w:val="00DF1D9A"/>
    <w:rsid w:val="00DF312A"/>
    <w:rsid w:val="00E04818"/>
    <w:rsid w:val="00E06442"/>
    <w:rsid w:val="00E06BCF"/>
    <w:rsid w:val="00E1001C"/>
    <w:rsid w:val="00E23993"/>
    <w:rsid w:val="00E257D6"/>
    <w:rsid w:val="00E25B8C"/>
    <w:rsid w:val="00E34AF5"/>
    <w:rsid w:val="00E3544F"/>
    <w:rsid w:val="00E51D65"/>
    <w:rsid w:val="00E6200B"/>
    <w:rsid w:val="00E65C85"/>
    <w:rsid w:val="00E66199"/>
    <w:rsid w:val="00E711C7"/>
    <w:rsid w:val="00E7494F"/>
    <w:rsid w:val="00E755EC"/>
    <w:rsid w:val="00E7624D"/>
    <w:rsid w:val="00E97242"/>
    <w:rsid w:val="00EA38F3"/>
    <w:rsid w:val="00EA3D42"/>
    <w:rsid w:val="00EA6B1B"/>
    <w:rsid w:val="00EB5BC8"/>
    <w:rsid w:val="00EB606C"/>
    <w:rsid w:val="00EC04F1"/>
    <w:rsid w:val="00EC1B2B"/>
    <w:rsid w:val="00EC32E5"/>
    <w:rsid w:val="00ED0EC2"/>
    <w:rsid w:val="00ED3474"/>
    <w:rsid w:val="00ED7323"/>
    <w:rsid w:val="00EE28F3"/>
    <w:rsid w:val="00EE50D1"/>
    <w:rsid w:val="00EE5AF6"/>
    <w:rsid w:val="00EE77FA"/>
    <w:rsid w:val="00EE7A83"/>
    <w:rsid w:val="00EF1B7A"/>
    <w:rsid w:val="00EF5110"/>
    <w:rsid w:val="00F0334E"/>
    <w:rsid w:val="00F07967"/>
    <w:rsid w:val="00F10411"/>
    <w:rsid w:val="00F15882"/>
    <w:rsid w:val="00F171E0"/>
    <w:rsid w:val="00F20BD3"/>
    <w:rsid w:val="00F2526A"/>
    <w:rsid w:val="00F35081"/>
    <w:rsid w:val="00F373A5"/>
    <w:rsid w:val="00F42E08"/>
    <w:rsid w:val="00F47559"/>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B1BF3"/>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145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5B96FECE</Template>
  <TotalTime>0</TotalTime>
  <Pages>9</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2016-05-20T07:18:00Z</dcterms:created>
  <dcterms:modified xsi:type="dcterms:W3CDTF">2016-05-20T07:19:00Z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8575719</vt:lpwstr>
  </property>
</Properties>
</file>