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990FEF9" wp14:editId="5A9283E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A370EF"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02165">
            <w:t>2</w:t>
          </w:r>
          <w:r w:rsidR="00DA4752">
            <w:t xml:space="preserve"> </w:t>
          </w:r>
          <w:r w:rsidR="00415F31">
            <w:rPr>
              <w:rFonts w:cs="Arial"/>
            </w:rPr>
            <w:t>–</w:t>
          </w:r>
          <w:r w:rsidR="00DA4752">
            <w:t xml:space="preserve"> </w:t>
          </w:r>
          <w:r w:rsidR="00B02165">
            <w:t>Capital base</w:t>
          </w:r>
        </w:p>
        <w:p w:rsidR="000A6C7B" w:rsidRPr="00327A1E" w:rsidRDefault="00983D0D" w:rsidP="00327A1E">
          <w:pPr>
            <w:pStyle w:val="ReportDate"/>
          </w:pPr>
          <w:r>
            <w:t xml:space="preserve">May </w:t>
          </w:r>
          <w:r w:rsidR="00A2303E">
            <w:t>2016</w:t>
          </w:r>
        </w:p>
      </w:sdtContent>
    </w:sdt>
    <w:p w:rsidR="00327A1E" w:rsidRPr="00290C63" w:rsidRDefault="00327A1E" w:rsidP="00290C63">
      <w:r>
        <w:br w:type="page"/>
      </w:r>
    </w:p>
    <w:p w:rsidR="000A6C7B" w:rsidRDefault="00677E7A"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6804"/>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023DE9" w:rsidRPr="00023DE9" w:rsidRDefault="00023DE9" w:rsidP="00023DE9">
      <w:r w:rsidRPr="00023DE9">
        <w:t>This attachment forms part of the AER's final decision on the access arrangement for Australian Gas Networks South Australian distribution network for 2016–21. It should be read with all other parts of the final decision.</w:t>
      </w:r>
    </w:p>
    <w:p w:rsidR="00415F31" w:rsidRDefault="00415F31" w:rsidP="00023DE9">
      <w:r>
        <w:t xml:space="preserve">The </w:t>
      </w:r>
      <w:r w:rsidR="00A2303E">
        <w:t>final</w:t>
      </w:r>
      <w:r w:rsidR="005C0A7F">
        <w:t xml:space="preserve"> </w:t>
      </w:r>
      <w:r>
        <w:t>decision includes the following documents:</w:t>
      </w:r>
    </w:p>
    <w:p w:rsidR="00415F31" w:rsidRDefault="00415F31" w:rsidP="00023DE9">
      <w:r>
        <w:t>Overview</w:t>
      </w:r>
    </w:p>
    <w:p w:rsidR="0070011E" w:rsidRDefault="0070011E" w:rsidP="00023DE9">
      <w:r>
        <w:t xml:space="preserve">Attachment 1 - </w:t>
      </w:r>
      <w:r w:rsidR="00EE77FA">
        <w:t>Services covered by the access arrangement</w:t>
      </w:r>
    </w:p>
    <w:p w:rsidR="0070011E" w:rsidRDefault="0070011E" w:rsidP="00023DE9">
      <w:r>
        <w:t xml:space="preserve">Attachment 2 - </w:t>
      </w:r>
      <w:r w:rsidR="00EE77FA">
        <w:t>Capital base</w:t>
      </w:r>
    </w:p>
    <w:p w:rsidR="0070011E" w:rsidRDefault="0070011E" w:rsidP="00023DE9">
      <w:r>
        <w:t xml:space="preserve">Attachment 3 - </w:t>
      </w:r>
      <w:r w:rsidR="00EE77FA">
        <w:t>R</w:t>
      </w:r>
      <w:r>
        <w:t>ate of return</w:t>
      </w:r>
    </w:p>
    <w:p w:rsidR="0070011E" w:rsidRDefault="0070011E" w:rsidP="00023DE9">
      <w:r>
        <w:t>Attachment 4 - Value of imputation credits</w:t>
      </w:r>
    </w:p>
    <w:p w:rsidR="0070011E" w:rsidRDefault="0070011E" w:rsidP="00023DE9">
      <w:r>
        <w:t>Attachment 5 - Regulatory depreciation</w:t>
      </w:r>
    </w:p>
    <w:p w:rsidR="0070011E" w:rsidRDefault="0070011E" w:rsidP="00023DE9">
      <w:r>
        <w:t xml:space="preserve">Attachment 6 - Capital expenditure </w:t>
      </w:r>
    </w:p>
    <w:p w:rsidR="0070011E" w:rsidRDefault="0070011E" w:rsidP="00023DE9">
      <w:r>
        <w:t>Attachment 7 - Operating expenditure</w:t>
      </w:r>
    </w:p>
    <w:p w:rsidR="0070011E" w:rsidRDefault="0070011E" w:rsidP="00023DE9">
      <w:r>
        <w:t>Attachment 8 - Corporate income tax</w:t>
      </w:r>
    </w:p>
    <w:p w:rsidR="0070011E" w:rsidRDefault="0070011E" w:rsidP="00023DE9">
      <w:r>
        <w:t xml:space="preserve">Attachment 9 - Efficiency </w:t>
      </w:r>
      <w:r w:rsidR="00EE77FA">
        <w:t>carryover mechanism</w:t>
      </w:r>
    </w:p>
    <w:p w:rsidR="0070011E" w:rsidRDefault="0070011E" w:rsidP="00023DE9">
      <w:r>
        <w:t xml:space="preserve">Attachment 10 - </w:t>
      </w:r>
      <w:r w:rsidR="00EE77FA">
        <w:t>Reference tariff setting</w:t>
      </w:r>
    </w:p>
    <w:p w:rsidR="0070011E" w:rsidRDefault="0070011E" w:rsidP="00023DE9">
      <w:r>
        <w:t xml:space="preserve">Attachment 11 - </w:t>
      </w:r>
      <w:r w:rsidR="00EE77FA">
        <w:t>Reference tariff variation mechanism</w:t>
      </w:r>
    </w:p>
    <w:p w:rsidR="0070011E" w:rsidRDefault="0070011E" w:rsidP="00023DE9">
      <w:r>
        <w:t xml:space="preserve">Attachment 12 - </w:t>
      </w:r>
      <w:r w:rsidR="00EE77FA">
        <w:t>Non-tariff components</w:t>
      </w:r>
    </w:p>
    <w:p w:rsidR="0070011E" w:rsidRDefault="0070011E" w:rsidP="00023DE9">
      <w:r>
        <w:t xml:space="preserve">Attachment 13 - </w:t>
      </w:r>
      <w:r w:rsidR="00EE77FA">
        <w:t>Demand</w:t>
      </w:r>
    </w:p>
    <w:p w:rsidR="00A370EF" w:rsidRDefault="00A370EF" w:rsidP="00023DE9">
      <w:r>
        <w:t>Attachment 14 - Other incentive schemes</w:t>
      </w:r>
    </w:p>
    <w:p w:rsidR="00DE563D" w:rsidRPr="00A72B34" w:rsidRDefault="00DE563D" w:rsidP="00DE772C">
      <w:pPr>
        <w:pStyle w:val="UnnumberedHeading"/>
        <w:numPr>
          <w:ilvl w:val="0"/>
          <w:numId w:val="23"/>
        </w:numPr>
      </w:pPr>
      <w:bookmarkStart w:id="5" w:name="_Toc403144133"/>
      <w:bookmarkStart w:id="6" w:name="_Toc451526805"/>
      <w:r>
        <w:t>Contents</w:t>
      </w:r>
      <w:bookmarkEnd w:id="5"/>
      <w:bookmarkEnd w:id="6"/>
    </w:p>
    <w:sdt>
      <w:sdtPr>
        <w:id w:val="1269200322"/>
        <w:docPartObj>
          <w:docPartGallery w:val="Table of Contents"/>
          <w:docPartUnique/>
        </w:docPartObj>
      </w:sdtPr>
      <w:sdtEndPr/>
      <w:sdtContent>
        <w:p w:rsidR="006F70F8" w:rsidRDefault="00B25A59">
          <w:pPr>
            <w:pStyle w:val="TOC1"/>
            <w:rPr>
              <w:rFonts w:asciiTheme="minorHAnsi" w:eastAsiaTheme="minorEastAsia" w:hAnsiTheme="minorHAnsi"/>
              <w:b w:val="0"/>
              <w:color w:val="auto"/>
              <w:sz w:val="22"/>
              <w:lang w:val="en-AU" w:eastAsia="en-AU"/>
            </w:rPr>
          </w:pPr>
          <w:r w:rsidRPr="00B25A59">
            <w:fldChar w:fldCharType="begin"/>
          </w:r>
          <w:r w:rsidRPr="00B25A59">
            <w:instrText xml:space="preserve"> TOC \o "1-3" \h \z \u \t "Heading 7,1,Heading 8,2,Heading 9,3" </w:instrText>
          </w:r>
          <w:r w:rsidRPr="00B25A59">
            <w:fldChar w:fldCharType="separate"/>
          </w:r>
          <w:hyperlink w:anchor="_Toc451526804" w:history="1">
            <w:r w:rsidR="006F70F8" w:rsidRPr="00D6484A">
              <w:rPr>
                <w:rStyle w:val="Hyperlink"/>
              </w:rPr>
              <w:t>Note</w:t>
            </w:r>
            <w:r w:rsidR="006F70F8">
              <w:rPr>
                <w:webHidden/>
              </w:rPr>
              <w:tab/>
            </w:r>
            <w:r w:rsidR="006F70F8">
              <w:rPr>
                <w:webHidden/>
              </w:rPr>
              <w:fldChar w:fldCharType="begin"/>
            </w:r>
            <w:r w:rsidR="006F70F8">
              <w:rPr>
                <w:webHidden/>
              </w:rPr>
              <w:instrText xml:space="preserve"> PAGEREF _Toc451526804 \h </w:instrText>
            </w:r>
            <w:r w:rsidR="006F70F8">
              <w:rPr>
                <w:webHidden/>
              </w:rPr>
            </w:r>
            <w:r w:rsidR="006F70F8">
              <w:rPr>
                <w:webHidden/>
              </w:rPr>
              <w:fldChar w:fldCharType="separate"/>
            </w:r>
            <w:r w:rsidR="006F70F8">
              <w:rPr>
                <w:webHidden/>
              </w:rPr>
              <w:t>2-2</w:t>
            </w:r>
            <w:r w:rsidR="006F70F8">
              <w:rPr>
                <w:webHidden/>
              </w:rPr>
              <w:fldChar w:fldCharType="end"/>
            </w:r>
          </w:hyperlink>
        </w:p>
        <w:p w:rsidR="006F70F8" w:rsidRDefault="006F70F8">
          <w:pPr>
            <w:pStyle w:val="TOC1"/>
            <w:rPr>
              <w:rFonts w:asciiTheme="minorHAnsi" w:eastAsiaTheme="minorEastAsia" w:hAnsiTheme="minorHAnsi"/>
              <w:b w:val="0"/>
              <w:color w:val="auto"/>
              <w:sz w:val="22"/>
              <w:lang w:val="en-AU" w:eastAsia="en-AU"/>
            </w:rPr>
          </w:pPr>
          <w:hyperlink w:anchor="_Toc451526805" w:history="1">
            <w:r w:rsidRPr="00D6484A">
              <w:rPr>
                <w:rStyle w:val="Hyperlink"/>
              </w:rPr>
              <w:t>Contents</w:t>
            </w:r>
            <w:r>
              <w:rPr>
                <w:webHidden/>
              </w:rPr>
              <w:tab/>
            </w:r>
            <w:r>
              <w:rPr>
                <w:webHidden/>
              </w:rPr>
              <w:fldChar w:fldCharType="begin"/>
            </w:r>
            <w:r>
              <w:rPr>
                <w:webHidden/>
              </w:rPr>
              <w:instrText xml:space="preserve"> PAGEREF _Toc451526805 \h </w:instrText>
            </w:r>
            <w:r>
              <w:rPr>
                <w:webHidden/>
              </w:rPr>
            </w:r>
            <w:r>
              <w:rPr>
                <w:webHidden/>
              </w:rPr>
              <w:fldChar w:fldCharType="separate"/>
            </w:r>
            <w:r>
              <w:rPr>
                <w:webHidden/>
              </w:rPr>
              <w:t>2-3</w:t>
            </w:r>
            <w:r>
              <w:rPr>
                <w:webHidden/>
              </w:rPr>
              <w:fldChar w:fldCharType="end"/>
            </w:r>
          </w:hyperlink>
        </w:p>
        <w:p w:rsidR="006F70F8" w:rsidRDefault="006F70F8">
          <w:pPr>
            <w:pStyle w:val="TOC1"/>
            <w:rPr>
              <w:rFonts w:asciiTheme="minorHAnsi" w:eastAsiaTheme="minorEastAsia" w:hAnsiTheme="minorHAnsi"/>
              <w:b w:val="0"/>
              <w:color w:val="auto"/>
              <w:sz w:val="22"/>
              <w:lang w:val="en-AU" w:eastAsia="en-AU"/>
            </w:rPr>
          </w:pPr>
          <w:hyperlink w:anchor="_Toc451526806" w:history="1">
            <w:r w:rsidRPr="00D6484A">
              <w:rPr>
                <w:rStyle w:val="Hyperlink"/>
              </w:rPr>
              <w:t>Shortened forms</w:t>
            </w:r>
            <w:r>
              <w:rPr>
                <w:webHidden/>
              </w:rPr>
              <w:tab/>
            </w:r>
            <w:r>
              <w:rPr>
                <w:webHidden/>
              </w:rPr>
              <w:fldChar w:fldCharType="begin"/>
            </w:r>
            <w:r>
              <w:rPr>
                <w:webHidden/>
              </w:rPr>
              <w:instrText xml:space="preserve"> PAGEREF _Toc451526806 \h </w:instrText>
            </w:r>
            <w:r>
              <w:rPr>
                <w:webHidden/>
              </w:rPr>
            </w:r>
            <w:r>
              <w:rPr>
                <w:webHidden/>
              </w:rPr>
              <w:fldChar w:fldCharType="separate"/>
            </w:r>
            <w:r>
              <w:rPr>
                <w:webHidden/>
              </w:rPr>
              <w:t>2-4</w:t>
            </w:r>
            <w:r>
              <w:rPr>
                <w:webHidden/>
              </w:rPr>
              <w:fldChar w:fldCharType="end"/>
            </w:r>
          </w:hyperlink>
        </w:p>
        <w:p w:rsidR="006F70F8" w:rsidRDefault="006F70F8">
          <w:pPr>
            <w:pStyle w:val="TOC1"/>
            <w:rPr>
              <w:rFonts w:asciiTheme="minorHAnsi" w:eastAsiaTheme="minorEastAsia" w:hAnsiTheme="minorHAnsi"/>
              <w:b w:val="0"/>
              <w:color w:val="auto"/>
              <w:sz w:val="22"/>
              <w:lang w:val="en-AU" w:eastAsia="en-AU"/>
            </w:rPr>
          </w:pPr>
          <w:hyperlink w:anchor="_Toc451526807" w:history="1">
            <w:r w:rsidRPr="00D6484A">
              <w:rPr>
                <w:rStyle w:val="Hyperlink"/>
              </w:rPr>
              <w:t>2</w:t>
            </w:r>
            <w:r>
              <w:rPr>
                <w:rFonts w:asciiTheme="minorHAnsi" w:eastAsiaTheme="minorEastAsia" w:hAnsiTheme="minorHAnsi"/>
                <w:b w:val="0"/>
                <w:color w:val="auto"/>
                <w:sz w:val="22"/>
                <w:lang w:val="en-AU" w:eastAsia="en-AU"/>
              </w:rPr>
              <w:tab/>
            </w:r>
            <w:r w:rsidRPr="00D6484A">
              <w:rPr>
                <w:rStyle w:val="Hyperlink"/>
              </w:rPr>
              <w:t>Capital base</w:t>
            </w:r>
            <w:r>
              <w:rPr>
                <w:webHidden/>
              </w:rPr>
              <w:tab/>
            </w:r>
            <w:r>
              <w:rPr>
                <w:webHidden/>
              </w:rPr>
              <w:fldChar w:fldCharType="begin"/>
            </w:r>
            <w:r>
              <w:rPr>
                <w:webHidden/>
              </w:rPr>
              <w:instrText xml:space="preserve"> PAGEREF _Toc451526807 \h </w:instrText>
            </w:r>
            <w:r>
              <w:rPr>
                <w:webHidden/>
              </w:rPr>
            </w:r>
            <w:r>
              <w:rPr>
                <w:webHidden/>
              </w:rPr>
              <w:fldChar w:fldCharType="separate"/>
            </w:r>
            <w:r>
              <w:rPr>
                <w:webHidden/>
              </w:rPr>
              <w:t>2-6</w:t>
            </w:r>
            <w:r>
              <w:rPr>
                <w:webHidden/>
              </w:rPr>
              <w:fldChar w:fldCharType="end"/>
            </w:r>
          </w:hyperlink>
        </w:p>
        <w:p w:rsidR="006F70F8" w:rsidRDefault="006F70F8">
          <w:pPr>
            <w:pStyle w:val="TOC2"/>
            <w:rPr>
              <w:rFonts w:asciiTheme="minorHAnsi" w:eastAsiaTheme="minorEastAsia" w:hAnsiTheme="minorHAnsi"/>
              <w:b w:val="0"/>
              <w:color w:val="auto"/>
              <w:sz w:val="22"/>
              <w:lang w:eastAsia="en-AU"/>
            </w:rPr>
          </w:pPr>
          <w:hyperlink w:anchor="_Toc451526808" w:history="1">
            <w:r w:rsidRPr="00D6484A">
              <w:rPr>
                <w:rStyle w:val="Hyperlink"/>
              </w:rPr>
              <w:t>2.1</w:t>
            </w:r>
            <w:r>
              <w:rPr>
                <w:rFonts w:asciiTheme="minorHAnsi" w:eastAsiaTheme="minorEastAsia" w:hAnsiTheme="minorHAnsi"/>
                <w:b w:val="0"/>
                <w:color w:val="auto"/>
                <w:sz w:val="22"/>
                <w:lang w:eastAsia="en-AU"/>
              </w:rPr>
              <w:tab/>
            </w:r>
            <w:r w:rsidRPr="00D6484A">
              <w:rPr>
                <w:rStyle w:val="Hyperlink"/>
              </w:rPr>
              <w:t>Final decision</w:t>
            </w:r>
            <w:r>
              <w:rPr>
                <w:webHidden/>
              </w:rPr>
              <w:tab/>
            </w:r>
            <w:r>
              <w:rPr>
                <w:webHidden/>
              </w:rPr>
              <w:fldChar w:fldCharType="begin"/>
            </w:r>
            <w:r>
              <w:rPr>
                <w:webHidden/>
              </w:rPr>
              <w:instrText xml:space="preserve"> PAGEREF _Toc451526808 \h </w:instrText>
            </w:r>
            <w:r>
              <w:rPr>
                <w:webHidden/>
              </w:rPr>
            </w:r>
            <w:r>
              <w:rPr>
                <w:webHidden/>
              </w:rPr>
              <w:fldChar w:fldCharType="separate"/>
            </w:r>
            <w:r>
              <w:rPr>
                <w:webHidden/>
              </w:rPr>
              <w:t>2-6</w:t>
            </w:r>
            <w:r>
              <w:rPr>
                <w:webHidden/>
              </w:rPr>
              <w:fldChar w:fldCharType="end"/>
            </w:r>
          </w:hyperlink>
        </w:p>
        <w:p w:rsidR="006F70F8" w:rsidRDefault="006F70F8">
          <w:pPr>
            <w:pStyle w:val="TOC2"/>
            <w:rPr>
              <w:rFonts w:asciiTheme="minorHAnsi" w:eastAsiaTheme="minorEastAsia" w:hAnsiTheme="minorHAnsi"/>
              <w:b w:val="0"/>
              <w:color w:val="auto"/>
              <w:sz w:val="22"/>
              <w:lang w:eastAsia="en-AU"/>
            </w:rPr>
          </w:pPr>
          <w:hyperlink w:anchor="_Toc451526809" w:history="1">
            <w:r w:rsidRPr="00D6484A">
              <w:rPr>
                <w:rStyle w:val="Hyperlink"/>
              </w:rPr>
              <w:t>2.2</w:t>
            </w:r>
            <w:r>
              <w:rPr>
                <w:rFonts w:asciiTheme="minorHAnsi" w:eastAsiaTheme="minorEastAsia" w:hAnsiTheme="minorHAnsi"/>
                <w:b w:val="0"/>
                <w:color w:val="auto"/>
                <w:sz w:val="22"/>
                <w:lang w:eastAsia="en-AU"/>
              </w:rPr>
              <w:tab/>
            </w:r>
            <w:r w:rsidRPr="00D6484A">
              <w:rPr>
                <w:rStyle w:val="Hyperlink"/>
              </w:rPr>
              <w:t>AGN’s revised proposal</w:t>
            </w:r>
            <w:r>
              <w:rPr>
                <w:webHidden/>
              </w:rPr>
              <w:tab/>
            </w:r>
            <w:r>
              <w:rPr>
                <w:webHidden/>
              </w:rPr>
              <w:fldChar w:fldCharType="begin"/>
            </w:r>
            <w:r>
              <w:rPr>
                <w:webHidden/>
              </w:rPr>
              <w:instrText xml:space="preserve"> PAGEREF _Toc451526809 \h </w:instrText>
            </w:r>
            <w:r>
              <w:rPr>
                <w:webHidden/>
              </w:rPr>
            </w:r>
            <w:r>
              <w:rPr>
                <w:webHidden/>
              </w:rPr>
              <w:fldChar w:fldCharType="separate"/>
            </w:r>
            <w:r>
              <w:rPr>
                <w:webHidden/>
              </w:rPr>
              <w:t>2-7</w:t>
            </w:r>
            <w:r>
              <w:rPr>
                <w:webHidden/>
              </w:rPr>
              <w:fldChar w:fldCharType="end"/>
            </w:r>
          </w:hyperlink>
        </w:p>
        <w:p w:rsidR="006F70F8" w:rsidRDefault="006F70F8">
          <w:pPr>
            <w:pStyle w:val="TOC2"/>
            <w:rPr>
              <w:rFonts w:asciiTheme="minorHAnsi" w:eastAsiaTheme="minorEastAsia" w:hAnsiTheme="minorHAnsi"/>
              <w:b w:val="0"/>
              <w:color w:val="auto"/>
              <w:sz w:val="22"/>
              <w:lang w:eastAsia="en-AU"/>
            </w:rPr>
          </w:pPr>
          <w:hyperlink w:anchor="_Toc451526810" w:history="1">
            <w:r w:rsidRPr="00D6484A">
              <w:rPr>
                <w:rStyle w:val="Hyperlink"/>
              </w:rPr>
              <w:t>2.3</w:t>
            </w:r>
            <w:r>
              <w:rPr>
                <w:rFonts w:asciiTheme="minorHAnsi" w:eastAsiaTheme="minorEastAsia" w:hAnsiTheme="minorHAnsi"/>
                <w:b w:val="0"/>
                <w:color w:val="auto"/>
                <w:sz w:val="22"/>
                <w:lang w:eastAsia="en-AU"/>
              </w:rPr>
              <w:tab/>
            </w:r>
            <w:r w:rsidRPr="00D6484A">
              <w:rPr>
                <w:rStyle w:val="Hyperlink"/>
              </w:rPr>
              <w:t>AER’s assessment approach</w:t>
            </w:r>
            <w:r>
              <w:rPr>
                <w:webHidden/>
              </w:rPr>
              <w:tab/>
            </w:r>
            <w:r>
              <w:rPr>
                <w:webHidden/>
              </w:rPr>
              <w:fldChar w:fldCharType="begin"/>
            </w:r>
            <w:r>
              <w:rPr>
                <w:webHidden/>
              </w:rPr>
              <w:instrText xml:space="preserve"> PAGEREF _Toc451526810 \h </w:instrText>
            </w:r>
            <w:r>
              <w:rPr>
                <w:webHidden/>
              </w:rPr>
            </w:r>
            <w:r>
              <w:rPr>
                <w:webHidden/>
              </w:rPr>
              <w:fldChar w:fldCharType="separate"/>
            </w:r>
            <w:r>
              <w:rPr>
                <w:webHidden/>
              </w:rPr>
              <w:t>2-9</w:t>
            </w:r>
            <w:r>
              <w:rPr>
                <w:webHidden/>
              </w:rPr>
              <w:fldChar w:fldCharType="end"/>
            </w:r>
          </w:hyperlink>
        </w:p>
        <w:p w:rsidR="006F70F8" w:rsidRDefault="006F70F8">
          <w:pPr>
            <w:pStyle w:val="TOC2"/>
            <w:rPr>
              <w:rFonts w:asciiTheme="minorHAnsi" w:eastAsiaTheme="minorEastAsia" w:hAnsiTheme="minorHAnsi"/>
              <w:b w:val="0"/>
              <w:color w:val="auto"/>
              <w:sz w:val="22"/>
              <w:lang w:eastAsia="en-AU"/>
            </w:rPr>
          </w:pPr>
          <w:hyperlink w:anchor="_Toc451526811" w:history="1">
            <w:r w:rsidRPr="00D6484A">
              <w:rPr>
                <w:rStyle w:val="Hyperlink"/>
              </w:rPr>
              <w:t>2.4</w:t>
            </w:r>
            <w:r>
              <w:rPr>
                <w:rFonts w:asciiTheme="minorHAnsi" w:eastAsiaTheme="minorEastAsia" w:hAnsiTheme="minorHAnsi"/>
                <w:b w:val="0"/>
                <w:color w:val="auto"/>
                <w:sz w:val="22"/>
                <w:lang w:eastAsia="en-AU"/>
              </w:rPr>
              <w:tab/>
            </w:r>
            <w:r w:rsidRPr="00D6484A">
              <w:rPr>
                <w:rStyle w:val="Hyperlink"/>
              </w:rPr>
              <w:t>Reasons for final decision</w:t>
            </w:r>
            <w:r>
              <w:rPr>
                <w:webHidden/>
              </w:rPr>
              <w:tab/>
            </w:r>
            <w:r>
              <w:rPr>
                <w:webHidden/>
              </w:rPr>
              <w:fldChar w:fldCharType="begin"/>
            </w:r>
            <w:r>
              <w:rPr>
                <w:webHidden/>
              </w:rPr>
              <w:instrText xml:space="preserve"> PAGEREF _Toc451526811 \h </w:instrText>
            </w:r>
            <w:r>
              <w:rPr>
                <w:webHidden/>
              </w:rPr>
            </w:r>
            <w:r>
              <w:rPr>
                <w:webHidden/>
              </w:rPr>
              <w:fldChar w:fldCharType="separate"/>
            </w:r>
            <w:r>
              <w:rPr>
                <w:webHidden/>
              </w:rPr>
              <w:t>2-9</w:t>
            </w:r>
            <w:r>
              <w:rPr>
                <w:webHidden/>
              </w:rPr>
              <w:fldChar w:fldCharType="end"/>
            </w:r>
          </w:hyperlink>
        </w:p>
        <w:p w:rsidR="006F70F8" w:rsidRDefault="006F70F8">
          <w:pPr>
            <w:pStyle w:val="TOC3"/>
            <w:rPr>
              <w:rFonts w:asciiTheme="minorHAnsi" w:eastAsiaTheme="minorEastAsia" w:hAnsiTheme="minorHAnsi"/>
              <w:lang w:eastAsia="en-AU"/>
            </w:rPr>
          </w:pPr>
          <w:hyperlink w:anchor="_Toc451526812" w:history="1">
            <w:r w:rsidRPr="00D6484A">
              <w:rPr>
                <w:rStyle w:val="Hyperlink"/>
              </w:rPr>
              <w:t>2.4.1</w:t>
            </w:r>
            <w:r>
              <w:rPr>
                <w:rFonts w:asciiTheme="minorHAnsi" w:eastAsiaTheme="minorEastAsia" w:hAnsiTheme="minorHAnsi"/>
                <w:lang w:eastAsia="en-AU"/>
              </w:rPr>
              <w:tab/>
            </w:r>
            <w:r w:rsidRPr="00D6484A">
              <w:rPr>
                <w:rStyle w:val="Hyperlink"/>
              </w:rPr>
              <w:t>Roll forward of capital base during the 2011–16 access arrangement period</w:t>
            </w:r>
            <w:r>
              <w:rPr>
                <w:webHidden/>
              </w:rPr>
              <w:tab/>
            </w:r>
            <w:r>
              <w:rPr>
                <w:webHidden/>
              </w:rPr>
              <w:fldChar w:fldCharType="begin"/>
            </w:r>
            <w:r>
              <w:rPr>
                <w:webHidden/>
              </w:rPr>
              <w:instrText xml:space="preserve"> PAGEREF _Toc451526812 \h </w:instrText>
            </w:r>
            <w:r>
              <w:rPr>
                <w:webHidden/>
              </w:rPr>
            </w:r>
            <w:r>
              <w:rPr>
                <w:webHidden/>
              </w:rPr>
              <w:fldChar w:fldCharType="separate"/>
            </w:r>
            <w:r>
              <w:rPr>
                <w:webHidden/>
              </w:rPr>
              <w:t>2-9</w:t>
            </w:r>
            <w:r>
              <w:rPr>
                <w:webHidden/>
              </w:rPr>
              <w:fldChar w:fldCharType="end"/>
            </w:r>
          </w:hyperlink>
        </w:p>
        <w:p w:rsidR="006F70F8" w:rsidRDefault="006F70F8">
          <w:pPr>
            <w:pStyle w:val="TOC3"/>
            <w:rPr>
              <w:rFonts w:asciiTheme="minorHAnsi" w:eastAsiaTheme="minorEastAsia" w:hAnsiTheme="minorHAnsi"/>
              <w:lang w:eastAsia="en-AU"/>
            </w:rPr>
          </w:pPr>
          <w:hyperlink w:anchor="_Toc451526813" w:history="1">
            <w:r w:rsidRPr="00D6484A">
              <w:rPr>
                <w:rStyle w:val="Hyperlink"/>
              </w:rPr>
              <w:t>Conforming capital expenditure in the 2011–16 access arrangement period</w:t>
            </w:r>
            <w:r>
              <w:rPr>
                <w:webHidden/>
              </w:rPr>
              <w:tab/>
            </w:r>
            <w:r>
              <w:rPr>
                <w:webHidden/>
              </w:rPr>
              <w:fldChar w:fldCharType="begin"/>
            </w:r>
            <w:r>
              <w:rPr>
                <w:webHidden/>
              </w:rPr>
              <w:instrText xml:space="preserve"> PAGEREF _Toc451526813 \h </w:instrText>
            </w:r>
            <w:r>
              <w:rPr>
                <w:webHidden/>
              </w:rPr>
            </w:r>
            <w:r>
              <w:rPr>
                <w:webHidden/>
              </w:rPr>
              <w:fldChar w:fldCharType="separate"/>
            </w:r>
            <w:r>
              <w:rPr>
                <w:webHidden/>
              </w:rPr>
              <w:t>2-10</w:t>
            </w:r>
            <w:r>
              <w:rPr>
                <w:webHidden/>
              </w:rPr>
              <w:fldChar w:fldCharType="end"/>
            </w:r>
          </w:hyperlink>
        </w:p>
        <w:p w:rsidR="006F70F8" w:rsidRDefault="006F70F8">
          <w:pPr>
            <w:pStyle w:val="TOC3"/>
            <w:rPr>
              <w:rFonts w:asciiTheme="minorHAnsi" w:eastAsiaTheme="minorEastAsia" w:hAnsiTheme="minorHAnsi"/>
              <w:lang w:eastAsia="en-AU"/>
            </w:rPr>
          </w:pPr>
          <w:hyperlink w:anchor="_Toc451526814" w:history="1">
            <w:r w:rsidRPr="00D6484A">
              <w:rPr>
                <w:rStyle w:val="Hyperlink"/>
              </w:rPr>
              <w:t>2.4.2</w:t>
            </w:r>
            <w:r>
              <w:rPr>
                <w:rFonts w:asciiTheme="minorHAnsi" w:eastAsiaTheme="minorEastAsia" w:hAnsiTheme="minorHAnsi"/>
                <w:lang w:eastAsia="en-AU"/>
              </w:rPr>
              <w:tab/>
            </w:r>
            <w:r w:rsidRPr="00D6484A">
              <w:rPr>
                <w:rStyle w:val="Hyperlink"/>
              </w:rPr>
              <w:t>Projected capital base during the 2016–21 access arrangement period</w:t>
            </w:r>
            <w:r>
              <w:rPr>
                <w:webHidden/>
              </w:rPr>
              <w:tab/>
            </w:r>
            <w:r>
              <w:rPr>
                <w:webHidden/>
              </w:rPr>
              <w:fldChar w:fldCharType="begin"/>
            </w:r>
            <w:r>
              <w:rPr>
                <w:webHidden/>
              </w:rPr>
              <w:instrText xml:space="preserve"> PAGEREF _Toc451526814 \h </w:instrText>
            </w:r>
            <w:r>
              <w:rPr>
                <w:webHidden/>
              </w:rPr>
            </w:r>
            <w:r>
              <w:rPr>
                <w:webHidden/>
              </w:rPr>
              <w:fldChar w:fldCharType="separate"/>
            </w:r>
            <w:r>
              <w:rPr>
                <w:webHidden/>
              </w:rPr>
              <w:t>2-10</w:t>
            </w:r>
            <w:r>
              <w:rPr>
                <w:webHidden/>
              </w:rPr>
              <w:fldChar w:fldCharType="end"/>
            </w:r>
          </w:hyperlink>
        </w:p>
        <w:p w:rsidR="006F70F8" w:rsidRDefault="006F70F8">
          <w:pPr>
            <w:pStyle w:val="TOC3"/>
            <w:rPr>
              <w:rFonts w:asciiTheme="minorHAnsi" w:eastAsiaTheme="minorEastAsia" w:hAnsiTheme="minorHAnsi"/>
              <w:lang w:eastAsia="en-AU"/>
            </w:rPr>
          </w:pPr>
          <w:hyperlink w:anchor="_Toc451526815" w:history="1">
            <w:r w:rsidRPr="00D6484A">
              <w:rPr>
                <w:rStyle w:val="Hyperlink"/>
              </w:rPr>
              <w:t>2.4.3</w:t>
            </w:r>
            <w:r>
              <w:rPr>
                <w:rFonts w:asciiTheme="minorHAnsi" w:eastAsiaTheme="minorEastAsia" w:hAnsiTheme="minorHAnsi"/>
                <w:lang w:eastAsia="en-AU"/>
              </w:rPr>
              <w:tab/>
            </w:r>
            <w:r w:rsidRPr="00D6484A">
              <w:rPr>
                <w:rStyle w:val="Hyperlink"/>
              </w:rPr>
              <w:t>Capital base at the commencement of the 2021–26 access arrangement period</w:t>
            </w:r>
            <w:r>
              <w:rPr>
                <w:webHidden/>
              </w:rPr>
              <w:tab/>
            </w:r>
            <w:r>
              <w:rPr>
                <w:webHidden/>
              </w:rPr>
              <w:fldChar w:fldCharType="begin"/>
            </w:r>
            <w:r>
              <w:rPr>
                <w:webHidden/>
              </w:rPr>
              <w:instrText xml:space="preserve"> PAGEREF _Toc451526815 \h </w:instrText>
            </w:r>
            <w:r>
              <w:rPr>
                <w:webHidden/>
              </w:rPr>
            </w:r>
            <w:r>
              <w:rPr>
                <w:webHidden/>
              </w:rPr>
              <w:fldChar w:fldCharType="separate"/>
            </w:r>
            <w:r>
              <w:rPr>
                <w:webHidden/>
              </w:rPr>
              <w:t>2-11</w:t>
            </w:r>
            <w:r>
              <w:rPr>
                <w:webHidden/>
              </w:rPr>
              <w:fldChar w:fldCharType="end"/>
            </w:r>
          </w:hyperlink>
        </w:p>
        <w:p w:rsidR="00B25A59" w:rsidRDefault="00B25A59" w:rsidP="00B25A59">
          <w:pPr>
            <w:pStyle w:val="TOC1"/>
            <w:numPr>
              <w:ilvl w:val="0"/>
              <w:numId w:val="23"/>
            </w:numPr>
          </w:pPr>
          <w:r w:rsidRPr="00B25A59">
            <w:fldChar w:fldCharType="end"/>
          </w:r>
        </w:p>
      </w:sdtContent>
    </w:sdt>
    <w:p w:rsidR="005D7BA2" w:rsidRDefault="005D7BA2">
      <w:pPr>
        <w:spacing w:line="240" w:lineRule="auto"/>
      </w:pPr>
    </w:p>
    <w:p w:rsidR="00DE563D" w:rsidRDefault="00DE563D">
      <w:pPr>
        <w:spacing w:line="240" w:lineRule="auto"/>
      </w:pPr>
      <w:bookmarkStart w:id="7" w:name="_GoBack"/>
      <w:bookmarkEnd w:id="7"/>
    </w:p>
    <w:p w:rsidR="00E7494F" w:rsidRDefault="00DE563D" w:rsidP="00DE772C">
      <w:pPr>
        <w:pStyle w:val="UnnumberedHeading"/>
        <w:numPr>
          <w:ilvl w:val="0"/>
          <w:numId w:val="23"/>
        </w:numPr>
      </w:pPr>
      <w:bookmarkStart w:id="8" w:name="_Toc404700925"/>
      <w:bookmarkStart w:id="9" w:name="_Toc451526806"/>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C30468" w:rsidTr="00C304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Shortened form</w:t>
            </w:r>
          </w:p>
        </w:tc>
        <w:tc>
          <w:tcPr>
            <w:tcW w:w="5041" w:type="dxa"/>
            <w:tcBorders>
              <w:top w:val="nil"/>
              <w:left w:val="nil"/>
              <w:bottom w:val="nil"/>
              <w:right w:val="nil"/>
            </w:tcBorders>
            <w:hideMark/>
          </w:tcPr>
          <w:p w:rsidR="00C30468" w:rsidRDefault="00C30468" w:rsidP="00C30468">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AA</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Access Arrangement</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AAI</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AER</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AGN</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Australian Gas Networks</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ATO</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Australian Tax Office</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capex</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CAPM</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CCP</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CESS</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CPI</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CSIS</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Customer Service Incentive Scheme</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DRP</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EBSS</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ECM</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ERP</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Expenditure Guideline</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gamma</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value of imputation credits</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GSL</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Guaranteed Service Level</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MRP</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NECF</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NERL</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National Energy Retail Law</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NERR</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NGL</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NGO</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NGR</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NIS</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Network Incentive Scheme</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NPV</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net present value</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opex</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PFP</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partial factor productivity</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PPI</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PTRM</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RBA</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RFM</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RIN</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proofErr w:type="spellStart"/>
            <w:r>
              <w:t>RoLR</w:t>
            </w:r>
            <w:proofErr w:type="spellEnd"/>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retailer of last resort</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RPP</w:t>
            </w:r>
          </w:p>
        </w:tc>
        <w:tc>
          <w:tcPr>
            <w:tcW w:w="5041" w:type="dxa"/>
            <w:tcBorders>
              <w:top w:val="nil"/>
              <w:left w:val="nil"/>
              <w:bottom w:val="nil"/>
              <w:right w:val="nil"/>
            </w:tcBorders>
            <w:hideMark/>
          </w:tcPr>
          <w:p w:rsidR="00C30468" w:rsidRDefault="00C30468" w:rsidP="00C30468">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SLCAPM</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STPIS</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TAB</w:t>
            </w:r>
          </w:p>
        </w:tc>
        <w:tc>
          <w:tcPr>
            <w:tcW w:w="5041" w:type="dxa"/>
            <w:tcBorders>
              <w:top w:val="nil"/>
              <w:left w:val="nil"/>
              <w:bottom w:val="nil"/>
              <w:right w:val="nil"/>
            </w:tcBorders>
            <w:hideMark/>
          </w:tcPr>
          <w:p w:rsidR="00C30468" w:rsidRDefault="00C30468">
            <w:pPr>
              <w:cnfStyle w:val="000000000000" w:firstRow="0" w:lastRow="0" w:firstColumn="0" w:lastColumn="0" w:oddVBand="0" w:evenVBand="0" w:oddHBand="0" w:evenHBand="0" w:firstRowFirstColumn="0" w:firstRowLastColumn="0" w:lastRowFirstColumn="0" w:lastRowLastColumn="0"/>
            </w:pPr>
            <w:r>
              <w:t>tax asset base</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UAFG</w:t>
            </w:r>
          </w:p>
        </w:tc>
        <w:tc>
          <w:tcPr>
            <w:tcW w:w="5041" w:type="dxa"/>
            <w:tcBorders>
              <w:top w:val="nil"/>
              <w:left w:val="nil"/>
              <w:bottom w:val="nil"/>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unaccounted for gas</w:t>
            </w:r>
          </w:p>
        </w:tc>
      </w:tr>
      <w:tr w:rsidR="00C30468" w:rsidTr="00C3046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30468" w:rsidRDefault="00C30468" w:rsidP="00C30468">
            <w:pPr>
              <w:numPr>
                <w:ilvl w:val="0"/>
                <w:numId w:val="28"/>
              </w:numPr>
            </w:pPr>
            <w:r>
              <w:t>WACC</w:t>
            </w:r>
          </w:p>
        </w:tc>
        <w:tc>
          <w:tcPr>
            <w:tcW w:w="5041" w:type="dxa"/>
            <w:tcBorders>
              <w:top w:val="nil"/>
              <w:left w:val="nil"/>
              <w:bottom w:val="nil"/>
              <w:right w:val="nil"/>
            </w:tcBorders>
            <w:hideMark/>
          </w:tcPr>
          <w:p w:rsidR="00C30468" w:rsidRDefault="00C30468" w:rsidP="00C30468">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C30468" w:rsidTr="00C30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C30468" w:rsidRDefault="00C30468" w:rsidP="00C30468">
            <w:pPr>
              <w:numPr>
                <w:ilvl w:val="0"/>
                <w:numId w:val="28"/>
              </w:numPr>
            </w:pPr>
            <w:r>
              <w:t>WPI</w:t>
            </w:r>
          </w:p>
        </w:tc>
        <w:tc>
          <w:tcPr>
            <w:tcW w:w="5041" w:type="dxa"/>
            <w:tcBorders>
              <w:top w:val="nil"/>
              <w:left w:val="nil"/>
              <w:bottom w:val="single" w:sz="4" w:space="0" w:color="365F91"/>
              <w:right w:val="nil"/>
            </w:tcBorders>
            <w:hideMark/>
          </w:tcPr>
          <w:p w:rsidR="00C30468" w:rsidRDefault="00C30468">
            <w:pPr>
              <w:cnfStyle w:val="000000010000" w:firstRow="0" w:lastRow="0" w:firstColumn="0" w:lastColumn="0" w:oddVBand="0" w:evenVBand="0" w:oddHBand="0" w:evenHBand="1" w:firstRowFirstColumn="0" w:firstRowLastColumn="0" w:lastRowFirstColumn="0" w:lastRowLastColumn="0"/>
            </w:pPr>
            <w:r>
              <w:t>Wage Price Index</w:t>
            </w:r>
          </w:p>
        </w:tc>
      </w:tr>
    </w:tbl>
    <w:p w:rsidR="00C30468" w:rsidRPr="00C30468" w:rsidRDefault="00C30468" w:rsidP="00C30468"/>
    <w:p w:rsidR="009656AB" w:rsidRDefault="009656AB" w:rsidP="009656AB">
      <w:pPr>
        <w:pStyle w:val="Heading1"/>
      </w:pPr>
      <w:bookmarkStart w:id="10" w:name="_Toc436048916"/>
      <w:bookmarkStart w:id="11" w:name="_Toc451526807"/>
      <w:r>
        <w:t>Capital base</w:t>
      </w:r>
      <w:bookmarkEnd w:id="10"/>
      <w:bookmarkEnd w:id="11"/>
    </w:p>
    <w:p w:rsidR="009656AB" w:rsidRPr="004F0EB4" w:rsidRDefault="009656AB" w:rsidP="004D71E2">
      <w:pPr>
        <w:rPr>
          <w:rStyle w:val="AERbody"/>
          <w:rFonts w:eastAsia="Calibri" w:cs="Times New Roman"/>
          <w:lang w:eastAsia="en-AU"/>
        </w:rPr>
      </w:pPr>
      <w:r w:rsidRPr="004F0EB4">
        <w:rPr>
          <w:rStyle w:val="AERbody"/>
        </w:rPr>
        <w:t>The capital base roll forward accounts for the value of AGN's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sidRPr="00AC6704">
        <w:rPr>
          <w:rStyle w:val="EndnoteReference"/>
        </w:rPr>
        <w:footnoteReference w:id="1"/>
      </w:r>
      <w:r w:rsidRPr="004F0EB4">
        <w:rPr>
          <w:rStyle w:val="AERbody"/>
        </w:rPr>
        <w:t xml:space="preserve"> 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9656AB" w:rsidRDefault="009656AB">
      <w:r w:rsidRPr="004F0EB4">
        <w:rPr>
          <w:rStyle w:val="AERbody"/>
        </w:rPr>
        <w:t xml:space="preserve">We are required to make a decision on AGN's opening capital base as at 1 July 2016 for the 2016–21 access arrangement </w:t>
      </w:r>
      <w:proofErr w:type="gramStart"/>
      <w:r w:rsidRPr="004F0EB4">
        <w:rPr>
          <w:rStyle w:val="AERbody"/>
        </w:rPr>
        <w:t>period</w:t>
      </w:r>
      <w:proofErr w:type="gramEnd"/>
      <w:r w:rsidRPr="004F0EB4">
        <w:rPr>
          <w:rStyle w:val="AERbody"/>
        </w:rPr>
        <w:t xml:space="preserve">. We are also required to make a decision on AGN's projected capital base for the 2016–21 access arrangement </w:t>
      </w:r>
      <w:proofErr w:type="gramStart"/>
      <w:r w:rsidRPr="004F0EB4">
        <w:rPr>
          <w:rStyle w:val="AERbody"/>
        </w:rPr>
        <w:t>period</w:t>
      </w:r>
      <w:proofErr w:type="gramEnd"/>
      <w:r w:rsidRPr="004F0EB4">
        <w:rPr>
          <w:rStyle w:val="AERbody"/>
        </w:rPr>
        <w:t xml:space="preserve">. This attachment presents our </w:t>
      </w:r>
      <w:r w:rsidR="00702F59">
        <w:rPr>
          <w:rStyle w:val="AERbody"/>
        </w:rPr>
        <w:t>final</w:t>
      </w:r>
      <w:r w:rsidRPr="004F0EB4">
        <w:rPr>
          <w:rStyle w:val="AERbody"/>
        </w:rPr>
        <w:t xml:space="preserve"> decision on these matters.</w:t>
      </w:r>
    </w:p>
    <w:p w:rsidR="009656AB" w:rsidRDefault="00702F59" w:rsidP="009656AB">
      <w:pPr>
        <w:pStyle w:val="Heading2"/>
      </w:pPr>
      <w:bookmarkStart w:id="12" w:name="_Toc408404320"/>
      <w:bookmarkStart w:id="13" w:name="_Toc436048917"/>
      <w:bookmarkStart w:id="14" w:name="_Toc451526808"/>
      <w:r>
        <w:t>Final</w:t>
      </w:r>
      <w:r w:rsidR="009656AB" w:rsidRPr="0074565D">
        <w:t xml:space="preserve"> decision</w:t>
      </w:r>
      <w:bookmarkEnd w:id="12"/>
      <w:bookmarkEnd w:id="13"/>
      <w:bookmarkEnd w:id="14"/>
    </w:p>
    <w:p w:rsidR="00473D89" w:rsidRDefault="00473D89" w:rsidP="009656AB">
      <w:r>
        <w:t>We</w:t>
      </w:r>
      <w:r w:rsidR="002256AF">
        <w:t xml:space="preserve"> </w:t>
      </w:r>
      <w:r w:rsidR="002256AF" w:rsidRPr="009656AB">
        <w:t xml:space="preserve">determine an opening capital base of </w:t>
      </w:r>
      <w:r w:rsidR="002256AF" w:rsidRPr="009656AB">
        <w:rPr>
          <w:rStyle w:val="AERbody"/>
        </w:rPr>
        <w:t>$</w:t>
      </w:r>
      <w:r w:rsidR="00E11CCA">
        <w:rPr>
          <w:rStyle w:val="AERbody"/>
        </w:rPr>
        <w:t>1385.6</w:t>
      </w:r>
      <w:r w:rsidR="002256AF" w:rsidRPr="009656AB">
        <w:rPr>
          <w:rStyle w:val="AERbody"/>
        </w:rPr>
        <w:t xml:space="preserve"> million</w:t>
      </w:r>
      <w:r w:rsidR="002256AF" w:rsidRPr="009656AB">
        <w:t xml:space="preserve"> ($nominal) as at 1 July 2016</w:t>
      </w:r>
      <w:r>
        <w:t xml:space="preserve"> for AGN</w:t>
      </w:r>
      <w:r w:rsidR="00C86F7F">
        <w:t>. This value</w:t>
      </w:r>
      <w:r w:rsidR="002256AF" w:rsidRPr="009656AB">
        <w:t xml:space="preserve"> is $</w:t>
      </w:r>
      <w:r w:rsidR="00E11CCA">
        <w:t>15.7</w:t>
      </w:r>
      <w:r w:rsidR="002256AF" w:rsidRPr="009656AB">
        <w:t xml:space="preserve"> million </w:t>
      </w:r>
      <w:r w:rsidR="002256AF">
        <w:t>(or 1.</w:t>
      </w:r>
      <w:r w:rsidR="00197BDC">
        <w:t>1</w:t>
      </w:r>
      <w:r w:rsidR="002256AF">
        <w:t xml:space="preserve"> per cent) l</w:t>
      </w:r>
      <w:r w:rsidR="00C86F7F">
        <w:t>ower</w:t>
      </w:r>
      <w:r>
        <w:t xml:space="preserve"> than AGN's revised propos</w:t>
      </w:r>
      <w:r w:rsidR="00C86F7F">
        <w:t>ed v</w:t>
      </w:r>
      <w:r>
        <w:t>al</w:t>
      </w:r>
      <w:r w:rsidR="00C86F7F">
        <w:t>ue of $</w:t>
      </w:r>
      <w:r w:rsidR="00E70CC8">
        <w:t xml:space="preserve">1401.3 </w:t>
      </w:r>
      <w:r w:rsidR="00C86F7F">
        <w:t>million</w:t>
      </w:r>
      <w:r w:rsidR="009656AB" w:rsidRPr="009656AB">
        <w:t>. This is because</w:t>
      </w:r>
      <w:r>
        <w:t xml:space="preserve"> we have updated the capital base roll forward for the recently available 2015–16 actual inflation input</w:t>
      </w:r>
      <w:r w:rsidR="00AC6704">
        <w:t xml:space="preserve"> and </w:t>
      </w:r>
      <w:r w:rsidR="00025BFA">
        <w:t>the</w:t>
      </w:r>
      <w:r w:rsidR="00AC6704">
        <w:t xml:space="preserve"> conforming capex for</w:t>
      </w:r>
      <w:r w:rsidR="00F33735">
        <w:t xml:space="preserve"> </w:t>
      </w:r>
      <w:r w:rsidR="004806B9">
        <w:t>2013–14, 2014–15 and 2015–16</w:t>
      </w:r>
      <w:r>
        <w:t>.</w:t>
      </w:r>
      <w:r w:rsidR="009656AB" w:rsidRPr="009656AB">
        <w:t xml:space="preserve"> </w:t>
      </w:r>
    </w:p>
    <w:p w:rsidR="009656AB" w:rsidRPr="009656AB" w:rsidRDefault="002256AF" w:rsidP="009656AB">
      <w:r>
        <w:t>We determine a closing capital base of $</w:t>
      </w:r>
      <w:r w:rsidR="00E11CCA">
        <w:t>19</w:t>
      </w:r>
      <w:r w:rsidR="00197BDC">
        <w:t>01</w:t>
      </w:r>
      <w:r w:rsidR="00E11CCA">
        <w:t>.</w:t>
      </w:r>
      <w:r w:rsidR="00197BDC">
        <w:t>9</w:t>
      </w:r>
      <w:r>
        <w:t xml:space="preserve"> million ($nominal) as at 30 June 2021. This is $</w:t>
      </w:r>
      <w:r w:rsidR="00197BDC">
        <w:t>78.9</w:t>
      </w:r>
      <w:r>
        <w:t xml:space="preserve"> million (or </w:t>
      </w:r>
      <w:r w:rsidR="00197BDC">
        <w:t>4.0</w:t>
      </w:r>
      <w:r>
        <w:t xml:space="preserve"> per cent) lower than AGN's revised proposal of $</w:t>
      </w:r>
      <w:r w:rsidR="00E70CC8">
        <w:t xml:space="preserve">1980.8 </w:t>
      </w:r>
      <w:r>
        <w:t xml:space="preserve">million. Our final decision on the closing capital base reflects our adjustments to </w:t>
      </w:r>
      <w:r w:rsidR="00025BFA">
        <w:t xml:space="preserve">the </w:t>
      </w:r>
      <w:r w:rsidR="00A54CC7">
        <w:t xml:space="preserve">revised </w:t>
      </w:r>
      <w:r w:rsidR="00025BFA">
        <w:t xml:space="preserve">opening capital base as at 1 July 2016 (section </w:t>
      </w:r>
      <w:r w:rsidR="00A54CC7">
        <w:fldChar w:fldCharType="begin"/>
      </w:r>
      <w:r w:rsidR="00A54CC7">
        <w:instrText xml:space="preserve"> REF _Ref446416187 \r \h </w:instrText>
      </w:r>
      <w:r w:rsidR="00A54CC7">
        <w:fldChar w:fldCharType="separate"/>
      </w:r>
      <w:r w:rsidR="00A54CC7">
        <w:t>2.4.1</w:t>
      </w:r>
      <w:r w:rsidR="00A54CC7">
        <w:fldChar w:fldCharType="end"/>
      </w:r>
      <w:r w:rsidR="00025BFA">
        <w:t>)</w:t>
      </w:r>
      <w:r>
        <w:t xml:space="preserve">, </w:t>
      </w:r>
      <w:r w:rsidR="00A54CC7">
        <w:t xml:space="preserve">forecast inflation (attachment 3), forecast depreciation (attachment 5) and </w:t>
      </w:r>
      <w:r w:rsidR="00025BFA">
        <w:t xml:space="preserve">forecast </w:t>
      </w:r>
      <w:r w:rsidR="00A54CC7">
        <w:t xml:space="preserve">net </w:t>
      </w:r>
      <w:r w:rsidR="00025BFA">
        <w:t xml:space="preserve">capex (attachment </w:t>
      </w:r>
      <w:r w:rsidR="00A54CC7">
        <w:t>6</w:t>
      </w:r>
      <w:r w:rsidR="00025BFA">
        <w:t>)</w:t>
      </w:r>
      <w:r w:rsidR="00A54CC7">
        <w:t>.</w:t>
      </w:r>
    </w:p>
    <w:p w:rsidR="00E479CF" w:rsidRDefault="009656AB" w:rsidP="009656AB">
      <w:r w:rsidRPr="004F0EB4">
        <w:fldChar w:fldCharType="begin"/>
      </w:r>
      <w:r w:rsidRPr="004F0EB4">
        <w:instrText xml:space="preserve"> REF _Ref404157003 \h </w:instrText>
      </w:r>
      <w:r>
        <w:instrText xml:space="preserve"> \* MERGEFORMAT </w:instrText>
      </w:r>
      <w:r w:rsidRPr="004F0EB4">
        <w:fldChar w:fldCharType="separate"/>
      </w:r>
      <w:r w:rsidRPr="009656AB">
        <w:t>Table</w:t>
      </w:r>
      <w:r>
        <w:t xml:space="preserve"> </w:t>
      </w:r>
      <w:r w:rsidRPr="009656AB">
        <w:t>2</w:t>
      </w:r>
      <w:r>
        <w:t>.</w:t>
      </w:r>
      <w:r w:rsidRPr="009656AB">
        <w:t>1</w:t>
      </w:r>
      <w:r w:rsidRPr="004F0EB4">
        <w:fldChar w:fldCharType="end"/>
      </w:r>
      <w:r w:rsidRPr="004F0EB4">
        <w:t xml:space="preserve"> summarises our </w:t>
      </w:r>
      <w:r w:rsidR="00702F59">
        <w:t>final</w:t>
      </w:r>
      <w:r w:rsidRPr="004F0EB4">
        <w:t xml:space="preserve"> decision on the roll forward of AGN's capital base during the 2011–16 access arrangement period. </w:t>
      </w:r>
    </w:p>
    <w:p w:rsidR="00B5468B" w:rsidRPr="00B5468B" w:rsidRDefault="00B5468B" w:rsidP="00B5468B">
      <w:r w:rsidRPr="00B5468B">
        <w:t xml:space="preserve">We have revised the access arrangement having regard to our reasons for refusing to approve </w:t>
      </w:r>
      <w:r>
        <w:t>AGN</w:t>
      </w:r>
      <w:r w:rsidRPr="00B5468B">
        <w:t xml:space="preserve">'s proposal and the further matters identified in the NGR section 64(2). Our revisions are reflected in the Approved </w:t>
      </w:r>
      <w:r w:rsidRPr="00F06F9C">
        <w:rPr>
          <w:rStyle w:val="AERtextitalic"/>
        </w:rPr>
        <w:t>Access Arrangement for Australian Gas Networks' South Australian distribution network for 2016–21</w:t>
      </w:r>
      <w:r w:rsidRPr="00B5468B">
        <w:t xml:space="preserve">, which gives effect to this decision. </w:t>
      </w:r>
    </w:p>
    <w:p w:rsidR="009656AB" w:rsidRPr="009656AB" w:rsidRDefault="009656AB" w:rsidP="009656AB">
      <w:pPr>
        <w:pStyle w:val="Caption"/>
      </w:pPr>
      <w:bookmarkStart w:id="15" w:name="_Ref404157003"/>
      <w:bookmarkStart w:id="16" w:name="_Ref328756976"/>
      <w:proofErr w:type="gramStart"/>
      <w:r>
        <w:t xml:space="preserve">Table </w:t>
      </w:r>
      <w:proofErr w:type="gramEnd"/>
      <w:r w:rsidR="00C30468">
        <w:fldChar w:fldCharType="begin"/>
      </w:r>
      <w:r w:rsidR="00C30468">
        <w:instrText xml:space="preserve"> STYLEREF 1 \s </w:instrText>
      </w:r>
      <w:r w:rsidR="00C30468">
        <w:fldChar w:fldCharType="separate"/>
      </w:r>
      <w:r w:rsidRPr="009656AB">
        <w:t>2</w:t>
      </w:r>
      <w:r w:rsidR="00C30468">
        <w:fldChar w:fldCharType="end"/>
      </w:r>
      <w:proofErr w:type="gramStart"/>
      <w:r w:rsidRPr="009656AB">
        <w:t>.</w:t>
      </w:r>
      <w:proofErr w:type="gramEnd"/>
      <w:r w:rsidR="00933BD8">
        <w:fldChar w:fldCharType="begin"/>
      </w:r>
      <w:r w:rsidR="00933BD8">
        <w:instrText xml:space="preserve"> SEQ Table \* ARABIC \s 1 </w:instrText>
      </w:r>
      <w:r w:rsidR="00933BD8">
        <w:fldChar w:fldCharType="separate"/>
      </w:r>
      <w:r w:rsidRPr="009656AB">
        <w:t>1</w:t>
      </w:r>
      <w:r w:rsidR="00933BD8">
        <w:fldChar w:fldCharType="end"/>
      </w:r>
      <w:bookmarkEnd w:id="15"/>
      <w:r w:rsidRPr="009656AB">
        <w:tab/>
        <w:t xml:space="preserve">AER’s </w:t>
      </w:r>
      <w:r w:rsidR="00702F59">
        <w:t>final</w:t>
      </w:r>
      <w:r w:rsidRPr="009656AB">
        <w:t xml:space="preserve"> decision on AGN’s capital base roll forward for the 2011–16 access arrangement period ($million, nominal)</w:t>
      </w:r>
    </w:p>
    <w:tbl>
      <w:tblPr>
        <w:tblStyle w:val="AERtable-numbers"/>
        <w:tblW w:w="8743" w:type="dxa"/>
        <w:tblLayout w:type="fixed"/>
        <w:tblLook w:val="04A0" w:firstRow="1" w:lastRow="0" w:firstColumn="1" w:lastColumn="0" w:noHBand="0" w:noVBand="1"/>
      </w:tblPr>
      <w:tblGrid>
        <w:gridCol w:w="3652"/>
        <w:gridCol w:w="811"/>
        <w:gridCol w:w="207"/>
        <w:gridCol w:w="863"/>
        <w:gridCol w:w="155"/>
        <w:gridCol w:w="915"/>
        <w:gridCol w:w="103"/>
        <w:gridCol w:w="967"/>
        <w:gridCol w:w="51"/>
        <w:gridCol w:w="1019"/>
      </w:tblGrid>
      <w:tr w:rsidR="009656AB" w:rsidRPr="00AC15AE" w:rsidTr="00E773D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652" w:type="dxa"/>
            <w:noWrap/>
          </w:tcPr>
          <w:p w:rsidR="009656AB" w:rsidRPr="00AC15AE" w:rsidRDefault="009656AB" w:rsidP="00AC15AE"/>
        </w:tc>
        <w:tc>
          <w:tcPr>
            <w:tcW w:w="1018" w:type="dxa"/>
            <w:gridSpan w:val="2"/>
            <w:noWrap/>
            <w:hideMark/>
          </w:tcPr>
          <w:p w:rsidR="009656AB" w:rsidRPr="00AC15AE" w:rsidRDefault="009656AB" w:rsidP="00AC15AE">
            <w:pPr>
              <w:cnfStyle w:val="100000000000" w:firstRow="1" w:lastRow="0" w:firstColumn="0" w:lastColumn="0" w:oddVBand="0" w:evenVBand="0" w:oddHBand="0" w:evenHBand="0" w:firstRowFirstColumn="0" w:firstRowLastColumn="0" w:lastRowFirstColumn="0" w:lastRowLastColumn="0"/>
            </w:pPr>
            <w:r w:rsidRPr="00AC15AE">
              <w:t>2011–12</w:t>
            </w:r>
          </w:p>
        </w:tc>
        <w:tc>
          <w:tcPr>
            <w:tcW w:w="1018" w:type="dxa"/>
            <w:gridSpan w:val="2"/>
            <w:noWrap/>
            <w:hideMark/>
          </w:tcPr>
          <w:p w:rsidR="009656AB" w:rsidRPr="00AC15AE" w:rsidRDefault="009656AB" w:rsidP="00AC15AE">
            <w:pPr>
              <w:cnfStyle w:val="100000000000" w:firstRow="1" w:lastRow="0" w:firstColumn="0" w:lastColumn="0" w:oddVBand="0" w:evenVBand="0" w:oddHBand="0" w:evenHBand="0" w:firstRowFirstColumn="0" w:firstRowLastColumn="0" w:lastRowFirstColumn="0" w:lastRowLastColumn="0"/>
            </w:pPr>
            <w:r w:rsidRPr="00AC15AE">
              <w:t>2012–13</w:t>
            </w:r>
          </w:p>
        </w:tc>
        <w:tc>
          <w:tcPr>
            <w:tcW w:w="1018" w:type="dxa"/>
            <w:gridSpan w:val="2"/>
            <w:noWrap/>
            <w:hideMark/>
          </w:tcPr>
          <w:p w:rsidR="009656AB" w:rsidRPr="00AC15AE" w:rsidRDefault="009656AB" w:rsidP="00AC15AE">
            <w:pPr>
              <w:cnfStyle w:val="100000000000" w:firstRow="1" w:lastRow="0" w:firstColumn="0" w:lastColumn="0" w:oddVBand="0" w:evenVBand="0" w:oddHBand="0" w:evenHBand="0" w:firstRowFirstColumn="0" w:firstRowLastColumn="0" w:lastRowFirstColumn="0" w:lastRowLastColumn="0"/>
            </w:pPr>
            <w:r w:rsidRPr="00AC15AE">
              <w:t>2013–14</w:t>
            </w:r>
          </w:p>
        </w:tc>
        <w:tc>
          <w:tcPr>
            <w:tcW w:w="1018" w:type="dxa"/>
            <w:gridSpan w:val="2"/>
            <w:noWrap/>
            <w:hideMark/>
          </w:tcPr>
          <w:p w:rsidR="009656AB" w:rsidRPr="00AC15AE" w:rsidRDefault="009656AB" w:rsidP="00AC15AE">
            <w:pPr>
              <w:cnfStyle w:val="100000000000" w:firstRow="1" w:lastRow="0" w:firstColumn="0" w:lastColumn="0" w:oddVBand="0" w:evenVBand="0" w:oddHBand="0" w:evenHBand="0" w:firstRowFirstColumn="0" w:firstRowLastColumn="0" w:lastRowFirstColumn="0" w:lastRowLastColumn="0"/>
            </w:pPr>
            <w:r w:rsidRPr="00AC15AE">
              <w:t>2014–15</w:t>
            </w:r>
          </w:p>
        </w:tc>
        <w:tc>
          <w:tcPr>
            <w:tcW w:w="1019" w:type="dxa"/>
            <w:noWrap/>
            <w:hideMark/>
          </w:tcPr>
          <w:p w:rsidR="009656AB" w:rsidRPr="00AC15AE" w:rsidRDefault="009656AB" w:rsidP="00AC15AE">
            <w:pPr>
              <w:cnfStyle w:val="100000000000" w:firstRow="1" w:lastRow="0" w:firstColumn="0" w:lastColumn="0" w:oddVBand="0" w:evenVBand="0" w:oddHBand="0" w:evenHBand="0" w:firstRowFirstColumn="0" w:firstRowLastColumn="0" w:lastRowFirstColumn="0" w:lastRowLastColumn="0"/>
            </w:pPr>
            <w:r w:rsidRPr="00AC15AE">
              <w:t>2015–16</w:t>
            </w:r>
          </w:p>
        </w:tc>
      </w:tr>
      <w:tr w:rsidR="009656AB" w:rsidRPr="00AC15AE" w:rsidTr="00E773DF">
        <w:trPr>
          <w:trHeight w:val="393"/>
        </w:trPr>
        <w:tc>
          <w:tcPr>
            <w:cnfStyle w:val="001000000000" w:firstRow="0" w:lastRow="0" w:firstColumn="1" w:lastColumn="0" w:oddVBand="0" w:evenVBand="0" w:oddHBand="0" w:evenHBand="0" w:firstRowFirstColumn="0" w:firstRowLastColumn="0" w:lastRowFirstColumn="0" w:lastRowLastColumn="0"/>
            <w:tcW w:w="3652" w:type="dxa"/>
            <w:noWrap/>
            <w:hideMark/>
          </w:tcPr>
          <w:p w:rsidR="009656AB" w:rsidRPr="00AC15AE" w:rsidRDefault="009656AB" w:rsidP="00AC15AE">
            <w:r w:rsidRPr="00AC15AE">
              <w:t>Opening capital base</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1023.9</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1070.7</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1140.0</w:t>
            </w:r>
          </w:p>
        </w:tc>
        <w:tc>
          <w:tcPr>
            <w:tcW w:w="1018" w:type="dxa"/>
            <w:gridSpan w:val="2"/>
            <w:noWrap/>
          </w:tcPr>
          <w:p w:rsidR="009656AB" w:rsidRPr="00AC15AE" w:rsidRDefault="00E11CCA" w:rsidP="00AC15AE">
            <w:pPr>
              <w:cnfStyle w:val="000000000000" w:firstRow="0" w:lastRow="0" w:firstColumn="0" w:lastColumn="0" w:oddVBand="0" w:evenVBand="0" w:oddHBand="0" w:evenHBand="0" w:firstRowFirstColumn="0" w:firstRowLastColumn="0" w:lastRowFirstColumn="0" w:lastRowLastColumn="0"/>
            </w:pPr>
            <w:r>
              <w:t>1230.8</w:t>
            </w:r>
          </w:p>
        </w:tc>
        <w:tc>
          <w:tcPr>
            <w:tcW w:w="1019" w:type="dxa"/>
            <w:noWrap/>
          </w:tcPr>
          <w:p w:rsidR="009656AB" w:rsidRPr="00AC15AE" w:rsidRDefault="00E11CCA" w:rsidP="00AC15AE">
            <w:pPr>
              <w:cnfStyle w:val="000000000000" w:firstRow="0" w:lastRow="0" w:firstColumn="0" w:lastColumn="0" w:oddVBand="0" w:evenVBand="0" w:oddHBand="0" w:evenHBand="0" w:firstRowFirstColumn="0" w:firstRowLastColumn="0" w:lastRowFirstColumn="0" w:lastRowLastColumn="0"/>
            </w:pPr>
            <w:r>
              <w:t>1303.7</w:t>
            </w:r>
          </w:p>
        </w:tc>
      </w:tr>
      <w:tr w:rsidR="009656AB" w:rsidRPr="00AC15AE" w:rsidTr="00E773DF">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652" w:type="dxa"/>
            <w:noWrap/>
            <w:hideMark/>
          </w:tcPr>
          <w:p w:rsidR="009656AB" w:rsidRPr="00AC15AE" w:rsidRDefault="009656AB" w:rsidP="00AC15AE">
            <w:r w:rsidRPr="00AC15AE">
              <w:t>Net capex</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58.0</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83.9</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102.9</w:t>
            </w:r>
          </w:p>
        </w:tc>
        <w:tc>
          <w:tcPr>
            <w:tcW w:w="1018" w:type="dxa"/>
            <w:gridSpan w:val="2"/>
            <w:noWrap/>
          </w:tcPr>
          <w:p w:rsidR="009656AB" w:rsidRPr="00AC15AE" w:rsidRDefault="00E11CCA" w:rsidP="00AC15AE">
            <w:pPr>
              <w:cnfStyle w:val="000000010000" w:firstRow="0" w:lastRow="0" w:firstColumn="0" w:lastColumn="0" w:oddVBand="0" w:evenVBand="0" w:oddHBand="0" w:evenHBand="1" w:firstRowFirstColumn="0" w:firstRowLastColumn="0" w:lastRowFirstColumn="0" w:lastRowLastColumn="0"/>
            </w:pPr>
            <w:r>
              <w:t>106.4</w:t>
            </w:r>
          </w:p>
        </w:tc>
        <w:tc>
          <w:tcPr>
            <w:tcW w:w="1019" w:type="dxa"/>
            <w:noWrap/>
          </w:tcPr>
          <w:p w:rsidR="009656AB" w:rsidRPr="00AC15AE" w:rsidRDefault="00E11CCA" w:rsidP="00AC15AE">
            <w:pPr>
              <w:cnfStyle w:val="000000010000" w:firstRow="0" w:lastRow="0" w:firstColumn="0" w:lastColumn="0" w:oddVBand="0" w:evenVBand="0" w:oddHBand="0" w:evenHBand="1" w:firstRowFirstColumn="0" w:firstRowLastColumn="0" w:lastRowFirstColumn="0" w:lastRowLastColumn="0"/>
            </w:pPr>
            <w:r>
              <w:t>123.4</w:t>
            </w:r>
          </w:p>
        </w:tc>
      </w:tr>
      <w:tr w:rsidR="009656AB" w:rsidRPr="00AC15AE" w:rsidTr="00E773DF">
        <w:trPr>
          <w:trHeight w:val="391"/>
        </w:trPr>
        <w:tc>
          <w:tcPr>
            <w:cnfStyle w:val="001000000000" w:firstRow="0" w:lastRow="0" w:firstColumn="1" w:lastColumn="0" w:oddVBand="0" w:evenVBand="0" w:oddHBand="0" w:evenHBand="0" w:firstRowFirstColumn="0" w:firstRowLastColumn="0" w:lastRowFirstColumn="0" w:lastRowLastColumn="0"/>
            <w:tcW w:w="3652" w:type="dxa"/>
            <w:noWrap/>
            <w:hideMark/>
          </w:tcPr>
          <w:p w:rsidR="009656AB" w:rsidRPr="00AC15AE" w:rsidRDefault="009656AB" w:rsidP="00AC15AE">
            <w:r w:rsidRPr="00AC15AE">
              <w:t>Indexation of capital base</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16.2</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26.8</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33.4</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16.3</w:t>
            </w:r>
          </w:p>
        </w:tc>
        <w:tc>
          <w:tcPr>
            <w:tcW w:w="1019" w:type="dxa"/>
            <w:noWrap/>
          </w:tcPr>
          <w:p w:rsidR="009656AB" w:rsidRPr="00AC15AE" w:rsidRDefault="00E11CCA" w:rsidP="00AC15AE">
            <w:pPr>
              <w:cnfStyle w:val="000000000000" w:firstRow="0" w:lastRow="0" w:firstColumn="0" w:lastColumn="0" w:oddVBand="0" w:evenVBand="0" w:oddHBand="0" w:evenHBand="0" w:firstRowFirstColumn="0" w:firstRowLastColumn="0" w:lastRowFirstColumn="0" w:lastRowLastColumn="0"/>
            </w:pPr>
            <w:r>
              <w:t>17.1</w:t>
            </w:r>
          </w:p>
        </w:tc>
      </w:tr>
      <w:tr w:rsidR="009656AB" w:rsidRPr="00AC15AE" w:rsidTr="00E773DF">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9656AB" w:rsidRPr="00AC15AE" w:rsidRDefault="009656AB" w:rsidP="00AC15AE">
            <w:r w:rsidRPr="00AC15AE">
              <w:t>Depreciation</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–27.5</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–41.4</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–45.4</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–49.9</w:t>
            </w:r>
          </w:p>
        </w:tc>
        <w:tc>
          <w:tcPr>
            <w:tcW w:w="1019" w:type="dxa"/>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–51.9</w:t>
            </w:r>
          </w:p>
        </w:tc>
      </w:tr>
      <w:tr w:rsidR="009656AB" w:rsidRPr="00AC15AE" w:rsidTr="00E773DF">
        <w:trPr>
          <w:trHeight w:val="429"/>
        </w:trPr>
        <w:tc>
          <w:tcPr>
            <w:cnfStyle w:val="001000000000" w:firstRow="0" w:lastRow="0" w:firstColumn="1" w:lastColumn="0" w:oddVBand="0" w:evenVBand="0" w:oddHBand="0" w:evenHBand="0" w:firstRowFirstColumn="0" w:firstRowLastColumn="0" w:lastRowFirstColumn="0" w:lastRowLastColumn="0"/>
            <w:tcW w:w="3652" w:type="dxa"/>
            <w:noWrap/>
            <w:hideMark/>
          </w:tcPr>
          <w:p w:rsidR="009656AB" w:rsidRPr="00AC15AE" w:rsidRDefault="009656AB" w:rsidP="00AC15AE">
            <w:r w:rsidRPr="00AC15AE">
              <w:t xml:space="preserve">Closing capital base </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1070.7</w:t>
            </w:r>
          </w:p>
        </w:tc>
        <w:tc>
          <w:tcPr>
            <w:tcW w:w="1018"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pPr>
            <w:r w:rsidRPr="00AC15AE">
              <w:t>1140.0</w:t>
            </w:r>
          </w:p>
        </w:tc>
        <w:tc>
          <w:tcPr>
            <w:tcW w:w="1018" w:type="dxa"/>
            <w:gridSpan w:val="2"/>
            <w:noWrap/>
          </w:tcPr>
          <w:p w:rsidR="009656AB" w:rsidRPr="00AC15AE" w:rsidRDefault="009656AB" w:rsidP="00197BDC">
            <w:pPr>
              <w:cnfStyle w:val="000000000000" w:firstRow="0" w:lastRow="0" w:firstColumn="0" w:lastColumn="0" w:oddVBand="0" w:evenVBand="0" w:oddHBand="0" w:evenHBand="0" w:firstRowFirstColumn="0" w:firstRowLastColumn="0" w:lastRowFirstColumn="0" w:lastRowLastColumn="0"/>
            </w:pPr>
            <w:r w:rsidRPr="00AC15AE">
              <w:t>1230.</w:t>
            </w:r>
            <w:r w:rsidR="00197BDC">
              <w:t>8</w:t>
            </w:r>
          </w:p>
        </w:tc>
        <w:tc>
          <w:tcPr>
            <w:tcW w:w="1018" w:type="dxa"/>
            <w:gridSpan w:val="2"/>
            <w:noWrap/>
          </w:tcPr>
          <w:p w:rsidR="009656AB" w:rsidRPr="00AC15AE" w:rsidRDefault="00E11CCA" w:rsidP="00AC15AE">
            <w:pPr>
              <w:cnfStyle w:val="000000000000" w:firstRow="0" w:lastRow="0" w:firstColumn="0" w:lastColumn="0" w:oddVBand="0" w:evenVBand="0" w:oddHBand="0" w:evenHBand="0" w:firstRowFirstColumn="0" w:firstRowLastColumn="0" w:lastRowFirstColumn="0" w:lastRowLastColumn="0"/>
            </w:pPr>
            <w:r>
              <w:t>1303.7</w:t>
            </w:r>
          </w:p>
        </w:tc>
        <w:tc>
          <w:tcPr>
            <w:tcW w:w="1019" w:type="dxa"/>
            <w:noWrap/>
          </w:tcPr>
          <w:p w:rsidR="009656AB" w:rsidRPr="00AC15AE" w:rsidRDefault="00E11CCA" w:rsidP="00AC15AE">
            <w:pPr>
              <w:cnfStyle w:val="000000000000" w:firstRow="0" w:lastRow="0" w:firstColumn="0" w:lastColumn="0" w:oddVBand="0" w:evenVBand="0" w:oddHBand="0" w:evenHBand="0" w:firstRowFirstColumn="0" w:firstRowLastColumn="0" w:lastRowFirstColumn="0" w:lastRowLastColumn="0"/>
            </w:pPr>
            <w:r>
              <w:t>1392.3</w:t>
            </w:r>
          </w:p>
        </w:tc>
      </w:tr>
      <w:tr w:rsidR="009656AB" w:rsidRPr="00AC15AE" w:rsidTr="00E773DF">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652" w:type="dxa"/>
            <w:noWrap/>
            <w:hideMark/>
          </w:tcPr>
          <w:p w:rsidR="009656AB" w:rsidRPr="00AC15AE" w:rsidRDefault="009656AB" w:rsidP="00AC15AE">
            <w:r w:rsidRPr="00AC15AE">
              <w:t>Adjustment for difference between estimated and actual capital expenditure in 2010–11</w:t>
            </w:r>
            <w:r w:rsidRPr="00C25DCD">
              <w:rPr>
                <w:rStyle w:val="AERsuperscript"/>
              </w:rPr>
              <w:t>a</w:t>
            </w: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p>
        </w:tc>
        <w:tc>
          <w:tcPr>
            <w:tcW w:w="1018" w:type="dxa"/>
            <w:gridSpan w:val="2"/>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p>
        </w:tc>
        <w:tc>
          <w:tcPr>
            <w:tcW w:w="1019" w:type="dxa"/>
            <w:noWrap/>
          </w:tcPr>
          <w:p w:rsidR="009656AB" w:rsidRPr="00AC15AE" w:rsidRDefault="009656AB" w:rsidP="00AC15AE">
            <w:pPr>
              <w:cnfStyle w:val="000000010000" w:firstRow="0" w:lastRow="0" w:firstColumn="0" w:lastColumn="0" w:oddVBand="0" w:evenVBand="0" w:oddHBand="0" w:evenHBand="1" w:firstRowFirstColumn="0" w:firstRowLastColumn="0" w:lastRowFirstColumn="0" w:lastRowLastColumn="0"/>
            </w:pPr>
            <w:r w:rsidRPr="00AC15AE">
              <w:t>–6.7</w:t>
            </w:r>
          </w:p>
        </w:tc>
      </w:tr>
      <w:tr w:rsidR="009656AB" w:rsidRPr="00AC15AE" w:rsidTr="00E773DF">
        <w:trPr>
          <w:trHeight w:val="303"/>
        </w:trPr>
        <w:tc>
          <w:tcPr>
            <w:cnfStyle w:val="001000000000" w:firstRow="0" w:lastRow="0" w:firstColumn="1" w:lastColumn="0" w:oddVBand="0" w:evenVBand="0" w:oddHBand="0" w:evenHBand="0" w:firstRowFirstColumn="0" w:firstRowLastColumn="0" w:lastRowFirstColumn="0" w:lastRowLastColumn="0"/>
            <w:tcW w:w="3652" w:type="dxa"/>
            <w:noWrap/>
            <w:hideMark/>
          </w:tcPr>
          <w:p w:rsidR="009656AB" w:rsidRPr="00AC15AE" w:rsidRDefault="009656AB" w:rsidP="00AC15AE">
            <w:pPr>
              <w:rPr>
                <w:rStyle w:val="Strong"/>
              </w:rPr>
            </w:pPr>
            <w:r w:rsidRPr="00AC15AE">
              <w:rPr>
                <w:rStyle w:val="Strong"/>
              </w:rPr>
              <w:t>Opening capital base at 1 July 2016</w:t>
            </w:r>
          </w:p>
        </w:tc>
        <w:tc>
          <w:tcPr>
            <w:tcW w:w="811" w:type="dxa"/>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rPr>
                <w:rStyle w:val="Strong"/>
              </w:rPr>
            </w:pPr>
            <w:r w:rsidRPr="00AC15AE">
              <w:rPr>
                <w:rStyle w:val="Strong"/>
              </w:rPr>
              <w:t> </w:t>
            </w:r>
          </w:p>
        </w:tc>
        <w:tc>
          <w:tcPr>
            <w:tcW w:w="1070"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rPr>
                <w:rStyle w:val="Strong"/>
              </w:rPr>
            </w:pPr>
            <w:r w:rsidRPr="00AC15AE">
              <w:rPr>
                <w:rStyle w:val="Strong"/>
              </w:rPr>
              <w:t> </w:t>
            </w:r>
          </w:p>
        </w:tc>
        <w:tc>
          <w:tcPr>
            <w:tcW w:w="1070"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rPr>
                <w:rStyle w:val="Strong"/>
              </w:rPr>
            </w:pPr>
            <w:r w:rsidRPr="00AC15AE">
              <w:rPr>
                <w:rStyle w:val="Strong"/>
              </w:rPr>
              <w:t> </w:t>
            </w:r>
          </w:p>
        </w:tc>
        <w:tc>
          <w:tcPr>
            <w:tcW w:w="1070" w:type="dxa"/>
            <w:gridSpan w:val="2"/>
            <w:noWrap/>
          </w:tcPr>
          <w:p w:rsidR="009656AB" w:rsidRPr="00AC15AE" w:rsidRDefault="009656AB" w:rsidP="00AC15AE">
            <w:pPr>
              <w:cnfStyle w:val="000000000000" w:firstRow="0" w:lastRow="0" w:firstColumn="0" w:lastColumn="0" w:oddVBand="0" w:evenVBand="0" w:oddHBand="0" w:evenHBand="0" w:firstRowFirstColumn="0" w:firstRowLastColumn="0" w:lastRowFirstColumn="0" w:lastRowLastColumn="0"/>
              <w:rPr>
                <w:rStyle w:val="Strong"/>
              </w:rPr>
            </w:pPr>
            <w:r w:rsidRPr="00AC15AE">
              <w:rPr>
                <w:rStyle w:val="Strong"/>
              </w:rPr>
              <w:t> </w:t>
            </w:r>
          </w:p>
        </w:tc>
        <w:tc>
          <w:tcPr>
            <w:tcW w:w="1070" w:type="dxa"/>
            <w:gridSpan w:val="2"/>
            <w:noWrap/>
          </w:tcPr>
          <w:p w:rsidR="009656AB" w:rsidRPr="00AC15AE" w:rsidRDefault="00E11CCA" w:rsidP="00AC15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1385.6</w:t>
            </w:r>
          </w:p>
        </w:tc>
      </w:tr>
    </w:tbl>
    <w:bookmarkEnd w:id="16"/>
    <w:p w:rsidR="009656AB" w:rsidRPr="009656AB" w:rsidRDefault="009656AB" w:rsidP="009656AB">
      <w:pPr>
        <w:pStyle w:val="AERtablesource"/>
        <w:rPr>
          <w:rFonts w:eastAsia="Calibri"/>
        </w:rPr>
      </w:pPr>
      <w:r w:rsidRPr="009656AB">
        <w:rPr>
          <w:rFonts w:eastAsia="Calibri"/>
        </w:rPr>
        <w:t xml:space="preserve">Source: </w:t>
      </w:r>
      <w:r w:rsidRPr="009656AB">
        <w:rPr>
          <w:rFonts w:eastAsia="Calibri"/>
        </w:rPr>
        <w:tab/>
        <w:t>AER analysis.</w:t>
      </w:r>
    </w:p>
    <w:p w:rsidR="009656AB" w:rsidRPr="009656AB" w:rsidRDefault="009656AB" w:rsidP="009656AB">
      <w:pPr>
        <w:pStyle w:val="AERtablesource"/>
        <w:rPr>
          <w:rFonts w:eastAsia="Calibri"/>
        </w:rPr>
      </w:pPr>
      <w:r w:rsidRPr="009656AB">
        <w:rPr>
          <w:rFonts w:eastAsia="Calibri"/>
        </w:rPr>
        <w:t>(a)</w:t>
      </w:r>
      <w:r w:rsidRPr="009656AB">
        <w:rPr>
          <w:rFonts w:eastAsia="Calibri"/>
        </w:rPr>
        <w:tab/>
        <w:t xml:space="preserve">Comprising the difference </w:t>
      </w:r>
      <w:r>
        <w:t xml:space="preserve">between the actual and estimated capex for 2010–11 </w:t>
      </w:r>
      <w:r w:rsidRPr="009656AB">
        <w:rPr>
          <w:rFonts w:eastAsia="Calibri"/>
        </w:rPr>
        <w:t xml:space="preserve">and the return on that </w:t>
      </w:r>
      <w:r>
        <w:t>difference</w:t>
      </w:r>
      <w:r w:rsidRPr="009656AB">
        <w:rPr>
          <w:rFonts w:eastAsia="Calibri"/>
        </w:rPr>
        <w:t>.</w:t>
      </w:r>
    </w:p>
    <w:bookmarkStart w:id="17" w:name="_Ref398891994"/>
    <w:p w:rsidR="009656AB" w:rsidRPr="009656AB" w:rsidRDefault="009656AB" w:rsidP="009656AB">
      <w:pPr>
        <w:rPr>
          <w:rStyle w:val="AERbody"/>
        </w:rPr>
      </w:pPr>
      <w:r>
        <w:fldChar w:fldCharType="begin"/>
      </w:r>
      <w:r w:rsidRPr="009656AB">
        <w:rPr>
          <w:rStyle w:val="AERbody"/>
        </w:rPr>
        <w:instrText xml:space="preserve"> REF _Ref404703901 \h </w:instrText>
      </w:r>
      <w:r>
        <w:instrText xml:space="preserve"> \* MERGEFORMAT </w:instrText>
      </w:r>
      <w:r>
        <w:fldChar w:fldCharType="separate"/>
      </w:r>
      <w:r>
        <w:t xml:space="preserve">Table </w:t>
      </w:r>
      <w:r w:rsidRPr="009656AB">
        <w:t>2.2</w:t>
      </w:r>
      <w:r>
        <w:fldChar w:fldCharType="end"/>
      </w:r>
      <w:r w:rsidRPr="009656AB">
        <w:rPr>
          <w:rStyle w:val="AERbody"/>
        </w:rPr>
        <w:t xml:space="preserve"> sets out the projected roll forward of the capital base during the 2016–21 access arrangement period.</w:t>
      </w:r>
    </w:p>
    <w:p w:rsidR="009656AB" w:rsidRPr="009656AB" w:rsidRDefault="009656AB" w:rsidP="009656AB">
      <w:pPr>
        <w:pStyle w:val="Caption"/>
      </w:pPr>
      <w:bookmarkStart w:id="18" w:name="_Ref404703901"/>
      <w:proofErr w:type="gramStart"/>
      <w:r>
        <w:t xml:space="preserve">Table </w:t>
      </w:r>
      <w:proofErr w:type="gramEnd"/>
      <w:r w:rsidR="00C30468">
        <w:fldChar w:fldCharType="begin"/>
      </w:r>
      <w:r w:rsidR="00C30468">
        <w:instrText xml:space="preserve"> STYLEREF 1 \s </w:instrText>
      </w:r>
      <w:r w:rsidR="00C30468">
        <w:fldChar w:fldCharType="separate"/>
      </w:r>
      <w:r w:rsidRPr="009656AB">
        <w:t>2</w:t>
      </w:r>
      <w:r w:rsidR="00C30468">
        <w:fldChar w:fldCharType="end"/>
      </w:r>
      <w:proofErr w:type="gramStart"/>
      <w:r w:rsidRPr="009656AB">
        <w:t>.</w:t>
      </w:r>
      <w:proofErr w:type="gramEnd"/>
      <w:r w:rsidR="00933BD8">
        <w:fldChar w:fldCharType="begin"/>
      </w:r>
      <w:r w:rsidR="00933BD8">
        <w:instrText xml:space="preserve"> SEQ Table \* ARABIC \s 1 </w:instrText>
      </w:r>
      <w:r w:rsidR="00933BD8">
        <w:fldChar w:fldCharType="separate"/>
      </w:r>
      <w:r w:rsidRPr="009656AB">
        <w:t>2</w:t>
      </w:r>
      <w:r w:rsidR="00933BD8">
        <w:fldChar w:fldCharType="end"/>
      </w:r>
      <w:bookmarkEnd w:id="17"/>
      <w:bookmarkEnd w:id="18"/>
      <w:r w:rsidRPr="009656AB">
        <w:tab/>
        <w:t xml:space="preserve">AER’s </w:t>
      </w:r>
      <w:r w:rsidR="00702F59">
        <w:t>final</w:t>
      </w:r>
      <w:r w:rsidRPr="009656AB">
        <w:t xml:space="preserve"> decision on projected capital base roll forward for the 2016–21 access arrangement period ($million, nominal)</w:t>
      </w:r>
      <w:bookmarkStart w:id="19" w:name="_Ref328757042"/>
    </w:p>
    <w:tbl>
      <w:tblPr>
        <w:tblStyle w:val="AERtable-numbers"/>
        <w:tblW w:w="8742" w:type="dxa"/>
        <w:tblLayout w:type="fixed"/>
        <w:tblLook w:val="04A0" w:firstRow="1" w:lastRow="0" w:firstColumn="1" w:lastColumn="0" w:noHBand="0" w:noVBand="1"/>
      </w:tblPr>
      <w:tblGrid>
        <w:gridCol w:w="2710"/>
        <w:gridCol w:w="1206"/>
        <w:gridCol w:w="1206"/>
        <w:gridCol w:w="1207"/>
        <w:gridCol w:w="1206"/>
        <w:gridCol w:w="1207"/>
      </w:tblGrid>
      <w:tr w:rsidR="009656AB" w:rsidRPr="00360FC0" w:rsidTr="00E773DF">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tcPr>
          <w:p w:rsidR="009656AB" w:rsidRPr="00360FC0" w:rsidRDefault="009656AB" w:rsidP="00360FC0"/>
        </w:tc>
        <w:tc>
          <w:tcPr>
            <w:tcW w:w="1206" w:type="dxa"/>
            <w:tcBorders>
              <w:top w:val="nil"/>
              <w:left w:val="nil"/>
              <w:bottom w:val="nil"/>
              <w:right w:val="nil"/>
            </w:tcBorders>
            <w:noWrap/>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2016–17</w:t>
            </w:r>
          </w:p>
        </w:tc>
        <w:tc>
          <w:tcPr>
            <w:tcW w:w="1206" w:type="dxa"/>
            <w:tcBorders>
              <w:top w:val="nil"/>
              <w:left w:val="nil"/>
              <w:bottom w:val="nil"/>
              <w:right w:val="nil"/>
            </w:tcBorders>
            <w:noWrap/>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2017–18</w:t>
            </w:r>
          </w:p>
        </w:tc>
        <w:tc>
          <w:tcPr>
            <w:tcW w:w="1207" w:type="dxa"/>
            <w:tcBorders>
              <w:top w:val="nil"/>
              <w:left w:val="nil"/>
              <w:bottom w:val="nil"/>
              <w:right w:val="nil"/>
            </w:tcBorders>
            <w:noWrap/>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2018–19</w:t>
            </w:r>
          </w:p>
        </w:tc>
        <w:tc>
          <w:tcPr>
            <w:tcW w:w="1206" w:type="dxa"/>
            <w:tcBorders>
              <w:top w:val="nil"/>
              <w:left w:val="nil"/>
              <w:bottom w:val="nil"/>
              <w:right w:val="nil"/>
            </w:tcBorders>
            <w:noWrap/>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2019–20</w:t>
            </w:r>
          </w:p>
        </w:tc>
        <w:tc>
          <w:tcPr>
            <w:tcW w:w="1207" w:type="dxa"/>
            <w:tcBorders>
              <w:top w:val="nil"/>
              <w:left w:val="nil"/>
              <w:bottom w:val="nil"/>
              <w:right w:val="nil"/>
            </w:tcBorders>
            <w:noWrap/>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2020–21</w:t>
            </w:r>
          </w:p>
        </w:tc>
      </w:tr>
      <w:tr w:rsidR="009656AB" w:rsidRPr="00360FC0" w:rsidTr="00E773DF">
        <w:trPr>
          <w:trHeight w:val="353"/>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9656AB" w:rsidRPr="00360FC0" w:rsidRDefault="009656AB" w:rsidP="00360FC0">
            <w:r w:rsidRPr="00360FC0">
              <w:t>Opening capital base</w:t>
            </w:r>
          </w:p>
        </w:tc>
        <w:tc>
          <w:tcPr>
            <w:tcW w:w="1206" w:type="dxa"/>
            <w:tcBorders>
              <w:top w:val="nil"/>
              <w:left w:val="nil"/>
              <w:bottom w:val="nil"/>
              <w:right w:val="nil"/>
            </w:tcBorders>
            <w:noWrap/>
          </w:tcPr>
          <w:p w:rsidR="009656AB" w:rsidRPr="00360FC0" w:rsidRDefault="00E11CCA" w:rsidP="00360FC0">
            <w:pPr>
              <w:cnfStyle w:val="000000000000" w:firstRow="0" w:lastRow="0" w:firstColumn="0" w:lastColumn="0" w:oddVBand="0" w:evenVBand="0" w:oddHBand="0" w:evenHBand="0" w:firstRowFirstColumn="0" w:firstRowLastColumn="0" w:lastRowFirstColumn="0" w:lastRowLastColumn="0"/>
            </w:pPr>
            <w:r>
              <w:t>1385.6</w:t>
            </w:r>
          </w:p>
        </w:tc>
        <w:tc>
          <w:tcPr>
            <w:tcW w:w="1206"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149</w:t>
            </w:r>
            <w:r w:rsidR="00197BDC">
              <w:t>1.4</w:t>
            </w:r>
          </w:p>
        </w:tc>
        <w:tc>
          <w:tcPr>
            <w:tcW w:w="1207"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159</w:t>
            </w:r>
            <w:r w:rsidR="00197BDC">
              <w:t>3.</w:t>
            </w:r>
            <w:r>
              <w:t>6</w:t>
            </w:r>
          </w:p>
        </w:tc>
        <w:tc>
          <w:tcPr>
            <w:tcW w:w="1206"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1</w:t>
            </w:r>
            <w:r w:rsidR="00197BDC">
              <w:t>699</w:t>
            </w:r>
            <w:r>
              <w:t>.</w:t>
            </w:r>
            <w:r w:rsidR="00197BDC">
              <w:t>2</w:t>
            </w:r>
          </w:p>
        </w:tc>
        <w:tc>
          <w:tcPr>
            <w:tcW w:w="1207"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18</w:t>
            </w:r>
            <w:r w:rsidR="00197BDC">
              <w:t>07.1</w:t>
            </w:r>
          </w:p>
        </w:tc>
      </w:tr>
      <w:tr w:rsidR="009656AB" w:rsidRPr="00360FC0" w:rsidTr="00E773DF">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9656AB" w:rsidRPr="00360FC0" w:rsidRDefault="009656AB" w:rsidP="00360FC0">
            <w:r w:rsidRPr="00360FC0">
              <w:t>Net capex</w:t>
            </w:r>
          </w:p>
        </w:tc>
        <w:tc>
          <w:tcPr>
            <w:tcW w:w="1206" w:type="dxa"/>
            <w:tcBorders>
              <w:top w:val="nil"/>
              <w:left w:val="nil"/>
              <w:bottom w:val="nil"/>
              <w:right w:val="nil"/>
            </w:tcBorders>
            <w:noWrap/>
          </w:tcPr>
          <w:p w:rsidR="009656AB" w:rsidRPr="00360FC0" w:rsidRDefault="00E11CCA" w:rsidP="00197BDC">
            <w:pPr>
              <w:cnfStyle w:val="000000010000" w:firstRow="0" w:lastRow="0" w:firstColumn="0" w:lastColumn="0" w:oddVBand="0" w:evenVBand="0" w:oddHBand="0" w:evenHBand="1" w:firstRowFirstColumn="0" w:firstRowLastColumn="0" w:lastRowFirstColumn="0" w:lastRowLastColumn="0"/>
            </w:pPr>
            <w:r>
              <w:t>11</w:t>
            </w:r>
            <w:r w:rsidR="00197BDC">
              <w:t>6.9</w:t>
            </w:r>
          </w:p>
        </w:tc>
        <w:tc>
          <w:tcPr>
            <w:tcW w:w="1206" w:type="dxa"/>
            <w:tcBorders>
              <w:top w:val="nil"/>
              <w:left w:val="nil"/>
              <w:bottom w:val="nil"/>
              <w:right w:val="nil"/>
            </w:tcBorders>
            <w:noWrap/>
          </w:tcPr>
          <w:p w:rsidR="009656AB" w:rsidRPr="00360FC0" w:rsidRDefault="00E11CCA" w:rsidP="00197BDC">
            <w:pPr>
              <w:cnfStyle w:val="000000010000" w:firstRow="0" w:lastRow="0" w:firstColumn="0" w:lastColumn="0" w:oddVBand="0" w:evenVBand="0" w:oddHBand="0" w:evenHBand="1" w:firstRowFirstColumn="0" w:firstRowLastColumn="0" w:lastRowFirstColumn="0" w:lastRowLastColumn="0"/>
            </w:pPr>
            <w:r>
              <w:t>116.</w:t>
            </w:r>
            <w:r w:rsidR="00197BDC">
              <w:t>6</w:t>
            </w:r>
          </w:p>
        </w:tc>
        <w:tc>
          <w:tcPr>
            <w:tcW w:w="1207" w:type="dxa"/>
            <w:tcBorders>
              <w:top w:val="nil"/>
              <w:left w:val="nil"/>
              <w:bottom w:val="nil"/>
              <w:right w:val="nil"/>
            </w:tcBorders>
            <w:noWrap/>
          </w:tcPr>
          <w:p w:rsidR="009656AB" w:rsidRPr="00360FC0" w:rsidRDefault="00E11CCA" w:rsidP="00197BDC">
            <w:pPr>
              <w:cnfStyle w:val="000000010000" w:firstRow="0" w:lastRow="0" w:firstColumn="0" w:lastColumn="0" w:oddVBand="0" w:evenVBand="0" w:oddHBand="0" w:evenHBand="1" w:firstRowFirstColumn="0" w:firstRowLastColumn="0" w:lastRowFirstColumn="0" w:lastRowLastColumn="0"/>
            </w:pPr>
            <w:r>
              <w:t>125.</w:t>
            </w:r>
            <w:r w:rsidR="00197BDC">
              <w:t>2</w:t>
            </w:r>
          </w:p>
        </w:tc>
        <w:tc>
          <w:tcPr>
            <w:tcW w:w="1206" w:type="dxa"/>
            <w:tcBorders>
              <w:top w:val="nil"/>
              <w:left w:val="nil"/>
              <w:bottom w:val="nil"/>
              <w:right w:val="nil"/>
            </w:tcBorders>
            <w:noWrap/>
          </w:tcPr>
          <w:p w:rsidR="009656AB" w:rsidRPr="00360FC0" w:rsidRDefault="00E11CCA" w:rsidP="00197BDC">
            <w:pPr>
              <w:cnfStyle w:val="000000010000" w:firstRow="0" w:lastRow="0" w:firstColumn="0" w:lastColumn="0" w:oddVBand="0" w:evenVBand="0" w:oddHBand="0" w:evenHBand="1" w:firstRowFirstColumn="0" w:firstRowLastColumn="0" w:lastRowFirstColumn="0" w:lastRowLastColumn="0"/>
            </w:pPr>
            <w:r>
              <w:t>132.</w:t>
            </w:r>
            <w:r w:rsidR="00197BDC">
              <w:t>4</w:t>
            </w:r>
          </w:p>
        </w:tc>
        <w:tc>
          <w:tcPr>
            <w:tcW w:w="1207" w:type="dxa"/>
            <w:tcBorders>
              <w:top w:val="nil"/>
              <w:left w:val="nil"/>
              <w:bottom w:val="nil"/>
              <w:right w:val="nil"/>
            </w:tcBorders>
            <w:noWrap/>
          </w:tcPr>
          <w:p w:rsidR="009656AB" w:rsidRPr="00360FC0" w:rsidRDefault="00E11CCA" w:rsidP="00197BDC">
            <w:pPr>
              <w:cnfStyle w:val="000000010000" w:firstRow="0" w:lastRow="0" w:firstColumn="0" w:lastColumn="0" w:oddVBand="0" w:evenVBand="0" w:oddHBand="0" w:evenHBand="1" w:firstRowFirstColumn="0" w:firstRowLastColumn="0" w:lastRowFirstColumn="0" w:lastRowLastColumn="0"/>
            </w:pPr>
            <w:r>
              <w:t>11</w:t>
            </w:r>
            <w:r w:rsidR="00197BDC">
              <w:t>8.8</w:t>
            </w:r>
          </w:p>
        </w:tc>
      </w:tr>
      <w:tr w:rsidR="009656AB" w:rsidRPr="00360FC0" w:rsidTr="00E773DF">
        <w:trPr>
          <w:trHeight w:val="423"/>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9656AB" w:rsidRPr="00360FC0" w:rsidRDefault="009656AB" w:rsidP="00360FC0">
            <w:r w:rsidRPr="00360FC0">
              <w:t>Indexation of capital base</w:t>
            </w:r>
          </w:p>
        </w:tc>
        <w:tc>
          <w:tcPr>
            <w:tcW w:w="1206"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3</w:t>
            </w:r>
            <w:r w:rsidR="00197BDC">
              <w:t>3.1</w:t>
            </w:r>
          </w:p>
        </w:tc>
        <w:tc>
          <w:tcPr>
            <w:tcW w:w="1206"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3</w:t>
            </w:r>
            <w:r w:rsidR="00197BDC">
              <w:t>5.</w:t>
            </w:r>
            <w:r>
              <w:t>7</w:t>
            </w:r>
          </w:p>
        </w:tc>
        <w:tc>
          <w:tcPr>
            <w:tcW w:w="1207"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3</w:t>
            </w:r>
            <w:r w:rsidR="00197BDC">
              <w:t>8.1</w:t>
            </w:r>
          </w:p>
        </w:tc>
        <w:tc>
          <w:tcPr>
            <w:tcW w:w="1206"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4</w:t>
            </w:r>
            <w:r w:rsidR="00197BDC">
              <w:t>0.6</w:t>
            </w:r>
          </w:p>
        </w:tc>
        <w:tc>
          <w:tcPr>
            <w:tcW w:w="1207" w:type="dxa"/>
            <w:tcBorders>
              <w:top w:val="nil"/>
              <w:left w:val="nil"/>
              <w:bottom w:val="nil"/>
              <w:right w:val="nil"/>
            </w:tcBorders>
            <w:noWrap/>
          </w:tcPr>
          <w:p w:rsidR="009656AB" w:rsidRPr="00360FC0" w:rsidRDefault="00E11CCA" w:rsidP="00197BDC">
            <w:pPr>
              <w:cnfStyle w:val="000000000000" w:firstRow="0" w:lastRow="0" w:firstColumn="0" w:lastColumn="0" w:oddVBand="0" w:evenVBand="0" w:oddHBand="0" w:evenHBand="0" w:firstRowFirstColumn="0" w:firstRowLastColumn="0" w:lastRowFirstColumn="0" w:lastRowLastColumn="0"/>
            </w:pPr>
            <w:r>
              <w:t>4</w:t>
            </w:r>
            <w:r w:rsidR="00197BDC">
              <w:t>3.2</w:t>
            </w:r>
          </w:p>
        </w:tc>
      </w:tr>
      <w:tr w:rsidR="009656AB" w:rsidRPr="00360FC0" w:rsidTr="00E773DF">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nil"/>
              <w:right w:val="nil"/>
            </w:tcBorders>
            <w:noWrap/>
            <w:hideMark/>
          </w:tcPr>
          <w:p w:rsidR="009656AB" w:rsidRPr="00360FC0" w:rsidRDefault="009656AB" w:rsidP="00360FC0">
            <w:r w:rsidRPr="00360FC0">
              <w:t>Depreciation</w:t>
            </w:r>
          </w:p>
        </w:tc>
        <w:tc>
          <w:tcPr>
            <w:tcW w:w="1206" w:type="dxa"/>
            <w:tcBorders>
              <w:top w:val="nil"/>
              <w:left w:val="nil"/>
              <w:bottom w:val="nil"/>
              <w:right w:val="nil"/>
            </w:tcBorders>
            <w:noWrap/>
          </w:tcPr>
          <w:p w:rsidR="009656AB" w:rsidRPr="00360FC0" w:rsidRDefault="00197BDC" w:rsidP="00360FC0">
            <w:pPr>
              <w:cnfStyle w:val="000000010000" w:firstRow="0" w:lastRow="0" w:firstColumn="0" w:lastColumn="0" w:oddVBand="0" w:evenVBand="0" w:oddHBand="0" w:evenHBand="1" w:firstRowFirstColumn="0" w:firstRowLastColumn="0" w:lastRowFirstColumn="0" w:lastRowLastColumn="0"/>
            </w:pPr>
            <w:r>
              <w:t>–44.3</w:t>
            </w:r>
          </w:p>
        </w:tc>
        <w:tc>
          <w:tcPr>
            <w:tcW w:w="1206" w:type="dxa"/>
            <w:tcBorders>
              <w:top w:val="nil"/>
              <w:left w:val="nil"/>
              <w:bottom w:val="nil"/>
              <w:right w:val="nil"/>
            </w:tcBorders>
            <w:noWrap/>
          </w:tcPr>
          <w:p w:rsidR="009656AB" w:rsidRPr="00360FC0" w:rsidRDefault="00197BDC" w:rsidP="00360FC0">
            <w:pPr>
              <w:cnfStyle w:val="000000010000" w:firstRow="0" w:lastRow="0" w:firstColumn="0" w:lastColumn="0" w:oddVBand="0" w:evenVBand="0" w:oddHBand="0" w:evenHBand="1" w:firstRowFirstColumn="0" w:firstRowLastColumn="0" w:lastRowFirstColumn="0" w:lastRowLastColumn="0"/>
            </w:pPr>
            <w:r>
              <w:t>–50.0</w:t>
            </w:r>
          </w:p>
        </w:tc>
        <w:tc>
          <w:tcPr>
            <w:tcW w:w="1207" w:type="dxa"/>
            <w:tcBorders>
              <w:top w:val="nil"/>
              <w:left w:val="nil"/>
              <w:bottom w:val="nil"/>
              <w:right w:val="nil"/>
            </w:tcBorders>
            <w:noWrap/>
          </w:tcPr>
          <w:p w:rsidR="009656AB" w:rsidRPr="00360FC0" w:rsidRDefault="00197BDC" w:rsidP="00360FC0">
            <w:pPr>
              <w:cnfStyle w:val="000000010000" w:firstRow="0" w:lastRow="0" w:firstColumn="0" w:lastColumn="0" w:oddVBand="0" w:evenVBand="0" w:oddHBand="0" w:evenHBand="1" w:firstRowFirstColumn="0" w:firstRowLastColumn="0" w:lastRowFirstColumn="0" w:lastRowLastColumn="0"/>
            </w:pPr>
            <w:r>
              <w:t>–57.7</w:t>
            </w:r>
          </w:p>
        </w:tc>
        <w:tc>
          <w:tcPr>
            <w:tcW w:w="1206" w:type="dxa"/>
            <w:tcBorders>
              <w:top w:val="nil"/>
              <w:left w:val="nil"/>
              <w:bottom w:val="nil"/>
              <w:right w:val="nil"/>
            </w:tcBorders>
            <w:noWrap/>
          </w:tcPr>
          <w:p w:rsidR="009656AB" w:rsidRPr="00360FC0" w:rsidRDefault="00197BDC" w:rsidP="00360FC0">
            <w:pPr>
              <w:cnfStyle w:val="000000010000" w:firstRow="0" w:lastRow="0" w:firstColumn="0" w:lastColumn="0" w:oddVBand="0" w:evenVBand="0" w:oddHBand="0" w:evenHBand="1" w:firstRowFirstColumn="0" w:firstRowLastColumn="0" w:lastRowFirstColumn="0" w:lastRowLastColumn="0"/>
            </w:pPr>
            <w:r>
              <w:t>–65.1</w:t>
            </w:r>
          </w:p>
        </w:tc>
        <w:tc>
          <w:tcPr>
            <w:tcW w:w="1207" w:type="dxa"/>
            <w:tcBorders>
              <w:top w:val="nil"/>
              <w:left w:val="nil"/>
              <w:bottom w:val="nil"/>
              <w:right w:val="nil"/>
            </w:tcBorders>
            <w:noWrap/>
          </w:tcPr>
          <w:p w:rsidR="009656AB" w:rsidRPr="00360FC0" w:rsidRDefault="00197BDC" w:rsidP="00360FC0">
            <w:pPr>
              <w:cnfStyle w:val="000000010000" w:firstRow="0" w:lastRow="0" w:firstColumn="0" w:lastColumn="0" w:oddVBand="0" w:evenVBand="0" w:oddHBand="0" w:evenHBand="1" w:firstRowFirstColumn="0" w:firstRowLastColumn="0" w:lastRowFirstColumn="0" w:lastRowLastColumn="0"/>
            </w:pPr>
            <w:r>
              <w:t>–67.2</w:t>
            </w:r>
          </w:p>
        </w:tc>
      </w:tr>
      <w:tr w:rsidR="009656AB" w:rsidRPr="00360FC0" w:rsidTr="00E773DF">
        <w:trPr>
          <w:trHeight w:val="427"/>
        </w:trPr>
        <w:tc>
          <w:tcPr>
            <w:cnfStyle w:val="001000000000" w:firstRow="0" w:lastRow="0" w:firstColumn="1" w:lastColumn="0" w:oddVBand="0" w:evenVBand="0" w:oddHBand="0" w:evenHBand="0" w:firstRowFirstColumn="0" w:firstRowLastColumn="0" w:lastRowFirstColumn="0" w:lastRowLastColumn="0"/>
            <w:tcW w:w="2710" w:type="dxa"/>
            <w:tcBorders>
              <w:top w:val="nil"/>
              <w:left w:val="nil"/>
              <w:bottom w:val="single" w:sz="4" w:space="0" w:color="365F91"/>
              <w:right w:val="nil"/>
            </w:tcBorders>
            <w:noWrap/>
            <w:hideMark/>
          </w:tcPr>
          <w:p w:rsidR="009656AB" w:rsidRPr="00360FC0" w:rsidRDefault="009656AB" w:rsidP="00360FC0">
            <w:r w:rsidRPr="00360FC0">
              <w:t>Closing capital base</w:t>
            </w:r>
          </w:p>
        </w:tc>
        <w:tc>
          <w:tcPr>
            <w:tcW w:w="1206" w:type="dxa"/>
            <w:tcBorders>
              <w:top w:val="nil"/>
              <w:left w:val="nil"/>
              <w:bottom w:val="single" w:sz="4" w:space="0" w:color="365F91"/>
              <w:right w:val="nil"/>
            </w:tcBorders>
            <w:noWrap/>
          </w:tcPr>
          <w:p w:rsidR="009656AB" w:rsidRPr="00360FC0" w:rsidRDefault="00197BDC" w:rsidP="00360FC0">
            <w:pPr>
              <w:cnfStyle w:val="000000000000" w:firstRow="0" w:lastRow="0" w:firstColumn="0" w:lastColumn="0" w:oddVBand="0" w:evenVBand="0" w:oddHBand="0" w:evenHBand="0" w:firstRowFirstColumn="0" w:firstRowLastColumn="0" w:lastRowFirstColumn="0" w:lastRowLastColumn="0"/>
            </w:pPr>
            <w:r>
              <w:t>1491.4</w:t>
            </w:r>
          </w:p>
        </w:tc>
        <w:tc>
          <w:tcPr>
            <w:tcW w:w="1206" w:type="dxa"/>
            <w:tcBorders>
              <w:top w:val="nil"/>
              <w:left w:val="nil"/>
              <w:bottom w:val="single" w:sz="4" w:space="0" w:color="365F91"/>
              <w:right w:val="nil"/>
            </w:tcBorders>
            <w:noWrap/>
          </w:tcPr>
          <w:p w:rsidR="009656AB" w:rsidRPr="00360FC0" w:rsidRDefault="00197BDC" w:rsidP="00360FC0">
            <w:pPr>
              <w:cnfStyle w:val="000000000000" w:firstRow="0" w:lastRow="0" w:firstColumn="0" w:lastColumn="0" w:oddVBand="0" w:evenVBand="0" w:oddHBand="0" w:evenHBand="0" w:firstRowFirstColumn="0" w:firstRowLastColumn="0" w:lastRowFirstColumn="0" w:lastRowLastColumn="0"/>
            </w:pPr>
            <w:r>
              <w:t>1593.6</w:t>
            </w:r>
          </w:p>
        </w:tc>
        <w:tc>
          <w:tcPr>
            <w:tcW w:w="1207" w:type="dxa"/>
            <w:tcBorders>
              <w:top w:val="nil"/>
              <w:left w:val="nil"/>
              <w:bottom w:val="single" w:sz="4" w:space="0" w:color="365F91"/>
              <w:right w:val="nil"/>
            </w:tcBorders>
            <w:noWrap/>
          </w:tcPr>
          <w:p w:rsidR="009656AB" w:rsidRPr="00360FC0" w:rsidRDefault="00197BDC" w:rsidP="00360FC0">
            <w:pPr>
              <w:cnfStyle w:val="000000000000" w:firstRow="0" w:lastRow="0" w:firstColumn="0" w:lastColumn="0" w:oddVBand="0" w:evenVBand="0" w:oddHBand="0" w:evenHBand="0" w:firstRowFirstColumn="0" w:firstRowLastColumn="0" w:lastRowFirstColumn="0" w:lastRowLastColumn="0"/>
            </w:pPr>
            <w:r>
              <w:t>1699.2</w:t>
            </w:r>
          </w:p>
        </w:tc>
        <w:tc>
          <w:tcPr>
            <w:tcW w:w="1206" w:type="dxa"/>
            <w:tcBorders>
              <w:top w:val="nil"/>
              <w:left w:val="nil"/>
              <w:bottom w:val="single" w:sz="4" w:space="0" w:color="365F91"/>
              <w:right w:val="nil"/>
            </w:tcBorders>
            <w:noWrap/>
          </w:tcPr>
          <w:p w:rsidR="009656AB" w:rsidRPr="00360FC0" w:rsidRDefault="00197BDC" w:rsidP="00360FC0">
            <w:pPr>
              <w:cnfStyle w:val="000000000000" w:firstRow="0" w:lastRow="0" w:firstColumn="0" w:lastColumn="0" w:oddVBand="0" w:evenVBand="0" w:oddHBand="0" w:evenHBand="0" w:firstRowFirstColumn="0" w:firstRowLastColumn="0" w:lastRowFirstColumn="0" w:lastRowLastColumn="0"/>
            </w:pPr>
            <w:r>
              <w:t>1807.1</w:t>
            </w:r>
          </w:p>
        </w:tc>
        <w:tc>
          <w:tcPr>
            <w:tcW w:w="1207" w:type="dxa"/>
            <w:tcBorders>
              <w:top w:val="nil"/>
              <w:left w:val="nil"/>
              <w:bottom w:val="single" w:sz="4" w:space="0" w:color="365F91"/>
              <w:right w:val="nil"/>
            </w:tcBorders>
            <w:noWrap/>
          </w:tcPr>
          <w:p w:rsidR="009656AB" w:rsidRPr="00360FC0" w:rsidRDefault="00197BDC" w:rsidP="00360FC0">
            <w:pPr>
              <w:cnfStyle w:val="000000000000" w:firstRow="0" w:lastRow="0" w:firstColumn="0" w:lastColumn="0" w:oddVBand="0" w:evenVBand="0" w:oddHBand="0" w:evenHBand="0" w:firstRowFirstColumn="0" w:firstRowLastColumn="0" w:lastRowFirstColumn="0" w:lastRowLastColumn="0"/>
            </w:pPr>
            <w:r>
              <w:t>1901.9</w:t>
            </w:r>
          </w:p>
        </w:tc>
      </w:tr>
    </w:tbl>
    <w:bookmarkEnd w:id="19"/>
    <w:p w:rsidR="009656AB" w:rsidRPr="009656AB" w:rsidRDefault="009656AB" w:rsidP="009656AB">
      <w:pPr>
        <w:pStyle w:val="AERtablesource"/>
        <w:rPr>
          <w:rFonts w:eastAsia="Calibri"/>
        </w:rPr>
      </w:pPr>
      <w:r w:rsidRPr="009656AB">
        <w:rPr>
          <w:rFonts w:eastAsia="Calibri"/>
        </w:rPr>
        <w:t xml:space="preserve">Source: </w:t>
      </w:r>
      <w:r w:rsidRPr="009656AB">
        <w:rPr>
          <w:rFonts w:eastAsia="Calibri"/>
        </w:rPr>
        <w:tab/>
        <w:t>AER analysis.</w:t>
      </w:r>
    </w:p>
    <w:p w:rsidR="009656AB" w:rsidRDefault="009656AB" w:rsidP="009656AB">
      <w:pPr>
        <w:pStyle w:val="Heading2"/>
      </w:pPr>
      <w:bookmarkStart w:id="20" w:name="_Toc436048918"/>
      <w:bookmarkStart w:id="21" w:name="_Toc451526809"/>
      <w:r>
        <w:t xml:space="preserve">AGN’s </w:t>
      </w:r>
      <w:r w:rsidR="008479CC">
        <w:t xml:space="preserve">revised </w:t>
      </w:r>
      <w:r>
        <w:t>proposal</w:t>
      </w:r>
      <w:bookmarkEnd w:id="20"/>
      <w:bookmarkEnd w:id="21"/>
    </w:p>
    <w:p w:rsidR="009656AB" w:rsidRDefault="009656AB" w:rsidP="009656AB">
      <w:r>
        <w:t xml:space="preserve">AGN’s </w:t>
      </w:r>
      <w:r w:rsidR="00A7682F">
        <w:t xml:space="preserve">revised </w:t>
      </w:r>
      <w:r>
        <w:t xml:space="preserve">proposal </w:t>
      </w:r>
      <w:r w:rsidR="000505C3">
        <w:t>submitted an</w:t>
      </w:r>
      <w:r>
        <w:t xml:space="preserve"> opening capital base at 1 July </w:t>
      </w:r>
      <w:r w:rsidR="000505C3">
        <w:t xml:space="preserve">2016 </w:t>
      </w:r>
      <w:r>
        <w:t>of $14</w:t>
      </w:r>
      <w:r w:rsidR="00A76124">
        <w:t>01.3</w:t>
      </w:r>
      <w:r>
        <w:t xml:space="preserve"> million ($nominal). </w:t>
      </w:r>
      <w:r w:rsidR="001402C8">
        <w:t xml:space="preserve">AGN adopted our draft decision amendments on actual capex for 2010–11, depreciation amounts in the 2011–16 access arrangement </w:t>
      </w:r>
      <w:proofErr w:type="gramStart"/>
      <w:r w:rsidR="001402C8">
        <w:t>period</w:t>
      </w:r>
      <w:proofErr w:type="gramEnd"/>
      <w:r w:rsidR="001402C8">
        <w:t>, actual inflation rates and the 2010–11 forecast inflation value. AGN also updated its capital base roll forward for 2014–15 actual capex</w:t>
      </w:r>
      <w:r w:rsidR="00B07388">
        <w:t xml:space="preserve"> and a revised estimate of capex for 2015–16</w:t>
      </w:r>
      <w:r w:rsidR="001402C8">
        <w:t xml:space="preserve">. </w:t>
      </w:r>
      <w:r>
        <w:t xml:space="preserve">AGN's </w:t>
      </w:r>
      <w:r w:rsidR="001402C8">
        <w:t xml:space="preserve">revised </w:t>
      </w:r>
      <w:r>
        <w:t xml:space="preserve">proposed capital base roll forward during the 2011–16 access arrangement </w:t>
      </w:r>
      <w:proofErr w:type="gramStart"/>
      <w:r>
        <w:t>period</w:t>
      </w:r>
      <w:proofErr w:type="gramEnd"/>
      <w:r>
        <w:t xml:space="preserve"> is shown in </w:t>
      </w:r>
      <w:r>
        <w:fldChar w:fldCharType="begin"/>
      </w:r>
      <w:r>
        <w:instrText xml:space="preserve"> REF  _Ref398274257 \* Lower \h  \* MERGEFORMAT </w:instrText>
      </w:r>
      <w:r>
        <w:fldChar w:fldCharType="separate"/>
      </w:r>
      <w:r>
        <w:t xml:space="preserve">table </w:t>
      </w:r>
      <w:r w:rsidRPr="009656AB">
        <w:t>2.3</w:t>
      </w:r>
      <w:r>
        <w:fldChar w:fldCharType="end"/>
      </w:r>
      <w:r>
        <w:t>.</w:t>
      </w:r>
    </w:p>
    <w:p w:rsidR="009656AB" w:rsidRPr="009656AB" w:rsidRDefault="009656AB" w:rsidP="009656AB">
      <w:pPr>
        <w:pStyle w:val="Caption"/>
      </w:pPr>
      <w:bookmarkStart w:id="22" w:name="_Ref398274257"/>
      <w:bookmarkStart w:id="23" w:name="_Ref398274250"/>
      <w:proofErr w:type="gramStart"/>
      <w:r>
        <w:t xml:space="preserve">Table </w:t>
      </w:r>
      <w:proofErr w:type="gramEnd"/>
      <w:r w:rsidR="00C30468">
        <w:fldChar w:fldCharType="begin"/>
      </w:r>
      <w:r w:rsidR="00C30468">
        <w:instrText xml:space="preserve"> STYLEREF 1 \s </w:instrText>
      </w:r>
      <w:r w:rsidR="00C30468">
        <w:fldChar w:fldCharType="separate"/>
      </w:r>
      <w:r w:rsidRPr="009656AB">
        <w:t>2</w:t>
      </w:r>
      <w:r w:rsidR="00C30468">
        <w:fldChar w:fldCharType="end"/>
      </w:r>
      <w:proofErr w:type="gramStart"/>
      <w:r w:rsidRPr="009656AB">
        <w:t>.</w:t>
      </w:r>
      <w:proofErr w:type="gramEnd"/>
      <w:r w:rsidR="00933BD8">
        <w:fldChar w:fldCharType="begin"/>
      </w:r>
      <w:r w:rsidR="00933BD8">
        <w:instrText xml:space="preserve"> SEQ Table \* ARABIC \s 1 </w:instrText>
      </w:r>
      <w:r w:rsidR="00933BD8">
        <w:fldChar w:fldCharType="separate"/>
      </w:r>
      <w:r w:rsidRPr="009656AB">
        <w:t>3</w:t>
      </w:r>
      <w:r w:rsidR="00933BD8">
        <w:fldChar w:fldCharType="end"/>
      </w:r>
      <w:bookmarkEnd w:id="22"/>
      <w:r w:rsidRPr="009656AB">
        <w:tab/>
        <w:t xml:space="preserve">AGN’s </w:t>
      </w:r>
      <w:r w:rsidR="0022021A">
        <w:t xml:space="preserve">revised </w:t>
      </w:r>
      <w:r w:rsidRPr="009656AB">
        <w:t>proposed capital base roll forward during the 2011–16 access arrangement period ($million, nominal)</w:t>
      </w:r>
      <w:bookmarkEnd w:id="23"/>
    </w:p>
    <w:tbl>
      <w:tblPr>
        <w:tblStyle w:val="AERtable-numbers"/>
        <w:tblW w:w="8739" w:type="dxa"/>
        <w:tblLayout w:type="fixed"/>
        <w:tblLook w:val="04A0" w:firstRow="1" w:lastRow="0" w:firstColumn="1" w:lastColumn="0" w:noHBand="0" w:noVBand="1"/>
      </w:tblPr>
      <w:tblGrid>
        <w:gridCol w:w="3652"/>
        <w:gridCol w:w="1017"/>
        <w:gridCol w:w="1017"/>
        <w:gridCol w:w="1018"/>
        <w:gridCol w:w="1017"/>
        <w:gridCol w:w="1018"/>
      </w:tblGrid>
      <w:tr w:rsidR="009656AB" w:rsidRPr="00360FC0" w:rsidTr="00E773DF">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656AB" w:rsidRPr="00360FC0" w:rsidRDefault="009656AB" w:rsidP="00360FC0"/>
        </w:tc>
        <w:tc>
          <w:tcPr>
            <w:tcW w:w="1017" w:type="dxa"/>
            <w:tcBorders>
              <w:top w:val="nil"/>
              <w:left w:val="nil"/>
              <w:bottom w:val="nil"/>
              <w:right w:val="nil"/>
            </w:tcBorders>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2011–12</w:t>
            </w:r>
          </w:p>
        </w:tc>
        <w:tc>
          <w:tcPr>
            <w:tcW w:w="1017" w:type="dxa"/>
            <w:tcBorders>
              <w:top w:val="nil"/>
              <w:left w:val="nil"/>
              <w:bottom w:val="nil"/>
              <w:right w:val="nil"/>
            </w:tcBorders>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2012–13</w:t>
            </w:r>
          </w:p>
        </w:tc>
        <w:tc>
          <w:tcPr>
            <w:tcW w:w="1018" w:type="dxa"/>
            <w:tcBorders>
              <w:top w:val="nil"/>
              <w:left w:val="nil"/>
              <w:bottom w:val="nil"/>
              <w:right w:val="nil"/>
            </w:tcBorders>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2013–14</w:t>
            </w:r>
          </w:p>
        </w:tc>
        <w:tc>
          <w:tcPr>
            <w:tcW w:w="1017" w:type="dxa"/>
            <w:tcBorders>
              <w:top w:val="nil"/>
              <w:left w:val="nil"/>
              <w:bottom w:val="nil"/>
              <w:right w:val="nil"/>
            </w:tcBorders>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2014–15</w:t>
            </w:r>
          </w:p>
        </w:tc>
        <w:tc>
          <w:tcPr>
            <w:tcW w:w="1018" w:type="dxa"/>
            <w:tcBorders>
              <w:top w:val="nil"/>
              <w:left w:val="nil"/>
              <w:bottom w:val="nil"/>
              <w:right w:val="nil"/>
            </w:tcBorders>
            <w:hideMark/>
          </w:tcPr>
          <w:p w:rsidR="009656AB" w:rsidRPr="00360FC0" w:rsidRDefault="009656AB" w:rsidP="00360FC0">
            <w:pPr>
              <w:cnfStyle w:val="100000000000" w:firstRow="1" w:lastRow="0" w:firstColumn="0" w:lastColumn="0" w:oddVBand="0" w:evenVBand="0" w:oddHBand="0" w:evenHBand="0" w:firstRowFirstColumn="0" w:firstRowLastColumn="0" w:lastRowFirstColumn="0" w:lastRowLastColumn="0"/>
            </w:pPr>
            <w:r w:rsidRPr="00360FC0">
              <w:t>2015–16</w:t>
            </w:r>
          </w:p>
        </w:tc>
      </w:tr>
      <w:tr w:rsidR="009656AB" w:rsidRPr="00360FC0" w:rsidTr="00E773DF">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656AB" w:rsidRPr="00360FC0" w:rsidRDefault="009656AB" w:rsidP="00360FC0">
            <w:r w:rsidRPr="00360FC0">
              <w:t>Opening capital base</w:t>
            </w:r>
          </w:p>
        </w:tc>
        <w:tc>
          <w:tcPr>
            <w:tcW w:w="1017" w:type="dxa"/>
            <w:tcBorders>
              <w:top w:val="nil"/>
              <w:left w:val="nil"/>
              <w:bottom w:val="nil"/>
              <w:right w:val="nil"/>
            </w:tcBorders>
            <w:hideMark/>
          </w:tcPr>
          <w:p w:rsidR="009656AB" w:rsidRPr="00360FC0" w:rsidRDefault="009656AB" w:rsidP="000505C3">
            <w:pPr>
              <w:cnfStyle w:val="000000000000" w:firstRow="0" w:lastRow="0" w:firstColumn="0" w:lastColumn="0" w:oddVBand="0" w:evenVBand="0" w:oddHBand="0" w:evenHBand="0" w:firstRowFirstColumn="0" w:firstRowLastColumn="0" w:lastRowFirstColumn="0" w:lastRowLastColumn="0"/>
            </w:pPr>
            <w:r w:rsidRPr="00360FC0">
              <w:t>102</w:t>
            </w:r>
            <w:r w:rsidR="000505C3">
              <w:t>3.9</w:t>
            </w:r>
          </w:p>
        </w:tc>
        <w:tc>
          <w:tcPr>
            <w:tcW w:w="1017" w:type="dxa"/>
            <w:tcBorders>
              <w:top w:val="nil"/>
              <w:left w:val="nil"/>
              <w:bottom w:val="nil"/>
              <w:right w:val="nil"/>
            </w:tcBorders>
            <w:hideMark/>
          </w:tcPr>
          <w:p w:rsidR="009656AB" w:rsidRPr="00360FC0" w:rsidRDefault="009656AB" w:rsidP="000505C3">
            <w:pPr>
              <w:cnfStyle w:val="000000000000" w:firstRow="0" w:lastRow="0" w:firstColumn="0" w:lastColumn="0" w:oddVBand="0" w:evenVBand="0" w:oddHBand="0" w:evenHBand="0" w:firstRowFirstColumn="0" w:firstRowLastColumn="0" w:lastRowFirstColumn="0" w:lastRowLastColumn="0"/>
            </w:pPr>
            <w:r w:rsidRPr="00360FC0">
              <w:t>10</w:t>
            </w:r>
            <w:r w:rsidR="000505C3">
              <w:t>70.7</w:t>
            </w:r>
          </w:p>
        </w:tc>
        <w:tc>
          <w:tcPr>
            <w:tcW w:w="1018" w:type="dxa"/>
            <w:tcBorders>
              <w:top w:val="nil"/>
              <w:left w:val="nil"/>
              <w:bottom w:val="nil"/>
              <w:right w:val="nil"/>
            </w:tcBorders>
            <w:hideMark/>
          </w:tcPr>
          <w:p w:rsidR="009656AB" w:rsidRPr="00360FC0" w:rsidRDefault="000505C3" w:rsidP="00360FC0">
            <w:pPr>
              <w:cnfStyle w:val="000000000000" w:firstRow="0" w:lastRow="0" w:firstColumn="0" w:lastColumn="0" w:oddVBand="0" w:evenVBand="0" w:oddHBand="0" w:evenHBand="0" w:firstRowFirstColumn="0" w:firstRowLastColumn="0" w:lastRowFirstColumn="0" w:lastRowLastColumn="0"/>
            </w:pPr>
            <w:r>
              <w:t>1140.0</w:t>
            </w:r>
          </w:p>
        </w:tc>
        <w:tc>
          <w:tcPr>
            <w:tcW w:w="1017" w:type="dxa"/>
            <w:tcBorders>
              <w:top w:val="nil"/>
              <w:left w:val="nil"/>
              <w:bottom w:val="nil"/>
              <w:right w:val="nil"/>
            </w:tcBorders>
            <w:hideMark/>
          </w:tcPr>
          <w:p w:rsidR="009656AB" w:rsidRPr="00360FC0" w:rsidRDefault="000505C3" w:rsidP="00360FC0">
            <w:pPr>
              <w:cnfStyle w:val="000000000000" w:firstRow="0" w:lastRow="0" w:firstColumn="0" w:lastColumn="0" w:oddVBand="0" w:evenVBand="0" w:oddHBand="0" w:evenHBand="0" w:firstRowFirstColumn="0" w:firstRowLastColumn="0" w:lastRowFirstColumn="0" w:lastRowLastColumn="0"/>
            </w:pPr>
            <w:r>
              <w:t>1230.9</w:t>
            </w:r>
          </w:p>
        </w:tc>
        <w:tc>
          <w:tcPr>
            <w:tcW w:w="1018" w:type="dxa"/>
            <w:tcBorders>
              <w:top w:val="nil"/>
              <w:left w:val="nil"/>
              <w:bottom w:val="nil"/>
              <w:right w:val="nil"/>
            </w:tcBorders>
            <w:hideMark/>
          </w:tcPr>
          <w:p w:rsidR="009656AB" w:rsidRPr="00360FC0" w:rsidRDefault="000505C3" w:rsidP="00360FC0">
            <w:pPr>
              <w:cnfStyle w:val="000000000000" w:firstRow="0" w:lastRow="0" w:firstColumn="0" w:lastColumn="0" w:oddVBand="0" w:evenVBand="0" w:oddHBand="0" w:evenHBand="0" w:firstRowFirstColumn="0" w:firstRowLastColumn="0" w:lastRowFirstColumn="0" w:lastRowLastColumn="0"/>
            </w:pPr>
            <w:r>
              <w:t>1303.1</w:t>
            </w:r>
          </w:p>
        </w:tc>
      </w:tr>
      <w:tr w:rsidR="009656AB" w:rsidRPr="00360FC0" w:rsidTr="00E773D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656AB" w:rsidRPr="00360FC0" w:rsidRDefault="009656AB" w:rsidP="00360FC0">
            <w:r w:rsidRPr="00360FC0">
              <w:t xml:space="preserve">Net capex </w:t>
            </w:r>
          </w:p>
        </w:tc>
        <w:tc>
          <w:tcPr>
            <w:tcW w:w="1017" w:type="dxa"/>
            <w:tcBorders>
              <w:top w:val="nil"/>
              <w:left w:val="nil"/>
              <w:bottom w:val="nil"/>
              <w:right w:val="nil"/>
            </w:tcBorders>
            <w:hideMark/>
          </w:tcPr>
          <w:p w:rsidR="009656AB" w:rsidRPr="00360FC0" w:rsidRDefault="000505C3" w:rsidP="00360FC0">
            <w:pPr>
              <w:cnfStyle w:val="000000010000" w:firstRow="0" w:lastRow="0" w:firstColumn="0" w:lastColumn="0" w:oddVBand="0" w:evenVBand="0" w:oddHBand="0" w:evenHBand="1" w:firstRowFirstColumn="0" w:firstRowLastColumn="0" w:lastRowFirstColumn="0" w:lastRowLastColumn="0"/>
            </w:pPr>
            <w:r>
              <w:t>58.0</w:t>
            </w:r>
          </w:p>
        </w:tc>
        <w:tc>
          <w:tcPr>
            <w:tcW w:w="1017" w:type="dxa"/>
            <w:tcBorders>
              <w:top w:val="nil"/>
              <w:left w:val="nil"/>
              <w:bottom w:val="nil"/>
              <w:right w:val="nil"/>
            </w:tcBorders>
            <w:hideMark/>
          </w:tcPr>
          <w:p w:rsidR="009656AB" w:rsidRPr="00360FC0" w:rsidRDefault="000505C3" w:rsidP="00360FC0">
            <w:pPr>
              <w:cnfStyle w:val="000000010000" w:firstRow="0" w:lastRow="0" w:firstColumn="0" w:lastColumn="0" w:oddVBand="0" w:evenVBand="0" w:oddHBand="0" w:evenHBand="1" w:firstRowFirstColumn="0" w:firstRowLastColumn="0" w:lastRowFirstColumn="0" w:lastRowLastColumn="0"/>
            </w:pPr>
            <w:r>
              <w:t>83.9</w:t>
            </w:r>
          </w:p>
        </w:tc>
        <w:tc>
          <w:tcPr>
            <w:tcW w:w="1018" w:type="dxa"/>
            <w:tcBorders>
              <w:top w:val="nil"/>
              <w:left w:val="nil"/>
              <w:bottom w:val="nil"/>
              <w:right w:val="nil"/>
            </w:tcBorders>
            <w:hideMark/>
          </w:tcPr>
          <w:p w:rsidR="009656AB" w:rsidRPr="00360FC0" w:rsidRDefault="000505C3" w:rsidP="00360FC0">
            <w:pPr>
              <w:cnfStyle w:val="000000010000" w:firstRow="0" w:lastRow="0" w:firstColumn="0" w:lastColumn="0" w:oddVBand="0" w:evenVBand="0" w:oddHBand="0" w:evenHBand="1" w:firstRowFirstColumn="0" w:firstRowLastColumn="0" w:lastRowFirstColumn="0" w:lastRowLastColumn="0"/>
            </w:pPr>
            <w:r>
              <w:t>102.9</w:t>
            </w:r>
          </w:p>
        </w:tc>
        <w:tc>
          <w:tcPr>
            <w:tcW w:w="1017" w:type="dxa"/>
            <w:tcBorders>
              <w:top w:val="nil"/>
              <w:left w:val="nil"/>
              <w:bottom w:val="nil"/>
              <w:right w:val="nil"/>
            </w:tcBorders>
            <w:hideMark/>
          </w:tcPr>
          <w:p w:rsidR="009656AB" w:rsidRPr="00360FC0" w:rsidRDefault="000505C3" w:rsidP="00360FC0">
            <w:pPr>
              <w:cnfStyle w:val="000000010000" w:firstRow="0" w:lastRow="0" w:firstColumn="0" w:lastColumn="0" w:oddVBand="0" w:evenVBand="0" w:oddHBand="0" w:evenHBand="1" w:firstRowFirstColumn="0" w:firstRowLastColumn="0" w:lastRowFirstColumn="0" w:lastRowLastColumn="0"/>
            </w:pPr>
            <w:r>
              <w:t>105.8</w:t>
            </w:r>
          </w:p>
        </w:tc>
        <w:tc>
          <w:tcPr>
            <w:tcW w:w="1018" w:type="dxa"/>
            <w:tcBorders>
              <w:top w:val="nil"/>
              <w:left w:val="nil"/>
              <w:bottom w:val="nil"/>
              <w:right w:val="nil"/>
            </w:tcBorders>
            <w:hideMark/>
          </w:tcPr>
          <w:p w:rsidR="009656AB" w:rsidRPr="00360FC0" w:rsidRDefault="000505C3" w:rsidP="00360FC0">
            <w:pPr>
              <w:cnfStyle w:val="000000010000" w:firstRow="0" w:lastRow="0" w:firstColumn="0" w:lastColumn="0" w:oddVBand="0" w:evenVBand="0" w:oddHBand="0" w:evenHBand="1" w:firstRowFirstColumn="0" w:firstRowLastColumn="0" w:lastRowFirstColumn="0" w:lastRowLastColumn="0"/>
            </w:pPr>
            <w:r>
              <w:t>124.3</w:t>
            </w:r>
          </w:p>
        </w:tc>
      </w:tr>
      <w:tr w:rsidR="009656AB" w:rsidRPr="00360FC0" w:rsidTr="00E773DF">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656AB" w:rsidRPr="00360FC0" w:rsidRDefault="009656AB" w:rsidP="00360FC0">
            <w:r w:rsidRPr="00360FC0">
              <w:t xml:space="preserve">Indexation of capital base </w:t>
            </w:r>
          </w:p>
        </w:tc>
        <w:tc>
          <w:tcPr>
            <w:tcW w:w="1017" w:type="dxa"/>
            <w:tcBorders>
              <w:top w:val="nil"/>
              <w:left w:val="nil"/>
              <w:bottom w:val="nil"/>
              <w:right w:val="nil"/>
            </w:tcBorders>
            <w:hideMark/>
          </w:tcPr>
          <w:p w:rsidR="009656AB" w:rsidRPr="00360FC0" w:rsidRDefault="00E93054" w:rsidP="00360FC0">
            <w:pPr>
              <w:cnfStyle w:val="000000000000" w:firstRow="0" w:lastRow="0" w:firstColumn="0" w:lastColumn="0" w:oddVBand="0" w:evenVBand="0" w:oddHBand="0" w:evenHBand="0" w:firstRowFirstColumn="0" w:firstRowLastColumn="0" w:lastRowFirstColumn="0" w:lastRowLastColumn="0"/>
            </w:pPr>
            <w:r>
              <w:t>16.2</w:t>
            </w:r>
          </w:p>
        </w:tc>
        <w:tc>
          <w:tcPr>
            <w:tcW w:w="1017" w:type="dxa"/>
            <w:tcBorders>
              <w:top w:val="nil"/>
              <w:left w:val="nil"/>
              <w:bottom w:val="nil"/>
              <w:right w:val="nil"/>
            </w:tcBorders>
            <w:hideMark/>
          </w:tcPr>
          <w:p w:rsidR="009656AB" w:rsidRPr="00360FC0" w:rsidRDefault="00E93054" w:rsidP="00360FC0">
            <w:pPr>
              <w:cnfStyle w:val="000000000000" w:firstRow="0" w:lastRow="0" w:firstColumn="0" w:lastColumn="0" w:oddVBand="0" w:evenVBand="0" w:oddHBand="0" w:evenHBand="0" w:firstRowFirstColumn="0" w:firstRowLastColumn="0" w:lastRowFirstColumn="0" w:lastRowLastColumn="0"/>
            </w:pPr>
            <w:r>
              <w:t>26.8</w:t>
            </w:r>
          </w:p>
        </w:tc>
        <w:tc>
          <w:tcPr>
            <w:tcW w:w="1018" w:type="dxa"/>
            <w:tcBorders>
              <w:top w:val="nil"/>
              <w:left w:val="nil"/>
              <w:bottom w:val="nil"/>
              <w:right w:val="nil"/>
            </w:tcBorders>
            <w:hideMark/>
          </w:tcPr>
          <w:p w:rsidR="009656AB" w:rsidRPr="00360FC0" w:rsidRDefault="00E93054" w:rsidP="00360FC0">
            <w:pPr>
              <w:cnfStyle w:val="000000000000" w:firstRow="0" w:lastRow="0" w:firstColumn="0" w:lastColumn="0" w:oddVBand="0" w:evenVBand="0" w:oddHBand="0" w:evenHBand="0" w:firstRowFirstColumn="0" w:firstRowLastColumn="0" w:lastRowFirstColumn="0" w:lastRowLastColumn="0"/>
            </w:pPr>
            <w:r>
              <w:t>33.4</w:t>
            </w:r>
          </w:p>
        </w:tc>
        <w:tc>
          <w:tcPr>
            <w:tcW w:w="1017" w:type="dxa"/>
            <w:tcBorders>
              <w:top w:val="nil"/>
              <w:left w:val="nil"/>
              <w:bottom w:val="nil"/>
              <w:right w:val="nil"/>
            </w:tcBorders>
            <w:hideMark/>
          </w:tcPr>
          <w:p w:rsidR="009656AB" w:rsidRPr="00360FC0" w:rsidRDefault="00E93054" w:rsidP="00360FC0">
            <w:pPr>
              <w:cnfStyle w:val="000000000000" w:firstRow="0" w:lastRow="0" w:firstColumn="0" w:lastColumn="0" w:oddVBand="0" w:evenVBand="0" w:oddHBand="0" w:evenHBand="0" w:firstRowFirstColumn="0" w:firstRowLastColumn="0" w:lastRowFirstColumn="0" w:lastRowLastColumn="0"/>
            </w:pPr>
            <w:r>
              <w:t>16.3</w:t>
            </w:r>
          </w:p>
        </w:tc>
        <w:tc>
          <w:tcPr>
            <w:tcW w:w="1018" w:type="dxa"/>
            <w:tcBorders>
              <w:top w:val="nil"/>
              <w:left w:val="nil"/>
              <w:bottom w:val="nil"/>
              <w:right w:val="nil"/>
            </w:tcBorders>
            <w:hideMark/>
          </w:tcPr>
          <w:p w:rsidR="009656AB" w:rsidRPr="00360FC0" w:rsidRDefault="00E93054" w:rsidP="00360FC0">
            <w:pPr>
              <w:cnfStyle w:val="000000000000" w:firstRow="0" w:lastRow="0" w:firstColumn="0" w:lastColumn="0" w:oddVBand="0" w:evenVBand="0" w:oddHBand="0" w:evenHBand="0" w:firstRowFirstColumn="0" w:firstRowLastColumn="0" w:lastRowFirstColumn="0" w:lastRowLastColumn="0"/>
            </w:pPr>
            <w:r>
              <w:t>32.6</w:t>
            </w:r>
          </w:p>
        </w:tc>
      </w:tr>
      <w:tr w:rsidR="009656AB" w:rsidRPr="00360FC0" w:rsidTr="00E773D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656AB" w:rsidRPr="00360FC0" w:rsidRDefault="009656AB" w:rsidP="00360FC0">
            <w:r w:rsidRPr="00360FC0">
              <w:t xml:space="preserve">Depreciation </w:t>
            </w:r>
          </w:p>
        </w:tc>
        <w:tc>
          <w:tcPr>
            <w:tcW w:w="1017" w:type="dxa"/>
            <w:tcBorders>
              <w:top w:val="nil"/>
              <w:left w:val="nil"/>
              <w:bottom w:val="nil"/>
              <w:right w:val="nil"/>
            </w:tcBorders>
            <w:hideMark/>
          </w:tcPr>
          <w:p w:rsidR="009656AB" w:rsidRPr="00360FC0" w:rsidRDefault="009656AB" w:rsidP="00E93054">
            <w:pPr>
              <w:cnfStyle w:val="000000010000" w:firstRow="0" w:lastRow="0" w:firstColumn="0" w:lastColumn="0" w:oddVBand="0" w:evenVBand="0" w:oddHBand="0" w:evenHBand="1" w:firstRowFirstColumn="0" w:firstRowLastColumn="0" w:lastRowFirstColumn="0" w:lastRowLastColumn="0"/>
            </w:pPr>
            <w:r w:rsidRPr="00360FC0">
              <w:t>–27.</w:t>
            </w:r>
            <w:r w:rsidR="00E93054">
              <w:t>5</w:t>
            </w:r>
          </w:p>
        </w:tc>
        <w:tc>
          <w:tcPr>
            <w:tcW w:w="1017" w:type="dxa"/>
            <w:tcBorders>
              <w:top w:val="nil"/>
              <w:left w:val="nil"/>
              <w:bottom w:val="nil"/>
              <w:right w:val="nil"/>
            </w:tcBorders>
            <w:hideMark/>
          </w:tcPr>
          <w:p w:rsidR="009656AB" w:rsidRPr="00360FC0" w:rsidRDefault="009656AB" w:rsidP="00E93054">
            <w:pPr>
              <w:cnfStyle w:val="000000010000" w:firstRow="0" w:lastRow="0" w:firstColumn="0" w:lastColumn="0" w:oddVBand="0" w:evenVBand="0" w:oddHBand="0" w:evenHBand="1" w:firstRowFirstColumn="0" w:firstRowLastColumn="0" w:lastRowFirstColumn="0" w:lastRowLastColumn="0"/>
            </w:pPr>
            <w:r w:rsidRPr="00360FC0">
              <w:t>–4</w:t>
            </w:r>
            <w:r w:rsidR="00E93054">
              <w:t>1.4</w:t>
            </w:r>
          </w:p>
        </w:tc>
        <w:tc>
          <w:tcPr>
            <w:tcW w:w="1018" w:type="dxa"/>
            <w:tcBorders>
              <w:top w:val="nil"/>
              <w:left w:val="nil"/>
              <w:bottom w:val="nil"/>
              <w:right w:val="nil"/>
            </w:tcBorders>
            <w:hideMark/>
          </w:tcPr>
          <w:p w:rsidR="009656AB" w:rsidRPr="00360FC0" w:rsidRDefault="009656AB" w:rsidP="00E93054">
            <w:pPr>
              <w:cnfStyle w:val="000000010000" w:firstRow="0" w:lastRow="0" w:firstColumn="0" w:lastColumn="0" w:oddVBand="0" w:evenVBand="0" w:oddHBand="0" w:evenHBand="1" w:firstRowFirstColumn="0" w:firstRowLastColumn="0" w:lastRowFirstColumn="0" w:lastRowLastColumn="0"/>
            </w:pPr>
            <w:r w:rsidRPr="00360FC0">
              <w:t>–4</w:t>
            </w:r>
            <w:r w:rsidR="00E93054">
              <w:t>5.4</w:t>
            </w:r>
          </w:p>
        </w:tc>
        <w:tc>
          <w:tcPr>
            <w:tcW w:w="1017" w:type="dxa"/>
            <w:tcBorders>
              <w:top w:val="nil"/>
              <w:left w:val="nil"/>
              <w:bottom w:val="nil"/>
              <w:right w:val="nil"/>
            </w:tcBorders>
            <w:hideMark/>
          </w:tcPr>
          <w:p w:rsidR="009656AB" w:rsidRPr="00360FC0" w:rsidRDefault="009656AB" w:rsidP="00E93054">
            <w:pPr>
              <w:cnfStyle w:val="000000010000" w:firstRow="0" w:lastRow="0" w:firstColumn="0" w:lastColumn="0" w:oddVBand="0" w:evenVBand="0" w:oddHBand="0" w:evenHBand="1" w:firstRowFirstColumn="0" w:firstRowLastColumn="0" w:lastRowFirstColumn="0" w:lastRowLastColumn="0"/>
            </w:pPr>
            <w:r w:rsidRPr="00360FC0">
              <w:t>–4</w:t>
            </w:r>
            <w:r w:rsidR="00E93054">
              <w:t>9.9</w:t>
            </w:r>
          </w:p>
        </w:tc>
        <w:tc>
          <w:tcPr>
            <w:tcW w:w="1018" w:type="dxa"/>
            <w:tcBorders>
              <w:top w:val="nil"/>
              <w:left w:val="nil"/>
              <w:bottom w:val="nil"/>
              <w:right w:val="nil"/>
            </w:tcBorders>
            <w:hideMark/>
          </w:tcPr>
          <w:p w:rsidR="009656AB" w:rsidRPr="00360FC0" w:rsidRDefault="009656AB" w:rsidP="00E93054">
            <w:pPr>
              <w:cnfStyle w:val="000000010000" w:firstRow="0" w:lastRow="0" w:firstColumn="0" w:lastColumn="0" w:oddVBand="0" w:evenVBand="0" w:oddHBand="0" w:evenHBand="1" w:firstRowFirstColumn="0" w:firstRowLastColumn="0" w:lastRowFirstColumn="0" w:lastRowLastColumn="0"/>
            </w:pPr>
            <w:r w:rsidRPr="00360FC0">
              <w:t>–5</w:t>
            </w:r>
            <w:r w:rsidR="00E93054">
              <w:t>1.9</w:t>
            </w:r>
          </w:p>
        </w:tc>
      </w:tr>
      <w:tr w:rsidR="00E93054" w:rsidRPr="00360FC0" w:rsidTr="00E773DF">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E93054" w:rsidRPr="00360FC0" w:rsidRDefault="00E93054" w:rsidP="00E93054">
            <w:r w:rsidRPr="00360FC0">
              <w:t>Closing capital base</w:t>
            </w:r>
          </w:p>
        </w:tc>
        <w:tc>
          <w:tcPr>
            <w:tcW w:w="1017" w:type="dxa"/>
            <w:tcBorders>
              <w:top w:val="nil"/>
              <w:left w:val="nil"/>
              <w:bottom w:val="nil"/>
              <w:right w:val="nil"/>
            </w:tcBorders>
            <w:hideMark/>
          </w:tcPr>
          <w:p w:rsidR="00E93054" w:rsidRPr="00E93054" w:rsidRDefault="00E93054" w:rsidP="00E93054">
            <w:pPr>
              <w:cnfStyle w:val="000000000000" w:firstRow="0" w:lastRow="0" w:firstColumn="0" w:lastColumn="0" w:oddVBand="0" w:evenVBand="0" w:oddHBand="0" w:evenHBand="0" w:firstRowFirstColumn="0" w:firstRowLastColumn="0" w:lastRowFirstColumn="0" w:lastRowLastColumn="0"/>
            </w:pPr>
            <w:r w:rsidRPr="00360FC0">
              <w:t>10</w:t>
            </w:r>
            <w:r w:rsidRPr="00E93054">
              <w:t>70.7</w:t>
            </w:r>
          </w:p>
        </w:tc>
        <w:tc>
          <w:tcPr>
            <w:tcW w:w="1017" w:type="dxa"/>
            <w:tcBorders>
              <w:top w:val="nil"/>
              <w:left w:val="nil"/>
              <w:bottom w:val="nil"/>
              <w:right w:val="nil"/>
            </w:tcBorders>
            <w:hideMark/>
          </w:tcPr>
          <w:p w:rsidR="00E93054" w:rsidRPr="00E93054" w:rsidRDefault="00E93054" w:rsidP="00E93054">
            <w:pPr>
              <w:cnfStyle w:val="000000000000" w:firstRow="0" w:lastRow="0" w:firstColumn="0" w:lastColumn="0" w:oddVBand="0" w:evenVBand="0" w:oddHBand="0" w:evenHBand="0" w:firstRowFirstColumn="0" w:firstRowLastColumn="0" w:lastRowFirstColumn="0" w:lastRowLastColumn="0"/>
            </w:pPr>
            <w:r>
              <w:t>1140.0</w:t>
            </w:r>
          </w:p>
        </w:tc>
        <w:tc>
          <w:tcPr>
            <w:tcW w:w="1018" w:type="dxa"/>
            <w:tcBorders>
              <w:top w:val="nil"/>
              <w:left w:val="nil"/>
              <w:bottom w:val="nil"/>
              <w:right w:val="nil"/>
            </w:tcBorders>
            <w:hideMark/>
          </w:tcPr>
          <w:p w:rsidR="00E93054" w:rsidRPr="00E93054" w:rsidRDefault="00E93054" w:rsidP="00E93054">
            <w:pPr>
              <w:cnfStyle w:val="000000000000" w:firstRow="0" w:lastRow="0" w:firstColumn="0" w:lastColumn="0" w:oddVBand="0" w:evenVBand="0" w:oddHBand="0" w:evenHBand="0" w:firstRowFirstColumn="0" w:firstRowLastColumn="0" w:lastRowFirstColumn="0" w:lastRowLastColumn="0"/>
            </w:pPr>
            <w:r>
              <w:t>1230.9</w:t>
            </w:r>
          </w:p>
        </w:tc>
        <w:tc>
          <w:tcPr>
            <w:tcW w:w="1017" w:type="dxa"/>
            <w:tcBorders>
              <w:top w:val="nil"/>
              <w:left w:val="nil"/>
              <w:bottom w:val="nil"/>
              <w:right w:val="nil"/>
            </w:tcBorders>
            <w:hideMark/>
          </w:tcPr>
          <w:p w:rsidR="00E93054" w:rsidRPr="00E93054" w:rsidRDefault="00E93054" w:rsidP="00E93054">
            <w:pPr>
              <w:cnfStyle w:val="000000000000" w:firstRow="0" w:lastRow="0" w:firstColumn="0" w:lastColumn="0" w:oddVBand="0" w:evenVBand="0" w:oddHBand="0" w:evenHBand="0" w:firstRowFirstColumn="0" w:firstRowLastColumn="0" w:lastRowFirstColumn="0" w:lastRowLastColumn="0"/>
            </w:pPr>
            <w:r>
              <w:t>1303.1</w:t>
            </w:r>
          </w:p>
        </w:tc>
        <w:tc>
          <w:tcPr>
            <w:tcW w:w="1018" w:type="dxa"/>
            <w:tcBorders>
              <w:top w:val="nil"/>
              <w:left w:val="nil"/>
              <w:bottom w:val="nil"/>
              <w:right w:val="nil"/>
            </w:tcBorders>
            <w:hideMark/>
          </w:tcPr>
          <w:p w:rsidR="00E93054" w:rsidRPr="00360FC0" w:rsidRDefault="00E93054" w:rsidP="00E93054">
            <w:pPr>
              <w:cnfStyle w:val="000000000000" w:firstRow="0" w:lastRow="0" w:firstColumn="0" w:lastColumn="0" w:oddVBand="0" w:evenVBand="0" w:oddHBand="0" w:evenHBand="0" w:firstRowFirstColumn="0" w:firstRowLastColumn="0" w:lastRowFirstColumn="0" w:lastRowLastColumn="0"/>
            </w:pPr>
            <w:r>
              <w:t>1408.1</w:t>
            </w:r>
          </w:p>
        </w:tc>
      </w:tr>
      <w:tr w:rsidR="009656AB" w:rsidRPr="00360FC0" w:rsidTr="00E773D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9656AB" w:rsidRPr="00360FC0" w:rsidRDefault="009656AB" w:rsidP="00360FC0">
            <w:r w:rsidRPr="00360FC0">
              <w:t xml:space="preserve">Adjustment for 2010–11 </w:t>
            </w:r>
            <w:proofErr w:type="spellStart"/>
            <w:r w:rsidRPr="00360FC0">
              <w:t>capex</w:t>
            </w:r>
            <w:r w:rsidRPr="00E93054">
              <w:rPr>
                <w:rStyle w:val="AERsuperscript"/>
              </w:rPr>
              <w:t>a</w:t>
            </w:r>
            <w:proofErr w:type="spellEnd"/>
          </w:p>
        </w:tc>
        <w:tc>
          <w:tcPr>
            <w:tcW w:w="1017" w:type="dxa"/>
            <w:tcBorders>
              <w:top w:val="nil"/>
              <w:left w:val="nil"/>
              <w:bottom w:val="nil"/>
              <w:right w:val="nil"/>
            </w:tcBorders>
          </w:tcPr>
          <w:p w:rsidR="009656AB" w:rsidRPr="00360FC0" w:rsidRDefault="009656AB" w:rsidP="00360FC0">
            <w:pPr>
              <w:cnfStyle w:val="000000010000" w:firstRow="0" w:lastRow="0" w:firstColumn="0" w:lastColumn="0" w:oddVBand="0" w:evenVBand="0" w:oddHBand="0" w:evenHBand="1" w:firstRowFirstColumn="0" w:firstRowLastColumn="0" w:lastRowFirstColumn="0" w:lastRowLastColumn="0"/>
            </w:pPr>
          </w:p>
        </w:tc>
        <w:tc>
          <w:tcPr>
            <w:tcW w:w="1017" w:type="dxa"/>
            <w:tcBorders>
              <w:top w:val="nil"/>
              <w:left w:val="nil"/>
              <w:bottom w:val="nil"/>
              <w:right w:val="nil"/>
            </w:tcBorders>
          </w:tcPr>
          <w:p w:rsidR="009656AB" w:rsidRPr="00360FC0" w:rsidRDefault="009656AB" w:rsidP="00360FC0">
            <w:pPr>
              <w:cnfStyle w:val="000000010000" w:firstRow="0" w:lastRow="0" w:firstColumn="0" w:lastColumn="0" w:oddVBand="0" w:evenVBand="0" w:oddHBand="0" w:evenHBand="1" w:firstRowFirstColumn="0" w:firstRowLastColumn="0" w:lastRowFirstColumn="0" w:lastRowLastColumn="0"/>
            </w:pPr>
          </w:p>
        </w:tc>
        <w:tc>
          <w:tcPr>
            <w:tcW w:w="1018" w:type="dxa"/>
            <w:tcBorders>
              <w:top w:val="nil"/>
              <w:left w:val="nil"/>
              <w:bottom w:val="nil"/>
              <w:right w:val="nil"/>
            </w:tcBorders>
          </w:tcPr>
          <w:p w:rsidR="009656AB" w:rsidRPr="00360FC0" w:rsidRDefault="009656AB" w:rsidP="00360FC0">
            <w:pPr>
              <w:cnfStyle w:val="000000010000" w:firstRow="0" w:lastRow="0" w:firstColumn="0" w:lastColumn="0" w:oddVBand="0" w:evenVBand="0" w:oddHBand="0" w:evenHBand="1" w:firstRowFirstColumn="0" w:firstRowLastColumn="0" w:lastRowFirstColumn="0" w:lastRowLastColumn="0"/>
            </w:pPr>
          </w:p>
        </w:tc>
        <w:tc>
          <w:tcPr>
            <w:tcW w:w="1017" w:type="dxa"/>
            <w:tcBorders>
              <w:top w:val="nil"/>
              <w:left w:val="nil"/>
              <w:bottom w:val="nil"/>
              <w:right w:val="nil"/>
            </w:tcBorders>
          </w:tcPr>
          <w:p w:rsidR="009656AB" w:rsidRPr="00360FC0" w:rsidRDefault="009656AB" w:rsidP="00360FC0">
            <w:pPr>
              <w:cnfStyle w:val="000000010000" w:firstRow="0" w:lastRow="0" w:firstColumn="0" w:lastColumn="0" w:oddVBand="0" w:evenVBand="0" w:oddHBand="0" w:evenHBand="1" w:firstRowFirstColumn="0" w:firstRowLastColumn="0" w:lastRowFirstColumn="0" w:lastRowLastColumn="0"/>
            </w:pPr>
          </w:p>
        </w:tc>
        <w:tc>
          <w:tcPr>
            <w:tcW w:w="1018" w:type="dxa"/>
            <w:tcBorders>
              <w:top w:val="nil"/>
              <w:left w:val="nil"/>
              <w:bottom w:val="nil"/>
              <w:right w:val="nil"/>
            </w:tcBorders>
            <w:hideMark/>
          </w:tcPr>
          <w:p w:rsidR="009656AB" w:rsidRPr="00360FC0" w:rsidRDefault="009656AB" w:rsidP="00E93054">
            <w:pPr>
              <w:cnfStyle w:val="000000010000" w:firstRow="0" w:lastRow="0" w:firstColumn="0" w:lastColumn="0" w:oddVBand="0" w:evenVBand="0" w:oddHBand="0" w:evenHBand="1" w:firstRowFirstColumn="0" w:firstRowLastColumn="0" w:lastRowFirstColumn="0" w:lastRowLastColumn="0"/>
            </w:pPr>
            <w:r w:rsidRPr="00360FC0">
              <w:t>–</w:t>
            </w:r>
            <w:r w:rsidR="00E93054">
              <w:t>6.7</w:t>
            </w:r>
          </w:p>
        </w:tc>
      </w:tr>
      <w:tr w:rsidR="009656AB" w:rsidRPr="00A51CBC" w:rsidTr="00E773DF">
        <w:trPr>
          <w:trHeight w:val="306"/>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9656AB" w:rsidRPr="00A51CBC" w:rsidRDefault="009656AB" w:rsidP="00360FC0">
            <w:pPr>
              <w:rPr>
                <w:rStyle w:val="Strong"/>
              </w:rPr>
            </w:pPr>
            <w:r w:rsidRPr="00A51CBC">
              <w:rPr>
                <w:rStyle w:val="Strong"/>
              </w:rPr>
              <w:t>Opening capital base at 1 July 2016</w:t>
            </w:r>
          </w:p>
        </w:tc>
        <w:tc>
          <w:tcPr>
            <w:tcW w:w="1017" w:type="dxa"/>
            <w:tcBorders>
              <w:top w:val="nil"/>
              <w:left w:val="nil"/>
              <w:bottom w:val="single" w:sz="4" w:space="0" w:color="365F91"/>
              <w:right w:val="nil"/>
            </w:tcBorders>
          </w:tcPr>
          <w:p w:rsidR="009656AB" w:rsidRPr="00A51CBC" w:rsidRDefault="009656AB" w:rsidP="00360FC0">
            <w:pPr>
              <w:cnfStyle w:val="000000000000" w:firstRow="0" w:lastRow="0" w:firstColumn="0" w:lastColumn="0" w:oddVBand="0" w:evenVBand="0" w:oddHBand="0" w:evenHBand="0" w:firstRowFirstColumn="0" w:firstRowLastColumn="0" w:lastRowFirstColumn="0" w:lastRowLastColumn="0"/>
              <w:rPr>
                <w:rStyle w:val="Strong"/>
              </w:rPr>
            </w:pPr>
          </w:p>
        </w:tc>
        <w:tc>
          <w:tcPr>
            <w:tcW w:w="1017" w:type="dxa"/>
            <w:tcBorders>
              <w:top w:val="nil"/>
              <w:left w:val="nil"/>
              <w:bottom w:val="single" w:sz="4" w:space="0" w:color="365F91"/>
              <w:right w:val="nil"/>
            </w:tcBorders>
          </w:tcPr>
          <w:p w:rsidR="009656AB" w:rsidRPr="00A51CBC" w:rsidRDefault="009656AB" w:rsidP="00360FC0">
            <w:pPr>
              <w:cnfStyle w:val="000000000000" w:firstRow="0" w:lastRow="0" w:firstColumn="0" w:lastColumn="0" w:oddVBand="0" w:evenVBand="0" w:oddHBand="0" w:evenHBand="0" w:firstRowFirstColumn="0" w:firstRowLastColumn="0" w:lastRowFirstColumn="0" w:lastRowLastColumn="0"/>
              <w:rPr>
                <w:rStyle w:val="Strong"/>
              </w:rPr>
            </w:pPr>
          </w:p>
        </w:tc>
        <w:tc>
          <w:tcPr>
            <w:tcW w:w="1018" w:type="dxa"/>
            <w:tcBorders>
              <w:top w:val="nil"/>
              <w:left w:val="nil"/>
              <w:bottom w:val="single" w:sz="4" w:space="0" w:color="365F91"/>
              <w:right w:val="nil"/>
            </w:tcBorders>
          </w:tcPr>
          <w:p w:rsidR="009656AB" w:rsidRPr="00A51CBC" w:rsidRDefault="009656AB" w:rsidP="00360FC0">
            <w:pPr>
              <w:cnfStyle w:val="000000000000" w:firstRow="0" w:lastRow="0" w:firstColumn="0" w:lastColumn="0" w:oddVBand="0" w:evenVBand="0" w:oddHBand="0" w:evenHBand="0" w:firstRowFirstColumn="0" w:firstRowLastColumn="0" w:lastRowFirstColumn="0" w:lastRowLastColumn="0"/>
              <w:rPr>
                <w:rStyle w:val="Strong"/>
              </w:rPr>
            </w:pPr>
          </w:p>
        </w:tc>
        <w:tc>
          <w:tcPr>
            <w:tcW w:w="1017" w:type="dxa"/>
            <w:tcBorders>
              <w:top w:val="nil"/>
              <w:left w:val="nil"/>
              <w:bottom w:val="single" w:sz="4" w:space="0" w:color="365F91"/>
              <w:right w:val="nil"/>
            </w:tcBorders>
          </w:tcPr>
          <w:p w:rsidR="009656AB" w:rsidRPr="00A51CBC" w:rsidRDefault="009656AB" w:rsidP="00360FC0">
            <w:pPr>
              <w:cnfStyle w:val="000000000000" w:firstRow="0" w:lastRow="0" w:firstColumn="0" w:lastColumn="0" w:oddVBand="0" w:evenVBand="0" w:oddHBand="0" w:evenHBand="0" w:firstRowFirstColumn="0" w:firstRowLastColumn="0" w:lastRowFirstColumn="0" w:lastRowLastColumn="0"/>
              <w:rPr>
                <w:rStyle w:val="Strong"/>
              </w:rPr>
            </w:pPr>
          </w:p>
        </w:tc>
        <w:tc>
          <w:tcPr>
            <w:tcW w:w="1018" w:type="dxa"/>
            <w:tcBorders>
              <w:top w:val="nil"/>
              <w:left w:val="nil"/>
              <w:bottom w:val="single" w:sz="4" w:space="0" w:color="365F91"/>
              <w:right w:val="nil"/>
            </w:tcBorders>
            <w:hideMark/>
          </w:tcPr>
          <w:p w:rsidR="009656AB" w:rsidRPr="00A51CBC" w:rsidRDefault="00E93054" w:rsidP="00360FC0">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1401.3</w:t>
            </w:r>
          </w:p>
        </w:tc>
      </w:tr>
    </w:tbl>
    <w:p w:rsidR="009656AB" w:rsidRPr="009656AB" w:rsidRDefault="009656AB" w:rsidP="009656AB">
      <w:pPr>
        <w:pStyle w:val="AERtablesource"/>
        <w:rPr>
          <w:rStyle w:val="AERtextitalic"/>
          <w:rFonts w:eastAsia="Calibri"/>
        </w:rPr>
      </w:pPr>
      <w:r w:rsidRPr="009656AB">
        <w:rPr>
          <w:rFonts w:eastAsia="Calibri"/>
        </w:rPr>
        <w:t xml:space="preserve">Source: </w:t>
      </w:r>
      <w:r w:rsidRPr="009656AB">
        <w:rPr>
          <w:rFonts w:eastAsia="Calibri"/>
        </w:rPr>
        <w:tab/>
      </w:r>
      <w:proofErr w:type="gramStart"/>
      <w:r w:rsidRPr="009656AB">
        <w:rPr>
          <w:rFonts w:eastAsia="Calibri"/>
        </w:rPr>
        <w:t>AGN,</w:t>
      </w:r>
      <w:proofErr w:type="gramEnd"/>
      <w:r w:rsidRPr="009656AB">
        <w:rPr>
          <w:rFonts w:eastAsia="Calibri"/>
        </w:rPr>
        <w:t xml:space="preserve"> </w:t>
      </w:r>
      <w:r w:rsidR="00360FC0">
        <w:rPr>
          <w:rStyle w:val="AERtextitalic"/>
          <w:rFonts w:eastAsia="Calibri"/>
        </w:rPr>
        <w:t xml:space="preserve">Revised proposed RFM, </w:t>
      </w:r>
      <w:r w:rsidR="00360FC0" w:rsidRPr="00360FC0">
        <w:rPr>
          <w:rStyle w:val="AERtextsize8"/>
          <w:rFonts w:eastAsia="Calibri"/>
        </w:rPr>
        <w:t>January 2016</w:t>
      </w:r>
      <w:r w:rsidRPr="00360FC0">
        <w:rPr>
          <w:rStyle w:val="AERtextsize8"/>
          <w:rFonts w:eastAsia="Calibri"/>
        </w:rPr>
        <w:t>.</w:t>
      </w:r>
    </w:p>
    <w:p w:rsidR="00E93054" w:rsidRDefault="009656AB" w:rsidP="00E93054">
      <w:pPr>
        <w:pStyle w:val="AERtablesource"/>
        <w:rPr>
          <w:rFonts w:eastAsia="Calibri"/>
        </w:rPr>
      </w:pPr>
      <w:r w:rsidRPr="009656AB">
        <w:rPr>
          <w:rFonts w:eastAsia="Calibri"/>
        </w:rPr>
        <w:t>(a)</w:t>
      </w:r>
      <w:r w:rsidRPr="009656AB">
        <w:rPr>
          <w:rFonts w:eastAsia="Calibri"/>
        </w:rPr>
        <w:tab/>
        <w:t xml:space="preserve">Comprising the difference </w:t>
      </w:r>
      <w:r>
        <w:t xml:space="preserve">between the actual and estimated capex for 2010–11 </w:t>
      </w:r>
      <w:r w:rsidRPr="009656AB">
        <w:rPr>
          <w:rFonts w:eastAsia="Calibri"/>
        </w:rPr>
        <w:t xml:space="preserve">and the return on that </w:t>
      </w:r>
      <w:r>
        <w:t>difference</w:t>
      </w:r>
      <w:r w:rsidRPr="009656AB">
        <w:rPr>
          <w:rFonts w:eastAsia="Calibri"/>
        </w:rPr>
        <w:t>.</w:t>
      </w:r>
    </w:p>
    <w:p w:rsidR="009656AB" w:rsidRPr="009656AB" w:rsidRDefault="00FE62BF" w:rsidP="00FE62BF">
      <w:r>
        <w:t xml:space="preserve">AGN did not adopt our draft decision on the projected closing capital base at 30 June 2021. Instead, AGN's revised proposal submitted a projected closing capital base </w:t>
      </w:r>
      <w:r w:rsidR="009656AB" w:rsidRPr="009656AB">
        <w:t>at 30 June 2021 of $</w:t>
      </w:r>
      <w:r w:rsidR="00C25DCD">
        <w:t>1980.8</w:t>
      </w:r>
      <w:r w:rsidR="009656AB" w:rsidRPr="009656AB">
        <w:t xml:space="preserve"> million ($nominal). </w:t>
      </w:r>
      <w:r>
        <w:t>This value reflects its revised proposed opening capital base at 1 July</w:t>
      </w:r>
      <w:r w:rsidR="009656AB" w:rsidRPr="009656AB">
        <w:t xml:space="preserve"> 2016</w:t>
      </w:r>
      <w:r>
        <w:t>,</w:t>
      </w:r>
      <w:r w:rsidR="009656AB" w:rsidRPr="009656AB">
        <w:t xml:space="preserve"> forecast net capex, depreciation and inflation. The projected roll forward of the capital base during the 2016–21 access arrangement </w:t>
      </w:r>
      <w:proofErr w:type="gramStart"/>
      <w:r w:rsidR="009656AB" w:rsidRPr="009656AB">
        <w:t>period</w:t>
      </w:r>
      <w:proofErr w:type="gramEnd"/>
      <w:r w:rsidR="009656AB" w:rsidRPr="009656AB">
        <w:t xml:space="preserve"> is shown in</w:t>
      </w:r>
      <w:r w:rsidR="009656AB">
        <w:t xml:space="preserve"> </w:t>
      </w:r>
      <w:r w:rsidR="009656AB">
        <w:fldChar w:fldCharType="begin"/>
      </w:r>
      <w:r w:rsidR="009656AB">
        <w:instrText xml:space="preserve"> REF _Ref398219730 \h  \* MERGEFORMAT </w:instrText>
      </w:r>
      <w:r w:rsidR="009656AB">
        <w:fldChar w:fldCharType="separate"/>
      </w:r>
      <w:r w:rsidR="009656AB">
        <w:t xml:space="preserve">Table </w:t>
      </w:r>
      <w:r w:rsidR="009656AB" w:rsidRPr="009656AB">
        <w:t>2.4</w:t>
      </w:r>
      <w:r w:rsidR="009656AB">
        <w:fldChar w:fldCharType="end"/>
      </w:r>
      <w:r w:rsidR="009656AB" w:rsidRPr="009656AB">
        <w:t xml:space="preserve">. </w:t>
      </w:r>
    </w:p>
    <w:p w:rsidR="009656AB" w:rsidRPr="009656AB" w:rsidRDefault="009656AB" w:rsidP="009656AB">
      <w:pPr>
        <w:pStyle w:val="Caption"/>
      </w:pPr>
      <w:bookmarkStart w:id="24" w:name="_Ref398219730"/>
      <w:bookmarkStart w:id="25" w:name="_Ref329098245"/>
      <w:proofErr w:type="gramStart"/>
      <w:r>
        <w:t xml:space="preserve">Table </w:t>
      </w:r>
      <w:proofErr w:type="gramEnd"/>
      <w:r w:rsidR="00C30468">
        <w:fldChar w:fldCharType="begin"/>
      </w:r>
      <w:r w:rsidR="00C30468">
        <w:instrText xml:space="preserve"> STYLEREF 1 \s </w:instrText>
      </w:r>
      <w:r w:rsidR="00C30468">
        <w:fldChar w:fldCharType="separate"/>
      </w:r>
      <w:r w:rsidRPr="009656AB">
        <w:t>2</w:t>
      </w:r>
      <w:r w:rsidR="00C30468">
        <w:fldChar w:fldCharType="end"/>
      </w:r>
      <w:proofErr w:type="gramStart"/>
      <w:r w:rsidRPr="009656AB">
        <w:t>.</w:t>
      </w:r>
      <w:proofErr w:type="gramEnd"/>
      <w:r w:rsidR="00933BD8">
        <w:fldChar w:fldCharType="begin"/>
      </w:r>
      <w:r w:rsidR="00933BD8">
        <w:instrText xml:space="preserve"> SEQ Table \* ARABIC \s 1 </w:instrText>
      </w:r>
      <w:r w:rsidR="00933BD8">
        <w:fldChar w:fldCharType="separate"/>
      </w:r>
      <w:r w:rsidRPr="009656AB">
        <w:t>4</w:t>
      </w:r>
      <w:r w:rsidR="00933BD8">
        <w:fldChar w:fldCharType="end"/>
      </w:r>
      <w:bookmarkEnd w:id="24"/>
      <w:r w:rsidRPr="009656AB">
        <w:tab/>
        <w:t>AGN’s</w:t>
      </w:r>
      <w:r w:rsidR="0022021A">
        <w:t xml:space="preserve"> revised</w:t>
      </w:r>
      <w:r w:rsidRPr="009656AB">
        <w:t xml:space="preserve"> proposed projected capital base roll forward during the 2016–21 access arrangement period ($million, nominal)</w:t>
      </w:r>
      <w:bookmarkEnd w:id="25"/>
    </w:p>
    <w:tbl>
      <w:tblPr>
        <w:tblStyle w:val="AERtable-numbers"/>
        <w:tblW w:w="8731" w:type="dxa"/>
        <w:tblLook w:val="04A0" w:firstRow="1" w:lastRow="0" w:firstColumn="1" w:lastColumn="0" w:noHBand="0" w:noVBand="1"/>
      </w:tblPr>
      <w:tblGrid>
        <w:gridCol w:w="3176"/>
        <w:gridCol w:w="1111"/>
        <w:gridCol w:w="1111"/>
        <w:gridCol w:w="1111"/>
        <w:gridCol w:w="1111"/>
        <w:gridCol w:w="1111"/>
      </w:tblGrid>
      <w:tr w:rsidR="009656AB" w:rsidRPr="00A51CBC" w:rsidTr="00E773DF">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176" w:type="dxa"/>
            <w:tcBorders>
              <w:top w:val="nil"/>
              <w:left w:val="nil"/>
              <w:bottom w:val="nil"/>
              <w:right w:val="nil"/>
            </w:tcBorders>
            <w:hideMark/>
          </w:tcPr>
          <w:p w:rsidR="009656AB" w:rsidRPr="00A51CBC" w:rsidRDefault="009656AB" w:rsidP="00A51CBC"/>
        </w:tc>
        <w:tc>
          <w:tcPr>
            <w:tcW w:w="1111" w:type="dxa"/>
            <w:tcBorders>
              <w:top w:val="nil"/>
              <w:left w:val="nil"/>
              <w:bottom w:val="nil"/>
              <w:right w:val="nil"/>
            </w:tcBorders>
            <w:hideMark/>
          </w:tcPr>
          <w:p w:rsidR="009656AB" w:rsidRPr="00A51CBC" w:rsidRDefault="009656AB" w:rsidP="00A51CBC">
            <w:pPr>
              <w:cnfStyle w:val="100000000000" w:firstRow="1" w:lastRow="0" w:firstColumn="0" w:lastColumn="0" w:oddVBand="0" w:evenVBand="0" w:oddHBand="0" w:evenHBand="0" w:firstRowFirstColumn="0" w:firstRowLastColumn="0" w:lastRowFirstColumn="0" w:lastRowLastColumn="0"/>
            </w:pPr>
            <w:r w:rsidRPr="00A51CBC">
              <w:t>2016–17</w:t>
            </w:r>
          </w:p>
        </w:tc>
        <w:tc>
          <w:tcPr>
            <w:tcW w:w="1111" w:type="dxa"/>
            <w:tcBorders>
              <w:top w:val="nil"/>
              <w:left w:val="nil"/>
              <w:bottom w:val="nil"/>
              <w:right w:val="nil"/>
            </w:tcBorders>
            <w:hideMark/>
          </w:tcPr>
          <w:p w:rsidR="009656AB" w:rsidRPr="00A51CBC" w:rsidRDefault="009656AB" w:rsidP="00A51CBC">
            <w:pPr>
              <w:cnfStyle w:val="100000000000" w:firstRow="1" w:lastRow="0" w:firstColumn="0" w:lastColumn="0" w:oddVBand="0" w:evenVBand="0" w:oddHBand="0" w:evenHBand="0" w:firstRowFirstColumn="0" w:firstRowLastColumn="0" w:lastRowFirstColumn="0" w:lastRowLastColumn="0"/>
            </w:pPr>
            <w:r w:rsidRPr="00A51CBC">
              <w:t>2017–18</w:t>
            </w:r>
          </w:p>
        </w:tc>
        <w:tc>
          <w:tcPr>
            <w:tcW w:w="1111" w:type="dxa"/>
            <w:tcBorders>
              <w:top w:val="nil"/>
              <w:left w:val="nil"/>
              <w:bottom w:val="nil"/>
              <w:right w:val="nil"/>
            </w:tcBorders>
            <w:hideMark/>
          </w:tcPr>
          <w:p w:rsidR="009656AB" w:rsidRPr="00A51CBC" w:rsidRDefault="009656AB" w:rsidP="00A51CBC">
            <w:pPr>
              <w:cnfStyle w:val="100000000000" w:firstRow="1" w:lastRow="0" w:firstColumn="0" w:lastColumn="0" w:oddVBand="0" w:evenVBand="0" w:oddHBand="0" w:evenHBand="0" w:firstRowFirstColumn="0" w:firstRowLastColumn="0" w:lastRowFirstColumn="0" w:lastRowLastColumn="0"/>
            </w:pPr>
            <w:r w:rsidRPr="00A51CBC">
              <w:t>2018–19</w:t>
            </w:r>
          </w:p>
        </w:tc>
        <w:tc>
          <w:tcPr>
            <w:tcW w:w="1111" w:type="dxa"/>
            <w:tcBorders>
              <w:top w:val="nil"/>
              <w:left w:val="nil"/>
              <w:bottom w:val="nil"/>
              <w:right w:val="nil"/>
            </w:tcBorders>
            <w:hideMark/>
          </w:tcPr>
          <w:p w:rsidR="009656AB" w:rsidRPr="00A51CBC" w:rsidRDefault="009656AB" w:rsidP="00A51CBC">
            <w:pPr>
              <w:cnfStyle w:val="100000000000" w:firstRow="1" w:lastRow="0" w:firstColumn="0" w:lastColumn="0" w:oddVBand="0" w:evenVBand="0" w:oddHBand="0" w:evenHBand="0" w:firstRowFirstColumn="0" w:firstRowLastColumn="0" w:lastRowFirstColumn="0" w:lastRowLastColumn="0"/>
            </w:pPr>
            <w:r w:rsidRPr="00A51CBC">
              <w:t>2019–20</w:t>
            </w:r>
          </w:p>
        </w:tc>
        <w:tc>
          <w:tcPr>
            <w:tcW w:w="1111" w:type="dxa"/>
            <w:tcBorders>
              <w:top w:val="nil"/>
              <w:left w:val="nil"/>
              <w:bottom w:val="nil"/>
              <w:right w:val="nil"/>
            </w:tcBorders>
            <w:hideMark/>
          </w:tcPr>
          <w:p w:rsidR="009656AB" w:rsidRPr="00A51CBC" w:rsidRDefault="009656AB" w:rsidP="00A51CBC">
            <w:pPr>
              <w:cnfStyle w:val="100000000000" w:firstRow="1" w:lastRow="0" w:firstColumn="0" w:lastColumn="0" w:oddVBand="0" w:evenVBand="0" w:oddHBand="0" w:evenHBand="0" w:firstRowFirstColumn="0" w:firstRowLastColumn="0" w:lastRowFirstColumn="0" w:lastRowLastColumn="0"/>
            </w:pPr>
            <w:r w:rsidRPr="00A51CBC">
              <w:t>2020–21</w:t>
            </w:r>
          </w:p>
        </w:tc>
      </w:tr>
      <w:tr w:rsidR="009656AB" w:rsidRPr="00A51CBC" w:rsidTr="00E773DF">
        <w:trPr>
          <w:trHeight w:val="241"/>
        </w:trPr>
        <w:tc>
          <w:tcPr>
            <w:cnfStyle w:val="001000000000" w:firstRow="0" w:lastRow="0" w:firstColumn="1" w:lastColumn="0" w:oddVBand="0" w:evenVBand="0" w:oddHBand="0" w:evenHBand="0" w:firstRowFirstColumn="0" w:firstRowLastColumn="0" w:lastRowFirstColumn="0" w:lastRowLastColumn="0"/>
            <w:tcW w:w="3176" w:type="dxa"/>
            <w:tcBorders>
              <w:top w:val="nil"/>
              <w:left w:val="nil"/>
              <w:bottom w:val="nil"/>
              <w:right w:val="nil"/>
            </w:tcBorders>
            <w:hideMark/>
          </w:tcPr>
          <w:p w:rsidR="009656AB" w:rsidRPr="00A51CBC" w:rsidRDefault="009656AB" w:rsidP="00A51CBC">
            <w:r w:rsidRPr="00A51CBC">
              <w:t>Opening capital base</w:t>
            </w:r>
          </w:p>
        </w:tc>
        <w:tc>
          <w:tcPr>
            <w:tcW w:w="1111" w:type="dxa"/>
            <w:tcBorders>
              <w:top w:val="nil"/>
              <w:left w:val="nil"/>
              <w:bottom w:val="nil"/>
              <w:right w:val="nil"/>
            </w:tcBorders>
            <w:hideMark/>
          </w:tcPr>
          <w:p w:rsidR="009656AB" w:rsidRPr="00A51CBC" w:rsidRDefault="007C715E" w:rsidP="00A51CBC">
            <w:pPr>
              <w:cnfStyle w:val="000000000000" w:firstRow="0" w:lastRow="0" w:firstColumn="0" w:lastColumn="0" w:oddVBand="0" w:evenVBand="0" w:oddHBand="0" w:evenHBand="0" w:firstRowFirstColumn="0" w:firstRowLastColumn="0" w:lastRowFirstColumn="0" w:lastRowLastColumn="0"/>
            </w:pPr>
            <w:r>
              <w:t>1401.3</w:t>
            </w:r>
          </w:p>
        </w:tc>
        <w:tc>
          <w:tcPr>
            <w:tcW w:w="1111" w:type="dxa"/>
            <w:tcBorders>
              <w:top w:val="nil"/>
              <w:left w:val="nil"/>
              <w:bottom w:val="nil"/>
              <w:right w:val="nil"/>
            </w:tcBorders>
            <w:hideMark/>
          </w:tcPr>
          <w:p w:rsidR="009656AB" w:rsidRPr="00A51CBC" w:rsidRDefault="007C715E" w:rsidP="00A51CBC">
            <w:pPr>
              <w:cnfStyle w:val="000000000000" w:firstRow="0" w:lastRow="0" w:firstColumn="0" w:lastColumn="0" w:oddVBand="0" w:evenVBand="0" w:oddHBand="0" w:evenHBand="0" w:firstRowFirstColumn="0" w:firstRowLastColumn="0" w:lastRowFirstColumn="0" w:lastRowLastColumn="0"/>
            </w:pPr>
            <w:r>
              <w:t>1514.4</w:t>
            </w:r>
          </w:p>
        </w:tc>
        <w:tc>
          <w:tcPr>
            <w:tcW w:w="1111" w:type="dxa"/>
            <w:tcBorders>
              <w:top w:val="nil"/>
              <w:left w:val="nil"/>
              <w:bottom w:val="nil"/>
              <w:right w:val="nil"/>
            </w:tcBorders>
            <w:hideMark/>
          </w:tcPr>
          <w:p w:rsidR="009656AB" w:rsidRPr="00A51CBC" w:rsidRDefault="007C715E" w:rsidP="00A51CBC">
            <w:pPr>
              <w:cnfStyle w:val="000000000000" w:firstRow="0" w:lastRow="0" w:firstColumn="0" w:lastColumn="0" w:oddVBand="0" w:evenVBand="0" w:oddHBand="0" w:evenHBand="0" w:firstRowFirstColumn="0" w:firstRowLastColumn="0" w:lastRowFirstColumn="0" w:lastRowLastColumn="0"/>
            </w:pPr>
            <w:r>
              <w:t>1640.9</w:t>
            </w:r>
          </w:p>
        </w:tc>
        <w:tc>
          <w:tcPr>
            <w:tcW w:w="1111" w:type="dxa"/>
            <w:tcBorders>
              <w:top w:val="nil"/>
              <w:left w:val="nil"/>
              <w:bottom w:val="nil"/>
              <w:right w:val="nil"/>
            </w:tcBorders>
            <w:hideMark/>
          </w:tcPr>
          <w:p w:rsidR="009656AB" w:rsidRPr="00A51CBC" w:rsidRDefault="007C715E" w:rsidP="00A51CBC">
            <w:pPr>
              <w:cnfStyle w:val="000000000000" w:firstRow="0" w:lastRow="0" w:firstColumn="0" w:lastColumn="0" w:oddVBand="0" w:evenVBand="0" w:oddHBand="0" w:evenHBand="0" w:firstRowFirstColumn="0" w:firstRowLastColumn="0" w:lastRowFirstColumn="0" w:lastRowLastColumn="0"/>
            </w:pPr>
            <w:r>
              <w:t>1753.4</w:t>
            </w:r>
          </w:p>
        </w:tc>
        <w:tc>
          <w:tcPr>
            <w:tcW w:w="1111" w:type="dxa"/>
            <w:tcBorders>
              <w:top w:val="nil"/>
              <w:left w:val="nil"/>
              <w:bottom w:val="nil"/>
              <w:right w:val="nil"/>
            </w:tcBorders>
            <w:hideMark/>
          </w:tcPr>
          <w:p w:rsidR="009656AB" w:rsidRPr="00A51CBC" w:rsidRDefault="007C715E" w:rsidP="00A51CBC">
            <w:pPr>
              <w:cnfStyle w:val="000000000000" w:firstRow="0" w:lastRow="0" w:firstColumn="0" w:lastColumn="0" w:oddVBand="0" w:evenVBand="0" w:oddHBand="0" w:evenHBand="0" w:firstRowFirstColumn="0" w:firstRowLastColumn="0" w:lastRowFirstColumn="0" w:lastRowLastColumn="0"/>
            </w:pPr>
            <w:r>
              <w:t>1886.7</w:t>
            </w:r>
          </w:p>
        </w:tc>
      </w:tr>
      <w:tr w:rsidR="009656AB" w:rsidRPr="00A51CBC" w:rsidTr="007C715E">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176" w:type="dxa"/>
            <w:tcBorders>
              <w:top w:val="nil"/>
              <w:left w:val="nil"/>
              <w:bottom w:val="nil"/>
              <w:right w:val="nil"/>
            </w:tcBorders>
            <w:hideMark/>
          </w:tcPr>
          <w:p w:rsidR="009656AB" w:rsidRPr="00A51CBC" w:rsidRDefault="009656AB" w:rsidP="00A51CBC">
            <w:r w:rsidRPr="00A51CBC">
              <w:t xml:space="preserve">Net capex </w:t>
            </w:r>
          </w:p>
        </w:tc>
        <w:tc>
          <w:tcPr>
            <w:tcW w:w="1111" w:type="dxa"/>
            <w:tcBorders>
              <w:top w:val="nil"/>
              <w:left w:val="nil"/>
              <w:bottom w:val="nil"/>
              <w:right w:val="nil"/>
            </w:tcBorders>
          </w:tcPr>
          <w:p w:rsidR="009656AB" w:rsidRPr="00A51CBC" w:rsidRDefault="007C715E" w:rsidP="00A51CBC">
            <w:pPr>
              <w:cnfStyle w:val="000000010000" w:firstRow="0" w:lastRow="0" w:firstColumn="0" w:lastColumn="0" w:oddVBand="0" w:evenVBand="0" w:oddHBand="0" w:evenHBand="1" w:firstRowFirstColumn="0" w:firstRowLastColumn="0" w:lastRowFirstColumn="0" w:lastRowLastColumn="0"/>
            </w:pPr>
            <w:r>
              <w:t>129.5</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146.5</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137.9</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163.8</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124.3</w:t>
            </w:r>
          </w:p>
        </w:tc>
      </w:tr>
      <w:tr w:rsidR="009656AB" w:rsidRPr="00A51CBC" w:rsidTr="008C299B">
        <w:trPr>
          <w:trHeight w:val="241"/>
        </w:trPr>
        <w:tc>
          <w:tcPr>
            <w:cnfStyle w:val="001000000000" w:firstRow="0" w:lastRow="0" w:firstColumn="1" w:lastColumn="0" w:oddVBand="0" w:evenVBand="0" w:oddHBand="0" w:evenHBand="0" w:firstRowFirstColumn="0" w:firstRowLastColumn="0" w:lastRowFirstColumn="0" w:lastRowLastColumn="0"/>
            <w:tcW w:w="3176" w:type="dxa"/>
            <w:tcBorders>
              <w:top w:val="nil"/>
              <w:left w:val="nil"/>
              <w:bottom w:val="nil"/>
              <w:right w:val="nil"/>
            </w:tcBorders>
            <w:hideMark/>
          </w:tcPr>
          <w:p w:rsidR="009656AB" w:rsidRPr="00A51CBC" w:rsidRDefault="009656AB" w:rsidP="00A51CBC">
            <w:r w:rsidRPr="00A51CBC">
              <w:t>Indexation of capital base</w:t>
            </w:r>
          </w:p>
        </w:tc>
        <w:tc>
          <w:tcPr>
            <w:tcW w:w="1111" w:type="dxa"/>
            <w:tcBorders>
              <w:top w:val="nil"/>
              <w:left w:val="nil"/>
              <w:bottom w:val="nil"/>
              <w:right w:val="nil"/>
            </w:tcBorders>
          </w:tcPr>
          <w:p w:rsidR="009656AB" w:rsidRPr="00A51CBC" w:rsidRDefault="008C299B" w:rsidP="00A51CBC">
            <w:pPr>
              <w:cnfStyle w:val="000000000000" w:firstRow="0" w:lastRow="0" w:firstColumn="0" w:lastColumn="0" w:oddVBand="0" w:evenVBand="0" w:oddHBand="0" w:evenHBand="0" w:firstRowFirstColumn="0" w:firstRowLastColumn="0" w:lastRowFirstColumn="0" w:lastRowLastColumn="0"/>
            </w:pPr>
            <w:r>
              <w:t>28.2</w:t>
            </w:r>
          </w:p>
        </w:tc>
        <w:tc>
          <w:tcPr>
            <w:tcW w:w="1111" w:type="dxa"/>
            <w:tcBorders>
              <w:top w:val="nil"/>
              <w:left w:val="nil"/>
              <w:bottom w:val="nil"/>
              <w:right w:val="nil"/>
            </w:tcBorders>
          </w:tcPr>
          <w:p w:rsidR="009656AB" w:rsidRPr="00A51CBC" w:rsidRDefault="008C299B" w:rsidP="00A51CBC">
            <w:pPr>
              <w:cnfStyle w:val="000000000000" w:firstRow="0" w:lastRow="0" w:firstColumn="0" w:lastColumn="0" w:oddVBand="0" w:evenVBand="0" w:oddHBand="0" w:evenHBand="0" w:firstRowFirstColumn="0" w:firstRowLastColumn="0" w:lastRowFirstColumn="0" w:lastRowLastColumn="0"/>
            </w:pPr>
            <w:r>
              <w:t>30.4</w:t>
            </w:r>
          </w:p>
        </w:tc>
        <w:tc>
          <w:tcPr>
            <w:tcW w:w="1111" w:type="dxa"/>
            <w:tcBorders>
              <w:top w:val="nil"/>
              <w:left w:val="nil"/>
              <w:bottom w:val="nil"/>
              <w:right w:val="nil"/>
            </w:tcBorders>
          </w:tcPr>
          <w:p w:rsidR="009656AB" w:rsidRPr="00A51CBC" w:rsidRDefault="008C299B" w:rsidP="00A51CBC">
            <w:pPr>
              <w:cnfStyle w:val="000000000000" w:firstRow="0" w:lastRow="0" w:firstColumn="0" w:lastColumn="0" w:oddVBand="0" w:evenVBand="0" w:oddHBand="0" w:evenHBand="0" w:firstRowFirstColumn="0" w:firstRowLastColumn="0" w:lastRowFirstColumn="0" w:lastRowLastColumn="0"/>
            </w:pPr>
            <w:r>
              <w:t>33.0</w:t>
            </w:r>
          </w:p>
        </w:tc>
        <w:tc>
          <w:tcPr>
            <w:tcW w:w="1111" w:type="dxa"/>
            <w:tcBorders>
              <w:top w:val="nil"/>
              <w:left w:val="nil"/>
              <w:bottom w:val="nil"/>
              <w:right w:val="nil"/>
            </w:tcBorders>
          </w:tcPr>
          <w:p w:rsidR="009656AB" w:rsidRPr="00A51CBC" w:rsidRDefault="008C299B" w:rsidP="00A51CBC">
            <w:pPr>
              <w:cnfStyle w:val="000000000000" w:firstRow="0" w:lastRow="0" w:firstColumn="0" w:lastColumn="0" w:oddVBand="0" w:evenVBand="0" w:oddHBand="0" w:evenHBand="0" w:firstRowFirstColumn="0" w:firstRowLastColumn="0" w:lastRowFirstColumn="0" w:lastRowLastColumn="0"/>
            </w:pPr>
            <w:r>
              <w:t>35.2</w:t>
            </w:r>
          </w:p>
        </w:tc>
        <w:tc>
          <w:tcPr>
            <w:tcW w:w="1111" w:type="dxa"/>
            <w:tcBorders>
              <w:top w:val="nil"/>
              <w:left w:val="nil"/>
              <w:bottom w:val="nil"/>
              <w:right w:val="nil"/>
            </w:tcBorders>
          </w:tcPr>
          <w:p w:rsidR="009656AB" w:rsidRPr="00A51CBC" w:rsidRDefault="008C299B" w:rsidP="00A51CBC">
            <w:pPr>
              <w:cnfStyle w:val="000000000000" w:firstRow="0" w:lastRow="0" w:firstColumn="0" w:lastColumn="0" w:oddVBand="0" w:evenVBand="0" w:oddHBand="0" w:evenHBand="0" w:firstRowFirstColumn="0" w:firstRowLastColumn="0" w:lastRowFirstColumn="0" w:lastRowLastColumn="0"/>
            </w:pPr>
            <w:r>
              <w:t>37.9</w:t>
            </w:r>
          </w:p>
        </w:tc>
      </w:tr>
      <w:tr w:rsidR="009656AB" w:rsidRPr="00A51CBC" w:rsidTr="008C299B">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176" w:type="dxa"/>
            <w:tcBorders>
              <w:top w:val="nil"/>
              <w:left w:val="nil"/>
              <w:bottom w:val="nil"/>
              <w:right w:val="nil"/>
            </w:tcBorders>
            <w:hideMark/>
          </w:tcPr>
          <w:p w:rsidR="009656AB" w:rsidRPr="00A51CBC" w:rsidRDefault="009656AB" w:rsidP="00A51CBC">
            <w:r w:rsidRPr="00A51CBC">
              <w:t>Depreciation</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–44.6</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–50.4</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–58.4</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–65.8</w:t>
            </w:r>
          </w:p>
        </w:tc>
        <w:tc>
          <w:tcPr>
            <w:tcW w:w="1111" w:type="dxa"/>
            <w:tcBorders>
              <w:top w:val="nil"/>
              <w:left w:val="nil"/>
              <w:bottom w:val="nil"/>
              <w:right w:val="nil"/>
            </w:tcBorders>
          </w:tcPr>
          <w:p w:rsidR="009656AB" w:rsidRPr="00A51CBC" w:rsidRDefault="008C299B" w:rsidP="00A51CBC">
            <w:pPr>
              <w:cnfStyle w:val="000000010000" w:firstRow="0" w:lastRow="0" w:firstColumn="0" w:lastColumn="0" w:oddVBand="0" w:evenVBand="0" w:oddHBand="0" w:evenHBand="1" w:firstRowFirstColumn="0" w:firstRowLastColumn="0" w:lastRowFirstColumn="0" w:lastRowLastColumn="0"/>
            </w:pPr>
            <w:r>
              <w:t>–68.1</w:t>
            </w:r>
          </w:p>
        </w:tc>
      </w:tr>
      <w:tr w:rsidR="008C299B" w:rsidRPr="00A51CBC" w:rsidTr="00E773DF">
        <w:trPr>
          <w:trHeight w:val="241"/>
        </w:trPr>
        <w:tc>
          <w:tcPr>
            <w:cnfStyle w:val="001000000000" w:firstRow="0" w:lastRow="0" w:firstColumn="1" w:lastColumn="0" w:oddVBand="0" w:evenVBand="0" w:oddHBand="0" w:evenHBand="0" w:firstRowFirstColumn="0" w:firstRowLastColumn="0" w:lastRowFirstColumn="0" w:lastRowLastColumn="0"/>
            <w:tcW w:w="3176" w:type="dxa"/>
            <w:tcBorders>
              <w:top w:val="nil"/>
              <w:left w:val="nil"/>
              <w:bottom w:val="single" w:sz="4" w:space="0" w:color="365F91"/>
              <w:right w:val="nil"/>
            </w:tcBorders>
            <w:hideMark/>
          </w:tcPr>
          <w:p w:rsidR="008C299B" w:rsidRPr="00A51CBC" w:rsidRDefault="008C299B" w:rsidP="008C299B">
            <w:r w:rsidRPr="00A51CBC">
              <w:t>Closing capital base</w:t>
            </w:r>
          </w:p>
        </w:tc>
        <w:tc>
          <w:tcPr>
            <w:tcW w:w="1111" w:type="dxa"/>
            <w:tcBorders>
              <w:top w:val="nil"/>
              <w:left w:val="nil"/>
              <w:bottom w:val="single" w:sz="4" w:space="0" w:color="365F91"/>
              <w:right w:val="nil"/>
            </w:tcBorders>
          </w:tcPr>
          <w:p w:rsidR="008C299B" w:rsidRPr="008C299B" w:rsidRDefault="008C299B" w:rsidP="008C299B">
            <w:pPr>
              <w:cnfStyle w:val="000000000000" w:firstRow="0" w:lastRow="0" w:firstColumn="0" w:lastColumn="0" w:oddVBand="0" w:evenVBand="0" w:oddHBand="0" w:evenHBand="0" w:firstRowFirstColumn="0" w:firstRowLastColumn="0" w:lastRowFirstColumn="0" w:lastRowLastColumn="0"/>
            </w:pPr>
            <w:r>
              <w:t>1514.4</w:t>
            </w:r>
          </w:p>
        </w:tc>
        <w:tc>
          <w:tcPr>
            <w:tcW w:w="1111" w:type="dxa"/>
            <w:tcBorders>
              <w:top w:val="nil"/>
              <w:left w:val="nil"/>
              <w:bottom w:val="single" w:sz="4" w:space="0" w:color="365F91"/>
              <w:right w:val="nil"/>
            </w:tcBorders>
          </w:tcPr>
          <w:p w:rsidR="008C299B" w:rsidRPr="008C299B" w:rsidRDefault="008C299B" w:rsidP="008C299B">
            <w:pPr>
              <w:cnfStyle w:val="000000000000" w:firstRow="0" w:lastRow="0" w:firstColumn="0" w:lastColumn="0" w:oddVBand="0" w:evenVBand="0" w:oddHBand="0" w:evenHBand="0" w:firstRowFirstColumn="0" w:firstRowLastColumn="0" w:lastRowFirstColumn="0" w:lastRowLastColumn="0"/>
            </w:pPr>
            <w:r>
              <w:t>1640.9</w:t>
            </w:r>
          </w:p>
        </w:tc>
        <w:tc>
          <w:tcPr>
            <w:tcW w:w="1111" w:type="dxa"/>
            <w:tcBorders>
              <w:top w:val="nil"/>
              <w:left w:val="nil"/>
              <w:bottom w:val="single" w:sz="4" w:space="0" w:color="365F91"/>
              <w:right w:val="nil"/>
            </w:tcBorders>
          </w:tcPr>
          <w:p w:rsidR="008C299B" w:rsidRPr="008C299B" w:rsidRDefault="008C299B" w:rsidP="008C299B">
            <w:pPr>
              <w:cnfStyle w:val="000000000000" w:firstRow="0" w:lastRow="0" w:firstColumn="0" w:lastColumn="0" w:oddVBand="0" w:evenVBand="0" w:oddHBand="0" w:evenHBand="0" w:firstRowFirstColumn="0" w:firstRowLastColumn="0" w:lastRowFirstColumn="0" w:lastRowLastColumn="0"/>
            </w:pPr>
            <w:r>
              <w:t>1753.4</w:t>
            </w:r>
          </w:p>
        </w:tc>
        <w:tc>
          <w:tcPr>
            <w:tcW w:w="1111" w:type="dxa"/>
            <w:tcBorders>
              <w:top w:val="nil"/>
              <w:left w:val="nil"/>
              <w:bottom w:val="single" w:sz="4" w:space="0" w:color="365F91"/>
              <w:right w:val="nil"/>
            </w:tcBorders>
          </w:tcPr>
          <w:p w:rsidR="008C299B" w:rsidRPr="008C299B" w:rsidRDefault="008C299B" w:rsidP="008C299B">
            <w:pPr>
              <w:cnfStyle w:val="000000000000" w:firstRow="0" w:lastRow="0" w:firstColumn="0" w:lastColumn="0" w:oddVBand="0" w:evenVBand="0" w:oddHBand="0" w:evenHBand="0" w:firstRowFirstColumn="0" w:firstRowLastColumn="0" w:lastRowFirstColumn="0" w:lastRowLastColumn="0"/>
            </w:pPr>
            <w:r>
              <w:t>1886.7</w:t>
            </w:r>
          </w:p>
        </w:tc>
        <w:tc>
          <w:tcPr>
            <w:tcW w:w="1111" w:type="dxa"/>
            <w:tcBorders>
              <w:top w:val="nil"/>
              <w:left w:val="nil"/>
              <w:bottom w:val="single" w:sz="4" w:space="0" w:color="365F91"/>
              <w:right w:val="nil"/>
            </w:tcBorders>
          </w:tcPr>
          <w:p w:rsidR="008C299B" w:rsidRPr="00A51CBC" w:rsidRDefault="008C299B" w:rsidP="008C299B">
            <w:pPr>
              <w:cnfStyle w:val="000000000000" w:firstRow="0" w:lastRow="0" w:firstColumn="0" w:lastColumn="0" w:oddVBand="0" w:evenVBand="0" w:oddHBand="0" w:evenHBand="0" w:firstRowFirstColumn="0" w:firstRowLastColumn="0" w:lastRowFirstColumn="0" w:lastRowLastColumn="0"/>
            </w:pPr>
            <w:r>
              <w:t>1980.8</w:t>
            </w:r>
          </w:p>
        </w:tc>
      </w:tr>
    </w:tbl>
    <w:p w:rsidR="009656AB" w:rsidRDefault="009656AB" w:rsidP="009656AB">
      <w:pPr>
        <w:pStyle w:val="AERtablesource"/>
      </w:pPr>
      <w:r w:rsidRPr="009656AB">
        <w:rPr>
          <w:rFonts w:eastAsia="Calibri"/>
        </w:rPr>
        <w:t xml:space="preserve">Source: </w:t>
      </w:r>
      <w:r w:rsidRPr="009656AB">
        <w:rPr>
          <w:rFonts w:eastAsia="Calibri"/>
        </w:rPr>
        <w:tab/>
      </w:r>
      <w:proofErr w:type="gramStart"/>
      <w:r w:rsidRPr="009656AB">
        <w:rPr>
          <w:rFonts w:eastAsia="Calibri"/>
        </w:rPr>
        <w:t>AGN</w:t>
      </w:r>
      <w:r>
        <w:t>,</w:t>
      </w:r>
      <w:proofErr w:type="gramEnd"/>
      <w:r>
        <w:t xml:space="preserve"> </w:t>
      </w:r>
      <w:r w:rsidR="00360FC0">
        <w:rPr>
          <w:rStyle w:val="AERtextitalic"/>
        </w:rPr>
        <w:t>Revised p</w:t>
      </w:r>
      <w:r>
        <w:rPr>
          <w:rStyle w:val="AERtextitalic"/>
        </w:rPr>
        <w:t>roposed PTRM</w:t>
      </w:r>
      <w:r w:rsidR="00360FC0">
        <w:t>, January 2016</w:t>
      </w:r>
      <w:r>
        <w:t>.</w:t>
      </w:r>
    </w:p>
    <w:p w:rsidR="009656AB" w:rsidRDefault="009656AB" w:rsidP="006F70F8">
      <w:pPr>
        <w:pStyle w:val="Heading2"/>
        <w:keepNext/>
      </w:pPr>
      <w:bookmarkStart w:id="26" w:name="_Toc408404322"/>
      <w:bookmarkStart w:id="27" w:name="_Toc436048922"/>
      <w:bookmarkStart w:id="28" w:name="_Toc451526810"/>
      <w:r w:rsidRPr="0074565D">
        <w:t>AER’s assessment approach</w:t>
      </w:r>
      <w:bookmarkEnd w:id="26"/>
      <w:bookmarkEnd w:id="27"/>
      <w:bookmarkEnd w:id="28"/>
    </w:p>
    <w:p w:rsidR="00C21A26" w:rsidRDefault="00C21A26" w:rsidP="006F70F8">
      <w:pPr>
        <w:keepNext/>
      </w:pPr>
      <w:r>
        <w:t>We have not changed our assessment approach for the capital base from our draft decision. Section 2.3 of our draft decision details that approach.</w:t>
      </w:r>
      <w:r>
        <w:rPr>
          <w:rStyle w:val="FootnoteReference"/>
        </w:rPr>
        <w:footnoteReference w:id="2"/>
      </w:r>
    </w:p>
    <w:p w:rsidR="00FF5A39" w:rsidRDefault="00FF5A39" w:rsidP="006F70F8">
      <w:pPr>
        <w:keepNext/>
      </w:pPr>
      <w:r>
        <w:t xml:space="preserve">We received one submission from the CCP raising concerns over the rate of increase in the value of </w:t>
      </w:r>
      <w:r w:rsidR="00C12283">
        <w:t>AGN</w:t>
      </w:r>
      <w:r>
        <w:t>'s capital base over the 10</w:t>
      </w:r>
      <w:r w:rsidR="00146685">
        <w:t>-</w:t>
      </w:r>
      <w:r>
        <w:t>year period spanning the current and previous access arrangements.</w:t>
      </w:r>
      <w:r>
        <w:rPr>
          <w:rStyle w:val="FootnoteReference"/>
        </w:rPr>
        <w:footnoteReference w:id="3"/>
      </w:r>
      <w:r>
        <w:t xml:space="preserve"> The increase in AGN's capital base is mostly driven by an increase in capex. </w:t>
      </w:r>
      <w:r w:rsidRPr="000B58EC">
        <w:t xml:space="preserve">We have carefully reviewed </w:t>
      </w:r>
      <w:r>
        <w:t>the cost drivers of AGN</w:t>
      </w:r>
      <w:r w:rsidRPr="000B58EC">
        <w:t xml:space="preserve">'s </w:t>
      </w:r>
      <w:r>
        <w:t>forecast</w:t>
      </w:r>
      <w:r w:rsidRPr="000B58EC">
        <w:t xml:space="preserve"> capex </w:t>
      </w:r>
      <w:r>
        <w:t xml:space="preserve">in terms of </w:t>
      </w:r>
      <w:r w:rsidRPr="000B58EC">
        <w:t>pruden</w:t>
      </w:r>
      <w:r>
        <w:t>cy and efficiency</w:t>
      </w:r>
      <w:r w:rsidRPr="000B58EC">
        <w:t>.</w:t>
      </w:r>
      <w:r>
        <w:t xml:space="preserve"> </w:t>
      </w:r>
      <w:r>
        <w:rPr>
          <w:rStyle w:val="AERbody"/>
        </w:rPr>
        <w:t>W</w:t>
      </w:r>
      <w:r w:rsidRPr="000B58EC">
        <w:rPr>
          <w:rStyle w:val="AERbody"/>
        </w:rPr>
        <w:t xml:space="preserve">e </w:t>
      </w:r>
      <w:r>
        <w:t>have not accepted AGN's forecast capex in its entirety and our assessment is detailed in attachment 6.</w:t>
      </w:r>
    </w:p>
    <w:p w:rsidR="009656AB" w:rsidRPr="0074565D" w:rsidRDefault="009656AB" w:rsidP="009656AB">
      <w:pPr>
        <w:pStyle w:val="Heading2"/>
      </w:pPr>
      <w:bookmarkStart w:id="29" w:name="_Toc408404324"/>
      <w:bookmarkStart w:id="30" w:name="_Toc436048924"/>
      <w:bookmarkStart w:id="31" w:name="_Toc451526811"/>
      <w:r w:rsidRPr="0074565D">
        <w:t xml:space="preserve">Reasons for </w:t>
      </w:r>
      <w:r w:rsidR="00702F59">
        <w:t>final</w:t>
      </w:r>
      <w:r w:rsidRPr="0074565D">
        <w:t xml:space="preserve"> decision</w:t>
      </w:r>
      <w:bookmarkEnd w:id="29"/>
      <w:bookmarkEnd w:id="30"/>
      <w:bookmarkEnd w:id="31"/>
      <w:r w:rsidRPr="0074565D">
        <w:t xml:space="preserve"> </w:t>
      </w:r>
    </w:p>
    <w:p w:rsidR="00840232" w:rsidRDefault="009656AB" w:rsidP="009656AB">
      <w:pPr>
        <w:rPr>
          <w:rStyle w:val="AERbody"/>
        </w:rPr>
      </w:pPr>
      <w:r>
        <w:t>We d</w:t>
      </w:r>
      <w:r w:rsidR="009F42F3">
        <w:t>etermine</w:t>
      </w:r>
      <w:r w:rsidRPr="009656AB">
        <w:rPr>
          <w:rStyle w:val="AERbody"/>
        </w:rPr>
        <w:t xml:space="preserve"> AGN’s opening capital base </w:t>
      </w:r>
      <w:r w:rsidR="009F42F3" w:rsidRPr="009656AB">
        <w:rPr>
          <w:rStyle w:val="AERbody"/>
        </w:rPr>
        <w:t>at 1 July 2016</w:t>
      </w:r>
      <w:r w:rsidR="009F42F3">
        <w:rPr>
          <w:rStyle w:val="AERbody"/>
        </w:rPr>
        <w:t xml:space="preserve"> to be</w:t>
      </w:r>
      <w:r w:rsidRPr="009656AB">
        <w:rPr>
          <w:rStyle w:val="AERbody"/>
        </w:rPr>
        <w:t xml:space="preserve"> $</w:t>
      </w:r>
      <w:r w:rsidR="00E11CCA">
        <w:rPr>
          <w:rStyle w:val="AERbody"/>
        </w:rPr>
        <w:t>1385.6</w:t>
      </w:r>
      <w:r w:rsidRPr="009656AB">
        <w:rPr>
          <w:rStyle w:val="AERbody"/>
        </w:rPr>
        <w:t xml:space="preserve"> million ($nominal). </w:t>
      </w:r>
      <w:r w:rsidR="009F42F3">
        <w:rPr>
          <w:rStyle w:val="AERbody"/>
        </w:rPr>
        <w:t>This value is</w:t>
      </w:r>
      <w:r w:rsidRPr="009656AB">
        <w:rPr>
          <w:rStyle w:val="AERbody"/>
        </w:rPr>
        <w:t xml:space="preserve"> $</w:t>
      </w:r>
      <w:r w:rsidR="00E11CCA">
        <w:rPr>
          <w:rStyle w:val="AERbody"/>
        </w:rPr>
        <w:t>15.7</w:t>
      </w:r>
      <w:r w:rsidRPr="009656AB">
        <w:rPr>
          <w:rStyle w:val="AERbody"/>
        </w:rPr>
        <w:t xml:space="preserve"> million or 1.</w:t>
      </w:r>
      <w:r w:rsidR="003211E4">
        <w:rPr>
          <w:rStyle w:val="AERbody"/>
        </w:rPr>
        <w:t>1</w:t>
      </w:r>
      <w:r w:rsidRPr="009656AB">
        <w:rPr>
          <w:rStyle w:val="AERbody"/>
        </w:rPr>
        <w:t xml:space="preserve"> per cent </w:t>
      </w:r>
      <w:r w:rsidR="009F42F3">
        <w:rPr>
          <w:rStyle w:val="AERbody"/>
        </w:rPr>
        <w:t>lower than AGN's revised</w:t>
      </w:r>
      <w:r w:rsidRPr="009656AB">
        <w:rPr>
          <w:rStyle w:val="AERbody"/>
        </w:rPr>
        <w:t xml:space="preserve"> proposed value</w:t>
      </w:r>
      <w:r w:rsidR="009F42F3">
        <w:rPr>
          <w:rStyle w:val="AERbody"/>
        </w:rPr>
        <w:t xml:space="preserve"> of $1401.3 million</w:t>
      </w:r>
      <w:r w:rsidRPr="009656AB">
        <w:rPr>
          <w:rStyle w:val="AERbody"/>
        </w:rPr>
        <w:t xml:space="preserve">. </w:t>
      </w:r>
      <w:r w:rsidR="00AC572C" w:rsidRPr="009656AB">
        <w:t xml:space="preserve">This </w:t>
      </w:r>
      <w:r w:rsidR="009F42F3">
        <w:t xml:space="preserve">difference </w:t>
      </w:r>
      <w:r w:rsidR="00AC572C" w:rsidRPr="009656AB">
        <w:t xml:space="preserve">is </w:t>
      </w:r>
      <w:r w:rsidR="009F42F3">
        <w:t>due to our</w:t>
      </w:r>
      <w:r w:rsidR="00AC572C">
        <w:t xml:space="preserve"> update</w:t>
      </w:r>
      <w:r w:rsidR="009F42F3">
        <w:t xml:space="preserve"> of the inputs in the capital base roll forwar</w:t>
      </w:r>
      <w:r w:rsidR="00AC572C">
        <w:t xml:space="preserve">d </w:t>
      </w:r>
      <w:r w:rsidR="009F42F3">
        <w:t>for</w:t>
      </w:r>
      <w:r w:rsidR="00AC572C">
        <w:t xml:space="preserve"> 2015–16 actual inflation and conforming capex for 2013–14</w:t>
      </w:r>
      <w:r w:rsidR="004806B9">
        <w:t xml:space="preserve">, </w:t>
      </w:r>
      <w:r w:rsidR="00AC572C">
        <w:t>2014–15</w:t>
      </w:r>
      <w:r w:rsidR="004806B9">
        <w:t xml:space="preserve"> and 2015–16</w:t>
      </w:r>
      <w:r w:rsidR="00AC572C">
        <w:t>.</w:t>
      </w:r>
    </w:p>
    <w:p w:rsidR="009656AB" w:rsidRPr="009656AB" w:rsidRDefault="009656AB" w:rsidP="009656AB">
      <w:pPr>
        <w:rPr>
          <w:rStyle w:val="AERbody"/>
        </w:rPr>
      </w:pPr>
      <w:r w:rsidRPr="009656AB">
        <w:rPr>
          <w:rStyle w:val="AERbody"/>
        </w:rPr>
        <w:t>We do not approve AGN's projected closing capital base of $</w:t>
      </w:r>
      <w:r w:rsidR="00A76124">
        <w:rPr>
          <w:rStyle w:val="AERbody"/>
        </w:rPr>
        <w:t>1980.8</w:t>
      </w:r>
      <w:r w:rsidRPr="009656AB">
        <w:rPr>
          <w:rStyle w:val="AERbody"/>
        </w:rPr>
        <w:t> million ($nominal) as at 30 June 2021. We instead determine a closing capital base of $</w:t>
      </w:r>
      <w:r w:rsidR="00571EAE">
        <w:rPr>
          <w:rStyle w:val="AERbody"/>
        </w:rPr>
        <w:t>19</w:t>
      </w:r>
      <w:r w:rsidR="003211E4">
        <w:rPr>
          <w:rStyle w:val="AERbody"/>
        </w:rPr>
        <w:t>0</w:t>
      </w:r>
      <w:r w:rsidR="00571EAE">
        <w:rPr>
          <w:rStyle w:val="AERbody"/>
        </w:rPr>
        <w:t>1.</w:t>
      </w:r>
      <w:r w:rsidR="003211E4">
        <w:rPr>
          <w:rStyle w:val="AERbody"/>
        </w:rPr>
        <w:t>9</w:t>
      </w:r>
      <w:r w:rsidRPr="009656AB">
        <w:rPr>
          <w:rStyle w:val="AERbody"/>
        </w:rPr>
        <w:t xml:space="preserve"> million ($nominal) as at 30 June 2021, a reduction of $</w:t>
      </w:r>
      <w:r w:rsidR="003211E4">
        <w:rPr>
          <w:rStyle w:val="AERbody"/>
        </w:rPr>
        <w:t>78.9</w:t>
      </w:r>
      <w:r w:rsidRPr="009656AB">
        <w:rPr>
          <w:rStyle w:val="AERbody"/>
        </w:rPr>
        <w:t xml:space="preserve"> million or </w:t>
      </w:r>
      <w:r w:rsidR="003211E4">
        <w:rPr>
          <w:rStyle w:val="AERbody"/>
        </w:rPr>
        <w:t>4.0</w:t>
      </w:r>
      <w:r w:rsidRPr="009656AB">
        <w:rPr>
          <w:rStyle w:val="AERbody"/>
        </w:rPr>
        <w:t xml:space="preserve"> per cent from the </w:t>
      </w:r>
      <w:r w:rsidR="004476C7">
        <w:rPr>
          <w:rStyle w:val="AERbody"/>
        </w:rPr>
        <w:t xml:space="preserve">revised </w:t>
      </w:r>
      <w:r w:rsidRPr="009656AB">
        <w:rPr>
          <w:rStyle w:val="AERbody"/>
        </w:rPr>
        <w:t>proposed value. The main reasons for the reduction are our adjustments to its opening capital base as at 1 July 2016 (section </w:t>
      </w:r>
      <w:r w:rsidRPr="009656AB">
        <w:rPr>
          <w:rStyle w:val="AERbody"/>
        </w:rPr>
        <w:fldChar w:fldCharType="begin"/>
      </w:r>
      <w:r w:rsidRPr="009656AB">
        <w:rPr>
          <w:rStyle w:val="AERbody"/>
        </w:rPr>
        <w:instrText xml:space="preserve"> REF _Ref435691641 \r \h </w:instrText>
      </w:r>
      <w:r w:rsidRPr="009656AB">
        <w:rPr>
          <w:rStyle w:val="AERbody"/>
        </w:rPr>
      </w:r>
      <w:r w:rsidRPr="009656AB">
        <w:rPr>
          <w:rStyle w:val="AERbody"/>
        </w:rPr>
        <w:fldChar w:fldCharType="separate"/>
      </w:r>
      <w:r w:rsidRPr="009656AB">
        <w:rPr>
          <w:rStyle w:val="AERbody"/>
        </w:rPr>
        <w:t>2.4.1</w:t>
      </w:r>
      <w:r w:rsidRPr="009656AB">
        <w:rPr>
          <w:rStyle w:val="AERbody"/>
        </w:rPr>
        <w:fldChar w:fldCharType="end"/>
      </w:r>
      <w:r w:rsidRPr="009656AB">
        <w:rPr>
          <w:rStyle w:val="AERbody"/>
        </w:rPr>
        <w:t>),</w:t>
      </w:r>
      <w:r w:rsidR="004806B9">
        <w:rPr>
          <w:rStyle w:val="AERbody"/>
        </w:rPr>
        <w:t xml:space="preserve"> forecast inflation (attachment 3),</w:t>
      </w:r>
      <w:r w:rsidRPr="009656AB">
        <w:rPr>
          <w:rStyle w:val="AERbody"/>
        </w:rPr>
        <w:t xml:space="preserve"> forecast depreciation (attachment 5) and forecast net capex (attachment 6).</w:t>
      </w:r>
    </w:p>
    <w:p w:rsidR="009656AB" w:rsidRDefault="009656AB" w:rsidP="009656AB">
      <w:r>
        <w:t>We are satisfied each of these amendments is necessary having regard to the requirements of the NGR. The reasons for our decision are discussed below.</w:t>
      </w:r>
    </w:p>
    <w:p w:rsidR="009656AB" w:rsidRDefault="009656AB" w:rsidP="009656AB">
      <w:pPr>
        <w:pStyle w:val="Heading3"/>
      </w:pPr>
      <w:bookmarkStart w:id="32" w:name="_Toc404256806"/>
      <w:bookmarkStart w:id="33" w:name="_Toc404158167"/>
      <w:bookmarkStart w:id="34" w:name="_Toc404157804"/>
      <w:bookmarkStart w:id="35" w:name="_Ref435691641"/>
      <w:bookmarkStart w:id="36" w:name="_Toc436048925"/>
      <w:bookmarkStart w:id="37" w:name="_Ref446416187"/>
      <w:bookmarkStart w:id="38" w:name="_Toc451526812"/>
      <w:r>
        <w:t>Roll forward of capital base during the 2011–16 access arrangement period</w:t>
      </w:r>
      <w:bookmarkEnd w:id="32"/>
      <w:bookmarkEnd w:id="33"/>
      <w:bookmarkEnd w:id="34"/>
      <w:bookmarkEnd w:id="35"/>
      <w:bookmarkEnd w:id="36"/>
      <w:bookmarkEnd w:id="37"/>
      <w:bookmarkEnd w:id="38"/>
    </w:p>
    <w:p w:rsidR="00413167" w:rsidRDefault="00413167" w:rsidP="009656AB">
      <w:r>
        <w:t>We d</w:t>
      </w:r>
      <w:r w:rsidR="00195317">
        <w:t>etermine</w:t>
      </w:r>
      <w:r>
        <w:t xml:space="preserve"> AGN's opening capital base</w:t>
      </w:r>
      <w:r w:rsidR="00195317">
        <w:t xml:space="preserve"> as at 1 July 2016 to be</w:t>
      </w:r>
      <w:r>
        <w:t xml:space="preserve"> $</w:t>
      </w:r>
      <w:r w:rsidR="00571EAE">
        <w:t>1385.6</w:t>
      </w:r>
      <w:r>
        <w:t xml:space="preserve"> million ($nominal). This amount is $</w:t>
      </w:r>
      <w:r w:rsidR="00571EAE">
        <w:t>15.7</w:t>
      </w:r>
      <w:r>
        <w:t xml:space="preserve"> million (or </w:t>
      </w:r>
      <w:r w:rsidR="00571EAE">
        <w:t>1.</w:t>
      </w:r>
      <w:r w:rsidR="003211E4">
        <w:t>1</w:t>
      </w:r>
      <w:r>
        <w:t xml:space="preserve"> per cent) lower than AGN's revised </w:t>
      </w:r>
      <w:r w:rsidR="00195317">
        <w:t>value of $</w:t>
      </w:r>
      <w:r w:rsidR="005E055A">
        <w:t xml:space="preserve">1401.3 </w:t>
      </w:r>
      <w:r w:rsidR="00195317">
        <w:t>million</w:t>
      </w:r>
      <w:r>
        <w:t>. This is because:</w:t>
      </w:r>
    </w:p>
    <w:p w:rsidR="00413167" w:rsidRDefault="00C1730A" w:rsidP="00413167">
      <w:pPr>
        <w:pStyle w:val="AERbulletlistfirststyle"/>
      </w:pPr>
      <w:r>
        <w:t>w</w:t>
      </w:r>
      <w:r w:rsidR="00413167">
        <w:t>e have updated the inflation input for 2015–16 using the actual March 201</w:t>
      </w:r>
      <w:r>
        <w:t>6</w:t>
      </w:r>
      <w:r w:rsidR="00413167">
        <w:t xml:space="preserve"> consumer price index (CPI) published by the Australian Bureau of Statistics.</w:t>
      </w:r>
      <w:r w:rsidR="00413167" w:rsidRPr="00413167">
        <w:rPr>
          <w:rStyle w:val="FootnoteReference"/>
        </w:rPr>
        <w:footnoteReference w:id="4"/>
      </w:r>
    </w:p>
    <w:p w:rsidR="00C850B7" w:rsidRDefault="00C1730A" w:rsidP="00C850B7">
      <w:pPr>
        <w:pStyle w:val="AERbulletlistfirststyle"/>
      </w:pPr>
      <w:proofErr w:type="gramStart"/>
      <w:r>
        <w:t>w</w:t>
      </w:r>
      <w:r w:rsidR="00413167">
        <w:t>e</w:t>
      </w:r>
      <w:proofErr w:type="gramEnd"/>
      <w:r w:rsidR="00413167">
        <w:t xml:space="preserve"> have </w:t>
      </w:r>
      <w:r w:rsidR="004806B9">
        <w:t xml:space="preserve">adjusted </w:t>
      </w:r>
      <w:r w:rsidR="00413167">
        <w:t xml:space="preserve">the </w:t>
      </w:r>
      <w:r w:rsidR="004806B9">
        <w:t xml:space="preserve">revised proposed </w:t>
      </w:r>
      <w:r w:rsidR="00413167">
        <w:t xml:space="preserve">conforming capex </w:t>
      </w:r>
      <w:r w:rsidR="00195317">
        <w:t>inputs</w:t>
      </w:r>
      <w:r w:rsidR="00413167">
        <w:t xml:space="preserve"> for 201</w:t>
      </w:r>
      <w:r w:rsidR="004806B9">
        <w:t>3</w:t>
      </w:r>
      <w:r w:rsidR="00413167">
        <w:t>–1</w:t>
      </w:r>
      <w:r w:rsidR="004806B9">
        <w:t>4, 2014–15 and 2015–16</w:t>
      </w:r>
      <w:r w:rsidR="00413167">
        <w:t>.</w:t>
      </w:r>
      <w:r w:rsidR="004806B9">
        <w:t xml:space="preserve"> </w:t>
      </w:r>
    </w:p>
    <w:p w:rsidR="009656AB" w:rsidRDefault="00413167" w:rsidP="00D107B6">
      <w:pPr>
        <w:pStyle w:val="AERbulletlistfirststyle"/>
        <w:numPr>
          <w:ilvl w:val="0"/>
          <w:numId w:val="0"/>
        </w:numPr>
      </w:pPr>
      <w:r w:rsidRPr="00413167">
        <w:t>In our draft decis</w:t>
      </w:r>
      <w:r>
        <w:t>ion we accepted AGN</w:t>
      </w:r>
      <w:r w:rsidRPr="00413167">
        <w:t>'s proposed methodology for calculating the opening capital base at 1 July 2016. However, we made a number of amendments to correct for input errors.</w:t>
      </w:r>
      <w:r w:rsidRPr="00413167">
        <w:rPr>
          <w:rStyle w:val="FootnoteReference"/>
        </w:rPr>
        <w:footnoteReference w:id="5"/>
      </w:r>
      <w:r w:rsidRPr="00413167">
        <w:t xml:space="preserve"> </w:t>
      </w:r>
      <w:r w:rsidR="00135628">
        <w:t xml:space="preserve">AGN's revised proposal adopted our </w:t>
      </w:r>
      <w:r w:rsidR="00195317">
        <w:t>draft decision</w:t>
      </w:r>
      <w:r w:rsidR="00195317" w:rsidRPr="00195317">
        <w:t xml:space="preserve"> </w:t>
      </w:r>
      <w:r w:rsidR="00135628">
        <w:t>amendments.</w:t>
      </w:r>
      <w:r w:rsidR="002E46C5">
        <w:t xml:space="preserve"> </w:t>
      </w:r>
      <w:r w:rsidR="00252BBE">
        <w:t>A</w:t>
      </w:r>
      <w:r w:rsidR="00252BBE" w:rsidRPr="00252BBE">
        <w:t>GN also updated its capital base roll forward for 2014–15 actual capex</w:t>
      </w:r>
      <w:r w:rsidR="00252BBE">
        <w:t xml:space="preserve"> in its revised proposal</w:t>
      </w:r>
      <w:r w:rsidR="00252BBE" w:rsidRPr="00252BBE">
        <w:t>.</w:t>
      </w:r>
    </w:p>
    <w:p w:rsidR="009656AB" w:rsidRDefault="009656AB" w:rsidP="009656AB">
      <w:pPr>
        <w:pStyle w:val="HeadingBoldBlue"/>
        <w:numPr>
          <w:ilvl w:val="0"/>
          <w:numId w:val="24"/>
        </w:numPr>
      </w:pPr>
      <w:bookmarkStart w:id="39" w:name="_Ref333306080"/>
      <w:bookmarkStart w:id="40" w:name="_Toc446414127"/>
      <w:bookmarkStart w:id="41" w:name="_Toc451526813"/>
      <w:r>
        <w:t>Conforming capital expenditure in the 2011–16 access arrangement period</w:t>
      </w:r>
      <w:bookmarkEnd w:id="39"/>
      <w:bookmarkEnd w:id="40"/>
      <w:bookmarkEnd w:id="41"/>
    </w:p>
    <w:p w:rsidR="009656AB" w:rsidRDefault="009656AB" w:rsidP="009656AB">
      <w:r w:rsidRPr="009656AB">
        <w:rPr>
          <w:rStyle w:val="AERbody"/>
        </w:rPr>
        <w:t>In</w:t>
      </w:r>
      <w:r>
        <w:t xml:space="preserve"> determining the opening capital base as at 1 July 2016, we assessed whether AGN's proposed capex amounts for the 2011–16 access arrangement are properly accounted for in the capital base roll forward. </w:t>
      </w:r>
      <w:r w:rsidR="00F714B5">
        <w:t xml:space="preserve">Our assessment of conforming capex is set out in capex </w:t>
      </w:r>
      <w:r w:rsidR="00F714B5" w:rsidRPr="009656AB">
        <w:rPr>
          <w:rStyle w:val="AERbody"/>
        </w:rPr>
        <w:t>attachment 6.</w:t>
      </w:r>
    </w:p>
    <w:p w:rsidR="00D107B6" w:rsidRDefault="00E454CE" w:rsidP="00D107B6">
      <w:r>
        <w:t>For this final decision, w</w:t>
      </w:r>
      <w:r w:rsidR="009656AB">
        <w:t xml:space="preserve">e </w:t>
      </w:r>
      <w:r w:rsidR="00D107B6">
        <w:t>updated</w:t>
      </w:r>
      <w:r w:rsidR="009656AB">
        <w:t xml:space="preserve"> AGN's </w:t>
      </w:r>
      <w:r w:rsidR="00D107B6">
        <w:t xml:space="preserve">revised </w:t>
      </w:r>
      <w:r w:rsidR="009656AB">
        <w:t xml:space="preserve">proposed capex for the 2011–16 access arrangement </w:t>
      </w:r>
      <w:proofErr w:type="gramStart"/>
      <w:r w:rsidR="009656AB">
        <w:t>period</w:t>
      </w:r>
      <w:proofErr w:type="gramEnd"/>
      <w:r w:rsidR="00AC6A97">
        <w:t>.</w:t>
      </w:r>
      <w:r w:rsidR="00D107B6">
        <w:t xml:space="preserve"> This is because AGN informed us that it </w:t>
      </w:r>
      <w:r w:rsidR="005E055A">
        <w:t xml:space="preserve">had </w:t>
      </w:r>
      <w:r w:rsidR="00D107B6">
        <w:t xml:space="preserve">made a </w:t>
      </w:r>
      <w:r w:rsidR="00D107B6" w:rsidRPr="004806B9">
        <w:t xml:space="preserve">transcription error when </w:t>
      </w:r>
      <w:r w:rsidR="00D107B6">
        <w:t>its</w:t>
      </w:r>
      <w:r w:rsidR="00D107B6" w:rsidRPr="004806B9">
        <w:t xml:space="preserve"> </w:t>
      </w:r>
      <w:r w:rsidR="00D107B6">
        <w:t xml:space="preserve">revised proposed </w:t>
      </w:r>
      <w:r w:rsidR="00D107B6" w:rsidRPr="004806B9">
        <w:t>RFM was updated for 2014</w:t>
      </w:r>
      <w:r w:rsidR="00D107B6">
        <w:t>–</w:t>
      </w:r>
      <w:r w:rsidR="00D107B6" w:rsidRPr="004806B9">
        <w:t>15 actual capex</w:t>
      </w:r>
      <w:r w:rsidR="00D107B6">
        <w:t xml:space="preserve">. </w:t>
      </w:r>
      <w:r w:rsidR="00F714B5">
        <w:t>AGN</w:t>
      </w:r>
      <w:r w:rsidR="00D107B6">
        <w:t xml:space="preserve"> also </w:t>
      </w:r>
      <w:r w:rsidR="00F714B5">
        <w:t xml:space="preserve">made further </w:t>
      </w:r>
      <w:r w:rsidR="00D107B6">
        <w:t>update</w:t>
      </w:r>
      <w:r w:rsidR="00F714B5">
        <w:t>s to</w:t>
      </w:r>
      <w:r w:rsidR="00D107B6">
        <w:t xml:space="preserve"> its revised proposed conforming capex for 2013–14, 2014–15 and 2015–16 to reflect </w:t>
      </w:r>
      <w:r w:rsidR="00D107B6" w:rsidRPr="004806B9">
        <w:t>the reclassification of the valve corrosion projects from capex to opex</w:t>
      </w:r>
      <w:r w:rsidR="00D107B6">
        <w:t xml:space="preserve">. </w:t>
      </w:r>
      <w:r w:rsidR="005C71FF">
        <w:t xml:space="preserve">As discussed in attachment 6, we accept these updates made by AGN. </w:t>
      </w:r>
      <w:r w:rsidR="00D107B6">
        <w:t>We have therefore included these updated capex</w:t>
      </w:r>
      <w:r w:rsidR="009656AB">
        <w:t xml:space="preserve"> in the capital base roll forward </w:t>
      </w:r>
      <w:r w:rsidR="00D107B6">
        <w:t xml:space="preserve">which is </w:t>
      </w:r>
      <w:r w:rsidR="009656AB">
        <w:t>consistent with the requirements of the NGR.</w:t>
      </w:r>
      <w:r w:rsidR="009656AB" w:rsidRPr="009656AB">
        <w:rPr>
          <w:rStyle w:val="FootnoteReference"/>
        </w:rPr>
        <w:footnoteReference w:id="6"/>
      </w:r>
      <w:r w:rsidR="009656AB">
        <w:t xml:space="preserve"> </w:t>
      </w:r>
    </w:p>
    <w:p w:rsidR="009656AB" w:rsidRPr="006E10BB" w:rsidRDefault="005C71FF" w:rsidP="009656AB">
      <w:r>
        <w:t>W</w:t>
      </w:r>
      <w:r w:rsidR="00E454CE">
        <w:t xml:space="preserve">e note that </w:t>
      </w:r>
      <w:r w:rsidR="009656AB">
        <w:t>the</w:t>
      </w:r>
      <w:r>
        <w:t xml:space="preserve"> </w:t>
      </w:r>
      <w:r w:rsidR="00E454CE">
        <w:t xml:space="preserve">capex for 2015–16 </w:t>
      </w:r>
      <w:r>
        <w:t xml:space="preserve">is an </w:t>
      </w:r>
      <w:r w:rsidR="009656AB">
        <w:t>estimate.</w:t>
      </w:r>
      <w:r w:rsidR="009656AB" w:rsidRPr="009656AB">
        <w:t xml:space="preserve"> </w:t>
      </w:r>
      <w:r w:rsidR="009656AB">
        <w:t>We</w:t>
      </w:r>
      <w:r w:rsidR="009656AB" w:rsidRPr="00406985">
        <w:t xml:space="preserve"> will </w:t>
      </w:r>
      <w:r w:rsidR="00714BF4">
        <w:t>assess</w:t>
      </w:r>
      <w:r w:rsidR="009656AB">
        <w:t xml:space="preserve"> whether the </w:t>
      </w:r>
      <w:r w:rsidR="00085ADE">
        <w:br/>
      </w:r>
      <w:r w:rsidR="009656AB">
        <w:t>2015–</w:t>
      </w:r>
      <w:r w:rsidR="009656AB" w:rsidRPr="00406985">
        <w:t xml:space="preserve">16 </w:t>
      </w:r>
      <w:r>
        <w:t>actual capex</w:t>
      </w:r>
      <w:r w:rsidRPr="00406985">
        <w:t xml:space="preserve"> </w:t>
      </w:r>
      <w:r w:rsidR="00036FA9">
        <w:t>is</w:t>
      </w:r>
      <w:r w:rsidR="009656AB" w:rsidRPr="00406985">
        <w:t xml:space="preserve"> conforming as part of the next a</w:t>
      </w:r>
      <w:r w:rsidR="009656AB">
        <w:t xml:space="preserve">ccess arrangement </w:t>
      </w:r>
      <w:r w:rsidR="00252BBE">
        <w:t>review</w:t>
      </w:r>
      <w:r w:rsidR="009656AB" w:rsidRPr="005A3660">
        <w:t>.</w:t>
      </w:r>
    </w:p>
    <w:p w:rsidR="009656AB" w:rsidRPr="009656AB" w:rsidRDefault="009656AB" w:rsidP="009656AB">
      <w:pPr>
        <w:pStyle w:val="Heading3"/>
      </w:pPr>
      <w:bookmarkStart w:id="42" w:name="_Toc404256807"/>
      <w:bookmarkStart w:id="43" w:name="_Toc404158168"/>
      <w:bookmarkStart w:id="44" w:name="_Toc404157805"/>
      <w:bookmarkStart w:id="45" w:name="_Toc436048926"/>
      <w:bookmarkStart w:id="46" w:name="_Toc451526814"/>
      <w:r>
        <w:t>Projected capital base during the 2016–21 access arrangement period</w:t>
      </w:r>
      <w:bookmarkEnd w:id="42"/>
      <w:bookmarkEnd w:id="43"/>
      <w:bookmarkEnd w:id="44"/>
      <w:bookmarkEnd w:id="45"/>
      <w:bookmarkEnd w:id="46"/>
    </w:p>
    <w:p w:rsidR="009656AB" w:rsidRPr="009656AB" w:rsidRDefault="00357A69" w:rsidP="009656AB">
      <w:pPr>
        <w:rPr>
          <w:rStyle w:val="AERbody"/>
        </w:rPr>
      </w:pPr>
      <w:r>
        <w:rPr>
          <w:rStyle w:val="AERbody"/>
        </w:rPr>
        <w:t>We do not approve AGN's projected capital base at 30 June 2021</w:t>
      </w:r>
      <w:r w:rsidR="00F53821">
        <w:rPr>
          <w:rStyle w:val="AERbody"/>
        </w:rPr>
        <w:t xml:space="preserve"> in its revised proposal</w:t>
      </w:r>
      <w:r>
        <w:rPr>
          <w:rStyle w:val="AERbody"/>
        </w:rPr>
        <w:t>. Instead</w:t>
      </w:r>
      <w:r w:rsidR="00162D9B">
        <w:rPr>
          <w:rStyle w:val="AERbody"/>
        </w:rPr>
        <w:t>,</w:t>
      </w:r>
      <w:r>
        <w:rPr>
          <w:rStyle w:val="AERbody"/>
        </w:rPr>
        <w:t xml:space="preserve"> w</w:t>
      </w:r>
      <w:r w:rsidR="009656AB" w:rsidRPr="009656AB">
        <w:rPr>
          <w:rStyle w:val="AERbody"/>
        </w:rPr>
        <w:t>e forecast AGN's projected capital base at 30 June 2021 to be $</w:t>
      </w:r>
      <w:r w:rsidR="00571EAE">
        <w:rPr>
          <w:rStyle w:val="AERbody"/>
        </w:rPr>
        <w:t>19</w:t>
      </w:r>
      <w:r w:rsidR="003211E4">
        <w:rPr>
          <w:rStyle w:val="AERbody"/>
        </w:rPr>
        <w:t>0</w:t>
      </w:r>
      <w:r w:rsidR="00571EAE">
        <w:rPr>
          <w:rStyle w:val="AERbody"/>
        </w:rPr>
        <w:t>1.</w:t>
      </w:r>
      <w:r w:rsidR="003211E4">
        <w:rPr>
          <w:rStyle w:val="AERbody"/>
        </w:rPr>
        <w:t>9</w:t>
      </w:r>
      <w:r w:rsidR="009656AB" w:rsidRPr="009656AB">
        <w:rPr>
          <w:rStyle w:val="AERbody"/>
        </w:rPr>
        <w:t xml:space="preserve"> million ($nominal), a reduction of $</w:t>
      </w:r>
      <w:r w:rsidR="003211E4">
        <w:rPr>
          <w:rStyle w:val="AERbody"/>
        </w:rPr>
        <w:t>78.9</w:t>
      </w:r>
      <w:r w:rsidR="009656AB" w:rsidRPr="009656AB">
        <w:rPr>
          <w:rStyle w:val="AERbody"/>
        </w:rPr>
        <w:t xml:space="preserve"> million or </w:t>
      </w:r>
      <w:r w:rsidR="003211E4">
        <w:rPr>
          <w:rStyle w:val="AERbody"/>
        </w:rPr>
        <w:t>4.0</w:t>
      </w:r>
      <w:r w:rsidR="009656AB" w:rsidRPr="009656AB">
        <w:rPr>
          <w:rStyle w:val="AERbody"/>
        </w:rPr>
        <w:t xml:space="preserve"> per cent from AGN's </w:t>
      </w:r>
      <w:r>
        <w:rPr>
          <w:rStyle w:val="AERbody"/>
        </w:rPr>
        <w:t xml:space="preserve">revised </w:t>
      </w:r>
      <w:r w:rsidR="009656AB" w:rsidRPr="009656AB">
        <w:rPr>
          <w:rStyle w:val="AERbody"/>
        </w:rPr>
        <w:t xml:space="preserve">proposal. This results from our </w:t>
      </w:r>
      <w:r w:rsidR="00702F59">
        <w:rPr>
          <w:rStyle w:val="AERbody"/>
        </w:rPr>
        <w:t>final</w:t>
      </w:r>
      <w:r w:rsidR="009656AB" w:rsidRPr="009656AB">
        <w:rPr>
          <w:rStyle w:val="AERbody"/>
        </w:rPr>
        <w:t xml:space="preserve"> decision on the inputs to the determination of the projected capital base. We have amended the inputs in the following ways:</w:t>
      </w:r>
    </w:p>
    <w:p w:rsidR="009656AB" w:rsidRDefault="00146685" w:rsidP="009656AB">
      <w:pPr>
        <w:pStyle w:val="AERbulletlistfirststyle"/>
        <w:rPr>
          <w:rStyle w:val="AERbody"/>
        </w:rPr>
      </w:pPr>
      <w:r>
        <w:rPr>
          <w:rStyle w:val="AERbody"/>
        </w:rPr>
        <w:t>r</w:t>
      </w:r>
      <w:r w:rsidR="009656AB" w:rsidRPr="003C0C11">
        <w:rPr>
          <w:rStyle w:val="AERbody"/>
        </w:rPr>
        <w:t xml:space="preserve">educed AGN's </w:t>
      </w:r>
      <w:r w:rsidR="00C850B7">
        <w:rPr>
          <w:rStyle w:val="AERbody"/>
        </w:rPr>
        <w:t xml:space="preserve">revised proposed </w:t>
      </w:r>
      <w:r w:rsidR="009656AB" w:rsidRPr="003C0C11">
        <w:rPr>
          <w:rStyle w:val="AERbody"/>
        </w:rPr>
        <w:t xml:space="preserve">opening capital base as at 1 July 2016 </w:t>
      </w:r>
      <w:r w:rsidR="009656AB" w:rsidRPr="009656AB">
        <w:rPr>
          <w:rStyle w:val="AERbody"/>
        </w:rPr>
        <w:t>by $</w:t>
      </w:r>
      <w:r w:rsidR="00571EAE">
        <w:rPr>
          <w:rStyle w:val="AERbody"/>
        </w:rPr>
        <w:t>15.7</w:t>
      </w:r>
      <w:r w:rsidR="009656AB" w:rsidRPr="009656AB">
        <w:rPr>
          <w:rStyle w:val="AERbody"/>
        </w:rPr>
        <w:t xml:space="preserve"> million ($nominal) or 1.</w:t>
      </w:r>
      <w:r w:rsidR="003211E4">
        <w:rPr>
          <w:rStyle w:val="AERbody"/>
        </w:rPr>
        <w:t>1</w:t>
      </w:r>
      <w:r w:rsidR="009656AB" w:rsidRPr="009656AB">
        <w:rPr>
          <w:rStyle w:val="AERbody"/>
        </w:rPr>
        <w:t xml:space="preserve"> per cent to reflect the chan</w:t>
      </w:r>
      <w:r>
        <w:rPr>
          <w:rStyle w:val="AERbody"/>
        </w:rPr>
        <w:t>ges required in this attachment</w:t>
      </w:r>
    </w:p>
    <w:p w:rsidR="009656AB" w:rsidRPr="009656AB" w:rsidRDefault="00146685" w:rsidP="009656AB">
      <w:pPr>
        <w:pStyle w:val="AERbulletlistfirststyle"/>
        <w:rPr>
          <w:rStyle w:val="AERbody"/>
        </w:rPr>
      </w:pPr>
      <w:proofErr w:type="gramStart"/>
      <w:r>
        <w:rPr>
          <w:rStyle w:val="AERbody"/>
        </w:rPr>
        <w:t>r</w:t>
      </w:r>
      <w:r w:rsidR="009656AB" w:rsidRPr="003C0C11">
        <w:rPr>
          <w:rStyle w:val="AERbody"/>
        </w:rPr>
        <w:t>educed</w:t>
      </w:r>
      <w:proofErr w:type="gramEnd"/>
      <w:r w:rsidR="009656AB" w:rsidRPr="003C0C11">
        <w:rPr>
          <w:rStyle w:val="AERbody"/>
        </w:rPr>
        <w:t xml:space="preserve"> AGN's </w:t>
      </w:r>
      <w:r w:rsidR="00C850B7">
        <w:rPr>
          <w:rStyle w:val="AERbody"/>
        </w:rPr>
        <w:t xml:space="preserve">revised </w:t>
      </w:r>
      <w:r w:rsidR="009656AB" w:rsidRPr="003C0C11">
        <w:rPr>
          <w:rStyle w:val="AERbody"/>
        </w:rPr>
        <w:t>proposed forecast net capex</w:t>
      </w:r>
      <w:r w:rsidR="003C60FD">
        <w:rPr>
          <w:rStyle w:val="AERbody"/>
        </w:rPr>
        <w:t xml:space="preserve"> for the 2016–21 access arrangement period</w:t>
      </w:r>
      <w:r w:rsidR="009656AB" w:rsidRPr="003C0C11">
        <w:rPr>
          <w:rStyle w:val="AERbody"/>
        </w:rPr>
        <w:t xml:space="preserve"> by $</w:t>
      </w:r>
      <w:r w:rsidR="0098058A">
        <w:rPr>
          <w:rStyle w:val="AERbody"/>
        </w:rPr>
        <w:t>92.1</w:t>
      </w:r>
      <w:r w:rsidR="009656AB" w:rsidRPr="009656AB">
        <w:rPr>
          <w:rStyle w:val="AERbody"/>
        </w:rPr>
        <w:t xml:space="preserve"> million ($</w:t>
      </w:r>
      <w:r w:rsidR="00E14BAC">
        <w:rPr>
          <w:rStyle w:val="AERbody"/>
        </w:rPr>
        <w:t>nominal</w:t>
      </w:r>
      <w:r w:rsidR="009656AB" w:rsidRPr="009656AB">
        <w:rPr>
          <w:rStyle w:val="AERbody"/>
        </w:rPr>
        <w:t xml:space="preserve">) or </w:t>
      </w:r>
      <w:r w:rsidR="0098058A">
        <w:rPr>
          <w:rStyle w:val="AERbody"/>
        </w:rPr>
        <w:t>13.1</w:t>
      </w:r>
      <w:r w:rsidR="009656AB" w:rsidRPr="009656AB">
        <w:rPr>
          <w:rStyle w:val="AERbody"/>
        </w:rPr>
        <w:t xml:space="preserve"> per cent. Our assessment of the </w:t>
      </w:r>
      <w:r w:rsidR="00E14BAC">
        <w:rPr>
          <w:rStyle w:val="AERbody"/>
        </w:rPr>
        <w:t xml:space="preserve">revised </w:t>
      </w:r>
      <w:r w:rsidR="009656AB" w:rsidRPr="009656AB">
        <w:rPr>
          <w:rStyle w:val="AERbody"/>
        </w:rPr>
        <w:t>proposed forecast capex is set out in attachment 6.</w:t>
      </w:r>
    </w:p>
    <w:p w:rsidR="0089674D" w:rsidRDefault="00146685" w:rsidP="0089674D">
      <w:pPr>
        <w:pStyle w:val="AERbulletlistfirststyle"/>
        <w:rPr>
          <w:rStyle w:val="AERbody"/>
        </w:rPr>
      </w:pPr>
      <w:proofErr w:type="gramStart"/>
      <w:r>
        <w:rPr>
          <w:rStyle w:val="AERbody"/>
        </w:rPr>
        <w:t>r</w:t>
      </w:r>
      <w:r w:rsidR="009656AB" w:rsidRPr="003C0C11">
        <w:rPr>
          <w:rStyle w:val="AERbody"/>
        </w:rPr>
        <w:t>educed</w:t>
      </w:r>
      <w:proofErr w:type="gramEnd"/>
      <w:r w:rsidR="009656AB" w:rsidRPr="003C0C11">
        <w:rPr>
          <w:rStyle w:val="AERbody"/>
        </w:rPr>
        <w:t xml:space="preserve"> AGN's</w:t>
      </w:r>
      <w:r w:rsidR="00195317">
        <w:rPr>
          <w:rStyle w:val="AERbody"/>
        </w:rPr>
        <w:t xml:space="preserve"> revised</w:t>
      </w:r>
      <w:r w:rsidR="009656AB" w:rsidRPr="003C0C11">
        <w:rPr>
          <w:rStyle w:val="AERbody"/>
        </w:rPr>
        <w:t xml:space="preserve"> proposed forecast </w:t>
      </w:r>
      <w:r w:rsidR="003C60FD">
        <w:rPr>
          <w:rStyle w:val="AERbody"/>
        </w:rPr>
        <w:t>straight-line</w:t>
      </w:r>
      <w:r w:rsidR="003C60FD" w:rsidRPr="009656AB">
        <w:rPr>
          <w:rStyle w:val="AERbody"/>
        </w:rPr>
        <w:t xml:space="preserve"> </w:t>
      </w:r>
      <w:r w:rsidR="009656AB" w:rsidRPr="009656AB">
        <w:rPr>
          <w:rStyle w:val="AERbody"/>
        </w:rPr>
        <w:t xml:space="preserve">depreciation </w:t>
      </w:r>
      <w:r w:rsidR="003C60FD">
        <w:rPr>
          <w:rStyle w:val="AERbody"/>
        </w:rPr>
        <w:t>for the 2016–21 access arrangement period</w:t>
      </w:r>
      <w:r w:rsidR="009656AB" w:rsidRPr="009656AB">
        <w:rPr>
          <w:rStyle w:val="AERbody"/>
        </w:rPr>
        <w:t xml:space="preserve"> by $</w:t>
      </w:r>
      <w:r w:rsidR="00D1749B">
        <w:rPr>
          <w:rStyle w:val="AERbody"/>
        </w:rPr>
        <w:t>3</w:t>
      </w:r>
      <w:r w:rsidR="00571EAE">
        <w:rPr>
          <w:rStyle w:val="AERbody"/>
        </w:rPr>
        <w:t>.0</w:t>
      </w:r>
      <w:r w:rsidR="009656AB" w:rsidRPr="009656AB">
        <w:rPr>
          <w:rStyle w:val="AERbody"/>
        </w:rPr>
        <w:t xml:space="preserve"> million ($nominal) or </w:t>
      </w:r>
      <w:r w:rsidR="00571EAE">
        <w:rPr>
          <w:rStyle w:val="AERbody"/>
        </w:rPr>
        <w:t>1.0</w:t>
      </w:r>
      <w:r w:rsidR="009656AB" w:rsidRPr="009656AB">
        <w:rPr>
          <w:rStyle w:val="AERbody"/>
        </w:rPr>
        <w:t xml:space="preserve"> per cent. Our assessment of the </w:t>
      </w:r>
      <w:r w:rsidR="00E14BAC">
        <w:rPr>
          <w:rStyle w:val="AERbody"/>
        </w:rPr>
        <w:t xml:space="preserve">revised </w:t>
      </w:r>
      <w:r w:rsidR="009656AB" w:rsidRPr="009656AB">
        <w:rPr>
          <w:rStyle w:val="AERbody"/>
        </w:rPr>
        <w:t xml:space="preserve">proposed forecast depreciation is set out in attachment 5. </w:t>
      </w:r>
    </w:p>
    <w:p w:rsidR="009656AB" w:rsidRPr="009656AB" w:rsidRDefault="00146685" w:rsidP="009656AB">
      <w:pPr>
        <w:pStyle w:val="AERbulletlistfirststyle"/>
        <w:rPr>
          <w:rStyle w:val="AERbody"/>
        </w:rPr>
      </w:pPr>
      <w:proofErr w:type="gramStart"/>
      <w:r>
        <w:rPr>
          <w:rStyle w:val="AERbody"/>
        </w:rPr>
        <w:t>i</w:t>
      </w:r>
      <w:r w:rsidR="0089674D">
        <w:rPr>
          <w:rStyle w:val="AERbody"/>
        </w:rPr>
        <w:t>ncreased</w:t>
      </w:r>
      <w:proofErr w:type="gramEnd"/>
      <w:r w:rsidR="0089674D">
        <w:rPr>
          <w:rStyle w:val="AERbody"/>
        </w:rPr>
        <w:t xml:space="preserve"> AGN's revised proposed forecast inflation to </w:t>
      </w:r>
      <w:r w:rsidR="00571EAE">
        <w:rPr>
          <w:rStyle w:val="AERbody"/>
        </w:rPr>
        <w:t>2.</w:t>
      </w:r>
      <w:r w:rsidR="00D1749B">
        <w:rPr>
          <w:rStyle w:val="AERbody"/>
        </w:rPr>
        <w:t>39</w:t>
      </w:r>
      <w:r w:rsidR="0089674D">
        <w:rPr>
          <w:rStyle w:val="AERbody"/>
        </w:rPr>
        <w:t xml:space="preserve"> per cent per annum for the 2016–21 access arrangement</w:t>
      </w:r>
      <w:r w:rsidR="00D63983">
        <w:rPr>
          <w:rStyle w:val="AERbody"/>
        </w:rPr>
        <w:t xml:space="preserve"> period</w:t>
      </w:r>
      <w:r w:rsidR="0089674D">
        <w:rPr>
          <w:rStyle w:val="AERbody"/>
        </w:rPr>
        <w:t xml:space="preserve"> from 2.01 per cent per annum.</w:t>
      </w:r>
      <w:r w:rsidR="0089674D" w:rsidRPr="00C850B7">
        <w:rPr>
          <w:rStyle w:val="AERbody"/>
        </w:rPr>
        <w:t xml:space="preserve"> </w:t>
      </w:r>
      <w:r w:rsidR="0089674D" w:rsidRPr="009656AB">
        <w:rPr>
          <w:rStyle w:val="AERbody"/>
        </w:rPr>
        <w:t xml:space="preserve">Our assessment of the </w:t>
      </w:r>
      <w:r w:rsidR="0089674D">
        <w:rPr>
          <w:rStyle w:val="AERbody"/>
        </w:rPr>
        <w:t xml:space="preserve">revised </w:t>
      </w:r>
      <w:r w:rsidR="0089674D" w:rsidRPr="009656AB">
        <w:rPr>
          <w:rStyle w:val="AERbody"/>
        </w:rPr>
        <w:t xml:space="preserve">proposed forecast </w:t>
      </w:r>
      <w:r w:rsidR="0089674D">
        <w:rPr>
          <w:rStyle w:val="AERbody"/>
        </w:rPr>
        <w:t>inflation</w:t>
      </w:r>
      <w:r w:rsidR="0089674D" w:rsidRPr="009656AB">
        <w:rPr>
          <w:rStyle w:val="AERbody"/>
        </w:rPr>
        <w:t xml:space="preserve"> is set out in attachment </w:t>
      </w:r>
      <w:r w:rsidR="0089674D">
        <w:rPr>
          <w:rStyle w:val="AERbody"/>
        </w:rPr>
        <w:t>3</w:t>
      </w:r>
      <w:r w:rsidR="0089674D" w:rsidRPr="009656AB">
        <w:rPr>
          <w:rStyle w:val="AERbody"/>
        </w:rPr>
        <w:t>.</w:t>
      </w:r>
      <w:r w:rsidR="0089674D">
        <w:rPr>
          <w:rStyle w:val="AERbody"/>
        </w:rPr>
        <w:t xml:space="preserve"> This results in an increase to the indexation of the capital base component over the 2016–21 access arrangement period by </w:t>
      </w:r>
      <w:r w:rsidR="0089674D" w:rsidRPr="009656AB">
        <w:rPr>
          <w:rStyle w:val="AERbody"/>
        </w:rPr>
        <w:t>$</w:t>
      </w:r>
      <w:r w:rsidR="00D1749B">
        <w:rPr>
          <w:rStyle w:val="AERbody"/>
        </w:rPr>
        <w:t>26.0</w:t>
      </w:r>
      <w:r w:rsidR="0089674D" w:rsidRPr="009656AB">
        <w:rPr>
          <w:rStyle w:val="AERbody"/>
        </w:rPr>
        <w:t xml:space="preserve"> million ($nominal) or </w:t>
      </w:r>
      <w:r w:rsidR="00D1749B">
        <w:rPr>
          <w:rStyle w:val="AERbody"/>
        </w:rPr>
        <w:t>15.8</w:t>
      </w:r>
      <w:r w:rsidR="0089674D" w:rsidRPr="009656AB">
        <w:rPr>
          <w:rStyle w:val="AERbody"/>
        </w:rPr>
        <w:t xml:space="preserve"> per cent</w:t>
      </w:r>
      <w:r w:rsidR="00E14BAC">
        <w:rPr>
          <w:rStyle w:val="AERbody"/>
        </w:rPr>
        <w:t>.</w:t>
      </w:r>
    </w:p>
    <w:p w:rsidR="009656AB" w:rsidRDefault="009656AB" w:rsidP="009656AB">
      <w:pPr>
        <w:pStyle w:val="Heading3"/>
      </w:pPr>
      <w:bookmarkStart w:id="47" w:name="_Toc436048927"/>
      <w:bookmarkStart w:id="48" w:name="_Toc451526815"/>
      <w:r>
        <w:t>Capital base at the commencement of the 2021–26 access arrangement period</w:t>
      </w:r>
      <w:bookmarkEnd w:id="47"/>
      <w:bookmarkEnd w:id="48"/>
    </w:p>
    <w:p w:rsidR="000A2372" w:rsidRDefault="009656AB" w:rsidP="00D16B9A">
      <w:pPr>
        <w:pStyle w:val="AERbulletlistfirststyle"/>
        <w:numPr>
          <w:ilvl w:val="0"/>
          <w:numId w:val="0"/>
        </w:numPr>
      </w:pPr>
      <w:r>
        <w:t xml:space="preserve">The capital base at the commencement of the 2021–26 access arrangement </w:t>
      </w:r>
      <w:proofErr w:type="gramStart"/>
      <w:r>
        <w:t>period</w:t>
      </w:r>
      <w:proofErr w:type="gramEnd"/>
      <w:r>
        <w:t xml:space="preserve"> will be subject to adjustments consistent with the NGR.</w:t>
      </w:r>
      <w:r w:rsidRPr="009656AB">
        <w:rPr>
          <w:rStyle w:val="FootnoteReference"/>
        </w:rPr>
        <w:footnoteReference w:id="7"/>
      </w:r>
      <w:r>
        <w:t xml:space="preserve"> These adjustments include (but are not limited to</w:t>
      </w:r>
      <w:r w:rsidR="000A2372">
        <w:t>) actual inflation, approved depreciation and the difference between estimated and actual capex for 2015–16</w:t>
      </w:r>
      <w:r w:rsidR="00D16B9A">
        <w:t>,</w:t>
      </w:r>
      <w:r w:rsidR="000A2372" w:rsidRPr="009656AB">
        <w:t xml:space="preserve"> including an adjustment to remove any benefit or penalty associated with the difference between the estimated and actual capex</w:t>
      </w:r>
      <w:r w:rsidR="00F53821">
        <w:t>.</w:t>
      </w:r>
      <w:r w:rsidR="000A2372" w:rsidRPr="009656AB">
        <w:rPr>
          <w:rStyle w:val="FootnoteReference"/>
        </w:rPr>
        <w:footnoteReference w:id="8"/>
      </w:r>
    </w:p>
    <w:p w:rsidR="00C850B7" w:rsidRDefault="00C850B7" w:rsidP="00C850B7">
      <w:r>
        <w:t>We note AGN's revised proposal adopted our draft decision on the use of forecast depreciation (as approved in this final decision for the 2016–21 access arrangement period) for establishing the opening capital base at 1 July 2021.</w:t>
      </w:r>
      <w:r>
        <w:rPr>
          <w:rStyle w:val="FootnoteReference"/>
        </w:rPr>
        <w:footnoteReference w:id="9"/>
      </w:r>
      <w:r>
        <w:t xml:space="preserve"> This approach is consistent with the approach outlined in the AER's </w:t>
      </w:r>
      <w:r w:rsidRPr="006302C7">
        <w:rPr>
          <w:rStyle w:val="AERtextitalic"/>
        </w:rPr>
        <w:t xml:space="preserve">Access arrangement </w:t>
      </w:r>
      <w:r w:rsidRPr="00AF2D81">
        <w:rPr>
          <w:rStyle w:val="AERtextitalic"/>
        </w:rPr>
        <w:t>g</w:t>
      </w:r>
      <w:r w:rsidRPr="006302C7">
        <w:rPr>
          <w:rStyle w:val="AERtextitalic"/>
        </w:rPr>
        <w:t>uideline</w:t>
      </w:r>
      <w:r>
        <w:rPr>
          <w:rStyle w:val="FootnoteReference"/>
        </w:rPr>
        <w:footnoteReference w:id="10"/>
      </w:r>
      <w:r>
        <w:t>. We therefore maintain our draft decision position on this issue for this final decision.</w:t>
      </w:r>
    </w:p>
    <w:p w:rsidR="00996C64" w:rsidRDefault="00CA4D9A">
      <w:r>
        <w:t xml:space="preserve">In its initial proposal, AGN made its proposed depreciation approach for establishing the opening capital base as at 1 July 2021 contingent on our acceptance of the proposed Capital Expenditure Sharing Scheme (CESS). In </w:t>
      </w:r>
      <w:r w:rsidR="00103BCF">
        <w:t xml:space="preserve">the </w:t>
      </w:r>
      <w:r>
        <w:t>draft decision</w:t>
      </w:r>
      <w:r w:rsidR="00103BCF">
        <w:t>,</w:t>
      </w:r>
      <w:r>
        <w:t xml:space="preserve"> we did not </w:t>
      </w:r>
      <w:r w:rsidR="00103BCF">
        <w:t>accept</w:t>
      </w:r>
      <w:r>
        <w:t xml:space="preserve"> AGN</w:t>
      </w:r>
      <w:r w:rsidR="00103BCF">
        <w:t>'s</w:t>
      </w:r>
      <w:r>
        <w:t xml:space="preserve"> contingent </w:t>
      </w:r>
      <w:r w:rsidR="00103BCF">
        <w:t>proposal</w:t>
      </w:r>
      <w:r>
        <w:t>, nor did we approve AGN's proposal to introduce a CESS for the 2016–21 access arrangement period.</w:t>
      </w:r>
      <w:r w:rsidR="00D04A7D">
        <w:t xml:space="preserve"> AGN</w:t>
      </w:r>
      <w:r w:rsidR="00F53821">
        <w:t>'s revised proposal</w:t>
      </w:r>
      <w:r w:rsidR="00D04A7D">
        <w:t xml:space="preserve"> </w:t>
      </w:r>
      <w:r w:rsidR="000A2372">
        <w:t xml:space="preserve">adopted </w:t>
      </w:r>
      <w:r w:rsidR="00D04A7D">
        <w:t xml:space="preserve">our </w:t>
      </w:r>
      <w:r w:rsidR="000A2372">
        <w:t xml:space="preserve">draft </w:t>
      </w:r>
      <w:r w:rsidR="00D04A7D">
        <w:t xml:space="preserve">decision to use forecast depreciation to establish </w:t>
      </w:r>
      <w:r w:rsidR="004D71E2">
        <w:t>it</w:t>
      </w:r>
      <w:r w:rsidR="00D04A7D">
        <w:t>s opening capital base as at 1 July 2021</w:t>
      </w:r>
      <w:r w:rsidR="00103BCF">
        <w:t xml:space="preserve"> and did not make a further submission on this matter</w:t>
      </w:r>
      <w:r w:rsidR="00D04A7D">
        <w:t>.</w:t>
      </w:r>
    </w:p>
    <w:sectPr w:rsidR="00996C64"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8D" w:rsidRPr="00290C63" w:rsidRDefault="00196F8D" w:rsidP="00290C63">
      <w:r>
        <w:separator/>
      </w:r>
    </w:p>
    <w:p w:rsidR="00196F8D" w:rsidRDefault="00196F8D"/>
  </w:endnote>
  <w:endnote w:type="continuationSeparator" w:id="0">
    <w:p w:rsidR="00196F8D" w:rsidRPr="00290C63" w:rsidRDefault="00196F8D" w:rsidP="00290C63">
      <w:r>
        <w:continuationSeparator/>
      </w:r>
    </w:p>
    <w:p w:rsidR="00196F8D" w:rsidRDefault="00196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8D" w:rsidRDefault="00196F8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196F8D" w:rsidRDefault="00196F8D">
    <w:pPr>
      <w:pStyle w:val="Footer"/>
    </w:pPr>
  </w:p>
  <w:p w:rsidR="00196F8D" w:rsidRDefault="00196F8D">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196F8D" w:rsidRPr="00CA52A2" w:rsidRDefault="00196F8D" w:rsidP="00CA52A2">
        <w:pPr>
          <w:pStyle w:val="Footer"/>
        </w:pPr>
        <w:r w:rsidRPr="00CA52A2">
          <w:fldChar w:fldCharType="begin"/>
        </w:r>
        <w:r>
          <w:instrText xml:space="preserve"> PAGE   \* MERGEFORMAT </w:instrText>
        </w:r>
        <w:r w:rsidRPr="00CA52A2">
          <w:fldChar w:fldCharType="separate"/>
        </w:r>
        <w:r w:rsidR="007C26E6">
          <w:rPr>
            <w:noProof/>
          </w:rPr>
          <w:t>2-8</w:t>
        </w:r>
        <w:r w:rsidRPr="00CA52A2">
          <w:fldChar w:fldCharType="end"/>
        </w:r>
        <w:r w:rsidRPr="00CA52A2">
          <w:t xml:space="preserve">          Attachment </w:t>
        </w:r>
        <w:r>
          <w:t xml:space="preserve">2 </w:t>
        </w:r>
        <w:r w:rsidRPr="00CA52A2">
          <w:t xml:space="preserve">– </w:t>
        </w:r>
        <w:r>
          <w:t xml:space="preserve">Capital base </w:t>
        </w:r>
        <w:r w:rsidRPr="00CA52A2">
          <w:t xml:space="preserve">| </w:t>
        </w:r>
        <w:r>
          <w:t>Final decision: Australian Gas Networks Access Arrangement 2016</w:t>
        </w:r>
        <w:r w:rsidRPr="00CA52A2">
          <w:t>–</w:t>
        </w:r>
        <w:r>
          <w:t>21</w:t>
        </w:r>
      </w:p>
    </w:sdtContent>
  </w:sdt>
  <w:p w:rsidR="00196F8D" w:rsidRDefault="00196F8D">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8D" w:rsidRPr="00290C63" w:rsidRDefault="00196F8D" w:rsidP="00290C63">
      <w:r>
        <w:separator/>
      </w:r>
    </w:p>
    <w:p w:rsidR="00196F8D" w:rsidRDefault="00196F8D"/>
  </w:footnote>
  <w:footnote w:type="continuationSeparator" w:id="0">
    <w:p w:rsidR="00196F8D" w:rsidRPr="00290C63" w:rsidRDefault="00196F8D" w:rsidP="00290C63">
      <w:r>
        <w:continuationSeparator/>
      </w:r>
    </w:p>
    <w:p w:rsidR="00196F8D" w:rsidRDefault="00196F8D"/>
  </w:footnote>
  <w:footnote w:id="1">
    <w:p w:rsidR="00196F8D" w:rsidRPr="003B67F0" w:rsidRDefault="00196F8D" w:rsidP="009656AB">
      <w:pPr>
        <w:pStyle w:val="FootnoteText"/>
        <w:rPr>
          <w:rStyle w:val="AERtexthighlight"/>
          <w:shd w:val="clear" w:color="auto" w:fill="auto"/>
        </w:rPr>
      </w:pPr>
      <w:r w:rsidRPr="003F6033">
        <w:rPr>
          <w:rStyle w:val="FootnoteReference"/>
        </w:rPr>
        <w:footnoteRef/>
      </w:r>
      <w:r w:rsidRPr="003F6033">
        <w:rPr>
          <w:rStyle w:val="FootnoteReference"/>
        </w:rPr>
        <w:t xml:space="preserve"> </w:t>
      </w:r>
      <w:r w:rsidRPr="003B67F0">
        <w:rPr>
          <w:rStyle w:val="AERtexthighlight"/>
          <w:shd w:val="clear" w:color="auto" w:fill="auto"/>
        </w:rPr>
        <w:tab/>
        <w:t xml:space="preserve">The term 'rolled forward' means the process of carrying over the value of the capital base from one regulatory year to the next.     </w:t>
      </w:r>
    </w:p>
  </w:footnote>
  <w:footnote w:id="2">
    <w:p w:rsidR="00196F8D" w:rsidRDefault="00196F8D">
      <w:pPr>
        <w:pStyle w:val="FootnoteText"/>
      </w:pPr>
      <w:r>
        <w:rPr>
          <w:rStyle w:val="FootnoteReference"/>
        </w:rPr>
        <w:footnoteRef/>
      </w:r>
      <w:r>
        <w:t xml:space="preserve"> </w:t>
      </w:r>
      <w:r>
        <w:tab/>
      </w:r>
      <w:proofErr w:type="gramStart"/>
      <w:r w:rsidR="004C38FD" w:rsidRPr="004C38FD">
        <w:t>AER</w:t>
      </w:r>
      <w:r w:rsidR="004C38FD">
        <w:t xml:space="preserve">, </w:t>
      </w:r>
      <w:r w:rsidR="004C38FD" w:rsidRPr="006F70F8">
        <w:rPr>
          <w:rStyle w:val="AERtextitalic"/>
        </w:rPr>
        <w:t>Draft decision Australian Gas Networks access arrangement - Attachment 2 - Capital base</w:t>
      </w:r>
      <w:r w:rsidR="004C38FD">
        <w:t xml:space="preserve">, </w:t>
      </w:r>
      <w:r w:rsidR="004C38FD" w:rsidRPr="004C38FD">
        <w:t>November 2015</w:t>
      </w:r>
      <w:r>
        <w:t>, pp</w:t>
      </w:r>
      <w:r w:rsidR="004C38FD">
        <w:t>.</w:t>
      </w:r>
      <w:r>
        <w:t xml:space="preserve"> </w:t>
      </w:r>
      <w:r w:rsidR="004C38FD">
        <w:t>2–</w:t>
      </w:r>
      <w:r>
        <w:t>9</w:t>
      </w:r>
      <w:r w:rsidR="004C38FD">
        <w:t xml:space="preserve"> - 2–</w:t>
      </w:r>
      <w:r>
        <w:t>13.</w:t>
      </w:r>
      <w:proofErr w:type="gramEnd"/>
    </w:p>
  </w:footnote>
  <w:footnote w:id="3">
    <w:p w:rsidR="00196F8D" w:rsidRDefault="00196F8D" w:rsidP="00FF5A39">
      <w:pPr>
        <w:pStyle w:val="FootnoteText"/>
      </w:pPr>
      <w:r>
        <w:rPr>
          <w:rStyle w:val="FootnoteReference"/>
        </w:rPr>
        <w:footnoteRef/>
      </w:r>
      <w:r>
        <w:t xml:space="preserve"> </w:t>
      </w:r>
      <w:r>
        <w:tab/>
        <w:t xml:space="preserve">CCP, </w:t>
      </w:r>
      <w:r w:rsidRPr="00C00106">
        <w:rPr>
          <w:rStyle w:val="AERtextitalic"/>
        </w:rPr>
        <w:t>Advice to AER from Consumer Challenge Panel sub-panel 8 regarding the AER draft decision and Australian Gas Networks' (SA) revised access arrangement 2016–2021 proposal</w:t>
      </w:r>
      <w:r>
        <w:t>, March 2016, p. 4.</w:t>
      </w:r>
    </w:p>
  </w:footnote>
  <w:footnote w:id="4">
    <w:p w:rsidR="00196F8D" w:rsidRDefault="00196F8D" w:rsidP="00413167">
      <w:pPr>
        <w:pStyle w:val="FootnoteText"/>
      </w:pPr>
      <w:r>
        <w:rPr>
          <w:rStyle w:val="FootnoteReference"/>
        </w:rPr>
        <w:footnoteRef/>
      </w:r>
      <w:r>
        <w:t xml:space="preserve"> </w:t>
      </w:r>
      <w:r>
        <w:tab/>
      </w:r>
      <w:r w:rsidRPr="00863383">
        <w:t>The March quarter CPI is used as a proxy for the June financial year in the 201</w:t>
      </w:r>
      <w:r>
        <w:t>1</w:t>
      </w:r>
      <w:r w:rsidRPr="00863383">
        <w:t>–1</w:t>
      </w:r>
      <w:r>
        <w:t>6</w:t>
      </w:r>
      <w:r w:rsidRPr="00863383">
        <w:t xml:space="preserve"> </w:t>
      </w:r>
      <w:r>
        <w:t>access arrangement</w:t>
      </w:r>
      <w:r w:rsidRPr="00863383">
        <w:t xml:space="preserve"> </w:t>
      </w:r>
      <w:proofErr w:type="gramStart"/>
      <w:r w:rsidRPr="00863383">
        <w:t>period</w:t>
      </w:r>
      <w:proofErr w:type="gramEnd"/>
      <w:r w:rsidRPr="00863383">
        <w:t xml:space="preserve">. </w:t>
      </w:r>
    </w:p>
  </w:footnote>
  <w:footnote w:id="5">
    <w:p w:rsidR="00196F8D" w:rsidRDefault="00196F8D" w:rsidP="00413167">
      <w:pPr>
        <w:pStyle w:val="FootnoteText"/>
      </w:pPr>
      <w:r>
        <w:rPr>
          <w:rStyle w:val="FootnoteReference"/>
        </w:rPr>
        <w:footnoteRef/>
      </w:r>
      <w:r>
        <w:t xml:space="preserve"> </w:t>
      </w:r>
      <w:r>
        <w:tab/>
        <w:t xml:space="preserve">AER, </w:t>
      </w:r>
      <w:r w:rsidRPr="00201BC1">
        <w:rPr>
          <w:rStyle w:val="AERtextitalic"/>
        </w:rPr>
        <w:t xml:space="preserve">Draft decision, </w:t>
      </w:r>
      <w:r>
        <w:rPr>
          <w:rStyle w:val="AERtextitalic"/>
        </w:rPr>
        <w:t>Australian Gas Networks</w:t>
      </w:r>
      <w:r w:rsidRPr="00201BC1">
        <w:rPr>
          <w:rStyle w:val="AERtextitalic"/>
        </w:rPr>
        <w:t xml:space="preserve"> Access Arrangement 2016–21, Attachment 2 – Capital base</w:t>
      </w:r>
      <w:r>
        <w:t xml:space="preserve">, November, 2015, pp. </w:t>
      </w:r>
      <w:r w:rsidR="004C38FD">
        <w:t>2–</w:t>
      </w:r>
      <w:r>
        <w:t>14</w:t>
      </w:r>
      <w:r w:rsidR="004C38FD">
        <w:t xml:space="preserve"> – 2–</w:t>
      </w:r>
      <w:r>
        <w:t>15.</w:t>
      </w:r>
    </w:p>
  </w:footnote>
  <w:footnote w:id="6">
    <w:p w:rsidR="00196F8D" w:rsidRDefault="00196F8D" w:rsidP="009656AB">
      <w:pPr>
        <w:pStyle w:val="FootnoteText"/>
      </w:pPr>
      <w:r>
        <w:rPr>
          <w:rStyle w:val="FootnoteReference"/>
        </w:rPr>
        <w:footnoteRef/>
      </w:r>
      <w:r>
        <w:t xml:space="preserve"> </w:t>
      </w:r>
      <w:r>
        <w:tab/>
        <w:t xml:space="preserve">NGR, </w:t>
      </w:r>
      <w:r>
        <w:rPr>
          <w:rFonts w:eastAsia="Calibri"/>
        </w:rPr>
        <w:t>r. 77(2</w:t>
      </w:r>
      <w:proofErr w:type="gramStart"/>
      <w:r>
        <w:rPr>
          <w:rFonts w:eastAsia="Calibri"/>
        </w:rPr>
        <w:t>)(</w:t>
      </w:r>
      <w:proofErr w:type="gramEnd"/>
      <w:r>
        <w:rPr>
          <w:rFonts w:eastAsia="Calibri"/>
        </w:rPr>
        <w:t>b).</w:t>
      </w:r>
    </w:p>
  </w:footnote>
  <w:footnote w:id="7">
    <w:p w:rsidR="00196F8D" w:rsidRDefault="00196F8D" w:rsidP="009656AB">
      <w:pPr>
        <w:pStyle w:val="FootnoteText"/>
      </w:pPr>
      <w:r>
        <w:rPr>
          <w:rStyle w:val="FootnoteReference"/>
        </w:rPr>
        <w:footnoteRef/>
      </w:r>
      <w:r>
        <w:t xml:space="preserve"> </w:t>
      </w:r>
      <w:r>
        <w:tab/>
      </w:r>
      <w:proofErr w:type="gramStart"/>
      <w:r>
        <w:t xml:space="preserve">NGR, </w:t>
      </w:r>
      <w:r>
        <w:rPr>
          <w:rFonts w:eastAsia="Calibri"/>
        </w:rPr>
        <w:t>r. 77(2).</w:t>
      </w:r>
      <w:proofErr w:type="gramEnd"/>
    </w:p>
  </w:footnote>
  <w:footnote w:id="8">
    <w:p w:rsidR="00196F8D" w:rsidRDefault="00196F8D" w:rsidP="000A2372">
      <w:pPr>
        <w:pStyle w:val="FootnoteText"/>
      </w:pPr>
      <w:r>
        <w:rPr>
          <w:rStyle w:val="FootnoteReference"/>
        </w:rPr>
        <w:footnoteRef/>
      </w:r>
      <w:r>
        <w:t xml:space="preserve"> </w:t>
      </w:r>
      <w:r>
        <w:tab/>
        <w:t>NGR, r. 77(2</w:t>
      </w:r>
      <w:proofErr w:type="gramStart"/>
      <w:r>
        <w:t>)(</w:t>
      </w:r>
      <w:proofErr w:type="gramEnd"/>
      <w:r>
        <w:t>a).</w:t>
      </w:r>
    </w:p>
  </w:footnote>
  <w:footnote w:id="9">
    <w:p w:rsidR="00196F8D" w:rsidRDefault="00196F8D" w:rsidP="00C850B7">
      <w:pPr>
        <w:pStyle w:val="FootnoteText"/>
      </w:pPr>
      <w:r>
        <w:rPr>
          <w:rStyle w:val="FootnoteReference"/>
        </w:rPr>
        <w:footnoteRef/>
      </w:r>
      <w:r>
        <w:t xml:space="preserve"> </w:t>
      </w:r>
      <w:r>
        <w:tab/>
        <w:t xml:space="preserve">AGN, </w:t>
      </w:r>
      <w:r w:rsidR="00117FA3" w:rsidRPr="00117FA3">
        <w:rPr>
          <w:rStyle w:val="AERtextitalic"/>
        </w:rPr>
        <w:t>Revised Access Arrangement Information for AGN's SA Natural Gas Distribution Network - January 2016 - Attachment 9.2 Regulatory Asset Base</w:t>
      </w:r>
      <w:r w:rsidR="00117FA3">
        <w:t xml:space="preserve">, </w:t>
      </w:r>
      <w:r>
        <w:t>p. 6.</w:t>
      </w:r>
    </w:p>
  </w:footnote>
  <w:footnote w:id="10">
    <w:p w:rsidR="00196F8D" w:rsidRDefault="00196F8D" w:rsidP="00C850B7">
      <w:pPr>
        <w:pStyle w:val="FootnoteText"/>
      </w:pPr>
      <w:r>
        <w:rPr>
          <w:rStyle w:val="FootnoteReference"/>
        </w:rPr>
        <w:footnoteRef/>
      </w:r>
      <w:r>
        <w:t xml:space="preserve"> </w:t>
      </w:r>
      <w:r>
        <w:tab/>
      </w:r>
      <w:proofErr w:type="gramStart"/>
      <w:r>
        <w:t xml:space="preserve">AER, </w:t>
      </w:r>
      <w:r>
        <w:rPr>
          <w:rStyle w:val="AERtextitalic"/>
        </w:rPr>
        <w:t>Final access arrangement guideline</w:t>
      </w:r>
      <w:r>
        <w:t>, March 2009, pp. 61</w:t>
      </w:r>
      <w:r w:rsidRPr="00141072">
        <w:t>–</w:t>
      </w:r>
      <w:r>
        <w:t>62.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8D" w:rsidRDefault="007C26E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196F8D">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8D" w:rsidRDefault="007C26E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09C832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92\AER15 4331  AER - Final decision Amadeus Gas Pipeline Access Arrangement - Attachment 2 - Capital base - April 2016.DOCX"/>
  </w:docVars>
  <w:rsids>
    <w:rsidRoot w:val="00961A4A"/>
    <w:rsid w:val="00004633"/>
    <w:rsid w:val="00010286"/>
    <w:rsid w:val="00021202"/>
    <w:rsid w:val="00021C2B"/>
    <w:rsid w:val="00023DE9"/>
    <w:rsid w:val="0002517F"/>
    <w:rsid w:val="00025BFA"/>
    <w:rsid w:val="00026495"/>
    <w:rsid w:val="0003578C"/>
    <w:rsid w:val="00036FA9"/>
    <w:rsid w:val="000401AF"/>
    <w:rsid w:val="00041DDA"/>
    <w:rsid w:val="000505C3"/>
    <w:rsid w:val="00063247"/>
    <w:rsid w:val="00063A92"/>
    <w:rsid w:val="00070F9F"/>
    <w:rsid w:val="0007137B"/>
    <w:rsid w:val="00074744"/>
    <w:rsid w:val="00085663"/>
    <w:rsid w:val="00085ADE"/>
    <w:rsid w:val="00085EBF"/>
    <w:rsid w:val="00085F93"/>
    <w:rsid w:val="00091B15"/>
    <w:rsid w:val="00093207"/>
    <w:rsid w:val="000A1E7C"/>
    <w:rsid w:val="000A2372"/>
    <w:rsid w:val="000A3020"/>
    <w:rsid w:val="000A6C7B"/>
    <w:rsid w:val="000B0360"/>
    <w:rsid w:val="000B0637"/>
    <w:rsid w:val="000C2B40"/>
    <w:rsid w:val="000D01F4"/>
    <w:rsid w:val="000D06C1"/>
    <w:rsid w:val="000D122C"/>
    <w:rsid w:val="000D3016"/>
    <w:rsid w:val="000D64F2"/>
    <w:rsid w:val="000D7F32"/>
    <w:rsid w:val="000E1819"/>
    <w:rsid w:val="000E4821"/>
    <w:rsid w:val="000E6C72"/>
    <w:rsid w:val="000F0B2B"/>
    <w:rsid w:val="000F3E72"/>
    <w:rsid w:val="000F48B1"/>
    <w:rsid w:val="000F552E"/>
    <w:rsid w:val="000F723D"/>
    <w:rsid w:val="00103A67"/>
    <w:rsid w:val="00103BCF"/>
    <w:rsid w:val="00116EB2"/>
    <w:rsid w:val="00117FA3"/>
    <w:rsid w:val="00124609"/>
    <w:rsid w:val="00126A4C"/>
    <w:rsid w:val="00135628"/>
    <w:rsid w:val="001402C8"/>
    <w:rsid w:val="00142AB6"/>
    <w:rsid w:val="0014573B"/>
    <w:rsid w:val="00146685"/>
    <w:rsid w:val="00147E70"/>
    <w:rsid w:val="00156DCC"/>
    <w:rsid w:val="001573E4"/>
    <w:rsid w:val="00160756"/>
    <w:rsid w:val="00162D9B"/>
    <w:rsid w:val="0017232E"/>
    <w:rsid w:val="00174102"/>
    <w:rsid w:val="0017480F"/>
    <w:rsid w:val="001754EE"/>
    <w:rsid w:val="00180157"/>
    <w:rsid w:val="00182467"/>
    <w:rsid w:val="00185CB9"/>
    <w:rsid w:val="00186F77"/>
    <w:rsid w:val="001926A4"/>
    <w:rsid w:val="00192AD5"/>
    <w:rsid w:val="00195317"/>
    <w:rsid w:val="00196F8D"/>
    <w:rsid w:val="00197BDC"/>
    <w:rsid w:val="001A1202"/>
    <w:rsid w:val="001B3F62"/>
    <w:rsid w:val="001B45A0"/>
    <w:rsid w:val="001B45C0"/>
    <w:rsid w:val="001B6F2E"/>
    <w:rsid w:val="001B7D00"/>
    <w:rsid w:val="001C17E7"/>
    <w:rsid w:val="001D055E"/>
    <w:rsid w:val="001E009C"/>
    <w:rsid w:val="001E5FE2"/>
    <w:rsid w:val="001F05A4"/>
    <w:rsid w:val="001F492E"/>
    <w:rsid w:val="001F6DA3"/>
    <w:rsid w:val="002010BC"/>
    <w:rsid w:val="002016E7"/>
    <w:rsid w:val="00201F98"/>
    <w:rsid w:val="00202E03"/>
    <w:rsid w:val="0020478D"/>
    <w:rsid w:val="0020492C"/>
    <w:rsid w:val="00205A33"/>
    <w:rsid w:val="0022021A"/>
    <w:rsid w:val="0022444D"/>
    <w:rsid w:val="00224DB9"/>
    <w:rsid w:val="002256AF"/>
    <w:rsid w:val="00227DCE"/>
    <w:rsid w:val="0023276C"/>
    <w:rsid w:val="00233775"/>
    <w:rsid w:val="002337D5"/>
    <w:rsid w:val="00233895"/>
    <w:rsid w:val="00251745"/>
    <w:rsid w:val="00252BBE"/>
    <w:rsid w:val="00263AC0"/>
    <w:rsid w:val="00264264"/>
    <w:rsid w:val="0026772D"/>
    <w:rsid w:val="00277554"/>
    <w:rsid w:val="00286874"/>
    <w:rsid w:val="00290C63"/>
    <w:rsid w:val="00296B65"/>
    <w:rsid w:val="0029724D"/>
    <w:rsid w:val="002A6688"/>
    <w:rsid w:val="002A7DEF"/>
    <w:rsid w:val="002B1003"/>
    <w:rsid w:val="002B573C"/>
    <w:rsid w:val="002C233C"/>
    <w:rsid w:val="002D72E8"/>
    <w:rsid w:val="002E46C5"/>
    <w:rsid w:val="002E7B22"/>
    <w:rsid w:val="002F7986"/>
    <w:rsid w:val="00301B40"/>
    <w:rsid w:val="00301F1F"/>
    <w:rsid w:val="003029A5"/>
    <w:rsid w:val="003029EE"/>
    <w:rsid w:val="0030370B"/>
    <w:rsid w:val="00305CC8"/>
    <w:rsid w:val="00307F6D"/>
    <w:rsid w:val="003130C9"/>
    <w:rsid w:val="003177A2"/>
    <w:rsid w:val="00320869"/>
    <w:rsid w:val="003211E4"/>
    <w:rsid w:val="00326B1D"/>
    <w:rsid w:val="003271B5"/>
    <w:rsid w:val="00327A1E"/>
    <w:rsid w:val="00331264"/>
    <w:rsid w:val="003338A2"/>
    <w:rsid w:val="00334C8D"/>
    <w:rsid w:val="0033548E"/>
    <w:rsid w:val="00343A18"/>
    <w:rsid w:val="00344473"/>
    <w:rsid w:val="00344D08"/>
    <w:rsid w:val="003457F9"/>
    <w:rsid w:val="00347114"/>
    <w:rsid w:val="003518B3"/>
    <w:rsid w:val="003578CD"/>
    <w:rsid w:val="00357A69"/>
    <w:rsid w:val="00360FC0"/>
    <w:rsid w:val="003666F2"/>
    <w:rsid w:val="003717D8"/>
    <w:rsid w:val="00376DF7"/>
    <w:rsid w:val="003846F1"/>
    <w:rsid w:val="003903D4"/>
    <w:rsid w:val="00391BF0"/>
    <w:rsid w:val="003931A7"/>
    <w:rsid w:val="00393646"/>
    <w:rsid w:val="003A0D74"/>
    <w:rsid w:val="003B484F"/>
    <w:rsid w:val="003B7FBA"/>
    <w:rsid w:val="003C60FD"/>
    <w:rsid w:val="003F174D"/>
    <w:rsid w:val="003F572D"/>
    <w:rsid w:val="003F7442"/>
    <w:rsid w:val="00413167"/>
    <w:rsid w:val="00415F31"/>
    <w:rsid w:val="0042205D"/>
    <w:rsid w:val="00423A77"/>
    <w:rsid w:val="00436ECD"/>
    <w:rsid w:val="004476C7"/>
    <w:rsid w:val="00452473"/>
    <w:rsid w:val="00452612"/>
    <w:rsid w:val="0045777E"/>
    <w:rsid w:val="00461B0F"/>
    <w:rsid w:val="00461C29"/>
    <w:rsid w:val="00463778"/>
    <w:rsid w:val="00473D89"/>
    <w:rsid w:val="00474EC7"/>
    <w:rsid w:val="004806B9"/>
    <w:rsid w:val="00480B4B"/>
    <w:rsid w:val="00485DC4"/>
    <w:rsid w:val="0048668E"/>
    <w:rsid w:val="004A0A5E"/>
    <w:rsid w:val="004A43D1"/>
    <w:rsid w:val="004B355D"/>
    <w:rsid w:val="004B4412"/>
    <w:rsid w:val="004C0C43"/>
    <w:rsid w:val="004C348C"/>
    <w:rsid w:val="004C38FD"/>
    <w:rsid w:val="004C6A30"/>
    <w:rsid w:val="004D1A96"/>
    <w:rsid w:val="004D55BA"/>
    <w:rsid w:val="004D71E2"/>
    <w:rsid w:val="004E22EC"/>
    <w:rsid w:val="004E2A4C"/>
    <w:rsid w:val="004F6A0E"/>
    <w:rsid w:val="00530128"/>
    <w:rsid w:val="00532467"/>
    <w:rsid w:val="00537FD6"/>
    <w:rsid w:val="00547267"/>
    <w:rsid w:val="00564A4D"/>
    <w:rsid w:val="0056588A"/>
    <w:rsid w:val="00567BA5"/>
    <w:rsid w:val="00571B35"/>
    <w:rsid w:val="00571D57"/>
    <w:rsid w:val="00571EAE"/>
    <w:rsid w:val="00577A09"/>
    <w:rsid w:val="005829C2"/>
    <w:rsid w:val="00584D8F"/>
    <w:rsid w:val="00585A4E"/>
    <w:rsid w:val="00586819"/>
    <w:rsid w:val="0059704C"/>
    <w:rsid w:val="005A404D"/>
    <w:rsid w:val="005B1E3C"/>
    <w:rsid w:val="005B3FB7"/>
    <w:rsid w:val="005B4D33"/>
    <w:rsid w:val="005B704A"/>
    <w:rsid w:val="005C0A7F"/>
    <w:rsid w:val="005C26CC"/>
    <w:rsid w:val="005C4C9C"/>
    <w:rsid w:val="005C6218"/>
    <w:rsid w:val="005C71FF"/>
    <w:rsid w:val="005D03B1"/>
    <w:rsid w:val="005D7BA2"/>
    <w:rsid w:val="005E055A"/>
    <w:rsid w:val="005E36C2"/>
    <w:rsid w:val="005F0183"/>
    <w:rsid w:val="005F2FA4"/>
    <w:rsid w:val="005F727F"/>
    <w:rsid w:val="006007DE"/>
    <w:rsid w:val="00601638"/>
    <w:rsid w:val="00610EF9"/>
    <w:rsid w:val="00612F4F"/>
    <w:rsid w:val="00615C6B"/>
    <w:rsid w:val="00620DC3"/>
    <w:rsid w:val="00621DCE"/>
    <w:rsid w:val="00632D6D"/>
    <w:rsid w:val="00640812"/>
    <w:rsid w:val="00642C3E"/>
    <w:rsid w:val="00651C3A"/>
    <w:rsid w:val="00651CB2"/>
    <w:rsid w:val="006560CA"/>
    <w:rsid w:val="0066104A"/>
    <w:rsid w:val="00663DAD"/>
    <w:rsid w:val="00665649"/>
    <w:rsid w:val="00666E20"/>
    <w:rsid w:val="006672AA"/>
    <w:rsid w:val="00675E20"/>
    <w:rsid w:val="00676679"/>
    <w:rsid w:val="00677E7A"/>
    <w:rsid w:val="006812E7"/>
    <w:rsid w:val="00683C89"/>
    <w:rsid w:val="00684C16"/>
    <w:rsid w:val="006862BB"/>
    <w:rsid w:val="00691D9A"/>
    <w:rsid w:val="006A26AA"/>
    <w:rsid w:val="006A7CB9"/>
    <w:rsid w:val="006A7D76"/>
    <w:rsid w:val="006B2395"/>
    <w:rsid w:val="006B45A4"/>
    <w:rsid w:val="006B4CF9"/>
    <w:rsid w:val="006B785B"/>
    <w:rsid w:val="006B7AC8"/>
    <w:rsid w:val="006C1736"/>
    <w:rsid w:val="006C4798"/>
    <w:rsid w:val="006C774D"/>
    <w:rsid w:val="006D22F2"/>
    <w:rsid w:val="006D550F"/>
    <w:rsid w:val="006E3F76"/>
    <w:rsid w:val="006F1F83"/>
    <w:rsid w:val="006F3AD1"/>
    <w:rsid w:val="006F3FC8"/>
    <w:rsid w:val="006F6183"/>
    <w:rsid w:val="006F70F8"/>
    <w:rsid w:val="0070011E"/>
    <w:rsid w:val="00701CAB"/>
    <w:rsid w:val="00702212"/>
    <w:rsid w:val="00702F59"/>
    <w:rsid w:val="00707563"/>
    <w:rsid w:val="00714BF4"/>
    <w:rsid w:val="0072264C"/>
    <w:rsid w:val="00722EE2"/>
    <w:rsid w:val="0072348C"/>
    <w:rsid w:val="00724756"/>
    <w:rsid w:val="00724A37"/>
    <w:rsid w:val="007303C3"/>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A7002"/>
    <w:rsid w:val="007A7136"/>
    <w:rsid w:val="007A7F63"/>
    <w:rsid w:val="007B011C"/>
    <w:rsid w:val="007B186E"/>
    <w:rsid w:val="007B2C72"/>
    <w:rsid w:val="007B6C52"/>
    <w:rsid w:val="007C1C53"/>
    <w:rsid w:val="007C26E6"/>
    <w:rsid w:val="007C715E"/>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04B"/>
    <w:rsid w:val="008221F2"/>
    <w:rsid w:val="00825985"/>
    <w:rsid w:val="008301A7"/>
    <w:rsid w:val="008301B2"/>
    <w:rsid w:val="00830816"/>
    <w:rsid w:val="00831DFB"/>
    <w:rsid w:val="008344F6"/>
    <w:rsid w:val="0083510F"/>
    <w:rsid w:val="00840232"/>
    <w:rsid w:val="008408C5"/>
    <w:rsid w:val="008414FC"/>
    <w:rsid w:val="00847887"/>
    <w:rsid w:val="008479CC"/>
    <w:rsid w:val="00851209"/>
    <w:rsid w:val="0085722A"/>
    <w:rsid w:val="00862B19"/>
    <w:rsid w:val="00864B35"/>
    <w:rsid w:val="00866D99"/>
    <w:rsid w:val="00867CF6"/>
    <w:rsid w:val="008749E0"/>
    <w:rsid w:val="00874CD0"/>
    <w:rsid w:val="00882481"/>
    <w:rsid w:val="008837AC"/>
    <w:rsid w:val="0089674D"/>
    <w:rsid w:val="008A587D"/>
    <w:rsid w:val="008B35CD"/>
    <w:rsid w:val="008B5FCC"/>
    <w:rsid w:val="008B7544"/>
    <w:rsid w:val="008C285F"/>
    <w:rsid w:val="008C299B"/>
    <w:rsid w:val="008C3374"/>
    <w:rsid w:val="008C39F0"/>
    <w:rsid w:val="008C5486"/>
    <w:rsid w:val="008C63DF"/>
    <w:rsid w:val="008C708B"/>
    <w:rsid w:val="008D1661"/>
    <w:rsid w:val="008D257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33BD8"/>
    <w:rsid w:val="009460AA"/>
    <w:rsid w:val="0094641C"/>
    <w:rsid w:val="00951978"/>
    <w:rsid w:val="00961115"/>
    <w:rsid w:val="00961A4A"/>
    <w:rsid w:val="009656AB"/>
    <w:rsid w:val="009661DE"/>
    <w:rsid w:val="0097578D"/>
    <w:rsid w:val="0098058A"/>
    <w:rsid w:val="00983C25"/>
    <w:rsid w:val="00983D0D"/>
    <w:rsid w:val="009856B7"/>
    <w:rsid w:val="00985C86"/>
    <w:rsid w:val="00996BAF"/>
    <w:rsid w:val="00996C64"/>
    <w:rsid w:val="009972D8"/>
    <w:rsid w:val="009A4FAA"/>
    <w:rsid w:val="009A5113"/>
    <w:rsid w:val="009A539D"/>
    <w:rsid w:val="009A5FC3"/>
    <w:rsid w:val="009B5DC8"/>
    <w:rsid w:val="009B6F84"/>
    <w:rsid w:val="009B7343"/>
    <w:rsid w:val="009B74B0"/>
    <w:rsid w:val="009C691D"/>
    <w:rsid w:val="009D2B38"/>
    <w:rsid w:val="009D3906"/>
    <w:rsid w:val="009D6B46"/>
    <w:rsid w:val="009F42F3"/>
    <w:rsid w:val="009F4940"/>
    <w:rsid w:val="009F5BA1"/>
    <w:rsid w:val="00A02A88"/>
    <w:rsid w:val="00A0562E"/>
    <w:rsid w:val="00A06085"/>
    <w:rsid w:val="00A0726D"/>
    <w:rsid w:val="00A16596"/>
    <w:rsid w:val="00A2303E"/>
    <w:rsid w:val="00A26A30"/>
    <w:rsid w:val="00A32FBB"/>
    <w:rsid w:val="00A370EF"/>
    <w:rsid w:val="00A428EE"/>
    <w:rsid w:val="00A4478A"/>
    <w:rsid w:val="00A44852"/>
    <w:rsid w:val="00A4650A"/>
    <w:rsid w:val="00A50502"/>
    <w:rsid w:val="00A51CBC"/>
    <w:rsid w:val="00A54CC7"/>
    <w:rsid w:val="00A57D04"/>
    <w:rsid w:val="00A60A26"/>
    <w:rsid w:val="00A61598"/>
    <w:rsid w:val="00A7259C"/>
    <w:rsid w:val="00A76124"/>
    <w:rsid w:val="00A7682F"/>
    <w:rsid w:val="00A84A99"/>
    <w:rsid w:val="00A84F46"/>
    <w:rsid w:val="00A871F4"/>
    <w:rsid w:val="00A90AA4"/>
    <w:rsid w:val="00A923BF"/>
    <w:rsid w:val="00A96758"/>
    <w:rsid w:val="00AB47E1"/>
    <w:rsid w:val="00AC15AE"/>
    <w:rsid w:val="00AC1B2C"/>
    <w:rsid w:val="00AC3264"/>
    <w:rsid w:val="00AC411D"/>
    <w:rsid w:val="00AC572C"/>
    <w:rsid w:val="00AC6704"/>
    <w:rsid w:val="00AC6A97"/>
    <w:rsid w:val="00AD3884"/>
    <w:rsid w:val="00AD7B56"/>
    <w:rsid w:val="00AE1BF1"/>
    <w:rsid w:val="00AF0DD2"/>
    <w:rsid w:val="00AF201C"/>
    <w:rsid w:val="00B0209D"/>
    <w:rsid w:val="00B02165"/>
    <w:rsid w:val="00B02961"/>
    <w:rsid w:val="00B04908"/>
    <w:rsid w:val="00B04B4C"/>
    <w:rsid w:val="00B07388"/>
    <w:rsid w:val="00B07CEA"/>
    <w:rsid w:val="00B13048"/>
    <w:rsid w:val="00B1716D"/>
    <w:rsid w:val="00B17A1D"/>
    <w:rsid w:val="00B207A0"/>
    <w:rsid w:val="00B25A59"/>
    <w:rsid w:val="00B40CAA"/>
    <w:rsid w:val="00B514DD"/>
    <w:rsid w:val="00B51F3F"/>
    <w:rsid w:val="00B52AF0"/>
    <w:rsid w:val="00B5468B"/>
    <w:rsid w:val="00B561BD"/>
    <w:rsid w:val="00B56E03"/>
    <w:rsid w:val="00B61EDF"/>
    <w:rsid w:val="00B63525"/>
    <w:rsid w:val="00B72B8C"/>
    <w:rsid w:val="00B74AC5"/>
    <w:rsid w:val="00B757A6"/>
    <w:rsid w:val="00B8080B"/>
    <w:rsid w:val="00B82223"/>
    <w:rsid w:val="00B87BA5"/>
    <w:rsid w:val="00B87C39"/>
    <w:rsid w:val="00B9562D"/>
    <w:rsid w:val="00BA0731"/>
    <w:rsid w:val="00BA4665"/>
    <w:rsid w:val="00BA47EE"/>
    <w:rsid w:val="00BB05CA"/>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0106"/>
    <w:rsid w:val="00C04223"/>
    <w:rsid w:val="00C10983"/>
    <w:rsid w:val="00C12283"/>
    <w:rsid w:val="00C1730A"/>
    <w:rsid w:val="00C21A26"/>
    <w:rsid w:val="00C25DCD"/>
    <w:rsid w:val="00C25FA6"/>
    <w:rsid w:val="00C275C4"/>
    <w:rsid w:val="00C30468"/>
    <w:rsid w:val="00C30637"/>
    <w:rsid w:val="00C36F19"/>
    <w:rsid w:val="00C41ADA"/>
    <w:rsid w:val="00C42ACA"/>
    <w:rsid w:val="00C5122C"/>
    <w:rsid w:val="00C538A9"/>
    <w:rsid w:val="00C53B5A"/>
    <w:rsid w:val="00C54434"/>
    <w:rsid w:val="00C54F5A"/>
    <w:rsid w:val="00C569B4"/>
    <w:rsid w:val="00C56A01"/>
    <w:rsid w:val="00C56A3E"/>
    <w:rsid w:val="00C67A92"/>
    <w:rsid w:val="00C7497E"/>
    <w:rsid w:val="00C74D43"/>
    <w:rsid w:val="00C81568"/>
    <w:rsid w:val="00C84560"/>
    <w:rsid w:val="00C84F52"/>
    <w:rsid w:val="00C850B7"/>
    <w:rsid w:val="00C86679"/>
    <w:rsid w:val="00C86F7F"/>
    <w:rsid w:val="00C97CDF"/>
    <w:rsid w:val="00CA2ABF"/>
    <w:rsid w:val="00CA2C1D"/>
    <w:rsid w:val="00CA489E"/>
    <w:rsid w:val="00CA4D9A"/>
    <w:rsid w:val="00CA52A2"/>
    <w:rsid w:val="00CB0279"/>
    <w:rsid w:val="00CB666B"/>
    <w:rsid w:val="00CC7F1D"/>
    <w:rsid w:val="00CD19EE"/>
    <w:rsid w:val="00CE484B"/>
    <w:rsid w:val="00CE4900"/>
    <w:rsid w:val="00CF0DEE"/>
    <w:rsid w:val="00CF2C05"/>
    <w:rsid w:val="00CF6EDE"/>
    <w:rsid w:val="00D006AE"/>
    <w:rsid w:val="00D01CF0"/>
    <w:rsid w:val="00D01EFD"/>
    <w:rsid w:val="00D0442A"/>
    <w:rsid w:val="00D04A7D"/>
    <w:rsid w:val="00D06055"/>
    <w:rsid w:val="00D066B7"/>
    <w:rsid w:val="00D107B6"/>
    <w:rsid w:val="00D1346F"/>
    <w:rsid w:val="00D16B9A"/>
    <w:rsid w:val="00D1749B"/>
    <w:rsid w:val="00D17683"/>
    <w:rsid w:val="00D36FCC"/>
    <w:rsid w:val="00D41E80"/>
    <w:rsid w:val="00D45694"/>
    <w:rsid w:val="00D46BD3"/>
    <w:rsid w:val="00D608F6"/>
    <w:rsid w:val="00D60EFF"/>
    <w:rsid w:val="00D61388"/>
    <w:rsid w:val="00D61A54"/>
    <w:rsid w:val="00D63983"/>
    <w:rsid w:val="00D64275"/>
    <w:rsid w:val="00D64DEA"/>
    <w:rsid w:val="00D7168E"/>
    <w:rsid w:val="00D71E57"/>
    <w:rsid w:val="00D75AA2"/>
    <w:rsid w:val="00D7645E"/>
    <w:rsid w:val="00D80893"/>
    <w:rsid w:val="00D84854"/>
    <w:rsid w:val="00D848B4"/>
    <w:rsid w:val="00D86B06"/>
    <w:rsid w:val="00D92CF1"/>
    <w:rsid w:val="00D92D38"/>
    <w:rsid w:val="00D950F5"/>
    <w:rsid w:val="00DA0BCC"/>
    <w:rsid w:val="00DA4752"/>
    <w:rsid w:val="00DA61F3"/>
    <w:rsid w:val="00DA6B93"/>
    <w:rsid w:val="00DA6F94"/>
    <w:rsid w:val="00DB0F93"/>
    <w:rsid w:val="00DB1A67"/>
    <w:rsid w:val="00DB5074"/>
    <w:rsid w:val="00DB5B21"/>
    <w:rsid w:val="00DC0A41"/>
    <w:rsid w:val="00DC7981"/>
    <w:rsid w:val="00DD1C15"/>
    <w:rsid w:val="00DE1093"/>
    <w:rsid w:val="00DE4EFA"/>
    <w:rsid w:val="00DE5520"/>
    <w:rsid w:val="00DE563D"/>
    <w:rsid w:val="00DE5E2E"/>
    <w:rsid w:val="00DE772C"/>
    <w:rsid w:val="00DF1D9A"/>
    <w:rsid w:val="00DF312A"/>
    <w:rsid w:val="00E04818"/>
    <w:rsid w:val="00E06442"/>
    <w:rsid w:val="00E06BCF"/>
    <w:rsid w:val="00E1001C"/>
    <w:rsid w:val="00E11949"/>
    <w:rsid w:val="00E11CCA"/>
    <w:rsid w:val="00E14BAC"/>
    <w:rsid w:val="00E23993"/>
    <w:rsid w:val="00E257D6"/>
    <w:rsid w:val="00E25B8C"/>
    <w:rsid w:val="00E3544F"/>
    <w:rsid w:val="00E363A1"/>
    <w:rsid w:val="00E454CE"/>
    <w:rsid w:val="00E479CF"/>
    <w:rsid w:val="00E51D65"/>
    <w:rsid w:val="00E6200B"/>
    <w:rsid w:val="00E65C85"/>
    <w:rsid w:val="00E66199"/>
    <w:rsid w:val="00E70CC8"/>
    <w:rsid w:val="00E711C7"/>
    <w:rsid w:val="00E7494F"/>
    <w:rsid w:val="00E755EC"/>
    <w:rsid w:val="00E7624D"/>
    <w:rsid w:val="00E773DF"/>
    <w:rsid w:val="00E93054"/>
    <w:rsid w:val="00E97242"/>
    <w:rsid w:val="00EA38F3"/>
    <w:rsid w:val="00EA3D42"/>
    <w:rsid w:val="00EA6B1B"/>
    <w:rsid w:val="00EB39BE"/>
    <w:rsid w:val="00EB5BC8"/>
    <w:rsid w:val="00EB606C"/>
    <w:rsid w:val="00EC04F1"/>
    <w:rsid w:val="00EC1B2B"/>
    <w:rsid w:val="00EC32E5"/>
    <w:rsid w:val="00ED0EC2"/>
    <w:rsid w:val="00ED3474"/>
    <w:rsid w:val="00ED7323"/>
    <w:rsid w:val="00EE28F3"/>
    <w:rsid w:val="00EE50D1"/>
    <w:rsid w:val="00EE6474"/>
    <w:rsid w:val="00EE77FA"/>
    <w:rsid w:val="00EE7A83"/>
    <w:rsid w:val="00EF1B7A"/>
    <w:rsid w:val="00EF5110"/>
    <w:rsid w:val="00F0334E"/>
    <w:rsid w:val="00F06F9C"/>
    <w:rsid w:val="00F07967"/>
    <w:rsid w:val="00F10411"/>
    <w:rsid w:val="00F15882"/>
    <w:rsid w:val="00F171E0"/>
    <w:rsid w:val="00F20BD3"/>
    <w:rsid w:val="00F2526A"/>
    <w:rsid w:val="00F2740A"/>
    <w:rsid w:val="00F33735"/>
    <w:rsid w:val="00F33FA5"/>
    <w:rsid w:val="00F35081"/>
    <w:rsid w:val="00F373A5"/>
    <w:rsid w:val="00F42E08"/>
    <w:rsid w:val="00F47559"/>
    <w:rsid w:val="00F53821"/>
    <w:rsid w:val="00F57582"/>
    <w:rsid w:val="00F57907"/>
    <w:rsid w:val="00F61176"/>
    <w:rsid w:val="00F62A30"/>
    <w:rsid w:val="00F64C7B"/>
    <w:rsid w:val="00F65B25"/>
    <w:rsid w:val="00F676DD"/>
    <w:rsid w:val="00F714B5"/>
    <w:rsid w:val="00F71667"/>
    <w:rsid w:val="00F73895"/>
    <w:rsid w:val="00F75A26"/>
    <w:rsid w:val="00F76706"/>
    <w:rsid w:val="00F768C8"/>
    <w:rsid w:val="00F81B8D"/>
    <w:rsid w:val="00F83FAD"/>
    <w:rsid w:val="00F8653A"/>
    <w:rsid w:val="00F91F55"/>
    <w:rsid w:val="00F92349"/>
    <w:rsid w:val="00F93B21"/>
    <w:rsid w:val="00F952A0"/>
    <w:rsid w:val="00F97A10"/>
    <w:rsid w:val="00FA0079"/>
    <w:rsid w:val="00FA3C7F"/>
    <w:rsid w:val="00FB1BF3"/>
    <w:rsid w:val="00FB4402"/>
    <w:rsid w:val="00FB60FE"/>
    <w:rsid w:val="00FB74E2"/>
    <w:rsid w:val="00FC71DC"/>
    <w:rsid w:val="00FD2ED2"/>
    <w:rsid w:val="00FD5614"/>
    <w:rsid w:val="00FD5E78"/>
    <w:rsid w:val="00FE0BE1"/>
    <w:rsid w:val="00FE1DE9"/>
    <w:rsid w:val="00FE36AF"/>
    <w:rsid w:val="00FE39C2"/>
    <w:rsid w:val="00FE3C32"/>
    <w:rsid w:val="00FE62BF"/>
    <w:rsid w:val="00FE64AE"/>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8299304">
      <w:bodyDiv w:val="1"/>
      <w:marLeft w:val="0"/>
      <w:marRight w:val="0"/>
      <w:marTop w:val="0"/>
      <w:marBottom w:val="0"/>
      <w:divBdr>
        <w:top w:val="none" w:sz="0" w:space="0" w:color="auto"/>
        <w:left w:val="none" w:sz="0" w:space="0" w:color="auto"/>
        <w:bottom w:val="none" w:sz="0" w:space="0" w:color="auto"/>
        <w:right w:val="none" w:sz="0" w:space="0" w:color="auto"/>
      </w:divBdr>
    </w:div>
    <w:div w:id="1587348074">
      <w:bodyDiv w:val="1"/>
      <w:marLeft w:val="0"/>
      <w:marRight w:val="0"/>
      <w:marTop w:val="0"/>
      <w:marBottom w:val="0"/>
      <w:divBdr>
        <w:top w:val="none" w:sz="0" w:space="0" w:color="auto"/>
        <w:left w:val="none" w:sz="0" w:space="0" w:color="auto"/>
        <w:bottom w:val="none" w:sz="0" w:space="0" w:color="auto"/>
        <w:right w:val="none" w:sz="0" w:space="0" w:color="auto"/>
      </w:divBdr>
    </w:div>
    <w:div w:id="19631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06FB0F-74EB-415D-ACE9-F448964E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249271B9</Template>
  <TotalTime>0</TotalTime>
  <Pages>12</Pages>
  <Words>2644</Words>
  <Characters>15076</Characters>
  <Application>Microsoft Office Word</Application>
  <DocSecurity>0</DocSecurity>
  <Lines>125</Lines>
  <Paragraphs>35</Paragraphs>
  <ScaleCrop>false</ScaleCrop>
  <Company/>
  <LinksUpToDate>false</LinksUpToDate>
  <CharactersWithSpaces>17685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2016-05-20T06:58:00Z</dcterms:created>
  <dcterms:modified xsi:type="dcterms:W3CDTF">2016-05-20T06:58:00Z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8575840</vt:lpwstr>
  </property>
</Properties>
</file>